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6895B" w14:textId="77777777" w:rsidR="00085685" w:rsidRPr="00C72D8B" w:rsidRDefault="00085685" w:rsidP="00B2152C">
      <w:pPr>
        <w:pStyle w:val="NoSpacing"/>
        <w:contextualSpacing/>
        <w:jc w:val="center"/>
        <w:rPr>
          <w:b/>
          <w:sz w:val="26"/>
          <w:szCs w:val="26"/>
        </w:rPr>
      </w:pPr>
      <w:r w:rsidRPr="00C72D8B">
        <w:rPr>
          <w:b/>
          <w:sz w:val="26"/>
          <w:szCs w:val="26"/>
        </w:rPr>
        <w:t xml:space="preserve">PENNSYLVANIA </w:t>
      </w:r>
    </w:p>
    <w:p w14:paraId="59F054C7" w14:textId="77777777" w:rsidR="00085685" w:rsidRPr="00C72D8B" w:rsidRDefault="00085685" w:rsidP="00B2152C">
      <w:pPr>
        <w:pStyle w:val="NoSpacing"/>
        <w:contextualSpacing/>
        <w:jc w:val="center"/>
        <w:rPr>
          <w:b/>
          <w:sz w:val="26"/>
          <w:szCs w:val="26"/>
        </w:rPr>
      </w:pPr>
      <w:r w:rsidRPr="00C72D8B">
        <w:rPr>
          <w:b/>
          <w:sz w:val="26"/>
          <w:szCs w:val="26"/>
        </w:rPr>
        <w:t>PUBLIC UTILITY COMMISSION</w:t>
      </w:r>
    </w:p>
    <w:p w14:paraId="73F145A2" w14:textId="147AF3FE" w:rsidR="00085685" w:rsidRPr="00C72D8B" w:rsidRDefault="00085685" w:rsidP="00B2152C">
      <w:pPr>
        <w:pStyle w:val="NoSpacing"/>
        <w:contextualSpacing/>
        <w:jc w:val="center"/>
        <w:rPr>
          <w:b/>
          <w:sz w:val="26"/>
          <w:szCs w:val="26"/>
        </w:rPr>
      </w:pPr>
      <w:r w:rsidRPr="00C72D8B">
        <w:rPr>
          <w:b/>
          <w:sz w:val="26"/>
          <w:szCs w:val="26"/>
        </w:rPr>
        <w:t>Harrisburg, PA</w:t>
      </w:r>
      <w:r w:rsidR="004F6935" w:rsidRPr="00C72D8B">
        <w:rPr>
          <w:b/>
          <w:sz w:val="26"/>
          <w:szCs w:val="26"/>
        </w:rPr>
        <w:t xml:space="preserve"> </w:t>
      </w:r>
      <w:r w:rsidRPr="00C72D8B">
        <w:rPr>
          <w:b/>
          <w:sz w:val="26"/>
          <w:szCs w:val="26"/>
        </w:rPr>
        <w:t xml:space="preserve"> 17120</w:t>
      </w:r>
    </w:p>
    <w:p w14:paraId="0A0954E9" w14:textId="77777777" w:rsidR="00085685" w:rsidRPr="00C72D8B" w:rsidRDefault="00085685" w:rsidP="00B2152C">
      <w:pPr>
        <w:pStyle w:val="NoSpacing"/>
        <w:contextualSpacing/>
        <w:jc w:val="center"/>
        <w:rPr>
          <w:b/>
          <w:sz w:val="26"/>
          <w:szCs w:val="26"/>
        </w:rPr>
      </w:pPr>
    </w:p>
    <w:p w14:paraId="230B2844" w14:textId="77777777" w:rsidR="00085685" w:rsidRPr="00C72D8B" w:rsidRDefault="00085685" w:rsidP="00B2152C">
      <w:pPr>
        <w:pStyle w:val="NoSpacing"/>
        <w:contextualSpacing/>
        <w:jc w:val="right"/>
        <w:rPr>
          <w:sz w:val="26"/>
          <w:szCs w:val="26"/>
        </w:rPr>
      </w:pPr>
    </w:p>
    <w:p w14:paraId="7E148653" w14:textId="62B9646A" w:rsidR="00085685" w:rsidRPr="00C72D8B" w:rsidRDefault="00225CC0" w:rsidP="00B2152C">
      <w:pPr>
        <w:pStyle w:val="NoSpacing"/>
        <w:contextualSpacing/>
        <w:jc w:val="right"/>
        <w:rPr>
          <w:sz w:val="26"/>
          <w:szCs w:val="26"/>
        </w:rPr>
      </w:pPr>
      <w:r w:rsidRPr="00C72D8B">
        <w:rPr>
          <w:sz w:val="26"/>
          <w:szCs w:val="26"/>
        </w:rPr>
        <w:t xml:space="preserve">Public Meeting </w:t>
      </w:r>
      <w:r w:rsidR="00C51B51" w:rsidRPr="00C72D8B">
        <w:rPr>
          <w:sz w:val="26"/>
          <w:szCs w:val="26"/>
        </w:rPr>
        <w:t xml:space="preserve">held </w:t>
      </w:r>
      <w:r w:rsidR="00C20F60" w:rsidRPr="00C72D8B">
        <w:rPr>
          <w:sz w:val="26"/>
          <w:szCs w:val="26"/>
        </w:rPr>
        <w:t>April 15,</w:t>
      </w:r>
      <w:r w:rsidR="00405EFA" w:rsidRPr="00C72D8B">
        <w:rPr>
          <w:sz w:val="26"/>
          <w:szCs w:val="26"/>
        </w:rPr>
        <w:t xml:space="preserve"> 2021</w:t>
      </w:r>
    </w:p>
    <w:p w14:paraId="7472253F" w14:textId="6DEF0505" w:rsidR="00085685" w:rsidRDefault="00085685" w:rsidP="00B2152C">
      <w:pPr>
        <w:pStyle w:val="NoSpacing"/>
        <w:contextualSpacing/>
        <w:jc w:val="right"/>
        <w:rPr>
          <w:sz w:val="26"/>
          <w:szCs w:val="26"/>
        </w:rPr>
      </w:pPr>
    </w:p>
    <w:p w14:paraId="05A08915" w14:textId="77777777" w:rsidR="002F2C87" w:rsidRPr="00C72D8B" w:rsidRDefault="002F2C87" w:rsidP="00B2152C">
      <w:pPr>
        <w:pStyle w:val="NoSpacing"/>
        <w:contextualSpacing/>
        <w:jc w:val="right"/>
        <w:rPr>
          <w:sz w:val="26"/>
          <w:szCs w:val="26"/>
        </w:rPr>
      </w:pPr>
    </w:p>
    <w:p w14:paraId="5A0BCEE8" w14:textId="77777777" w:rsidR="00085685" w:rsidRPr="00C72D8B" w:rsidRDefault="00085685" w:rsidP="00B2152C">
      <w:pPr>
        <w:spacing w:line="240" w:lineRule="auto"/>
        <w:ind w:firstLine="0"/>
        <w:contextualSpacing/>
        <w:rPr>
          <w:sz w:val="26"/>
          <w:szCs w:val="26"/>
        </w:rPr>
      </w:pPr>
      <w:r w:rsidRPr="00C72D8B">
        <w:rPr>
          <w:sz w:val="26"/>
          <w:szCs w:val="26"/>
        </w:rPr>
        <w:t>Commissioners Present:</w:t>
      </w:r>
    </w:p>
    <w:p w14:paraId="120D7F36" w14:textId="77777777" w:rsidR="00085685" w:rsidRPr="00C72D8B" w:rsidRDefault="00085685" w:rsidP="00B2152C">
      <w:pPr>
        <w:spacing w:line="240" w:lineRule="auto"/>
        <w:contextualSpacing/>
        <w:rPr>
          <w:sz w:val="26"/>
          <w:szCs w:val="26"/>
        </w:rPr>
      </w:pPr>
    </w:p>
    <w:p w14:paraId="2AD607CC" w14:textId="5A63A870" w:rsidR="00085685" w:rsidRPr="00C72D8B" w:rsidRDefault="00085685" w:rsidP="00B2152C">
      <w:pPr>
        <w:tabs>
          <w:tab w:val="left" w:pos="705"/>
        </w:tabs>
        <w:spacing w:line="240" w:lineRule="auto"/>
        <w:ind w:left="720" w:right="-555" w:firstLine="0"/>
        <w:contextualSpacing/>
        <w:rPr>
          <w:sz w:val="26"/>
          <w:szCs w:val="26"/>
        </w:rPr>
      </w:pPr>
      <w:r w:rsidRPr="00C72D8B">
        <w:rPr>
          <w:sz w:val="26"/>
          <w:szCs w:val="26"/>
        </w:rPr>
        <w:t>Gladys Brown Dutrieuille, Chairman</w:t>
      </w:r>
    </w:p>
    <w:p w14:paraId="6FF5D407" w14:textId="6FD8249E" w:rsidR="00085685" w:rsidRPr="00C72D8B" w:rsidRDefault="00085685" w:rsidP="00B2152C">
      <w:pPr>
        <w:tabs>
          <w:tab w:val="left" w:pos="705"/>
        </w:tabs>
        <w:spacing w:line="240" w:lineRule="auto"/>
        <w:ind w:left="720" w:firstLine="0"/>
        <w:contextualSpacing/>
        <w:rPr>
          <w:sz w:val="26"/>
          <w:szCs w:val="26"/>
        </w:rPr>
      </w:pPr>
      <w:r w:rsidRPr="00C72D8B">
        <w:rPr>
          <w:sz w:val="26"/>
          <w:szCs w:val="26"/>
        </w:rPr>
        <w:t>David W. Sweet, Vice Chairman</w:t>
      </w:r>
    </w:p>
    <w:p w14:paraId="44D41637" w14:textId="77777777" w:rsidR="00085685" w:rsidRPr="00C72D8B" w:rsidRDefault="00085685" w:rsidP="00B2152C">
      <w:pPr>
        <w:tabs>
          <w:tab w:val="left" w:pos="705"/>
        </w:tabs>
        <w:spacing w:line="240" w:lineRule="auto"/>
        <w:ind w:left="720" w:firstLine="0"/>
        <w:contextualSpacing/>
        <w:rPr>
          <w:sz w:val="26"/>
          <w:szCs w:val="26"/>
        </w:rPr>
      </w:pPr>
      <w:r w:rsidRPr="00C72D8B">
        <w:rPr>
          <w:sz w:val="26"/>
          <w:szCs w:val="26"/>
        </w:rPr>
        <w:t>John F. Coleman, Jr.</w:t>
      </w:r>
    </w:p>
    <w:p w14:paraId="1765179F" w14:textId="77777777" w:rsidR="00085685" w:rsidRPr="00C72D8B" w:rsidRDefault="00085685" w:rsidP="00B2152C">
      <w:pPr>
        <w:tabs>
          <w:tab w:val="left" w:pos="705"/>
        </w:tabs>
        <w:spacing w:line="240" w:lineRule="auto"/>
        <w:ind w:left="720" w:firstLine="0"/>
        <w:contextualSpacing/>
        <w:rPr>
          <w:sz w:val="26"/>
          <w:szCs w:val="26"/>
        </w:rPr>
      </w:pPr>
      <w:r w:rsidRPr="00C72D8B">
        <w:rPr>
          <w:sz w:val="26"/>
          <w:szCs w:val="26"/>
        </w:rPr>
        <w:t>Ralph V. Yanora</w:t>
      </w:r>
    </w:p>
    <w:p w14:paraId="1C47E7DC" w14:textId="77777777" w:rsidR="00085685" w:rsidRPr="00C72D8B" w:rsidRDefault="00085685" w:rsidP="00B2152C">
      <w:pPr>
        <w:spacing w:line="240" w:lineRule="auto"/>
        <w:contextualSpacing/>
        <w:rPr>
          <w:sz w:val="26"/>
          <w:szCs w:val="26"/>
        </w:rPr>
      </w:pPr>
    </w:p>
    <w:p w14:paraId="0D96A623" w14:textId="77777777" w:rsidR="00085685" w:rsidRPr="00C72D8B" w:rsidRDefault="00085685" w:rsidP="00B2152C">
      <w:pPr>
        <w:spacing w:line="240" w:lineRule="auto"/>
        <w:contextualSpacing/>
        <w:rPr>
          <w:sz w:val="26"/>
          <w:szCs w:val="26"/>
        </w:rPr>
      </w:pPr>
    </w:p>
    <w:p w14:paraId="57F6CDFF" w14:textId="77777777" w:rsidR="00085685" w:rsidRPr="00C72D8B" w:rsidRDefault="00085685" w:rsidP="00F174DC">
      <w:pPr>
        <w:tabs>
          <w:tab w:val="left" w:pos="-720"/>
        </w:tabs>
        <w:suppressAutoHyphens/>
        <w:spacing w:line="240" w:lineRule="auto"/>
        <w:ind w:firstLine="0"/>
        <w:contextualSpacing/>
        <w:jc w:val="both"/>
        <w:rPr>
          <w:sz w:val="26"/>
          <w:szCs w:val="26"/>
        </w:rPr>
      </w:pPr>
      <w:r w:rsidRPr="00C72D8B">
        <w:rPr>
          <w:sz w:val="26"/>
          <w:szCs w:val="26"/>
        </w:rPr>
        <w:t>Pennsylvania Public Utility Commission</w:t>
      </w:r>
      <w:r w:rsidRPr="00C72D8B">
        <w:rPr>
          <w:sz w:val="26"/>
          <w:szCs w:val="26"/>
        </w:rPr>
        <w:tab/>
      </w:r>
      <w:r w:rsidRPr="00C72D8B">
        <w:rPr>
          <w:sz w:val="26"/>
          <w:szCs w:val="26"/>
        </w:rPr>
        <w:tab/>
      </w:r>
      <w:r w:rsidRPr="00C72D8B">
        <w:rPr>
          <w:sz w:val="26"/>
          <w:szCs w:val="26"/>
        </w:rPr>
        <w:tab/>
      </w:r>
      <w:r w:rsidRPr="00C72D8B">
        <w:rPr>
          <w:sz w:val="26"/>
          <w:szCs w:val="26"/>
        </w:rPr>
        <w:tab/>
      </w:r>
      <w:r w:rsidRPr="00C72D8B">
        <w:rPr>
          <w:sz w:val="26"/>
          <w:szCs w:val="26"/>
        </w:rPr>
        <w:tab/>
        <w:t xml:space="preserve">   R-2020-3018835</w:t>
      </w:r>
    </w:p>
    <w:p w14:paraId="3249A62D" w14:textId="77777777" w:rsidR="00085685" w:rsidRPr="00C72D8B" w:rsidRDefault="00085685" w:rsidP="00F174DC">
      <w:pPr>
        <w:spacing w:line="240" w:lineRule="auto"/>
        <w:ind w:firstLine="0"/>
        <w:contextualSpacing/>
        <w:rPr>
          <w:sz w:val="26"/>
          <w:szCs w:val="26"/>
        </w:rPr>
      </w:pPr>
      <w:r w:rsidRPr="00C72D8B">
        <w:rPr>
          <w:sz w:val="26"/>
          <w:szCs w:val="26"/>
        </w:rPr>
        <w:t xml:space="preserve">Office of Small Business Advocate </w:t>
      </w:r>
      <w:r w:rsidRPr="00C72D8B">
        <w:rPr>
          <w:sz w:val="26"/>
          <w:szCs w:val="26"/>
        </w:rPr>
        <w:tab/>
      </w:r>
      <w:r w:rsidRPr="00C72D8B">
        <w:rPr>
          <w:sz w:val="26"/>
          <w:szCs w:val="26"/>
        </w:rPr>
        <w:tab/>
      </w:r>
      <w:r w:rsidRPr="00C72D8B">
        <w:rPr>
          <w:sz w:val="26"/>
          <w:szCs w:val="26"/>
        </w:rPr>
        <w:tab/>
      </w:r>
      <w:r w:rsidRPr="00C72D8B">
        <w:rPr>
          <w:sz w:val="26"/>
          <w:szCs w:val="26"/>
        </w:rPr>
        <w:tab/>
      </w:r>
      <w:r w:rsidRPr="00C72D8B">
        <w:rPr>
          <w:sz w:val="26"/>
          <w:szCs w:val="26"/>
        </w:rPr>
        <w:tab/>
        <w:t xml:space="preserve">   C-2020-3019702</w:t>
      </w:r>
    </w:p>
    <w:p w14:paraId="4E78CD76" w14:textId="77777777" w:rsidR="00085685" w:rsidRPr="00C72D8B" w:rsidRDefault="00085685" w:rsidP="00F174DC">
      <w:pPr>
        <w:tabs>
          <w:tab w:val="left" w:pos="-720"/>
        </w:tabs>
        <w:suppressAutoHyphens/>
        <w:spacing w:line="240" w:lineRule="auto"/>
        <w:ind w:firstLine="0"/>
        <w:contextualSpacing/>
        <w:jc w:val="both"/>
        <w:rPr>
          <w:sz w:val="26"/>
          <w:szCs w:val="26"/>
        </w:rPr>
      </w:pPr>
      <w:r w:rsidRPr="00C72D8B">
        <w:rPr>
          <w:sz w:val="26"/>
          <w:szCs w:val="26"/>
        </w:rPr>
        <w:t>Office of Consumer Advocate</w:t>
      </w:r>
      <w:r w:rsidRPr="00C72D8B">
        <w:rPr>
          <w:sz w:val="26"/>
          <w:szCs w:val="26"/>
        </w:rPr>
        <w:tab/>
      </w:r>
      <w:r w:rsidRPr="00C72D8B">
        <w:rPr>
          <w:sz w:val="26"/>
          <w:szCs w:val="26"/>
        </w:rPr>
        <w:tab/>
      </w:r>
      <w:r w:rsidRPr="00C72D8B">
        <w:rPr>
          <w:sz w:val="26"/>
          <w:szCs w:val="26"/>
        </w:rPr>
        <w:tab/>
      </w:r>
      <w:r w:rsidRPr="00C72D8B">
        <w:rPr>
          <w:sz w:val="26"/>
          <w:szCs w:val="26"/>
        </w:rPr>
        <w:tab/>
      </w:r>
      <w:r w:rsidRPr="00C72D8B">
        <w:rPr>
          <w:sz w:val="26"/>
          <w:szCs w:val="26"/>
        </w:rPr>
        <w:tab/>
      </w:r>
      <w:r w:rsidRPr="00C72D8B">
        <w:rPr>
          <w:sz w:val="26"/>
          <w:szCs w:val="26"/>
        </w:rPr>
        <w:tab/>
        <w:t xml:space="preserve">   C-2020-3019714</w:t>
      </w:r>
    </w:p>
    <w:p w14:paraId="0B6EFBCA" w14:textId="77777777" w:rsidR="00085685" w:rsidRPr="00C72D8B" w:rsidRDefault="00085685" w:rsidP="00F174DC">
      <w:pPr>
        <w:tabs>
          <w:tab w:val="left" w:pos="-720"/>
        </w:tabs>
        <w:suppressAutoHyphens/>
        <w:spacing w:line="240" w:lineRule="auto"/>
        <w:ind w:firstLine="0"/>
        <w:contextualSpacing/>
        <w:jc w:val="both"/>
        <w:rPr>
          <w:sz w:val="26"/>
          <w:szCs w:val="26"/>
        </w:rPr>
      </w:pPr>
      <w:r w:rsidRPr="00C72D8B">
        <w:rPr>
          <w:sz w:val="26"/>
          <w:szCs w:val="26"/>
        </w:rPr>
        <w:t>Columbia Industrial Intervenors</w:t>
      </w:r>
      <w:r w:rsidRPr="00C72D8B">
        <w:rPr>
          <w:sz w:val="26"/>
          <w:szCs w:val="26"/>
        </w:rPr>
        <w:tab/>
      </w:r>
      <w:r w:rsidRPr="00C72D8B">
        <w:rPr>
          <w:sz w:val="26"/>
          <w:szCs w:val="26"/>
        </w:rPr>
        <w:tab/>
      </w:r>
      <w:r w:rsidRPr="00C72D8B">
        <w:rPr>
          <w:sz w:val="26"/>
          <w:szCs w:val="26"/>
        </w:rPr>
        <w:tab/>
      </w:r>
      <w:r w:rsidRPr="00C72D8B">
        <w:rPr>
          <w:sz w:val="26"/>
          <w:szCs w:val="26"/>
        </w:rPr>
        <w:tab/>
      </w:r>
      <w:r w:rsidRPr="00C72D8B">
        <w:rPr>
          <w:sz w:val="26"/>
          <w:szCs w:val="26"/>
        </w:rPr>
        <w:tab/>
      </w:r>
      <w:r w:rsidRPr="00C72D8B">
        <w:rPr>
          <w:sz w:val="26"/>
          <w:szCs w:val="26"/>
        </w:rPr>
        <w:tab/>
        <w:t xml:space="preserve">   C-2020-3020105</w:t>
      </w:r>
    </w:p>
    <w:p w14:paraId="3BBE38A5" w14:textId="77777777" w:rsidR="00085685" w:rsidRPr="00C72D8B" w:rsidRDefault="00085685" w:rsidP="00F174DC">
      <w:pPr>
        <w:tabs>
          <w:tab w:val="left" w:pos="-720"/>
        </w:tabs>
        <w:suppressAutoHyphens/>
        <w:spacing w:line="240" w:lineRule="auto"/>
        <w:ind w:firstLine="0"/>
        <w:contextualSpacing/>
        <w:jc w:val="both"/>
        <w:rPr>
          <w:sz w:val="26"/>
          <w:szCs w:val="26"/>
        </w:rPr>
      </w:pPr>
      <w:r w:rsidRPr="00C72D8B">
        <w:rPr>
          <w:sz w:val="26"/>
          <w:szCs w:val="26"/>
        </w:rPr>
        <w:t>Dr. Richard Collins</w:t>
      </w:r>
      <w:r w:rsidRPr="00C72D8B">
        <w:rPr>
          <w:sz w:val="26"/>
          <w:szCs w:val="26"/>
        </w:rPr>
        <w:tab/>
      </w:r>
      <w:r w:rsidRPr="00C72D8B">
        <w:rPr>
          <w:sz w:val="26"/>
          <w:szCs w:val="26"/>
        </w:rPr>
        <w:tab/>
      </w:r>
      <w:r w:rsidRPr="00C72D8B">
        <w:rPr>
          <w:sz w:val="26"/>
          <w:szCs w:val="26"/>
        </w:rPr>
        <w:tab/>
      </w:r>
      <w:r w:rsidRPr="00C72D8B">
        <w:rPr>
          <w:sz w:val="26"/>
          <w:szCs w:val="26"/>
        </w:rPr>
        <w:tab/>
      </w:r>
      <w:r w:rsidRPr="00C72D8B">
        <w:rPr>
          <w:sz w:val="26"/>
          <w:szCs w:val="26"/>
        </w:rPr>
        <w:tab/>
      </w:r>
      <w:r w:rsidRPr="00C72D8B">
        <w:rPr>
          <w:sz w:val="26"/>
          <w:szCs w:val="26"/>
        </w:rPr>
        <w:tab/>
      </w:r>
      <w:r w:rsidRPr="00C72D8B">
        <w:rPr>
          <w:sz w:val="26"/>
          <w:szCs w:val="26"/>
        </w:rPr>
        <w:tab/>
      </w:r>
      <w:r w:rsidRPr="00C72D8B">
        <w:rPr>
          <w:sz w:val="26"/>
          <w:szCs w:val="26"/>
        </w:rPr>
        <w:tab/>
        <w:t xml:space="preserve">   C-2020-3020207</w:t>
      </w:r>
    </w:p>
    <w:p w14:paraId="0B8FD7A1" w14:textId="77777777" w:rsidR="00085685" w:rsidRPr="00C72D8B" w:rsidRDefault="00085685" w:rsidP="00F174DC">
      <w:pPr>
        <w:tabs>
          <w:tab w:val="left" w:pos="-720"/>
        </w:tabs>
        <w:suppressAutoHyphens/>
        <w:spacing w:line="240" w:lineRule="auto"/>
        <w:ind w:firstLine="0"/>
        <w:contextualSpacing/>
        <w:jc w:val="both"/>
        <w:rPr>
          <w:sz w:val="26"/>
          <w:szCs w:val="26"/>
        </w:rPr>
      </w:pPr>
      <w:r w:rsidRPr="00C72D8B">
        <w:rPr>
          <w:sz w:val="26"/>
          <w:szCs w:val="26"/>
        </w:rPr>
        <w:t>Ionut R. Ilie</w:t>
      </w:r>
      <w:r w:rsidRPr="00C72D8B">
        <w:rPr>
          <w:sz w:val="26"/>
          <w:szCs w:val="26"/>
        </w:rPr>
        <w:tab/>
      </w:r>
      <w:r w:rsidRPr="00C72D8B">
        <w:rPr>
          <w:sz w:val="26"/>
          <w:szCs w:val="26"/>
        </w:rPr>
        <w:tab/>
      </w:r>
      <w:r w:rsidRPr="00C72D8B">
        <w:rPr>
          <w:sz w:val="26"/>
          <w:szCs w:val="26"/>
        </w:rPr>
        <w:tab/>
      </w:r>
      <w:r w:rsidRPr="00C72D8B">
        <w:rPr>
          <w:sz w:val="26"/>
          <w:szCs w:val="26"/>
        </w:rPr>
        <w:tab/>
      </w:r>
      <w:r w:rsidRPr="00C72D8B">
        <w:rPr>
          <w:sz w:val="26"/>
          <w:szCs w:val="26"/>
        </w:rPr>
        <w:tab/>
      </w:r>
      <w:r w:rsidRPr="00C72D8B">
        <w:rPr>
          <w:sz w:val="26"/>
          <w:szCs w:val="26"/>
        </w:rPr>
        <w:tab/>
      </w:r>
      <w:r w:rsidRPr="00C72D8B">
        <w:rPr>
          <w:sz w:val="26"/>
          <w:szCs w:val="26"/>
        </w:rPr>
        <w:tab/>
      </w:r>
      <w:r w:rsidRPr="00C72D8B">
        <w:rPr>
          <w:sz w:val="26"/>
          <w:szCs w:val="26"/>
        </w:rPr>
        <w:tab/>
      </w:r>
      <w:r w:rsidRPr="00C72D8B">
        <w:rPr>
          <w:sz w:val="26"/>
          <w:szCs w:val="26"/>
        </w:rPr>
        <w:tab/>
        <w:t xml:space="preserve">   C-2020-3020498</w:t>
      </w:r>
    </w:p>
    <w:p w14:paraId="284FEC1E" w14:textId="77777777" w:rsidR="00085685" w:rsidRPr="00C72D8B" w:rsidRDefault="00085685" w:rsidP="00F174DC">
      <w:pPr>
        <w:tabs>
          <w:tab w:val="left" w:pos="-720"/>
        </w:tabs>
        <w:suppressAutoHyphens/>
        <w:spacing w:line="240" w:lineRule="auto"/>
        <w:ind w:firstLine="0"/>
        <w:contextualSpacing/>
        <w:jc w:val="both"/>
        <w:rPr>
          <w:sz w:val="26"/>
          <w:szCs w:val="26"/>
        </w:rPr>
      </w:pPr>
      <w:r w:rsidRPr="00C72D8B">
        <w:rPr>
          <w:sz w:val="26"/>
          <w:szCs w:val="26"/>
        </w:rPr>
        <w:t>The Pennsylvania State University</w:t>
      </w:r>
      <w:r w:rsidRPr="00C72D8B">
        <w:rPr>
          <w:sz w:val="26"/>
          <w:szCs w:val="26"/>
        </w:rPr>
        <w:tab/>
      </w:r>
      <w:r w:rsidRPr="00C72D8B">
        <w:rPr>
          <w:sz w:val="26"/>
          <w:szCs w:val="26"/>
        </w:rPr>
        <w:tab/>
      </w:r>
      <w:r w:rsidRPr="00C72D8B">
        <w:rPr>
          <w:sz w:val="26"/>
          <w:szCs w:val="26"/>
        </w:rPr>
        <w:tab/>
      </w:r>
      <w:r w:rsidRPr="00C72D8B">
        <w:rPr>
          <w:sz w:val="26"/>
          <w:szCs w:val="26"/>
        </w:rPr>
        <w:tab/>
      </w:r>
      <w:r w:rsidRPr="00C72D8B">
        <w:rPr>
          <w:sz w:val="26"/>
          <w:szCs w:val="26"/>
        </w:rPr>
        <w:tab/>
        <w:t xml:space="preserve">   C-2020-3020666</w:t>
      </w:r>
    </w:p>
    <w:p w14:paraId="1D221052" w14:textId="77777777" w:rsidR="00085685" w:rsidRPr="00C72D8B" w:rsidRDefault="00085685" w:rsidP="00F174DC">
      <w:pPr>
        <w:tabs>
          <w:tab w:val="left" w:pos="-720"/>
        </w:tabs>
        <w:suppressAutoHyphens/>
        <w:spacing w:line="240" w:lineRule="auto"/>
        <w:ind w:firstLine="0"/>
        <w:contextualSpacing/>
        <w:jc w:val="both"/>
        <w:rPr>
          <w:sz w:val="26"/>
          <w:szCs w:val="26"/>
        </w:rPr>
      </w:pPr>
    </w:p>
    <w:p w14:paraId="3ED8CFF6" w14:textId="428DAEC7" w:rsidR="00085685" w:rsidRPr="00C72D8B" w:rsidRDefault="00085685" w:rsidP="00F174DC">
      <w:pPr>
        <w:tabs>
          <w:tab w:val="left" w:pos="-720"/>
        </w:tabs>
        <w:suppressAutoHyphens/>
        <w:spacing w:line="240" w:lineRule="auto"/>
        <w:ind w:firstLine="0"/>
        <w:contextualSpacing/>
        <w:jc w:val="both"/>
        <w:rPr>
          <w:sz w:val="26"/>
          <w:szCs w:val="26"/>
        </w:rPr>
      </w:pPr>
      <w:r w:rsidRPr="00C72D8B">
        <w:rPr>
          <w:sz w:val="26"/>
          <w:szCs w:val="26"/>
        </w:rPr>
        <w:tab/>
        <w:t>v.</w:t>
      </w:r>
    </w:p>
    <w:p w14:paraId="1EAEF6B9" w14:textId="77777777" w:rsidR="00085685" w:rsidRPr="00C72D8B" w:rsidRDefault="00085685" w:rsidP="00F174DC">
      <w:pPr>
        <w:tabs>
          <w:tab w:val="left" w:pos="-720"/>
        </w:tabs>
        <w:suppressAutoHyphens/>
        <w:spacing w:line="240" w:lineRule="auto"/>
        <w:ind w:firstLine="0"/>
        <w:contextualSpacing/>
        <w:jc w:val="both"/>
        <w:rPr>
          <w:sz w:val="26"/>
          <w:szCs w:val="26"/>
        </w:rPr>
      </w:pPr>
    </w:p>
    <w:p w14:paraId="393BCF54" w14:textId="77777777" w:rsidR="00085685" w:rsidRPr="00C72D8B" w:rsidRDefault="00085685" w:rsidP="00F174DC">
      <w:pPr>
        <w:tabs>
          <w:tab w:val="left" w:pos="-720"/>
        </w:tabs>
        <w:suppressAutoHyphens/>
        <w:spacing w:line="240" w:lineRule="auto"/>
        <w:ind w:firstLine="0"/>
        <w:contextualSpacing/>
        <w:jc w:val="both"/>
        <w:rPr>
          <w:sz w:val="26"/>
          <w:szCs w:val="26"/>
        </w:rPr>
      </w:pPr>
      <w:r w:rsidRPr="00C72D8B">
        <w:rPr>
          <w:sz w:val="26"/>
          <w:szCs w:val="26"/>
        </w:rPr>
        <w:t>Columbia Gas of Pennsylvania, Inc.</w:t>
      </w:r>
    </w:p>
    <w:p w14:paraId="468DA53A" w14:textId="77777777" w:rsidR="00085685" w:rsidRPr="00C72D8B" w:rsidRDefault="00085685" w:rsidP="00B2152C">
      <w:pPr>
        <w:pStyle w:val="ListParagraph"/>
        <w:spacing w:line="240" w:lineRule="auto"/>
        <w:ind w:left="0"/>
        <w:contextualSpacing/>
        <w:rPr>
          <w:b/>
          <w:sz w:val="26"/>
          <w:szCs w:val="26"/>
        </w:rPr>
      </w:pPr>
    </w:p>
    <w:p w14:paraId="4308887F" w14:textId="77777777" w:rsidR="00085685" w:rsidRPr="00C72D8B" w:rsidRDefault="00085685" w:rsidP="00B06548">
      <w:pPr>
        <w:pStyle w:val="ListParagraph"/>
        <w:spacing w:line="240" w:lineRule="auto"/>
        <w:ind w:left="0"/>
        <w:contextualSpacing/>
        <w:rPr>
          <w:b/>
          <w:sz w:val="26"/>
          <w:szCs w:val="26"/>
        </w:rPr>
      </w:pPr>
    </w:p>
    <w:p w14:paraId="39695597" w14:textId="77777777" w:rsidR="00085685" w:rsidRPr="00C72D8B" w:rsidRDefault="00085685" w:rsidP="00B06548">
      <w:pPr>
        <w:pStyle w:val="ListParagraph"/>
        <w:spacing w:line="240" w:lineRule="auto"/>
        <w:ind w:left="0"/>
        <w:contextualSpacing/>
        <w:rPr>
          <w:b/>
          <w:sz w:val="26"/>
          <w:szCs w:val="26"/>
        </w:rPr>
      </w:pPr>
    </w:p>
    <w:p w14:paraId="7D455136" w14:textId="77777777" w:rsidR="00085685" w:rsidRPr="00C72D8B" w:rsidRDefault="00085685" w:rsidP="00B06548">
      <w:pPr>
        <w:pStyle w:val="ListParagraph"/>
        <w:spacing w:line="240" w:lineRule="auto"/>
        <w:ind w:left="0" w:firstLine="0"/>
        <w:contextualSpacing/>
        <w:jc w:val="center"/>
        <w:rPr>
          <w:b/>
          <w:sz w:val="26"/>
          <w:szCs w:val="26"/>
        </w:rPr>
      </w:pPr>
      <w:r w:rsidRPr="00C72D8B">
        <w:rPr>
          <w:b/>
          <w:sz w:val="26"/>
          <w:szCs w:val="26"/>
        </w:rPr>
        <w:t>OPINION AND ORDER</w:t>
      </w:r>
    </w:p>
    <w:p w14:paraId="67498CE9" w14:textId="5F3052D2" w:rsidR="00085685" w:rsidRPr="00C72D8B" w:rsidRDefault="00085685" w:rsidP="00B06548">
      <w:pPr>
        <w:pStyle w:val="ListParagraph"/>
        <w:spacing w:line="240" w:lineRule="auto"/>
        <w:ind w:left="0"/>
        <w:contextualSpacing/>
        <w:jc w:val="center"/>
        <w:rPr>
          <w:sz w:val="26"/>
          <w:szCs w:val="26"/>
        </w:rPr>
      </w:pPr>
    </w:p>
    <w:p w14:paraId="5BE63B99" w14:textId="77777777" w:rsidR="00B06548" w:rsidRPr="00C72D8B" w:rsidRDefault="00B06548" w:rsidP="00B06548">
      <w:pPr>
        <w:pStyle w:val="ListParagraph"/>
        <w:spacing w:line="240" w:lineRule="auto"/>
        <w:ind w:left="0"/>
        <w:contextualSpacing/>
        <w:jc w:val="center"/>
        <w:rPr>
          <w:sz w:val="26"/>
          <w:szCs w:val="26"/>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tblGrid>
      <w:tr w:rsidR="00AC4D78" w:rsidRPr="00C72D8B" w14:paraId="4A589FD9" w14:textId="77777777" w:rsidTr="00AD4AE9">
        <w:tc>
          <w:tcPr>
            <w:tcW w:w="5058" w:type="dxa"/>
          </w:tcPr>
          <w:p w14:paraId="78C5764F" w14:textId="77777777" w:rsidR="00AC4D78" w:rsidRPr="00C72D8B" w:rsidRDefault="00AC4D78" w:rsidP="00B06548">
            <w:pPr>
              <w:spacing w:line="240" w:lineRule="auto"/>
              <w:ind w:firstLine="0"/>
              <w:rPr>
                <w:rFonts w:ascii="Times New Roman" w:hAnsi="Times New Roman" w:cs="Times New Roman"/>
                <w:sz w:val="26"/>
                <w:szCs w:val="26"/>
              </w:rPr>
            </w:pPr>
          </w:p>
        </w:tc>
      </w:tr>
    </w:tbl>
    <w:p w14:paraId="44F91815" w14:textId="77777777" w:rsidR="009078DF" w:rsidRPr="00C72D8B" w:rsidRDefault="009078DF" w:rsidP="00B06548">
      <w:pPr>
        <w:tabs>
          <w:tab w:val="left" w:pos="-720"/>
        </w:tabs>
        <w:suppressAutoHyphens/>
        <w:spacing w:line="240" w:lineRule="auto"/>
        <w:ind w:firstLine="0"/>
        <w:rPr>
          <w:sz w:val="26"/>
          <w:szCs w:val="26"/>
        </w:rPr>
      </w:pPr>
      <w:r w:rsidRPr="00C72D8B">
        <w:rPr>
          <w:b/>
          <w:sz w:val="26"/>
          <w:szCs w:val="26"/>
        </w:rPr>
        <w:t>BY THE COMMISSION:</w:t>
      </w:r>
    </w:p>
    <w:p w14:paraId="231DA5B6" w14:textId="1B073C68" w:rsidR="009078DF" w:rsidRPr="00C72D8B" w:rsidRDefault="009078DF" w:rsidP="00B06548">
      <w:pPr>
        <w:spacing w:line="240" w:lineRule="auto"/>
        <w:ind w:firstLine="0"/>
        <w:rPr>
          <w:sz w:val="26"/>
          <w:szCs w:val="26"/>
        </w:rPr>
      </w:pPr>
    </w:p>
    <w:p w14:paraId="5AF2A7DF" w14:textId="77777777" w:rsidR="00DE23D8" w:rsidRPr="00C72D8B" w:rsidRDefault="00DE23D8" w:rsidP="006736DA">
      <w:pPr>
        <w:tabs>
          <w:tab w:val="left" w:pos="-720"/>
        </w:tabs>
        <w:suppressAutoHyphens/>
        <w:rPr>
          <w:sz w:val="26"/>
          <w:szCs w:val="26"/>
        </w:rPr>
      </w:pPr>
    </w:p>
    <w:p w14:paraId="2C182A80" w14:textId="161AF39D" w:rsidR="006736DA" w:rsidRPr="00C72D8B" w:rsidRDefault="006736DA" w:rsidP="00321E67">
      <w:pPr>
        <w:tabs>
          <w:tab w:val="left" w:pos="-720"/>
        </w:tabs>
        <w:suppressAutoHyphens/>
        <w:rPr>
          <w:sz w:val="26"/>
          <w:szCs w:val="26"/>
        </w:rPr>
      </w:pPr>
      <w:r w:rsidRPr="00C72D8B">
        <w:rPr>
          <w:sz w:val="26"/>
          <w:szCs w:val="26"/>
        </w:rPr>
        <w:t xml:space="preserve">Before the Pennsylvania Public Utility Commission (Commission) for consideration and disposition is the Petition for Reconsideration </w:t>
      </w:r>
      <w:r w:rsidR="002F1F7A" w:rsidRPr="00C72D8B">
        <w:rPr>
          <w:sz w:val="26"/>
          <w:szCs w:val="26"/>
        </w:rPr>
        <w:t xml:space="preserve">(Petition) </w:t>
      </w:r>
      <w:r w:rsidRPr="00C72D8B">
        <w:rPr>
          <w:sz w:val="26"/>
          <w:szCs w:val="26"/>
        </w:rPr>
        <w:t xml:space="preserve">filed by </w:t>
      </w:r>
      <w:r w:rsidR="00DE23D8" w:rsidRPr="00C72D8B">
        <w:rPr>
          <w:sz w:val="26"/>
          <w:szCs w:val="26"/>
        </w:rPr>
        <w:t xml:space="preserve">the Office of Consumer Advocate </w:t>
      </w:r>
      <w:r w:rsidR="00944958" w:rsidRPr="00C72D8B">
        <w:rPr>
          <w:sz w:val="26"/>
          <w:szCs w:val="26"/>
        </w:rPr>
        <w:t xml:space="preserve">(OCA) </w:t>
      </w:r>
      <w:r w:rsidR="00DE23D8" w:rsidRPr="00C72D8B">
        <w:rPr>
          <w:sz w:val="26"/>
          <w:szCs w:val="26"/>
        </w:rPr>
        <w:t>on March 8, 2021</w:t>
      </w:r>
      <w:r w:rsidR="00176738" w:rsidRPr="00C72D8B">
        <w:rPr>
          <w:sz w:val="26"/>
          <w:szCs w:val="26"/>
        </w:rPr>
        <w:t>,</w:t>
      </w:r>
      <w:r w:rsidRPr="00C72D8B">
        <w:rPr>
          <w:sz w:val="26"/>
          <w:szCs w:val="26"/>
        </w:rPr>
        <w:t xml:space="preserve"> seeking reconsideration of the Order entered on </w:t>
      </w:r>
      <w:r w:rsidR="002611EC" w:rsidRPr="00C72D8B">
        <w:rPr>
          <w:sz w:val="26"/>
          <w:szCs w:val="26"/>
        </w:rPr>
        <w:t xml:space="preserve">February </w:t>
      </w:r>
      <w:r w:rsidR="00846F1A" w:rsidRPr="00C72D8B">
        <w:rPr>
          <w:sz w:val="26"/>
          <w:szCs w:val="26"/>
        </w:rPr>
        <w:t>19, 2021</w:t>
      </w:r>
      <w:r w:rsidR="00105B41" w:rsidRPr="00C72D8B">
        <w:rPr>
          <w:sz w:val="26"/>
          <w:szCs w:val="26"/>
        </w:rPr>
        <w:t xml:space="preserve"> (</w:t>
      </w:r>
      <w:r w:rsidR="00105B41" w:rsidRPr="00C72D8B">
        <w:rPr>
          <w:i/>
          <w:iCs/>
          <w:sz w:val="26"/>
          <w:szCs w:val="26"/>
        </w:rPr>
        <w:t>February 2021 Order</w:t>
      </w:r>
      <w:r w:rsidR="00105B41" w:rsidRPr="00C72D8B">
        <w:rPr>
          <w:sz w:val="26"/>
          <w:szCs w:val="26"/>
        </w:rPr>
        <w:t>)</w:t>
      </w:r>
      <w:r w:rsidR="00846F1A" w:rsidRPr="00C72D8B">
        <w:rPr>
          <w:sz w:val="26"/>
          <w:szCs w:val="26"/>
        </w:rPr>
        <w:t xml:space="preserve">, </w:t>
      </w:r>
      <w:r w:rsidRPr="00C72D8B">
        <w:rPr>
          <w:sz w:val="26"/>
          <w:szCs w:val="26"/>
        </w:rPr>
        <w:t>relative to the above-</w:t>
      </w:r>
      <w:r w:rsidRPr="00C72D8B">
        <w:rPr>
          <w:sz w:val="26"/>
          <w:szCs w:val="26"/>
        </w:rPr>
        <w:lastRenderedPageBreak/>
        <w:t>captioned proceeding.</w:t>
      </w:r>
      <w:r w:rsidR="00105B41" w:rsidRPr="00C72D8B">
        <w:rPr>
          <w:sz w:val="26"/>
          <w:szCs w:val="26"/>
        </w:rPr>
        <w:t xml:space="preserve">  Columbia Gas of Pennsylvania, Inc. (Columbia</w:t>
      </w:r>
      <w:r w:rsidR="00DC5B02" w:rsidRPr="00C72D8B">
        <w:rPr>
          <w:sz w:val="26"/>
          <w:szCs w:val="26"/>
        </w:rPr>
        <w:t xml:space="preserve"> or Company</w:t>
      </w:r>
      <w:r w:rsidR="00105B41" w:rsidRPr="00C72D8B">
        <w:rPr>
          <w:sz w:val="26"/>
          <w:szCs w:val="26"/>
        </w:rPr>
        <w:t xml:space="preserve">) filed an Answer to the Petition on March 11, 2021.  The Commission’s Bureau of Investigation and Enforcement </w:t>
      </w:r>
      <w:r w:rsidR="002A5E09" w:rsidRPr="00C72D8B">
        <w:rPr>
          <w:sz w:val="26"/>
          <w:szCs w:val="26"/>
        </w:rPr>
        <w:t xml:space="preserve">(I&amp;E) </w:t>
      </w:r>
      <w:r w:rsidR="00105B41" w:rsidRPr="00C72D8B">
        <w:rPr>
          <w:sz w:val="26"/>
          <w:szCs w:val="26"/>
        </w:rPr>
        <w:t xml:space="preserve">filed </w:t>
      </w:r>
      <w:r w:rsidR="00B3013E" w:rsidRPr="00C72D8B">
        <w:rPr>
          <w:sz w:val="26"/>
          <w:szCs w:val="26"/>
        </w:rPr>
        <w:t xml:space="preserve">a letter in response to the Petition </w:t>
      </w:r>
      <w:r w:rsidR="002238C7" w:rsidRPr="00C72D8B">
        <w:rPr>
          <w:sz w:val="26"/>
          <w:szCs w:val="26"/>
        </w:rPr>
        <w:t xml:space="preserve">(Letter Response) </w:t>
      </w:r>
      <w:r w:rsidR="00B3013E" w:rsidRPr="00C72D8B">
        <w:rPr>
          <w:sz w:val="26"/>
          <w:szCs w:val="26"/>
        </w:rPr>
        <w:t xml:space="preserve">on March 16, 2021.  For the reasons set forth below, we shall deny the Petition.  </w:t>
      </w:r>
    </w:p>
    <w:p w14:paraId="725C8E7A" w14:textId="6100E62F" w:rsidR="00105B41" w:rsidRPr="00C72D8B" w:rsidRDefault="00105B41" w:rsidP="00321E67">
      <w:pPr>
        <w:rPr>
          <w:sz w:val="26"/>
          <w:szCs w:val="26"/>
        </w:rPr>
      </w:pPr>
    </w:p>
    <w:p w14:paraId="3B827CE5" w14:textId="5A9354CE" w:rsidR="00780DB0" w:rsidRPr="00C72D8B" w:rsidRDefault="000C4699" w:rsidP="00CF4143">
      <w:pPr>
        <w:pStyle w:val="Heading1"/>
        <w:tabs>
          <w:tab w:val="clear" w:pos="0"/>
        </w:tabs>
        <w:spacing w:after="0"/>
        <w:ind w:left="0" w:firstLine="0"/>
        <w:jc w:val="center"/>
        <w:rPr>
          <w:rFonts w:ascii="Times New Roman" w:hAnsi="Times New Roman" w:cs="Times New Roman"/>
          <w:caps w:val="0"/>
          <w:sz w:val="26"/>
          <w:szCs w:val="26"/>
        </w:rPr>
      </w:pPr>
      <w:bookmarkStart w:id="0" w:name="_Toc63764409"/>
      <w:r w:rsidRPr="00C72D8B">
        <w:rPr>
          <w:rFonts w:ascii="Times New Roman" w:hAnsi="Times New Roman" w:cs="Times New Roman"/>
          <w:caps w:val="0"/>
          <w:sz w:val="26"/>
          <w:szCs w:val="26"/>
        </w:rPr>
        <w:t>I.</w:t>
      </w:r>
      <w:r w:rsidRPr="00C72D8B">
        <w:rPr>
          <w:rFonts w:ascii="Times New Roman" w:hAnsi="Times New Roman" w:cs="Times New Roman"/>
          <w:caps w:val="0"/>
          <w:sz w:val="26"/>
          <w:szCs w:val="26"/>
        </w:rPr>
        <w:tab/>
      </w:r>
      <w:r w:rsidR="00780DB0" w:rsidRPr="00C72D8B">
        <w:rPr>
          <w:rFonts w:ascii="Times New Roman" w:hAnsi="Times New Roman" w:cs="Times New Roman"/>
          <w:caps w:val="0"/>
          <w:sz w:val="26"/>
          <w:szCs w:val="26"/>
        </w:rPr>
        <w:t>History of the Proceeding</w:t>
      </w:r>
      <w:bookmarkEnd w:id="0"/>
    </w:p>
    <w:p w14:paraId="17FE24FA" w14:textId="77777777" w:rsidR="00780DB0" w:rsidRPr="00C72D8B" w:rsidRDefault="00780DB0" w:rsidP="00321E67">
      <w:pPr>
        <w:keepNext/>
        <w:keepLines/>
        <w:contextualSpacing/>
        <w:rPr>
          <w:sz w:val="26"/>
          <w:szCs w:val="26"/>
        </w:rPr>
      </w:pPr>
    </w:p>
    <w:p w14:paraId="0BDD3EC0" w14:textId="77777777" w:rsidR="00780DB0" w:rsidRPr="00C72D8B" w:rsidRDefault="00780DB0" w:rsidP="00321E67">
      <w:pPr>
        <w:contextualSpacing/>
        <w:rPr>
          <w:sz w:val="26"/>
          <w:szCs w:val="26"/>
        </w:rPr>
      </w:pPr>
      <w:r w:rsidRPr="00C72D8B">
        <w:rPr>
          <w:sz w:val="26"/>
          <w:szCs w:val="26"/>
        </w:rPr>
        <w:t>On April 24, 2020, Columbia filed Supplement No. 307 at Docket No. R</w:t>
      </w:r>
      <w:r w:rsidRPr="00C72D8B">
        <w:rPr>
          <w:sz w:val="26"/>
          <w:szCs w:val="26"/>
        </w:rPr>
        <w:noBreakHyphen/>
        <w:t>2020-3018835, with an effective date of January 23, 2021.</w:t>
      </w:r>
      <w:r w:rsidRPr="00C72D8B">
        <w:rPr>
          <w:sz w:val="26"/>
          <w:szCs w:val="26"/>
          <w:vertAlign w:val="superscript"/>
        </w:rPr>
        <w:footnoteReference w:id="1"/>
      </w:r>
      <w:r w:rsidRPr="00C72D8B">
        <w:rPr>
          <w:sz w:val="26"/>
          <w:szCs w:val="26"/>
        </w:rPr>
        <w:t xml:space="preserve">  Columbia proposed to increase overall rates by approximately $100.4 million per year, or 17.54% over present revenues.  Columbia’s proposal, if granted, would increase the average monthly residential customer bill from $87.57 to $103.19, or by approximately 17.84%.  </w:t>
      </w:r>
    </w:p>
    <w:p w14:paraId="41BCFA81" w14:textId="77777777" w:rsidR="00780DB0" w:rsidRPr="00C72D8B" w:rsidRDefault="00780DB0" w:rsidP="00780DB0">
      <w:pPr>
        <w:contextualSpacing/>
        <w:rPr>
          <w:sz w:val="26"/>
          <w:szCs w:val="26"/>
        </w:rPr>
      </w:pPr>
    </w:p>
    <w:p w14:paraId="09E30DE5" w14:textId="4245ABE0" w:rsidR="00780DB0" w:rsidRPr="00C72D8B" w:rsidRDefault="00780DB0" w:rsidP="00780DB0">
      <w:pPr>
        <w:contextualSpacing/>
        <w:rPr>
          <w:sz w:val="26"/>
          <w:szCs w:val="26"/>
        </w:rPr>
      </w:pPr>
      <w:r w:rsidRPr="00C72D8B">
        <w:rPr>
          <w:sz w:val="26"/>
          <w:szCs w:val="26"/>
        </w:rPr>
        <w:t xml:space="preserve">On April 27, 2020, I&amp;E filed a Notice of Appearance.  On May 4, 2020, the </w:t>
      </w:r>
      <w:r w:rsidR="00E94EDE" w:rsidRPr="00C72D8B">
        <w:rPr>
          <w:sz w:val="26"/>
          <w:szCs w:val="26"/>
        </w:rPr>
        <w:t>Office of Small Business Advocate (</w:t>
      </w:r>
      <w:r w:rsidRPr="00C72D8B">
        <w:rPr>
          <w:sz w:val="26"/>
          <w:szCs w:val="26"/>
        </w:rPr>
        <w:t>OSBA</w:t>
      </w:r>
      <w:r w:rsidR="00E94EDE" w:rsidRPr="00C72D8B">
        <w:rPr>
          <w:sz w:val="26"/>
          <w:szCs w:val="26"/>
        </w:rPr>
        <w:t>)</w:t>
      </w:r>
      <w:r w:rsidRPr="00C72D8B">
        <w:rPr>
          <w:sz w:val="26"/>
          <w:szCs w:val="26"/>
        </w:rPr>
        <w:t xml:space="preserve"> filed a Public Statement and Formal Complaint at Docket No. C-2020-3019702.  On May 5, 2020, the OCA filed a Public Statement and Formal Complaint at Docket No. C-2020-3019714.</w:t>
      </w:r>
    </w:p>
    <w:p w14:paraId="20296EF2" w14:textId="77777777" w:rsidR="009006A2" w:rsidRPr="00C72D8B" w:rsidRDefault="009006A2" w:rsidP="00780DB0">
      <w:pPr>
        <w:contextualSpacing/>
        <w:rPr>
          <w:sz w:val="26"/>
          <w:szCs w:val="26"/>
        </w:rPr>
      </w:pPr>
    </w:p>
    <w:p w14:paraId="28FC02CE" w14:textId="49FC3C97" w:rsidR="00780DB0" w:rsidRPr="00C72D8B" w:rsidRDefault="00780DB0" w:rsidP="00780DB0">
      <w:pPr>
        <w:contextualSpacing/>
        <w:rPr>
          <w:sz w:val="26"/>
          <w:szCs w:val="26"/>
        </w:rPr>
      </w:pPr>
      <w:r w:rsidRPr="00C72D8B">
        <w:rPr>
          <w:sz w:val="26"/>
          <w:szCs w:val="26"/>
        </w:rPr>
        <w:lastRenderedPageBreak/>
        <w:t>On May 14, 2020, the Community Action Association of Pennsylvania (CAAP) filed a Petition to Intervene.</w:t>
      </w:r>
      <w:r w:rsidR="000000F8" w:rsidRPr="00C72D8B">
        <w:rPr>
          <w:sz w:val="26"/>
          <w:szCs w:val="26"/>
        </w:rPr>
        <w:t xml:space="preserve">  </w:t>
      </w:r>
      <w:r w:rsidRPr="00C72D8B">
        <w:rPr>
          <w:sz w:val="26"/>
          <w:szCs w:val="26"/>
        </w:rPr>
        <w:t xml:space="preserve">On May 18, 2020, </w:t>
      </w:r>
      <w:r w:rsidR="000F691F" w:rsidRPr="00C72D8B">
        <w:rPr>
          <w:sz w:val="26"/>
          <w:szCs w:val="26"/>
        </w:rPr>
        <w:t xml:space="preserve">the </w:t>
      </w:r>
      <w:r w:rsidR="00DD4BE4" w:rsidRPr="00C72D8B">
        <w:rPr>
          <w:sz w:val="26"/>
          <w:szCs w:val="26"/>
        </w:rPr>
        <w:t>Coalition for Affordable Utility Services and Energy Efficiency in Pennsylvania (</w:t>
      </w:r>
      <w:r w:rsidRPr="00C72D8B">
        <w:rPr>
          <w:sz w:val="26"/>
          <w:szCs w:val="26"/>
        </w:rPr>
        <w:t>CAUSE-PA</w:t>
      </w:r>
      <w:r w:rsidR="009812CE" w:rsidRPr="00C72D8B">
        <w:rPr>
          <w:sz w:val="26"/>
          <w:szCs w:val="26"/>
        </w:rPr>
        <w:t>)</w:t>
      </w:r>
      <w:r w:rsidRPr="00C72D8B">
        <w:rPr>
          <w:sz w:val="26"/>
          <w:szCs w:val="26"/>
        </w:rPr>
        <w:t xml:space="preserve"> filed a Petition to Intervene. </w:t>
      </w:r>
    </w:p>
    <w:p w14:paraId="67045E98" w14:textId="77777777" w:rsidR="00780DB0" w:rsidRPr="00C72D8B" w:rsidRDefault="00780DB0" w:rsidP="00780DB0">
      <w:pPr>
        <w:contextualSpacing/>
        <w:rPr>
          <w:sz w:val="26"/>
          <w:szCs w:val="26"/>
        </w:rPr>
      </w:pPr>
    </w:p>
    <w:p w14:paraId="2DADCB2E" w14:textId="77777777" w:rsidR="00780DB0" w:rsidRPr="00C72D8B" w:rsidRDefault="00780DB0" w:rsidP="00780DB0">
      <w:pPr>
        <w:contextualSpacing/>
        <w:rPr>
          <w:sz w:val="26"/>
          <w:szCs w:val="26"/>
        </w:rPr>
      </w:pPr>
      <w:r w:rsidRPr="00C72D8B">
        <w:rPr>
          <w:sz w:val="26"/>
          <w:szCs w:val="26"/>
        </w:rPr>
        <w:t xml:space="preserve">By Order entered May 21, 2020, the Commission suspended the implementation of Supplement No. 307 by operation of law, pursuant to 66 Pa. C.S. § 1308(d), until January 23, 2021, unless permitted by Commission Order to become effective at an earlier date, and instituted an investigation into the lawfulness, justness, and reasonableness of the rates, rules, and regulations proposed.  The Commission assigned the matter to the Office of Administrative Law Judge (OALJ) for the prompt scheduling of such hearings as may be necessary and issuance of a Recommended Decision.  </w:t>
      </w:r>
    </w:p>
    <w:p w14:paraId="7F587501" w14:textId="77777777" w:rsidR="00780DB0" w:rsidRPr="00C72D8B" w:rsidRDefault="00780DB0" w:rsidP="00780DB0">
      <w:pPr>
        <w:contextualSpacing/>
        <w:rPr>
          <w:sz w:val="26"/>
          <w:szCs w:val="26"/>
        </w:rPr>
      </w:pPr>
    </w:p>
    <w:p w14:paraId="7F8DAAA2" w14:textId="77777777" w:rsidR="00780DB0" w:rsidRPr="00C72D8B" w:rsidRDefault="00780DB0" w:rsidP="00780DB0">
      <w:pPr>
        <w:contextualSpacing/>
        <w:rPr>
          <w:sz w:val="26"/>
          <w:szCs w:val="26"/>
        </w:rPr>
      </w:pPr>
      <w:r w:rsidRPr="00C72D8B">
        <w:rPr>
          <w:sz w:val="26"/>
          <w:szCs w:val="26"/>
        </w:rPr>
        <w:t xml:space="preserve">On May 29, 2020, the Columbia Industrial Intervenors (CII), on behalf of its members (Hanover Foods Corporation, Knouse Foods Cooperative, Inc. and RHI Magnesita), filed a Formal Complaint at Docket No. C-2020-3020105. </w:t>
      </w:r>
    </w:p>
    <w:p w14:paraId="78D8120B" w14:textId="77777777" w:rsidR="00780DB0" w:rsidRPr="00C72D8B" w:rsidRDefault="00780DB0" w:rsidP="00780DB0">
      <w:pPr>
        <w:contextualSpacing/>
        <w:rPr>
          <w:sz w:val="26"/>
          <w:szCs w:val="26"/>
        </w:rPr>
      </w:pPr>
    </w:p>
    <w:p w14:paraId="14392051" w14:textId="77777777" w:rsidR="00780DB0" w:rsidRPr="00C72D8B" w:rsidRDefault="00780DB0" w:rsidP="00780DB0">
      <w:pPr>
        <w:contextualSpacing/>
        <w:rPr>
          <w:sz w:val="26"/>
          <w:szCs w:val="26"/>
        </w:rPr>
      </w:pPr>
      <w:r w:rsidRPr="00C72D8B">
        <w:rPr>
          <w:sz w:val="26"/>
          <w:szCs w:val="26"/>
        </w:rPr>
        <w:t>On May 29, 2020, I&amp;E filed an Expedited Motion to Extend the Statutory Suspension Period During the Emergency Interruption of Normal Operations of the Pennsylvania Public Utility Commission (Motion to Extend).  I&amp;E asked Chief Administrative Law Judge (CALJ) Charles Rainey to grant an extension of the suspension period from January 23, 2021, to February 4, 2021, pursuant to the Commission’s Emergency Order at Docket No. M-2020-3019262, dated March 20, 2020, and ratified by the Commission on March 26, 2020, which authorized the CALJ to establish reasonable deadlines under the circumstances, after consideration of the positions of the Parties and the presiding ALJ, if necessary, in response to the obstacles created by the COVID-19 pandemic.</w:t>
      </w:r>
    </w:p>
    <w:p w14:paraId="6E9981B0" w14:textId="77777777" w:rsidR="00780DB0" w:rsidRPr="00C72D8B" w:rsidRDefault="00780DB0" w:rsidP="00780DB0">
      <w:pPr>
        <w:contextualSpacing/>
        <w:rPr>
          <w:sz w:val="26"/>
          <w:szCs w:val="26"/>
        </w:rPr>
      </w:pPr>
    </w:p>
    <w:p w14:paraId="12113AF8" w14:textId="4C9B8F7D" w:rsidR="00780DB0" w:rsidRPr="00C72D8B" w:rsidRDefault="00780DB0" w:rsidP="00780DB0">
      <w:pPr>
        <w:contextualSpacing/>
        <w:rPr>
          <w:sz w:val="26"/>
          <w:szCs w:val="26"/>
        </w:rPr>
      </w:pPr>
      <w:r w:rsidRPr="00C72D8B">
        <w:rPr>
          <w:sz w:val="26"/>
          <w:szCs w:val="26"/>
        </w:rPr>
        <w:t>On June 3, 2020, the ALJ conducted a prehearing conference in which various procedural matters were discussed and a litigation schedule was established.  Columbia, the OCA, the OSBA, I&amp;E, CII, CAAP, and CAUSE-PA were present and represented by counsel.  After the Parties were provided with an opportunity to state their positions on the record, CALJ Rainey ruled orally to grant I&amp;E’s Motion to Extend.  In a written Order dated June 3, 2020 (</w:t>
      </w:r>
      <w:r w:rsidRPr="00C72D8B">
        <w:rPr>
          <w:i/>
          <w:iCs/>
          <w:sz w:val="26"/>
          <w:szCs w:val="26"/>
        </w:rPr>
        <w:t>June 3 Order</w:t>
      </w:r>
      <w:r w:rsidRPr="00C72D8B">
        <w:rPr>
          <w:sz w:val="26"/>
          <w:szCs w:val="26"/>
        </w:rPr>
        <w:t>), CALJ Rainey granted I&amp;E’s Motion to Extend and extended the suspension period for resolution of this case by twelve days, from January 23, 2021 to February 4, 2021.</w:t>
      </w:r>
    </w:p>
    <w:p w14:paraId="3A1003A7" w14:textId="77777777" w:rsidR="00780DB0" w:rsidRPr="00C72D8B" w:rsidRDefault="00780DB0" w:rsidP="00780DB0">
      <w:pPr>
        <w:contextualSpacing/>
        <w:rPr>
          <w:sz w:val="26"/>
          <w:szCs w:val="26"/>
        </w:rPr>
      </w:pPr>
    </w:p>
    <w:p w14:paraId="1368E30E" w14:textId="4AA6D20E" w:rsidR="00780DB0" w:rsidRPr="00C72D8B" w:rsidRDefault="00780DB0" w:rsidP="00780DB0">
      <w:pPr>
        <w:contextualSpacing/>
        <w:rPr>
          <w:sz w:val="26"/>
          <w:szCs w:val="26"/>
        </w:rPr>
      </w:pPr>
      <w:r w:rsidRPr="00C72D8B">
        <w:rPr>
          <w:sz w:val="26"/>
          <w:szCs w:val="26"/>
        </w:rPr>
        <w:t>Also, on June 3, 2020, Dr. Richard Collins filed a Formal Complaint at Docket No. C-2020-3020207.</w:t>
      </w:r>
    </w:p>
    <w:p w14:paraId="39DB4B34" w14:textId="77777777" w:rsidR="00780DB0" w:rsidRPr="00C72D8B" w:rsidRDefault="00780DB0" w:rsidP="00780DB0">
      <w:pPr>
        <w:contextualSpacing/>
        <w:rPr>
          <w:sz w:val="26"/>
          <w:szCs w:val="26"/>
        </w:rPr>
      </w:pPr>
    </w:p>
    <w:p w14:paraId="2CE0EFCB" w14:textId="77777777" w:rsidR="00780DB0" w:rsidRPr="00C72D8B" w:rsidRDefault="00780DB0" w:rsidP="00780DB0">
      <w:pPr>
        <w:contextualSpacing/>
        <w:rPr>
          <w:sz w:val="26"/>
          <w:szCs w:val="26"/>
        </w:rPr>
      </w:pPr>
      <w:r w:rsidRPr="00C72D8B">
        <w:rPr>
          <w:sz w:val="26"/>
          <w:szCs w:val="26"/>
        </w:rPr>
        <w:t xml:space="preserve">On June 18, 2020, Columbia submitted an unopposed Motion for Protective Order pursuant to 52 Pa. Code § 5.423(a), which was granted on June 23, 2020.  </w:t>
      </w:r>
    </w:p>
    <w:p w14:paraId="4C5C19C9" w14:textId="77777777" w:rsidR="00780DB0" w:rsidRPr="00C72D8B" w:rsidRDefault="00780DB0" w:rsidP="00780DB0">
      <w:pPr>
        <w:contextualSpacing/>
        <w:rPr>
          <w:sz w:val="26"/>
          <w:szCs w:val="26"/>
        </w:rPr>
      </w:pPr>
    </w:p>
    <w:p w14:paraId="04560219" w14:textId="77777777" w:rsidR="00780DB0" w:rsidRPr="00C72D8B" w:rsidRDefault="00780DB0" w:rsidP="00780DB0">
      <w:pPr>
        <w:contextualSpacing/>
        <w:rPr>
          <w:sz w:val="26"/>
          <w:szCs w:val="26"/>
        </w:rPr>
      </w:pPr>
      <w:r w:rsidRPr="00C72D8B">
        <w:rPr>
          <w:sz w:val="26"/>
          <w:szCs w:val="26"/>
        </w:rPr>
        <w:t xml:space="preserve">Also, on June 23, 2020, Columbia filed a Petition for Reconsideration from Staff Action (Petition for Reconsideration) and sought a reversal of the CALJ’s </w:t>
      </w:r>
      <w:r w:rsidRPr="00C72D8B">
        <w:rPr>
          <w:i/>
          <w:iCs/>
          <w:sz w:val="26"/>
          <w:szCs w:val="26"/>
        </w:rPr>
        <w:t>June 3 Order</w:t>
      </w:r>
      <w:r w:rsidRPr="00C72D8B">
        <w:rPr>
          <w:sz w:val="26"/>
          <w:szCs w:val="26"/>
        </w:rPr>
        <w:t xml:space="preserve">.  I&amp;E, the OCA, and the OSBA filed responses to the Petition. </w:t>
      </w:r>
    </w:p>
    <w:p w14:paraId="729B36E5" w14:textId="77777777" w:rsidR="00780DB0" w:rsidRPr="00C72D8B" w:rsidRDefault="00780DB0" w:rsidP="00780DB0">
      <w:pPr>
        <w:contextualSpacing/>
        <w:rPr>
          <w:sz w:val="26"/>
          <w:szCs w:val="26"/>
        </w:rPr>
      </w:pPr>
    </w:p>
    <w:p w14:paraId="4795E9C6" w14:textId="77777777" w:rsidR="00780DB0" w:rsidRPr="00C72D8B" w:rsidRDefault="00780DB0" w:rsidP="00780DB0">
      <w:pPr>
        <w:contextualSpacing/>
        <w:rPr>
          <w:sz w:val="26"/>
          <w:szCs w:val="26"/>
        </w:rPr>
      </w:pPr>
      <w:r w:rsidRPr="00C72D8B">
        <w:rPr>
          <w:sz w:val="26"/>
          <w:szCs w:val="26"/>
        </w:rPr>
        <w:t>On June 24, 2020, Ionut (John) R. Ilie filed a Formal Complaint at Docket No. C-2020-3020498.</w:t>
      </w:r>
      <w:r w:rsidRPr="00C72D8B">
        <w:rPr>
          <w:sz w:val="26"/>
          <w:szCs w:val="26"/>
          <w:vertAlign w:val="superscript"/>
        </w:rPr>
        <w:footnoteReference w:id="2"/>
      </w:r>
    </w:p>
    <w:p w14:paraId="1E66BB16" w14:textId="77777777" w:rsidR="00AA1682" w:rsidRPr="00C72D8B" w:rsidRDefault="00AA1682" w:rsidP="00780DB0">
      <w:pPr>
        <w:contextualSpacing/>
        <w:rPr>
          <w:sz w:val="26"/>
          <w:szCs w:val="26"/>
        </w:rPr>
      </w:pPr>
    </w:p>
    <w:p w14:paraId="5D363110" w14:textId="50BDC620" w:rsidR="00780DB0" w:rsidRPr="00C72D8B" w:rsidRDefault="00780DB0" w:rsidP="00780DB0">
      <w:pPr>
        <w:contextualSpacing/>
        <w:rPr>
          <w:sz w:val="26"/>
          <w:szCs w:val="26"/>
        </w:rPr>
      </w:pPr>
      <w:r w:rsidRPr="00C72D8B">
        <w:rPr>
          <w:sz w:val="26"/>
          <w:szCs w:val="26"/>
        </w:rPr>
        <w:t xml:space="preserve">On July 8, 2020, ALJ Dunderdale conducted a telephonic public input hearing during which two witnesses testified.  Also, on July 8, 2020, </w:t>
      </w:r>
      <w:r w:rsidR="003119E3" w:rsidRPr="00C72D8B">
        <w:rPr>
          <w:sz w:val="26"/>
          <w:szCs w:val="26"/>
        </w:rPr>
        <w:t xml:space="preserve">the </w:t>
      </w:r>
      <w:r w:rsidR="000F2620" w:rsidRPr="00C72D8B">
        <w:rPr>
          <w:sz w:val="26"/>
          <w:szCs w:val="26"/>
        </w:rPr>
        <w:t>Pennsylvania State University (</w:t>
      </w:r>
      <w:r w:rsidRPr="00C72D8B">
        <w:rPr>
          <w:sz w:val="26"/>
          <w:szCs w:val="26"/>
        </w:rPr>
        <w:t>PSU</w:t>
      </w:r>
      <w:r w:rsidR="000F2620" w:rsidRPr="00C72D8B">
        <w:rPr>
          <w:sz w:val="26"/>
          <w:szCs w:val="26"/>
        </w:rPr>
        <w:t>)</w:t>
      </w:r>
      <w:r w:rsidRPr="00C72D8B">
        <w:rPr>
          <w:sz w:val="26"/>
          <w:szCs w:val="26"/>
        </w:rPr>
        <w:t xml:space="preserve"> filed a Formal Complaint at Docket No. C-2020-3020666.</w:t>
      </w:r>
    </w:p>
    <w:p w14:paraId="64A93E9A" w14:textId="77777777" w:rsidR="00780DB0" w:rsidRPr="00C72D8B" w:rsidRDefault="00780DB0" w:rsidP="00780DB0">
      <w:pPr>
        <w:contextualSpacing/>
        <w:rPr>
          <w:sz w:val="26"/>
          <w:szCs w:val="26"/>
        </w:rPr>
      </w:pPr>
      <w:r w:rsidRPr="00C72D8B">
        <w:rPr>
          <w:sz w:val="26"/>
          <w:szCs w:val="26"/>
        </w:rPr>
        <w:t>By Opinion and Order entered on August 20, 2020 (</w:t>
      </w:r>
      <w:r w:rsidRPr="00C72D8B">
        <w:rPr>
          <w:i/>
          <w:iCs/>
          <w:sz w:val="26"/>
          <w:szCs w:val="26"/>
        </w:rPr>
        <w:t>August 2020 Order</w:t>
      </w:r>
      <w:r w:rsidRPr="00C72D8B">
        <w:rPr>
          <w:sz w:val="26"/>
          <w:szCs w:val="26"/>
        </w:rPr>
        <w:t xml:space="preserve">), Columbia’s Petition for Reconsideration was denied, in part, and granted, in part.  The Commission denied the Petition for Reconsideration in that it affirmed the </w:t>
      </w:r>
      <w:r w:rsidRPr="00C72D8B">
        <w:rPr>
          <w:i/>
          <w:iCs/>
          <w:sz w:val="26"/>
          <w:szCs w:val="26"/>
        </w:rPr>
        <w:t xml:space="preserve">June 3 Order </w:t>
      </w:r>
      <w:r w:rsidRPr="00C72D8B">
        <w:rPr>
          <w:sz w:val="26"/>
          <w:szCs w:val="26"/>
        </w:rPr>
        <w:t>of CALJ Rainey to grant the Petition for Extension and granted the Petition in that the effective suspension date remained January 23, 2021.  In addition, the OALJ was directed to issue a Recommended Decision in this matter on or before November 20, 2020.</w:t>
      </w:r>
    </w:p>
    <w:p w14:paraId="4BD385B1" w14:textId="77777777" w:rsidR="00780DB0" w:rsidRPr="00C72D8B" w:rsidRDefault="00780DB0" w:rsidP="00780DB0">
      <w:pPr>
        <w:contextualSpacing/>
        <w:rPr>
          <w:sz w:val="26"/>
          <w:szCs w:val="26"/>
        </w:rPr>
      </w:pPr>
    </w:p>
    <w:p w14:paraId="0CBCB8C9" w14:textId="77777777" w:rsidR="00780DB0" w:rsidRPr="00C72D8B" w:rsidRDefault="00780DB0" w:rsidP="00780DB0">
      <w:pPr>
        <w:contextualSpacing/>
        <w:rPr>
          <w:sz w:val="26"/>
          <w:szCs w:val="26"/>
        </w:rPr>
      </w:pPr>
      <w:r w:rsidRPr="00C72D8B">
        <w:rPr>
          <w:sz w:val="26"/>
          <w:szCs w:val="26"/>
        </w:rPr>
        <w:t xml:space="preserve">On August 11, 2020, the Parties notified the presiding officer via email that in an effort to maintain the original procedural schedule, an agreement had been reached by the Parties which would extend the suspension date to February 25, 2021, maintain the effective date of January 23, 2021, as required by the Commission’s </w:t>
      </w:r>
      <w:r w:rsidRPr="00C72D8B">
        <w:rPr>
          <w:i/>
          <w:iCs/>
          <w:sz w:val="26"/>
          <w:szCs w:val="26"/>
        </w:rPr>
        <w:t>August 2020 Order</w:t>
      </w:r>
      <w:r w:rsidRPr="00C72D8B">
        <w:rPr>
          <w:sz w:val="26"/>
          <w:szCs w:val="26"/>
        </w:rPr>
        <w:t xml:space="preserve">, and move the due date for the Recommended Decision from November 20, 2020 to December 4, 2020. </w:t>
      </w:r>
    </w:p>
    <w:p w14:paraId="3F09B68F" w14:textId="77777777" w:rsidR="00780DB0" w:rsidRPr="00C72D8B" w:rsidRDefault="00780DB0" w:rsidP="00780DB0">
      <w:pPr>
        <w:contextualSpacing/>
        <w:rPr>
          <w:sz w:val="26"/>
          <w:szCs w:val="26"/>
        </w:rPr>
      </w:pPr>
    </w:p>
    <w:p w14:paraId="72AD66FC" w14:textId="77777777" w:rsidR="00780DB0" w:rsidRPr="00C72D8B" w:rsidRDefault="00780DB0" w:rsidP="00780DB0">
      <w:pPr>
        <w:contextualSpacing/>
        <w:rPr>
          <w:sz w:val="26"/>
          <w:szCs w:val="26"/>
        </w:rPr>
      </w:pPr>
      <w:r w:rsidRPr="00C72D8B">
        <w:rPr>
          <w:sz w:val="26"/>
          <w:szCs w:val="26"/>
        </w:rPr>
        <w:t xml:space="preserve">On August 12, 2020, Columbia filed Supplement No. 315 to Tariff Gas – Pa. </w:t>
      </w:r>
      <w:r w:rsidRPr="00E64034">
        <w:rPr>
          <w:sz w:val="26"/>
          <w:szCs w:val="26"/>
        </w:rPr>
        <w:t>P.U.C</w:t>
      </w:r>
      <w:r w:rsidRPr="00C72D8B">
        <w:rPr>
          <w:sz w:val="26"/>
          <w:szCs w:val="26"/>
        </w:rPr>
        <w:t xml:space="preserve">. No. 9 (Supplement No. 315), which voluntarily suspended its statutory suspension period from January 23, 2021 to February 25, 2021, with rates to go into effect January 23, 2021 – </w:t>
      </w:r>
      <w:r w:rsidRPr="00C72D8B">
        <w:rPr>
          <w:i/>
          <w:iCs/>
          <w:sz w:val="26"/>
          <w:szCs w:val="26"/>
        </w:rPr>
        <w:t>i.e</w:t>
      </w:r>
      <w:r w:rsidRPr="00C72D8B">
        <w:rPr>
          <w:sz w:val="26"/>
          <w:szCs w:val="26"/>
        </w:rPr>
        <w:t>., subject to the condition that Columbia will bill retroactively for the revenues lost at the final approved rates for the period from the end of the statutory suspension period (January 23, 2021) through the date the Commission makes its approved rates effective by approving the requisite compliance filing.</w:t>
      </w:r>
    </w:p>
    <w:p w14:paraId="0154C5FD" w14:textId="77777777" w:rsidR="00780DB0" w:rsidRPr="00C72D8B" w:rsidRDefault="00780DB0" w:rsidP="00780DB0">
      <w:pPr>
        <w:contextualSpacing/>
        <w:rPr>
          <w:sz w:val="26"/>
          <w:szCs w:val="26"/>
        </w:rPr>
      </w:pPr>
    </w:p>
    <w:p w14:paraId="58B303CC" w14:textId="0C0B0A1D" w:rsidR="00780DB0" w:rsidRPr="00C72D8B" w:rsidRDefault="00780DB0" w:rsidP="00780DB0">
      <w:pPr>
        <w:contextualSpacing/>
        <w:rPr>
          <w:sz w:val="26"/>
          <w:szCs w:val="26"/>
        </w:rPr>
      </w:pPr>
      <w:r w:rsidRPr="00C72D8B">
        <w:rPr>
          <w:sz w:val="26"/>
          <w:szCs w:val="26"/>
        </w:rPr>
        <w:t xml:space="preserve">On September 24, 2020, ALJ Dunderdale conducted </w:t>
      </w:r>
      <w:r w:rsidR="002923C2" w:rsidRPr="00C72D8B">
        <w:rPr>
          <w:sz w:val="26"/>
          <w:szCs w:val="26"/>
        </w:rPr>
        <w:t>a</w:t>
      </w:r>
      <w:r w:rsidRPr="00C72D8B">
        <w:rPr>
          <w:sz w:val="26"/>
          <w:szCs w:val="26"/>
        </w:rPr>
        <w:t xml:space="preserve"> telephonic evidentiary hearing.  At the hearing, the Parties submitted written statements, with signed affidavits from each witness, and exhibits of the various witnesses pursuant to an agreement between the Parties that cross-examination would not be necessary.  </w:t>
      </w:r>
    </w:p>
    <w:p w14:paraId="66A59411" w14:textId="77777777" w:rsidR="00780DB0" w:rsidRPr="00C72D8B" w:rsidRDefault="00780DB0" w:rsidP="00780DB0">
      <w:pPr>
        <w:contextualSpacing/>
        <w:rPr>
          <w:sz w:val="26"/>
          <w:szCs w:val="26"/>
        </w:rPr>
      </w:pPr>
    </w:p>
    <w:p w14:paraId="792E485C" w14:textId="27D794FA" w:rsidR="00780DB0" w:rsidRPr="00C72D8B" w:rsidRDefault="00780DB0" w:rsidP="00780DB0">
      <w:pPr>
        <w:contextualSpacing/>
        <w:rPr>
          <w:sz w:val="26"/>
          <w:szCs w:val="26"/>
        </w:rPr>
      </w:pPr>
      <w:r w:rsidRPr="00C72D8B">
        <w:rPr>
          <w:sz w:val="26"/>
          <w:szCs w:val="26"/>
        </w:rPr>
        <w:t>On September 25, 2020, ALJ Dunderdale issued the Post-Hearing Order which ordered that the written statements, exhibits</w:t>
      </w:r>
      <w:r w:rsidR="004F6935" w:rsidRPr="00C72D8B">
        <w:rPr>
          <w:sz w:val="26"/>
          <w:szCs w:val="26"/>
        </w:rPr>
        <w:t>,</w:t>
      </w:r>
      <w:r w:rsidRPr="00C72D8B">
        <w:rPr>
          <w:sz w:val="26"/>
          <w:szCs w:val="26"/>
        </w:rPr>
        <w:t xml:space="preserve"> and verifications sponsored and moved into the hearing record by the Parties on September 24, 2020, should be entered into the Commission’s hearing record.  The Post-Hearing Order required all the Parties which had evidence admitted into the hearing record to file an accurate copy of that evidence with the Commission on or before October 9, 2020.  By the same Order, the presiding officer closed the hearing record.  The pre-hearing and hearing transcripts consist of 221 pages.</w:t>
      </w:r>
    </w:p>
    <w:p w14:paraId="7F9AD8BF" w14:textId="77777777" w:rsidR="00780DB0" w:rsidRPr="00C72D8B" w:rsidRDefault="00780DB0" w:rsidP="00780DB0">
      <w:pPr>
        <w:contextualSpacing/>
        <w:rPr>
          <w:sz w:val="26"/>
          <w:szCs w:val="26"/>
        </w:rPr>
      </w:pPr>
    </w:p>
    <w:p w14:paraId="727A03CE" w14:textId="09D8AAB8" w:rsidR="00780DB0" w:rsidRPr="00C72D8B" w:rsidRDefault="00780DB0" w:rsidP="00780DB0">
      <w:pPr>
        <w:contextualSpacing/>
        <w:rPr>
          <w:sz w:val="26"/>
          <w:szCs w:val="26"/>
        </w:rPr>
      </w:pPr>
      <w:r w:rsidRPr="00C72D8B">
        <w:rPr>
          <w:sz w:val="26"/>
          <w:szCs w:val="26"/>
        </w:rPr>
        <w:t>On October 16, 2020, Columbia, I&amp;E, the OCA, the OSBA, CAUSE-PA, CAAP, CII</w:t>
      </w:r>
      <w:r w:rsidR="005760F9" w:rsidRPr="00C72D8B">
        <w:rPr>
          <w:sz w:val="26"/>
          <w:szCs w:val="26"/>
        </w:rPr>
        <w:t>,</w:t>
      </w:r>
      <w:r w:rsidRPr="00C72D8B">
        <w:rPr>
          <w:sz w:val="26"/>
          <w:szCs w:val="26"/>
        </w:rPr>
        <w:t xml:space="preserve"> and PSU filed Main Briefs on the issues reserved for litigation.  These Parties filed Reply Briefs on October 30, 2020.</w:t>
      </w:r>
    </w:p>
    <w:p w14:paraId="4DF0EFBE" w14:textId="77777777" w:rsidR="00780DB0" w:rsidRPr="00C72D8B" w:rsidRDefault="00780DB0" w:rsidP="00780DB0">
      <w:pPr>
        <w:contextualSpacing/>
        <w:rPr>
          <w:sz w:val="26"/>
          <w:szCs w:val="26"/>
        </w:rPr>
      </w:pPr>
    </w:p>
    <w:p w14:paraId="2F2A3A3F" w14:textId="77777777" w:rsidR="00780DB0" w:rsidRPr="00C72D8B" w:rsidRDefault="00780DB0" w:rsidP="00780DB0">
      <w:pPr>
        <w:contextualSpacing/>
        <w:rPr>
          <w:sz w:val="26"/>
          <w:szCs w:val="26"/>
        </w:rPr>
      </w:pPr>
      <w:r w:rsidRPr="00C72D8B">
        <w:rPr>
          <w:sz w:val="26"/>
          <w:szCs w:val="26"/>
        </w:rPr>
        <w:t>In the Recommended Decision, issued on December 4, 2020, ALJ Dunderdale recommended that the Commission deny Columbia’s request in its entirety on the basis that the Company did not satisfy its burden of proving, by substantial evidence, that the proposed base rate revenue increase will result in just and reasonable rates, as required by 66 Pa. C.S.§ 1301, during the current COVID-19 pandemic.  According to ALJ Dunderdale, because the Commission may disagree with the recommendation to deny the proposed base rate revenue increase in its entirety, she reviewed each element in the proposed base rate increase and addressed whether Columbia proved each proposal by substantial evidence.</w:t>
      </w:r>
      <w:r w:rsidRPr="00C72D8B">
        <w:rPr>
          <w:rStyle w:val="FootnoteReference"/>
          <w:sz w:val="26"/>
          <w:szCs w:val="26"/>
        </w:rPr>
        <w:footnoteReference w:id="3"/>
      </w:r>
      <w:r w:rsidRPr="00C72D8B">
        <w:rPr>
          <w:sz w:val="26"/>
          <w:szCs w:val="26"/>
        </w:rPr>
        <w:t xml:space="preserve">  Further, ALJ Dunderdale stated that she did not recommend an alternative revenue requirement and rate of return, as explained in Section III, Subsection C-9 of the Recommended Decision, because the mathematical calculation may change if the Commission agrees with some, but not all of the recommendations, for each proposal.  R.D. at 1, 409.</w:t>
      </w:r>
    </w:p>
    <w:p w14:paraId="3793F2A8" w14:textId="67B6FD52" w:rsidR="00780DB0" w:rsidRPr="00C72D8B" w:rsidRDefault="00780DB0" w:rsidP="00780DB0">
      <w:pPr>
        <w:contextualSpacing/>
        <w:rPr>
          <w:sz w:val="26"/>
          <w:szCs w:val="26"/>
        </w:rPr>
      </w:pPr>
      <w:r w:rsidRPr="00C72D8B">
        <w:rPr>
          <w:sz w:val="26"/>
          <w:szCs w:val="26"/>
        </w:rPr>
        <w:t>Columbia, I&amp;E, the OCA, the OSBA, CAUSE-PA, and PSU filed Exceptions to the Recommended Decision on December 22, 2020.  On December</w:t>
      </w:r>
      <w:r w:rsidR="00E64034">
        <w:rPr>
          <w:sz w:val="26"/>
          <w:szCs w:val="26"/>
        </w:rPr>
        <w:t> </w:t>
      </w:r>
      <w:r w:rsidRPr="00C72D8B">
        <w:rPr>
          <w:sz w:val="26"/>
          <w:szCs w:val="26"/>
        </w:rPr>
        <w:t>30,</w:t>
      </w:r>
      <w:r w:rsidR="00E64034">
        <w:rPr>
          <w:sz w:val="26"/>
          <w:szCs w:val="26"/>
        </w:rPr>
        <w:t> </w:t>
      </w:r>
      <w:r w:rsidRPr="00C72D8B">
        <w:rPr>
          <w:sz w:val="26"/>
          <w:szCs w:val="26"/>
        </w:rPr>
        <w:t>2020, Columbia, I&amp;E, the OCA, the OSBA, CAUSE-PA, and PSU filed Replies to Exceptions.</w:t>
      </w:r>
    </w:p>
    <w:p w14:paraId="5C217784" w14:textId="0AF2DC0C" w:rsidR="004503B5" w:rsidRPr="00C72D8B" w:rsidRDefault="004503B5" w:rsidP="00780DB0">
      <w:pPr>
        <w:contextualSpacing/>
        <w:rPr>
          <w:sz w:val="26"/>
          <w:szCs w:val="26"/>
        </w:rPr>
      </w:pPr>
    </w:p>
    <w:p w14:paraId="7E6C96A8" w14:textId="11ED9BD7" w:rsidR="001A5452" w:rsidRPr="00C72D8B" w:rsidRDefault="004503B5" w:rsidP="001A5452">
      <w:pPr>
        <w:tabs>
          <w:tab w:val="left" w:pos="-720"/>
        </w:tabs>
        <w:suppressAutoHyphens/>
        <w:rPr>
          <w:sz w:val="26"/>
          <w:szCs w:val="26"/>
        </w:rPr>
      </w:pPr>
      <w:r w:rsidRPr="00C72D8B">
        <w:rPr>
          <w:sz w:val="26"/>
          <w:szCs w:val="26"/>
        </w:rPr>
        <w:t xml:space="preserve">In the </w:t>
      </w:r>
      <w:r w:rsidRPr="00C72D8B">
        <w:rPr>
          <w:i/>
          <w:iCs/>
          <w:sz w:val="26"/>
          <w:szCs w:val="26"/>
        </w:rPr>
        <w:t>February 20</w:t>
      </w:r>
      <w:r w:rsidR="00257FA7" w:rsidRPr="00C72D8B">
        <w:rPr>
          <w:i/>
          <w:iCs/>
          <w:sz w:val="26"/>
          <w:szCs w:val="26"/>
        </w:rPr>
        <w:t>21</w:t>
      </w:r>
      <w:r w:rsidRPr="00C72D8B">
        <w:rPr>
          <w:i/>
          <w:iCs/>
          <w:sz w:val="26"/>
          <w:szCs w:val="26"/>
        </w:rPr>
        <w:t xml:space="preserve"> Order</w:t>
      </w:r>
      <w:r w:rsidRPr="00C72D8B">
        <w:rPr>
          <w:sz w:val="26"/>
          <w:szCs w:val="26"/>
        </w:rPr>
        <w:t xml:space="preserve">, </w:t>
      </w:r>
      <w:r w:rsidR="001A5452" w:rsidRPr="00C72D8B">
        <w:rPr>
          <w:sz w:val="26"/>
          <w:szCs w:val="26"/>
        </w:rPr>
        <w:t xml:space="preserve">we: </w:t>
      </w:r>
      <w:r w:rsidR="00633F35" w:rsidRPr="00C72D8B">
        <w:rPr>
          <w:sz w:val="26"/>
          <w:szCs w:val="26"/>
        </w:rPr>
        <w:t xml:space="preserve"> </w:t>
      </w:r>
      <w:r w:rsidR="001A5452" w:rsidRPr="00C72D8B">
        <w:rPr>
          <w:rFonts w:eastAsiaTheme="minorHAnsi"/>
          <w:sz w:val="26"/>
          <w:szCs w:val="26"/>
        </w:rPr>
        <w:t>(1) reverse</w:t>
      </w:r>
      <w:r w:rsidR="000061B8" w:rsidRPr="00C72D8B">
        <w:rPr>
          <w:rFonts w:eastAsiaTheme="minorHAnsi"/>
          <w:sz w:val="26"/>
          <w:szCs w:val="26"/>
        </w:rPr>
        <w:t>d</w:t>
      </w:r>
      <w:r w:rsidR="001A5452" w:rsidRPr="00C72D8B">
        <w:rPr>
          <w:rFonts w:eastAsiaTheme="minorHAnsi"/>
          <w:sz w:val="26"/>
          <w:szCs w:val="26"/>
        </w:rPr>
        <w:t xml:space="preserve"> the ALJ’s recommendation to completely deny Columbia’s requested rate relief due to the pandemic; (2) grant</w:t>
      </w:r>
      <w:r w:rsidR="000061B8" w:rsidRPr="00C72D8B">
        <w:rPr>
          <w:rFonts w:eastAsiaTheme="minorHAnsi"/>
          <w:sz w:val="26"/>
          <w:szCs w:val="26"/>
        </w:rPr>
        <w:t>ed</w:t>
      </w:r>
      <w:r w:rsidR="001A5452" w:rsidRPr="00C72D8B">
        <w:rPr>
          <w:rFonts w:eastAsiaTheme="minorHAnsi"/>
          <w:sz w:val="26"/>
          <w:szCs w:val="26"/>
        </w:rPr>
        <w:t>, in part, and den</w:t>
      </w:r>
      <w:r w:rsidR="000061B8" w:rsidRPr="00C72D8B">
        <w:rPr>
          <w:rFonts w:eastAsiaTheme="minorHAnsi"/>
          <w:sz w:val="26"/>
          <w:szCs w:val="26"/>
        </w:rPr>
        <w:t>ied</w:t>
      </w:r>
      <w:r w:rsidR="001A5452" w:rsidRPr="00C72D8B">
        <w:rPr>
          <w:rFonts w:eastAsiaTheme="minorHAnsi"/>
          <w:sz w:val="26"/>
          <w:szCs w:val="26"/>
        </w:rPr>
        <w:t>, in part, the Exceptions filed by Columbia and I&amp;E; and (3) den</w:t>
      </w:r>
      <w:r w:rsidR="000061B8" w:rsidRPr="00C72D8B">
        <w:rPr>
          <w:rFonts w:eastAsiaTheme="minorHAnsi"/>
          <w:sz w:val="26"/>
          <w:szCs w:val="26"/>
        </w:rPr>
        <w:t>ied</w:t>
      </w:r>
      <w:r w:rsidR="001A5452" w:rsidRPr="00C72D8B">
        <w:rPr>
          <w:rFonts w:eastAsiaTheme="minorHAnsi"/>
          <w:sz w:val="26"/>
          <w:szCs w:val="26"/>
        </w:rPr>
        <w:t xml:space="preserve"> the Exceptions filed by the OCA, the OSBA, CAUSE-PA, and PSU. </w:t>
      </w:r>
      <w:r w:rsidR="00EF620A" w:rsidRPr="00C72D8B">
        <w:rPr>
          <w:rFonts w:eastAsiaTheme="minorHAnsi"/>
          <w:sz w:val="26"/>
          <w:szCs w:val="26"/>
        </w:rPr>
        <w:t xml:space="preserve"> </w:t>
      </w:r>
      <w:r w:rsidR="001A5452" w:rsidRPr="00C72D8B">
        <w:rPr>
          <w:sz w:val="26"/>
          <w:szCs w:val="26"/>
        </w:rPr>
        <w:t>Additionally, we approve</w:t>
      </w:r>
      <w:r w:rsidR="00EF620A" w:rsidRPr="00C72D8B">
        <w:rPr>
          <w:sz w:val="26"/>
          <w:szCs w:val="26"/>
        </w:rPr>
        <w:t>d</w:t>
      </w:r>
      <w:r w:rsidR="001A5452" w:rsidRPr="00C72D8B">
        <w:rPr>
          <w:sz w:val="26"/>
          <w:szCs w:val="26"/>
        </w:rPr>
        <w:t xml:space="preserve"> an annual revenue increase of </w:t>
      </w:r>
      <w:r w:rsidR="001A5452" w:rsidRPr="00C72D8B">
        <w:rPr>
          <w:rFonts w:eastAsia="Calibri"/>
          <w:sz w:val="26"/>
          <w:szCs w:val="26"/>
        </w:rPr>
        <w:t>$63,548,905</w:t>
      </w:r>
      <w:r w:rsidR="001A5452" w:rsidRPr="00C72D8B">
        <w:rPr>
          <w:sz w:val="26"/>
          <w:szCs w:val="26"/>
        </w:rPr>
        <w:t xml:space="preserve"> to the Company’s pro forma revenue at present rates of $572,769,574, or approximately 11.10%.  </w:t>
      </w:r>
    </w:p>
    <w:p w14:paraId="581F5B14" w14:textId="77777777" w:rsidR="00036DE4" w:rsidRPr="00C72D8B" w:rsidRDefault="00036DE4" w:rsidP="001A5452">
      <w:pPr>
        <w:tabs>
          <w:tab w:val="left" w:pos="-720"/>
        </w:tabs>
        <w:suppressAutoHyphens/>
        <w:rPr>
          <w:sz w:val="26"/>
          <w:szCs w:val="26"/>
        </w:rPr>
      </w:pPr>
    </w:p>
    <w:p w14:paraId="2DADFAAD" w14:textId="425C4B93" w:rsidR="00416F88" w:rsidRPr="00C72D8B" w:rsidRDefault="00416F88" w:rsidP="001A5452">
      <w:pPr>
        <w:tabs>
          <w:tab w:val="left" w:pos="-720"/>
        </w:tabs>
        <w:suppressAutoHyphens/>
        <w:rPr>
          <w:sz w:val="26"/>
          <w:szCs w:val="26"/>
        </w:rPr>
      </w:pPr>
      <w:r w:rsidRPr="00C72D8B">
        <w:rPr>
          <w:sz w:val="26"/>
          <w:szCs w:val="26"/>
        </w:rPr>
        <w:t xml:space="preserve">As previously noted, </w:t>
      </w:r>
      <w:r w:rsidR="003756F0" w:rsidRPr="00C72D8B">
        <w:rPr>
          <w:sz w:val="26"/>
          <w:szCs w:val="26"/>
        </w:rPr>
        <w:t>the OCA filed the instant Peti</w:t>
      </w:r>
      <w:r w:rsidR="00796C0C" w:rsidRPr="00C72D8B">
        <w:rPr>
          <w:sz w:val="26"/>
          <w:szCs w:val="26"/>
        </w:rPr>
        <w:t>ti</w:t>
      </w:r>
      <w:r w:rsidR="003756F0" w:rsidRPr="00C72D8B">
        <w:rPr>
          <w:sz w:val="26"/>
          <w:szCs w:val="26"/>
        </w:rPr>
        <w:t xml:space="preserve">on on </w:t>
      </w:r>
      <w:r w:rsidR="002B2751" w:rsidRPr="00C72D8B">
        <w:rPr>
          <w:sz w:val="26"/>
          <w:szCs w:val="26"/>
        </w:rPr>
        <w:t>March 8, 2021.  Columbia filed an Answer to the Petition on March 11, 2021, and I&amp;E</w:t>
      </w:r>
      <w:r w:rsidR="00022C9C" w:rsidRPr="00C72D8B">
        <w:rPr>
          <w:sz w:val="26"/>
          <w:szCs w:val="26"/>
        </w:rPr>
        <w:t xml:space="preserve"> filed a </w:t>
      </w:r>
      <w:r w:rsidR="000F519B" w:rsidRPr="00C72D8B">
        <w:rPr>
          <w:sz w:val="26"/>
          <w:szCs w:val="26"/>
        </w:rPr>
        <w:t>L</w:t>
      </w:r>
      <w:r w:rsidR="00022C9C" w:rsidRPr="00C72D8B">
        <w:rPr>
          <w:sz w:val="26"/>
          <w:szCs w:val="26"/>
        </w:rPr>
        <w:t xml:space="preserve">etter </w:t>
      </w:r>
      <w:r w:rsidR="000F519B" w:rsidRPr="00C72D8B">
        <w:rPr>
          <w:sz w:val="26"/>
          <w:szCs w:val="26"/>
        </w:rPr>
        <w:t>R</w:t>
      </w:r>
      <w:r w:rsidR="00022C9C" w:rsidRPr="00C72D8B">
        <w:rPr>
          <w:sz w:val="26"/>
          <w:szCs w:val="26"/>
        </w:rPr>
        <w:t>esponse</w:t>
      </w:r>
      <w:r w:rsidR="002B2751" w:rsidRPr="00C72D8B">
        <w:rPr>
          <w:sz w:val="26"/>
          <w:szCs w:val="26"/>
        </w:rPr>
        <w:t xml:space="preserve"> to the Petition on March 16, 2021.  </w:t>
      </w:r>
    </w:p>
    <w:p w14:paraId="26DCAAB6" w14:textId="77777777" w:rsidR="001A5452" w:rsidRPr="00C72D8B" w:rsidRDefault="001A5452" w:rsidP="001A5452">
      <w:pPr>
        <w:tabs>
          <w:tab w:val="left" w:pos="-720"/>
        </w:tabs>
        <w:suppressAutoHyphens/>
        <w:contextualSpacing/>
        <w:rPr>
          <w:sz w:val="26"/>
          <w:szCs w:val="26"/>
        </w:rPr>
      </w:pPr>
    </w:p>
    <w:p w14:paraId="0B261FD8" w14:textId="612937E1" w:rsidR="00003997" w:rsidRPr="00C72D8B" w:rsidRDefault="00003997" w:rsidP="00003997">
      <w:pPr>
        <w:keepNext/>
        <w:keepLines/>
        <w:ind w:firstLine="0"/>
        <w:jc w:val="center"/>
        <w:rPr>
          <w:rFonts w:eastAsia="Calibri"/>
          <w:b/>
          <w:sz w:val="26"/>
          <w:szCs w:val="26"/>
        </w:rPr>
      </w:pPr>
      <w:r w:rsidRPr="00C72D8B">
        <w:rPr>
          <w:rFonts w:eastAsia="Calibri"/>
          <w:b/>
          <w:sz w:val="26"/>
          <w:szCs w:val="26"/>
        </w:rPr>
        <w:t>II.</w:t>
      </w:r>
      <w:r w:rsidRPr="00C72D8B">
        <w:rPr>
          <w:rFonts w:eastAsia="Calibri"/>
          <w:b/>
          <w:sz w:val="26"/>
          <w:szCs w:val="26"/>
        </w:rPr>
        <w:tab/>
        <w:t>Discussion</w:t>
      </w:r>
    </w:p>
    <w:p w14:paraId="50A0474F" w14:textId="77777777" w:rsidR="00003997" w:rsidRPr="00C72D8B" w:rsidRDefault="00003997" w:rsidP="00003997">
      <w:pPr>
        <w:keepNext/>
        <w:keepLines/>
        <w:ind w:firstLine="0"/>
        <w:rPr>
          <w:rFonts w:eastAsia="Calibri"/>
          <w:b/>
          <w:sz w:val="26"/>
          <w:szCs w:val="26"/>
        </w:rPr>
      </w:pPr>
    </w:p>
    <w:p w14:paraId="318D59F6" w14:textId="593122D9" w:rsidR="00D36288" w:rsidRPr="00C72D8B" w:rsidRDefault="00E50652" w:rsidP="00E50652">
      <w:pPr>
        <w:ind w:firstLine="0"/>
        <w:rPr>
          <w:rFonts w:eastAsia="Calibri"/>
          <w:b/>
          <w:bCs/>
          <w:sz w:val="26"/>
          <w:szCs w:val="26"/>
        </w:rPr>
      </w:pPr>
      <w:r w:rsidRPr="00C72D8B">
        <w:rPr>
          <w:rFonts w:eastAsia="Calibri"/>
          <w:b/>
          <w:bCs/>
          <w:sz w:val="26"/>
          <w:szCs w:val="26"/>
        </w:rPr>
        <w:t>A.</w:t>
      </w:r>
      <w:r w:rsidRPr="00C72D8B">
        <w:rPr>
          <w:rFonts w:eastAsia="Calibri"/>
          <w:b/>
          <w:bCs/>
          <w:sz w:val="26"/>
          <w:szCs w:val="26"/>
        </w:rPr>
        <w:tab/>
      </w:r>
      <w:r w:rsidR="00D36288" w:rsidRPr="00C72D8B">
        <w:rPr>
          <w:rFonts w:eastAsia="Calibri"/>
          <w:b/>
          <w:bCs/>
          <w:sz w:val="26"/>
          <w:szCs w:val="26"/>
        </w:rPr>
        <w:t>Legal Standards</w:t>
      </w:r>
    </w:p>
    <w:p w14:paraId="05299403" w14:textId="77777777" w:rsidR="00D36288" w:rsidRPr="00C72D8B" w:rsidRDefault="00D36288" w:rsidP="00003997">
      <w:pPr>
        <w:rPr>
          <w:rFonts w:eastAsia="Calibri"/>
          <w:sz w:val="26"/>
          <w:szCs w:val="26"/>
        </w:rPr>
      </w:pPr>
    </w:p>
    <w:p w14:paraId="2FDC7120" w14:textId="0DE62A0B" w:rsidR="00003997" w:rsidRPr="00C72D8B" w:rsidRDefault="007A6783" w:rsidP="00003997">
      <w:pPr>
        <w:rPr>
          <w:rFonts w:eastAsia="Calibri"/>
          <w:color w:val="000000"/>
          <w:sz w:val="26"/>
          <w:szCs w:val="26"/>
        </w:rPr>
      </w:pPr>
      <w:r w:rsidRPr="00C72D8B">
        <w:rPr>
          <w:rFonts w:eastAsia="Calibri"/>
          <w:sz w:val="26"/>
          <w:szCs w:val="26"/>
        </w:rPr>
        <w:t>Initially, w</w:t>
      </w:r>
      <w:r w:rsidR="00003997" w:rsidRPr="00C72D8B">
        <w:rPr>
          <w:rFonts w:eastAsia="Calibri"/>
          <w:sz w:val="26"/>
          <w:szCs w:val="26"/>
        </w:rPr>
        <w:t xml:space="preserve">e note that any issue we do not specifically address herein has been duly considered and will be denied without further discussion.  It is well settled that we are not required to consider expressly or at length each contention or argument raised by the Parties.  </w:t>
      </w:r>
      <w:hyperlink r:id="rId8" w:history="1">
        <w:r w:rsidR="00003997" w:rsidRPr="00C72D8B">
          <w:rPr>
            <w:rFonts w:eastAsia="Calibri"/>
            <w:i/>
            <w:iCs/>
            <w:color w:val="000000"/>
            <w:sz w:val="26"/>
            <w:szCs w:val="26"/>
          </w:rPr>
          <w:t>Consolidated Rail Corporation v. Pa. PUC</w:t>
        </w:r>
        <w:r w:rsidR="00003997" w:rsidRPr="00C72D8B">
          <w:rPr>
            <w:rFonts w:eastAsia="Calibri"/>
            <w:i/>
            <w:color w:val="000000"/>
            <w:sz w:val="26"/>
            <w:szCs w:val="26"/>
          </w:rPr>
          <w:t xml:space="preserve">, </w:t>
        </w:r>
        <w:r w:rsidR="00003997" w:rsidRPr="00C72D8B">
          <w:rPr>
            <w:rFonts w:eastAsia="Calibri"/>
            <w:color w:val="000000"/>
            <w:sz w:val="26"/>
            <w:szCs w:val="26"/>
          </w:rPr>
          <w:t>625 A.2d 741 (Pa.</w:t>
        </w:r>
        <w:r w:rsidR="00E64034">
          <w:rPr>
            <w:rFonts w:eastAsia="Calibri"/>
            <w:color w:val="000000"/>
            <w:sz w:val="26"/>
            <w:szCs w:val="26"/>
          </w:rPr>
          <w:t> </w:t>
        </w:r>
        <w:r w:rsidR="00003997" w:rsidRPr="00C72D8B">
          <w:rPr>
            <w:rFonts w:eastAsia="Calibri"/>
            <w:color w:val="000000"/>
            <w:sz w:val="26"/>
            <w:szCs w:val="26"/>
          </w:rPr>
          <w:t>Cmwlth.</w:t>
        </w:r>
        <w:r w:rsidR="00E64034">
          <w:rPr>
            <w:rFonts w:eastAsia="Calibri"/>
            <w:color w:val="000000"/>
            <w:sz w:val="26"/>
            <w:szCs w:val="26"/>
          </w:rPr>
          <w:t> </w:t>
        </w:r>
        <w:r w:rsidR="00003997" w:rsidRPr="00C72D8B">
          <w:rPr>
            <w:rFonts w:eastAsia="Calibri"/>
            <w:color w:val="000000"/>
            <w:sz w:val="26"/>
            <w:szCs w:val="26"/>
          </w:rPr>
          <w:t>1993)</w:t>
        </w:r>
        <w:r w:rsidR="00003997" w:rsidRPr="00C72D8B">
          <w:rPr>
            <w:rFonts w:eastAsia="Calibri"/>
            <w:i/>
            <w:color w:val="000000"/>
            <w:sz w:val="26"/>
            <w:szCs w:val="26"/>
          </w:rPr>
          <w:t>;</w:t>
        </w:r>
      </w:hyperlink>
      <w:r w:rsidR="00003997" w:rsidRPr="00C72D8B">
        <w:rPr>
          <w:rFonts w:eastAsia="Calibri"/>
          <w:color w:val="000000"/>
          <w:sz w:val="26"/>
          <w:szCs w:val="26"/>
        </w:rPr>
        <w:t xml:space="preserve"> </w:t>
      </w:r>
      <w:r w:rsidR="00003997" w:rsidRPr="00C72D8B">
        <w:rPr>
          <w:rFonts w:eastAsia="Calibri"/>
          <w:i/>
          <w:color w:val="000000"/>
          <w:sz w:val="26"/>
          <w:szCs w:val="26"/>
        </w:rPr>
        <w:t>also</w:t>
      </w:r>
      <w:r w:rsidR="00003997" w:rsidRPr="00C72D8B">
        <w:rPr>
          <w:rFonts w:eastAsia="Calibri"/>
          <w:color w:val="000000"/>
          <w:sz w:val="26"/>
          <w:szCs w:val="26"/>
        </w:rPr>
        <w:t xml:space="preserve"> </w:t>
      </w:r>
      <w:r w:rsidR="00003997" w:rsidRPr="00C72D8B">
        <w:rPr>
          <w:rFonts w:eastAsia="Calibri"/>
          <w:i/>
          <w:iCs/>
          <w:color w:val="000000"/>
          <w:sz w:val="26"/>
          <w:szCs w:val="26"/>
        </w:rPr>
        <w:t xml:space="preserve">see, generally, </w:t>
      </w:r>
      <w:hyperlink r:id="rId9" w:history="1">
        <w:r w:rsidR="00003997" w:rsidRPr="00C72D8B">
          <w:rPr>
            <w:rFonts w:eastAsia="Calibri"/>
            <w:i/>
            <w:iCs/>
            <w:color w:val="000000"/>
            <w:sz w:val="26"/>
            <w:szCs w:val="26"/>
          </w:rPr>
          <w:t>University of Pennsylvania v. Pa. PUC</w:t>
        </w:r>
        <w:r w:rsidR="00003997" w:rsidRPr="00E64034">
          <w:rPr>
            <w:rFonts w:eastAsia="Calibri"/>
            <w:iCs/>
            <w:color w:val="000000"/>
            <w:sz w:val="26"/>
            <w:szCs w:val="26"/>
          </w:rPr>
          <w:t>,</w:t>
        </w:r>
        <w:r w:rsidR="00003997" w:rsidRPr="00C72D8B">
          <w:rPr>
            <w:rFonts w:eastAsia="Calibri"/>
            <w:i/>
            <w:color w:val="000000"/>
            <w:sz w:val="26"/>
            <w:szCs w:val="26"/>
          </w:rPr>
          <w:t xml:space="preserve"> </w:t>
        </w:r>
        <w:r w:rsidR="00003997" w:rsidRPr="00C72D8B">
          <w:rPr>
            <w:rFonts w:eastAsia="Calibri"/>
            <w:color w:val="000000"/>
            <w:sz w:val="26"/>
            <w:szCs w:val="26"/>
          </w:rPr>
          <w:t>485</w:t>
        </w:r>
        <w:r w:rsidR="00E64034">
          <w:rPr>
            <w:rFonts w:eastAsia="Calibri"/>
            <w:color w:val="000000"/>
            <w:sz w:val="26"/>
            <w:szCs w:val="26"/>
          </w:rPr>
          <w:t> </w:t>
        </w:r>
        <w:r w:rsidR="00003997" w:rsidRPr="00C72D8B">
          <w:rPr>
            <w:rFonts w:eastAsia="Calibri"/>
            <w:color w:val="000000"/>
            <w:sz w:val="26"/>
            <w:szCs w:val="26"/>
          </w:rPr>
          <w:t>A.2d 1217 (Pa. Cmwlth. 1984).</w:t>
        </w:r>
      </w:hyperlink>
    </w:p>
    <w:p w14:paraId="4CA9F164" w14:textId="77777777" w:rsidR="00633F35" w:rsidRPr="00C72D8B" w:rsidRDefault="00633F35" w:rsidP="00003997">
      <w:pPr>
        <w:rPr>
          <w:rFonts w:eastAsia="Calibri"/>
          <w:color w:val="000000"/>
          <w:sz w:val="26"/>
          <w:szCs w:val="26"/>
        </w:rPr>
      </w:pPr>
    </w:p>
    <w:p w14:paraId="6CC08A34" w14:textId="0B26B8A4" w:rsidR="00003997" w:rsidRPr="00C72D8B" w:rsidRDefault="00003997" w:rsidP="00B12F3E">
      <w:pPr>
        <w:rPr>
          <w:rFonts w:eastAsia="Calibri"/>
          <w:sz w:val="26"/>
          <w:szCs w:val="26"/>
        </w:rPr>
      </w:pPr>
      <w:r w:rsidRPr="00C72D8B">
        <w:rPr>
          <w:rFonts w:eastAsia="Calibri"/>
          <w:sz w:val="26"/>
          <w:szCs w:val="26"/>
        </w:rPr>
        <w:t xml:space="preserve">The Public Utility Code (Code) establishes a party’s right to seek relief following the issuance of our final decisions pursuant to Subsections 703(f) and (g), 66 Pa. C.S. §§ 703(f) and 703(g), relating to rehearings, as well as the rescission and amendment of orders.  Such requests for relief must be consistent with Section 5.572 of our Regulations, 52 Pa. Code § 5.572, relating to petitions for relief following the issuance of a final decision.  The standards for granting a Petition for Reconsideration were set forth in </w:t>
      </w:r>
      <w:r w:rsidRPr="00C72D8B">
        <w:rPr>
          <w:rFonts w:eastAsia="Calibri"/>
          <w:i/>
          <w:sz w:val="26"/>
          <w:szCs w:val="26"/>
        </w:rPr>
        <w:t>Duick v. Pennsylvania Gas and Water Company</w:t>
      </w:r>
      <w:r w:rsidRPr="00C72D8B">
        <w:rPr>
          <w:rFonts w:eastAsia="Calibri"/>
          <w:sz w:val="26"/>
          <w:szCs w:val="26"/>
        </w:rPr>
        <w:t xml:space="preserve">, 1982 Pa. PUC Lexis 4, *12-13:  </w:t>
      </w:r>
    </w:p>
    <w:p w14:paraId="3182E141" w14:textId="77777777" w:rsidR="00003997" w:rsidRPr="00C72D8B" w:rsidRDefault="00003997" w:rsidP="00E64034">
      <w:pPr>
        <w:spacing w:line="240" w:lineRule="auto"/>
        <w:rPr>
          <w:rFonts w:eastAsia="Calibri"/>
          <w:sz w:val="26"/>
          <w:szCs w:val="26"/>
        </w:rPr>
      </w:pPr>
    </w:p>
    <w:p w14:paraId="2C20F1DD" w14:textId="49042D6B" w:rsidR="00003997" w:rsidRPr="00C72D8B" w:rsidRDefault="00003997" w:rsidP="00003997">
      <w:pPr>
        <w:spacing w:line="240" w:lineRule="auto"/>
        <w:ind w:left="1440" w:right="1440" w:firstLine="0"/>
        <w:rPr>
          <w:rFonts w:eastAsia="Calibri"/>
          <w:sz w:val="26"/>
          <w:szCs w:val="26"/>
        </w:rPr>
      </w:pPr>
      <w:r w:rsidRPr="00C72D8B">
        <w:rPr>
          <w:rFonts w:eastAsia="Calibri"/>
          <w:sz w:val="26"/>
          <w:szCs w:val="26"/>
        </w:rPr>
        <w:t xml:space="preserve">A Petition for Reconsideration, under the provisions of 66 Pa. C.S. § 703(g), may properly raise any matters designed to convince the Commission that it should exercise its discretion under this code section to rescind or amend a prior order in whole or in part.  </w:t>
      </w:r>
    </w:p>
    <w:p w14:paraId="06EB86ED" w14:textId="77777777" w:rsidR="00003997" w:rsidRPr="00C72D8B" w:rsidRDefault="00003997" w:rsidP="00003997">
      <w:pPr>
        <w:spacing w:line="240" w:lineRule="auto"/>
        <w:ind w:left="1440" w:right="1440" w:firstLine="0"/>
        <w:rPr>
          <w:rFonts w:eastAsia="Calibri"/>
          <w:sz w:val="26"/>
          <w:szCs w:val="26"/>
        </w:rPr>
      </w:pPr>
    </w:p>
    <w:p w14:paraId="14A3EB32" w14:textId="77777777" w:rsidR="00003997" w:rsidRPr="00C72D8B" w:rsidRDefault="00003997" w:rsidP="00003997">
      <w:pPr>
        <w:spacing w:line="240" w:lineRule="auto"/>
        <w:ind w:left="1440" w:right="1440" w:firstLine="720"/>
        <w:rPr>
          <w:rFonts w:eastAsia="Calibri"/>
          <w:sz w:val="26"/>
          <w:szCs w:val="26"/>
        </w:rPr>
      </w:pPr>
      <w:r w:rsidRPr="00C72D8B">
        <w:rPr>
          <w:rFonts w:eastAsia="Calibri"/>
          <w:sz w:val="26"/>
          <w:szCs w:val="26"/>
        </w:rPr>
        <w:t>In this regard we agree with the court in the Pennsyl</w:t>
      </w:r>
      <w:r w:rsidRPr="00C72D8B">
        <w:rPr>
          <w:rFonts w:eastAsia="Calibri"/>
          <w:sz w:val="26"/>
          <w:szCs w:val="26"/>
        </w:rPr>
        <w:softHyphen/>
        <w:t xml:space="preserve">vania Railroad Company case, wherein it was stated that:  </w:t>
      </w:r>
    </w:p>
    <w:p w14:paraId="6F82A05F" w14:textId="77777777" w:rsidR="00003997" w:rsidRPr="00C72D8B" w:rsidRDefault="00003997" w:rsidP="00003997">
      <w:pPr>
        <w:tabs>
          <w:tab w:val="left" w:pos="-720"/>
        </w:tabs>
        <w:spacing w:line="240" w:lineRule="auto"/>
        <w:ind w:left="2160" w:right="2160" w:firstLine="0"/>
        <w:rPr>
          <w:rFonts w:eastAsia="Calibri"/>
          <w:sz w:val="26"/>
          <w:szCs w:val="26"/>
        </w:rPr>
      </w:pPr>
    </w:p>
    <w:p w14:paraId="014F5A18" w14:textId="77777777" w:rsidR="00003997" w:rsidRPr="00C72D8B" w:rsidRDefault="00003997" w:rsidP="00003997">
      <w:pPr>
        <w:tabs>
          <w:tab w:val="left" w:pos="-720"/>
        </w:tabs>
        <w:spacing w:line="240" w:lineRule="auto"/>
        <w:ind w:left="2160" w:right="2160" w:firstLine="0"/>
        <w:rPr>
          <w:rFonts w:eastAsia="Calibri"/>
          <w:sz w:val="26"/>
          <w:szCs w:val="26"/>
        </w:rPr>
      </w:pPr>
      <w:r w:rsidRPr="00C72D8B">
        <w:rPr>
          <w:rFonts w:eastAsia="Calibri"/>
          <w:sz w:val="26"/>
          <w:szCs w:val="26"/>
        </w:rPr>
        <w:tab/>
        <w:t>Parties . . . cannot be permitted by a second motion to review and reconsider, to raise the same questions which were specifically considered and decided against them . . . what we expect to see raised in such petitions are new and novel arguments, not previously heard, or considera</w:t>
      </w:r>
      <w:r w:rsidRPr="00C72D8B">
        <w:rPr>
          <w:rFonts w:eastAsia="Calibri"/>
          <w:sz w:val="26"/>
          <w:szCs w:val="26"/>
        </w:rPr>
        <w:softHyphen/>
        <w:t xml:space="preserve">tions which appear to have been overlooked by the Commission.  </w:t>
      </w:r>
    </w:p>
    <w:p w14:paraId="207FF963" w14:textId="77777777" w:rsidR="00003997" w:rsidRPr="00C72D8B" w:rsidRDefault="00003997" w:rsidP="004376C0">
      <w:pPr>
        <w:tabs>
          <w:tab w:val="left" w:pos="-720"/>
        </w:tabs>
        <w:spacing w:line="480" w:lineRule="auto"/>
        <w:ind w:left="2160" w:right="2160" w:firstLine="0"/>
        <w:rPr>
          <w:rFonts w:eastAsia="Calibri"/>
          <w:sz w:val="26"/>
          <w:szCs w:val="26"/>
        </w:rPr>
      </w:pPr>
    </w:p>
    <w:p w14:paraId="688F178A" w14:textId="639058C1" w:rsidR="00003997" w:rsidRPr="00C72D8B" w:rsidRDefault="00003997" w:rsidP="00003997">
      <w:pPr>
        <w:suppressAutoHyphens/>
        <w:ind w:firstLine="0"/>
        <w:rPr>
          <w:rFonts w:eastAsia="Calibri"/>
          <w:color w:val="000000"/>
          <w:sz w:val="26"/>
          <w:szCs w:val="26"/>
          <w:u w:color="000000"/>
        </w:rPr>
      </w:pPr>
      <w:r w:rsidRPr="00C72D8B">
        <w:rPr>
          <w:rFonts w:eastAsia="Calibri"/>
          <w:color w:val="000000"/>
          <w:sz w:val="26"/>
          <w:szCs w:val="26"/>
          <w:u w:color="000000"/>
        </w:rPr>
        <w:tab/>
      </w:r>
      <w:r w:rsidRPr="00C72D8B">
        <w:rPr>
          <w:rFonts w:eastAsia="Calibri"/>
          <w:color w:val="000000"/>
          <w:sz w:val="26"/>
          <w:szCs w:val="26"/>
          <w:u w:color="000000"/>
        </w:rPr>
        <w:tab/>
        <w:t xml:space="preserve">Under the standards of </w:t>
      </w:r>
      <w:r w:rsidRPr="00C72D8B">
        <w:rPr>
          <w:rFonts w:eastAsia="Calibri"/>
          <w:i/>
          <w:color w:val="000000"/>
          <w:sz w:val="26"/>
          <w:szCs w:val="26"/>
          <w:u w:color="000000"/>
        </w:rPr>
        <w:t>Duick</w:t>
      </w:r>
      <w:r w:rsidRPr="00C72D8B">
        <w:rPr>
          <w:rFonts w:eastAsia="Calibri"/>
          <w:color w:val="000000"/>
          <w:sz w:val="26"/>
          <w:szCs w:val="26"/>
          <w:u w:color="000000"/>
        </w:rPr>
        <w:t xml:space="preserve">, a petition for reconsideration may properly raise any matter designed to convince this Commission that we should exercise our discretion to amend or rescind a prior Order, in whole or in part.  Such petitions are likely to succeed only when they raise “new and novel arguments” not previously heard or considerations which appear to have been overlooked or not addressed by the Commission.  </w:t>
      </w:r>
      <w:r w:rsidRPr="00C72D8B">
        <w:rPr>
          <w:rFonts w:eastAsia="Calibri"/>
          <w:i/>
          <w:color w:val="000000"/>
          <w:sz w:val="26"/>
          <w:szCs w:val="26"/>
          <w:u w:color="000000"/>
        </w:rPr>
        <w:t>Id</w:t>
      </w:r>
      <w:r w:rsidRPr="00C72D8B">
        <w:rPr>
          <w:rFonts w:eastAsia="Calibri"/>
          <w:color w:val="000000"/>
          <w:sz w:val="26"/>
          <w:szCs w:val="26"/>
          <w:u w:color="000000"/>
        </w:rPr>
        <w:t>. at *13.</w:t>
      </w:r>
    </w:p>
    <w:p w14:paraId="33A9CA64" w14:textId="77777777" w:rsidR="00633F35" w:rsidRPr="00C72D8B" w:rsidRDefault="00633F35" w:rsidP="00003997">
      <w:pPr>
        <w:suppressAutoHyphens/>
        <w:ind w:firstLine="0"/>
        <w:rPr>
          <w:rFonts w:eastAsia="Calibri"/>
          <w:color w:val="000000"/>
          <w:sz w:val="26"/>
          <w:szCs w:val="26"/>
          <w:u w:color="000000"/>
        </w:rPr>
      </w:pPr>
    </w:p>
    <w:p w14:paraId="596751F8" w14:textId="6E21099A" w:rsidR="00003997" w:rsidRPr="00C72D8B" w:rsidRDefault="00E50652" w:rsidP="003725FF">
      <w:pPr>
        <w:keepNext/>
        <w:ind w:firstLine="0"/>
        <w:rPr>
          <w:rFonts w:eastAsia="Calibri"/>
          <w:b/>
          <w:i/>
          <w:sz w:val="26"/>
          <w:szCs w:val="26"/>
        </w:rPr>
      </w:pPr>
      <w:r w:rsidRPr="00C72D8B">
        <w:rPr>
          <w:rFonts w:eastAsia="Calibri"/>
          <w:b/>
          <w:iCs/>
          <w:sz w:val="26"/>
          <w:szCs w:val="26"/>
        </w:rPr>
        <w:t>B.</w:t>
      </w:r>
      <w:r w:rsidRPr="00C72D8B">
        <w:rPr>
          <w:rFonts w:eastAsia="Calibri"/>
          <w:b/>
          <w:iCs/>
          <w:sz w:val="26"/>
          <w:szCs w:val="26"/>
        </w:rPr>
        <w:tab/>
      </w:r>
      <w:r w:rsidR="0067620A" w:rsidRPr="00C72D8B">
        <w:rPr>
          <w:rFonts w:eastAsia="Calibri"/>
          <w:b/>
          <w:i/>
          <w:sz w:val="26"/>
          <w:szCs w:val="26"/>
        </w:rPr>
        <w:t>February 2021</w:t>
      </w:r>
      <w:r w:rsidR="00003997" w:rsidRPr="00C72D8B">
        <w:rPr>
          <w:rFonts w:eastAsia="Calibri"/>
          <w:b/>
          <w:i/>
          <w:sz w:val="26"/>
          <w:szCs w:val="26"/>
        </w:rPr>
        <w:t xml:space="preserve"> Order</w:t>
      </w:r>
    </w:p>
    <w:p w14:paraId="6BC06FBB" w14:textId="49147EF6" w:rsidR="00003997" w:rsidRPr="00C72D8B" w:rsidRDefault="00003997" w:rsidP="003725FF">
      <w:pPr>
        <w:keepNext/>
        <w:ind w:firstLine="0"/>
        <w:rPr>
          <w:rFonts w:eastAsia="Calibri"/>
          <w:b/>
          <w:i/>
          <w:sz w:val="26"/>
          <w:szCs w:val="26"/>
        </w:rPr>
      </w:pPr>
    </w:p>
    <w:p w14:paraId="0A162F36" w14:textId="7414C500" w:rsidR="0058517F" w:rsidRPr="00C72D8B" w:rsidRDefault="0026565F" w:rsidP="003725FF">
      <w:pPr>
        <w:keepNext/>
        <w:contextualSpacing/>
        <w:rPr>
          <w:sz w:val="26"/>
          <w:szCs w:val="26"/>
        </w:rPr>
      </w:pPr>
      <w:r w:rsidRPr="00C72D8B">
        <w:rPr>
          <w:rFonts w:eastAsia="Calibri"/>
          <w:bCs/>
          <w:iCs/>
          <w:sz w:val="26"/>
          <w:szCs w:val="26"/>
        </w:rPr>
        <w:t xml:space="preserve">In the </w:t>
      </w:r>
      <w:r w:rsidRPr="00C72D8B">
        <w:rPr>
          <w:rFonts w:eastAsia="Calibri"/>
          <w:bCs/>
          <w:i/>
          <w:sz w:val="26"/>
          <w:szCs w:val="26"/>
        </w:rPr>
        <w:t xml:space="preserve">February </w:t>
      </w:r>
      <w:r w:rsidR="00981DF8" w:rsidRPr="00C72D8B">
        <w:rPr>
          <w:rFonts w:eastAsia="Calibri"/>
          <w:bCs/>
          <w:i/>
          <w:sz w:val="26"/>
          <w:szCs w:val="26"/>
        </w:rPr>
        <w:t>2021 Order</w:t>
      </w:r>
      <w:r w:rsidR="00981DF8" w:rsidRPr="00C72D8B">
        <w:rPr>
          <w:rFonts w:eastAsia="Calibri"/>
          <w:bCs/>
          <w:iCs/>
          <w:sz w:val="26"/>
          <w:szCs w:val="26"/>
        </w:rPr>
        <w:t xml:space="preserve">, we </w:t>
      </w:r>
      <w:r w:rsidR="000D6EC7" w:rsidRPr="00C72D8B">
        <w:rPr>
          <w:rFonts w:eastAsiaTheme="minorHAnsi"/>
          <w:sz w:val="26"/>
          <w:szCs w:val="26"/>
        </w:rPr>
        <w:t>reversed the ALJ’s recommendation to completely deny Columbia’s requested rate relief due to the pandemic</w:t>
      </w:r>
      <w:r w:rsidR="009276BB" w:rsidRPr="00C72D8B">
        <w:rPr>
          <w:rFonts w:eastAsiaTheme="minorHAnsi"/>
          <w:sz w:val="26"/>
          <w:szCs w:val="26"/>
        </w:rPr>
        <w:t xml:space="preserve"> and </w:t>
      </w:r>
      <w:r w:rsidR="000D6EC7" w:rsidRPr="00C72D8B">
        <w:rPr>
          <w:sz w:val="26"/>
          <w:szCs w:val="26"/>
        </w:rPr>
        <w:t xml:space="preserve">approved an annual revenue increase of </w:t>
      </w:r>
      <w:r w:rsidR="000D6EC7" w:rsidRPr="00C72D8B">
        <w:rPr>
          <w:rFonts w:eastAsia="Calibri"/>
          <w:sz w:val="26"/>
          <w:szCs w:val="26"/>
        </w:rPr>
        <w:t>$63,548,905</w:t>
      </w:r>
      <w:r w:rsidR="000D6EC7" w:rsidRPr="00C72D8B">
        <w:rPr>
          <w:sz w:val="26"/>
          <w:szCs w:val="26"/>
        </w:rPr>
        <w:t xml:space="preserve"> to the Company’s pro forma revenue at present rates of $572,769,574, or approximately 11.10%.</w:t>
      </w:r>
      <w:r w:rsidR="007C4157" w:rsidRPr="00C72D8B">
        <w:rPr>
          <w:sz w:val="26"/>
          <w:szCs w:val="26"/>
        </w:rPr>
        <w:t xml:space="preserve">  </w:t>
      </w:r>
      <w:r w:rsidR="00A704D6" w:rsidRPr="00C72D8B">
        <w:rPr>
          <w:sz w:val="26"/>
          <w:szCs w:val="26"/>
        </w:rPr>
        <w:t xml:space="preserve">In reaching our determination, </w:t>
      </w:r>
      <w:r w:rsidR="00F53164" w:rsidRPr="00C72D8B">
        <w:rPr>
          <w:sz w:val="26"/>
          <w:szCs w:val="26"/>
        </w:rPr>
        <w:t>we decline</w:t>
      </w:r>
      <w:r w:rsidR="00CE317F" w:rsidRPr="00C72D8B">
        <w:rPr>
          <w:sz w:val="26"/>
          <w:szCs w:val="26"/>
        </w:rPr>
        <w:t>d</w:t>
      </w:r>
      <w:r w:rsidR="00F53164" w:rsidRPr="00C72D8B">
        <w:rPr>
          <w:sz w:val="26"/>
          <w:szCs w:val="26"/>
        </w:rPr>
        <w:t xml:space="preserve"> to adopt the ALJ’s recommendation to completely deny Columbia’s requested rate </w:t>
      </w:r>
      <w:r w:rsidR="005E72C7" w:rsidRPr="00C72D8B">
        <w:rPr>
          <w:sz w:val="26"/>
          <w:szCs w:val="26"/>
        </w:rPr>
        <w:t>relief</w:t>
      </w:r>
      <w:r w:rsidR="00F53164" w:rsidRPr="00C72D8B">
        <w:rPr>
          <w:sz w:val="26"/>
          <w:szCs w:val="26"/>
        </w:rPr>
        <w:t>, for the following two reasons:</w:t>
      </w:r>
      <w:r w:rsidR="00633F35" w:rsidRPr="00C72D8B">
        <w:rPr>
          <w:sz w:val="26"/>
          <w:szCs w:val="26"/>
        </w:rPr>
        <w:t xml:space="preserve"> </w:t>
      </w:r>
      <w:r w:rsidR="00F53164" w:rsidRPr="00C72D8B">
        <w:rPr>
          <w:sz w:val="26"/>
          <w:szCs w:val="26"/>
        </w:rPr>
        <w:t xml:space="preserve"> (1) the continued use of traditional ratemaking methodologies during th</w:t>
      </w:r>
      <w:r w:rsidR="00B72BAE" w:rsidRPr="00C72D8B">
        <w:rPr>
          <w:sz w:val="26"/>
          <w:szCs w:val="26"/>
        </w:rPr>
        <w:t>e</w:t>
      </w:r>
      <w:r w:rsidR="00F53164" w:rsidRPr="00C72D8B">
        <w:rPr>
          <w:sz w:val="26"/>
          <w:szCs w:val="26"/>
        </w:rPr>
        <w:t xml:space="preserve"> pandemic is consistent with the setting of just and reasonable rates and the constitutional standards established in </w:t>
      </w:r>
      <w:r w:rsidR="001004A2" w:rsidRPr="00C72D8B">
        <w:rPr>
          <w:i/>
          <w:sz w:val="26"/>
          <w:szCs w:val="26"/>
        </w:rPr>
        <w:t>Bluefield Water Works and Improvement Co. v. Public Service Comm’n of West Virginia</w:t>
      </w:r>
      <w:r w:rsidR="001004A2" w:rsidRPr="00C72D8B">
        <w:rPr>
          <w:iCs/>
          <w:sz w:val="26"/>
          <w:szCs w:val="26"/>
        </w:rPr>
        <w:t>,</w:t>
      </w:r>
      <w:r w:rsidR="001004A2" w:rsidRPr="00C72D8B">
        <w:rPr>
          <w:sz w:val="26"/>
          <w:szCs w:val="26"/>
        </w:rPr>
        <w:t xml:space="preserve"> 262 U.S. 679, 692-93 (1923) (</w:t>
      </w:r>
      <w:r w:rsidR="001004A2" w:rsidRPr="00C72D8B">
        <w:rPr>
          <w:i/>
          <w:sz w:val="26"/>
          <w:szCs w:val="26"/>
        </w:rPr>
        <w:t>Bluefield</w:t>
      </w:r>
      <w:r w:rsidR="001004A2" w:rsidRPr="00C72D8B">
        <w:rPr>
          <w:sz w:val="26"/>
          <w:szCs w:val="26"/>
        </w:rPr>
        <w:t xml:space="preserve">) and </w:t>
      </w:r>
      <w:r w:rsidR="001004A2" w:rsidRPr="00C72D8B">
        <w:rPr>
          <w:i/>
          <w:sz w:val="26"/>
          <w:szCs w:val="26"/>
        </w:rPr>
        <w:t>Federal Power Commission v. Hope Natural Gas Co.</w:t>
      </w:r>
      <w:r w:rsidR="001004A2" w:rsidRPr="00C72D8B">
        <w:rPr>
          <w:iCs/>
          <w:sz w:val="26"/>
          <w:szCs w:val="26"/>
        </w:rPr>
        <w:t>,</w:t>
      </w:r>
      <w:r w:rsidR="001004A2" w:rsidRPr="00C72D8B">
        <w:rPr>
          <w:i/>
          <w:sz w:val="26"/>
          <w:szCs w:val="26"/>
        </w:rPr>
        <w:t xml:space="preserve"> </w:t>
      </w:r>
      <w:r w:rsidR="001004A2" w:rsidRPr="00C72D8B">
        <w:rPr>
          <w:sz w:val="26"/>
          <w:szCs w:val="26"/>
        </w:rPr>
        <w:t>320</w:t>
      </w:r>
      <w:r w:rsidR="004376C0">
        <w:rPr>
          <w:sz w:val="26"/>
          <w:szCs w:val="26"/>
        </w:rPr>
        <w:t> </w:t>
      </w:r>
      <w:r w:rsidR="001004A2" w:rsidRPr="00C72D8B">
        <w:rPr>
          <w:sz w:val="26"/>
          <w:szCs w:val="26"/>
        </w:rPr>
        <w:t>U.S.</w:t>
      </w:r>
      <w:r w:rsidR="004376C0">
        <w:rPr>
          <w:sz w:val="26"/>
          <w:szCs w:val="26"/>
        </w:rPr>
        <w:t> </w:t>
      </w:r>
      <w:r w:rsidR="001004A2" w:rsidRPr="00C72D8B">
        <w:rPr>
          <w:sz w:val="26"/>
          <w:szCs w:val="26"/>
        </w:rPr>
        <w:t>591, 603 (1944) (</w:t>
      </w:r>
      <w:r w:rsidR="001004A2" w:rsidRPr="00C72D8B">
        <w:rPr>
          <w:i/>
          <w:sz w:val="26"/>
          <w:szCs w:val="26"/>
        </w:rPr>
        <w:t>Hope Natural Gas</w:t>
      </w:r>
      <w:r w:rsidR="001004A2" w:rsidRPr="00C72D8B">
        <w:rPr>
          <w:sz w:val="26"/>
          <w:szCs w:val="26"/>
        </w:rPr>
        <w:t>)</w:t>
      </w:r>
      <w:r w:rsidR="00F53164" w:rsidRPr="00C72D8B">
        <w:rPr>
          <w:sz w:val="26"/>
          <w:szCs w:val="26"/>
        </w:rPr>
        <w:t>, and the pandemic d</w:t>
      </w:r>
      <w:r w:rsidR="00EF16FC" w:rsidRPr="00C72D8B">
        <w:rPr>
          <w:sz w:val="26"/>
          <w:szCs w:val="26"/>
        </w:rPr>
        <w:t>id</w:t>
      </w:r>
      <w:r w:rsidR="00F53164" w:rsidRPr="00C72D8B">
        <w:rPr>
          <w:sz w:val="26"/>
          <w:szCs w:val="26"/>
        </w:rPr>
        <w:t xml:space="preserve"> not change the continued application of these standards; and (2) there </w:t>
      </w:r>
      <w:r w:rsidR="004444B0" w:rsidRPr="00C72D8B">
        <w:rPr>
          <w:sz w:val="26"/>
          <w:szCs w:val="26"/>
        </w:rPr>
        <w:t>was</w:t>
      </w:r>
      <w:r w:rsidR="00F53164" w:rsidRPr="00C72D8B">
        <w:rPr>
          <w:sz w:val="26"/>
          <w:szCs w:val="26"/>
        </w:rPr>
        <w:t xml:space="preserve"> a lack of substantial evidence in th</w:t>
      </w:r>
      <w:r w:rsidR="004444B0" w:rsidRPr="00C72D8B">
        <w:rPr>
          <w:sz w:val="26"/>
          <w:szCs w:val="26"/>
        </w:rPr>
        <w:t>e</w:t>
      </w:r>
      <w:r w:rsidR="00F53164" w:rsidRPr="00C72D8B">
        <w:rPr>
          <w:sz w:val="26"/>
          <w:szCs w:val="26"/>
        </w:rPr>
        <w:t xml:space="preserve"> record to support the ALJ’s recommendation to completely deny the Company’s requested rate increase.</w:t>
      </w:r>
      <w:r w:rsidR="000F361E" w:rsidRPr="00C72D8B">
        <w:rPr>
          <w:sz w:val="26"/>
          <w:szCs w:val="26"/>
        </w:rPr>
        <w:t xml:space="preserve">  </w:t>
      </w:r>
      <w:r w:rsidR="00394C54" w:rsidRPr="00C72D8B">
        <w:rPr>
          <w:i/>
          <w:iCs/>
          <w:sz w:val="26"/>
          <w:szCs w:val="26"/>
        </w:rPr>
        <w:t>February 2021 Order</w:t>
      </w:r>
      <w:r w:rsidR="00394C54" w:rsidRPr="00C72D8B">
        <w:rPr>
          <w:sz w:val="26"/>
          <w:szCs w:val="26"/>
        </w:rPr>
        <w:t xml:space="preserve"> at 42.</w:t>
      </w:r>
      <w:r w:rsidR="003725FF" w:rsidRPr="00C72D8B">
        <w:rPr>
          <w:sz w:val="26"/>
          <w:szCs w:val="26"/>
        </w:rPr>
        <w:t xml:space="preserve">  </w:t>
      </w:r>
    </w:p>
    <w:p w14:paraId="697A3B57" w14:textId="77777777" w:rsidR="00741CE4" w:rsidRPr="00C72D8B" w:rsidRDefault="00741CE4" w:rsidP="002E78AD">
      <w:pPr>
        <w:contextualSpacing/>
        <w:rPr>
          <w:sz w:val="26"/>
          <w:szCs w:val="26"/>
        </w:rPr>
      </w:pPr>
    </w:p>
    <w:p w14:paraId="6F01AE73" w14:textId="232FC97C" w:rsidR="000107D0" w:rsidRPr="00C72D8B" w:rsidRDefault="00347A56" w:rsidP="002E78AD">
      <w:pPr>
        <w:contextualSpacing/>
        <w:rPr>
          <w:sz w:val="26"/>
          <w:szCs w:val="26"/>
        </w:rPr>
      </w:pPr>
      <w:r w:rsidRPr="00C72D8B">
        <w:rPr>
          <w:sz w:val="26"/>
          <w:szCs w:val="26"/>
        </w:rPr>
        <w:t xml:space="preserve">We </w:t>
      </w:r>
      <w:r w:rsidR="00D04B0F" w:rsidRPr="00C72D8B">
        <w:rPr>
          <w:sz w:val="26"/>
          <w:szCs w:val="26"/>
        </w:rPr>
        <w:t xml:space="preserve">stated that the </w:t>
      </w:r>
      <w:r w:rsidRPr="00C72D8B">
        <w:rPr>
          <w:sz w:val="26"/>
          <w:szCs w:val="26"/>
        </w:rPr>
        <w:t>continued use of traditional ratemaking methodologies</w:t>
      </w:r>
      <w:r w:rsidR="009907F8" w:rsidRPr="00C72D8B">
        <w:rPr>
          <w:sz w:val="26"/>
          <w:szCs w:val="26"/>
        </w:rPr>
        <w:t xml:space="preserve"> would </w:t>
      </w:r>
      <w:r w:rsidRPr="00C72D8B">
        <w:rPr>
          <w:sz w:val="26"/>
          <w:szCs w:val="26"/>
        </w:rPr>
        <w:t>allow for the factoring in of important ratemaking principles, such as quality of service, gradualism, and rate affordability in setting just and reasonable rates during th</w:t>
      </w:r>
      <w:r w:rsidR="00AA333F" w:rsidRPr="00C72D8B">
        <w:rPr>
          <w:sz w:val="26"/>
          <w:szCs w:val="26"/>
        </w:rPr>
        <w:t>e</w:t>
      </w:r>
      <w:r w:rsidRPr="00C72D8B">
        <w:rPr>
          <w:sz w:val="26"/>
          <w:szCs w:val="26"/>
        </w:rPr>
        <w:t xml:space="preserve"> pandemic a</w:t>
      </w:r>
      <w:r w:rsidR="00CF14B2" w:rsidRPr="00C72D8B">
        <w:rPr>
          <w:sz w:val="26"/>
          <w:szCs w:val="26"/>
        </w:rPr>
        <w:t xml:space="preserve">s well as </w:t>
      </w:r>
      <w:r w:rsidRPr="00C72D8B">
        <w:rPr>
          <w:sz w:val="26"/>
          <w:szCs w:val="26"/>
        </w:rPr>
        <w:t>consideration of evidence of the impact of th</w:t>
      </w:r>
      <w:r w:rsidR="006D3556" w:rsidRPr="00C72D8B">
        <w:rPr>
          <w:sz w:val="26"/>
          <w:szCs w:val="26"/>
        </w:rPr>
        <w:t>e</w:t>
      </w:r>
      <w:r w:rsidRPr="00C72D8B">
        <w:rPr>
          <w:sz w:val="26"/>
          <w:szCs w:val="26"/>
        </w:rPr>
        <w:t xml:space="preserve"> pandemic in </w:t>
      </w:r>
      <w:r w:rsidR="006D3556" w:rsidRPr="00C72D8B">
        <w:rPr>
          <w:sz w:val="26"/>
          <w:szCs w:val="26"/>
        </w:rPr>
        <w:t>ev</w:t>
      </w:r>
      <w:r w:rsidR="00226906" w:rsidRPr="00C72D8B">
        <w:rPr>
          <w:sz w:val="26"/>
          <w:szCs w:val="26"/>
        </w:rPr>
        <w:t>aluating</w:t>
      </w:r>
      <w:r w:rsidRPr="00C72D8B">
        <w:rPr>
          <w:sz w:val="26"/>
          <w:szCs w:val="26"/>
        </w:rPr>
        <w:t xml:space="preserve"> the Company’s cost of providing service.  </w:t>
      </w:r>
      <w:r w:rsidR="009E49A0" w:rsidRPr="00C72D8B">
        <w:rPr>
          <w:sz w:val="26"/>
          <w:szCs w:val="26"/>
        </w:rPr>
        <w:t xml:space="preserve">Based on our </w:t>
      </w:r>
      <w:r w:rsidR="005B251C" w:rsidRPr="00C72D8B">
        <w:rPr>
          <w:sz w:val="26"/>
          <w:szCs w:val="26"/>
        </w:rPr>
        <w:t xml:space="preserve">consideration of the evidence in this case, </w:t>
      </w:r>
      <w:r w:rsidR="002E78AD" w:rsidRPr="00C72D8B">
        <w:rPr>
          <w:sz w:val="26"/>
          <w:szCs w:val="26"/>
        </w:rPr>
        <w:t>we f</w:t>
      </w:r>
      <w:r w:rsidR="005B251C" w:rsidRPr="00C72D8B">
        <w:rPr>
          <w:sz w:val="26"/>
          <w:szCs w:val="26"/>
        </w:rPr>
        <w:t>ound</w:t>
      </w:r>
      <w:r w:rsidR="002E78AD" w:rsidRPr="00C72D8B">
        <w:rPr>
          <w:sz w:val="26"/>
          <w:szCs w:val="26"/>
        </w:rPr>
        <w:t xml:space="preserve"> </w:t>
      </w:r>
      <w:r w:rsidR="006A5FB1" w:rsidRPr="00C72D8B">
        <w:rPr>
          <w:sz w:val="26"/>
          <w:szCs w:val="26"/>
        </w:rPr>
        <w:t xml:space="preserve">that </w:t>
      </w:r>
      <w:r w:rsidR="002E78AD" w:rsidRPr="00C72D8B">
        <w:rPr>
          <w:sz w:val="26"/>
          <w:szCs w:val="26"/>
        </w:rPr>
        <w:t xml:space="preserve">the </w:t>
      </w:r>
      <w:r w:rsidR="005B251C" w:rsidRPr="00C72D8B">
        <w:rPr>
          <w:sz w:val="26"/>
          <w:szCs w:val="26"/>
        </w:rPr>
        <w:t xml:space="preserve">ALJ’s </w:t>
      </w:r>
      <w:r w:rsidR="002E78AD" w:rsidRPr="00C72D8B">
        <w:rPr>
          <w:sz w:val="26"/>
          <w:szCs w:val="26"/>
        </w:rPr>
        <w:t xml:space="preserve">justifications </w:t>
      </w:r>
      <w:r w:rsidR="00AB7C06" w:rsidRPr="00C72D8B">
        <w:rPr>
          <w:sz w:val="26"/>
          <w:szCs w:val="26"/>
        </w:rPr>
        <w:t>to</w:t>
      </w:r>
      <w:r w:rsidR="002E78AD" w:rsidRPr="00C72D8B">
        <w:rPr>
          <w:sz w:val="26"/>
          <w:szCs w:val="26"/>
        </w:rPr>
        <w:t xml:space="preserve"> deny the Company’s requested rate increase </w:t>
      </w:r>
      <w:r w:rsidR="00AB7C06" w:rsidRPr="00C72D8B">
        <w:rPr>
          <w:sz w:val="26"/>
          <w:szCs w:val="26"/>
        </w:rPr>
        <w:t>in its entirety we</w:t>
      </w:r>
      <w:r w:rsidR="002E78AD" w:rsidRPr="00C72D8B">
        <w:rPr>
          <w:sz w:val="26"/>
          <w:szCs w:val="26"/>
        </w:rPr>
        <w:t>re not supported by substantial evidence in th</w:t>
      </w:r>
      <w:r w:rsidR="000107D0" w:rsidRPr="00C72D8B">
        <w:rPr>
          <w:sz w:val="26"/>
          <w:szCs w:val="26"/>
        </w:rPr>
        <w:t>e</w:t>
      </w:r>
      <w:r w:rsidR="002E78AD" w:rsidRPr="00C72D8B">
        <w:rPr>
          <w:sz w:val="26"/>
          <w:szCs w:val="26"/>
        </w:rPr>
        <w:t xml:space="preserve"> record.  </w:t>
      </w:r>
      <w:r w:rsidR="00EA6ABA" w:rsidRPr="00C72D8B">
        <w:rPr>
          <w:i/>
          <w:iCs/>
          <w:sz w:val="26"/>
          <w:szCs w:val="26"/>
        </w:rPr>
        <w:t>Id</w:t>
      </w:r>
      <w:r w:rsidR="00EA6ABA" w:rsidRPr="00C72D8B">
        <w:rPr>
          <w:sz w:val="26"/>
          <w:szCs w:val="26"/>
        </w:rPr>
        <w:t xml:space="preserve">. at 51.  </w:t>
      </w:r>
    </w:p>
    <w:p w14:paraId="25EEC797" w14:textId="1D042A74" w:rsidR="000107D0" w:rsidRPr="00C72D8B" w:rsidRDefault="000107D0" w:rsidP="002E78AD">
      <w:pPr>
        <w:contextualSpacing/>
        <w:rPr>
          <w:sz w:val="26"/>
          <w:szCs w:val="26"/>
        </w:rPr>
      </w:pPr>
    </w:p>
    <w:p w14:paraId="787CDCCC" w14:textId="06DC92E5" w:rsidR="00D6648D" w:rsidRPr="00C72D8B" w:rsidRDefault="007E5C59" w:rsidP="002E78AD">
      <w:pPr>
        <w:contextualSpacing/>
        <w:rPr>
          <w:sz w:val="26"/>
          <w:szCs w:val="26"/>
        </w:rPr>
      </w:pPr>
      <w:r w:rsidRPr="00C72D8B">
        <w:rPr>
          <w:sz w:val="26"/>
          <w:szCs w:val="26"/>
        </w:rPr>
        <w:t>In addressing the ALJ’s determination and the Parties’ positions in support of denying the Company’s rate increase request in its entirety</w:t>
      </w:r>
      <w:r w:rsidR="002E78AD" w:rsidRPr="00C72D8B">
        <w:rPr>
          <w:sz w:val="26"/>
          <w:szCs w:val="26"/>
        </w:rPr>
        <w:t xml:space="preserve">, </w:t>
      </w:r>
      <w:r w:rsidR="0038052D" w:rsidRPr="00C72D8B">
        <w:rPr>
          <w:sz w:val="26"/>
          <w:szCs w:val="26"/>
        </w:rPr>
        <w:t xml:space="preserve">we </w:t>
      </w:r>
      <w:r w:rsidR="007876C3" w:rsidRPr="00C72D8B">
        <w:rPr>
          <w:sz w:val="26"/>
          <w:szCs w:val="26"/>
        </w:rPr>
        <w:t xml:space="preserve">noted that </w:t>
      </w:r>
      <w:r w:rsidR="002E78AD" w:rsidRPr="00C72D8B">
        <w:rPr>
          <w:sz w:val="26"/>
          <w:szCs w:val="26"/>
        </w:rPr>
        <w:t>the ALJ cited unemployment rates of 8.8% to 19.2% of the working population in Columbia’s service area</w:t>
      </w:r>
      <w:r w:rsidR="003E7315" w:rsidRPr="00C72D8B">
        <w:rPr>
          <w:sz w:val="26"/>
          <w:szCs w:val="26"/>
        </w:rPr>
        <w:t xml:space="preserve"> in discussing the pandemic’s impact on customers</w:t>
      </w:r>
      <w:r w:rsidR="002E78AD" w:rsidRPr="00C72D8B">
        <w:rPr>
          <w:sz w:val="26"/>
          <w:szCs w:val="26"/>
        </w:rPr>
        <w:t xml:space="preserve">.  </w:t>
      </w:r>
      <w:r w:rsidR="00F17CD9" w:rsidRPr="00C72D8B">
        <w:rPr>
          <w:i/>
          <w:iCs/>
          <w:sz w:val="26"/>
          <w:szCs w:val="26"/>
        </w:rPr>
        <w:t>Id</w:t>
      </w:r>
      <w:r w:rsidR="00F17CD9" w:rsidRPr="00C72D8B">
        <w:rPr>
          <w:sz w:val="26"/>
          <w:szCs w:val="26"/>
        </w:rPr>
        <w:t xml:space="preserve">. (citing </w:t>
      </w:r>
      <w:r w:rsidR="002E78AD" w:rsidRPr="00C72D8B">
        <w:rPr>
          <w:sz w:val="26"/>
          <w:szCs w:val="26"/>
        </w:rPr>
        <w:t>R.D. at 48</w:t>
      </w:r>
      <w:r w:rsidR="00F17CD9" w:rsidRPr="00C72D8B">
        <w:rPr>
          <w:sz w:val="26"/>
          <w:szCs w:val="26"/>
        </w:rPr>
        <w:t>)</w:t>
      </w:r>
      <w:r w:rsidR="002E78AD" w:rsidRPr="00C72D8B">
        <w:rPr>
          <w:sz w:val="26"/>
          <w:szCs w:val="26"/>
        </w:rPr>
        <w:t xml:space="preserve">.  </w:t>
      </w:r>
      <w:r w:rsidR="00415395" w:rsidRPr="00C72D8B">
        <w:rPr>
          <w:sz w:val="26"/>
          <w:szCs w:val="26"/>
        </w:rPr>
        <w:t>W</w:t>
      </w:r>
      <w:r w:rsidR="002E78AD" w:rsidRPr="00C72D8B">
        <w:rPr>
          <w:sz w:val="26"/>
          <w:szCs w:val="26"/>
        </w:rPr>
        <w:t>e acknowledge</w:t>
      </w:r>
      <w:r w:rsidR="00415395" w:rsidRPr="00C72D8B">
        <w:rPr>
          <w:sz w:val="26"/>
          <w:szCs w:val="26"/>
        </w:rPr>
        <w:t>d</w:t>
      </w:r>
      <w:r w:rsidR="002E78AD" w:rsidRPr="00C72D8B">
        <w:rPr>
          <w:sz w:val="26"/>
          <w:szCs w:val="26"/>
        </w:rPr>
        <w:t xml:space="preserve"> the gravity of these unemployment statistics, </w:t>
      </w:r>
      <w:r w:rsidR="00415395" w:rsidRPr="00C72D8B">
        <w:rPr>
          <w:sz w:val="26"/>
          <w:szCs w:val="26"/>
        </w:rPr>
        <w:t xml:space="preserve">but </w:t>
      </w:r>
      <w:r w:rsidR="00CE6426" w:rsidRPr="00C72D8B">
        <w:rPr>
          <w:sz w:val="26"/>
          <w:szCs w:val="26"/>
        </w:rPr>
        <w:t xml:space="preserve">concluded that </w:t>
      </w:r>
      <w:r w:rsidR="009B06FF" w:rsidRPr="00C72D8B">
        <w:rPr>
          <w:sz w:val="26"/>
          <w:szCs w:val="26"/>
        </w:rPr>
        <w:t xml:space="preserve">the </w:t>
      </w:r>
      <w:r w:rsidR="002F7BBC" w:rsidRPr="00C72D8B">
        <w:rPr>
          <w:sz w:val="26"/>
          <w:szCs w:val="26"/>
        </w:rPr>
        <w:t>P</w:t>
      </w:r>
      <w:r w:rsidR="009B06FF" w:rsidRPr="00C72D8B">
        <w:rPr>
          <w:sz w:val="26"/>
          <w:szCs w:val="26"/>
        </w:rPr>
        <w:t xml:space="preserve">arties did not </w:t>
      </w:r>
      <w:r w:rsidR="002E78AD" w:rsidRPr="00C72D8B">
        <w:rPr>
          <w:sz w:val="26"/>
          <w:szCs w:val="26"/>
        </w:rPr>
        <w:t xml:space="preserve">demonstrate with substantial evidence that the impact of </w:t>
      </w:r>
      <w:r w:rsidR="002E78AD" w:rsidRPr="00C72D8B">
        <w:rPr>
          <w:i/>
          <w:iCs/>
          <w:sz w:val="26"/>
          <w:szCs w:val="26"/>
        </w:rPr>
        <w:t>any</w:t>
      </w:r>
      <w:r w:rsidR="002E78AD" w:rsidRPr="00C72D8B">
        <w:rPr>
          <w:sz w:val="26"/>
          <w:szCs w:val="26"/>
        </w:rPr>
        <w:t xml:space="preserve"> rate increase on unemployed customers w</w:t>
      </w:r>
      <w:r w:rsidR="00611071" w:rsidRPr="00C72D8B">
        <w:rPr>
          <w:sz w:val="26"/>
          <w:szCs w:val="26"/>
        </w:rPr>
        <w:t>ould</w:t>
      </w:r>
      <w:r w:rsidR="002E78AD" w:rsidRPr="00C72D8B">
        <w:rPr>
          <w:sz w:val="26"/>
          <w:szCs w:val="26"/>
        </w:rPr>
        <w:t xml:space="preserve"> lead to harm that outweigh</w:t>
      </w:r>
      <w:r w:rsidR="00611071" w:rsidRPr="00C72D8B">
        <w:rPr>
          <w:sz w:val="26"/>
          <w:szCs w:val="26"/>
        </w:rPr>
        <w:t>ed</w:t>
      </w:r>
      <w:r w:rsidR="002E78AD" w:rsidRPr="00C72D8B">
        <w:rPr>
          <w:sz w:val="26"/>
          <w:szCs w:val="26"/>
        </w:rPr>
        <w:t xml:space="preserve"> all other valid ratemaking concerns “especially the polestar – cost of providing service.”  </w:t>
      </w:r>
      <w:r w:rsidR="00E53934" w:rsidRPr="00C72D8B">
        <w:rPr>
          <w:i/>
          <w:iCs/>
          <w:sz w:val="26"/>
          <w:szCs w:val="26"/>
        </w:rPr>
        <w:t>February 2021 Order</w:t>
      </w:r>
      <w:r w:rsidR="00E53934" w:rsidRPr="00C72D8B">
        <w:rPr>
          <w:sz w:val="26"/>
          <w:szCs w:val="26"/>
        </w:rPr>
        <w:t xml:space="preserve"> at 51 (citing </w:t>
      </w:r>
      <w:r w:rsidR="002E78AD" w:rsidRPr="00C72D8B">
        <w:rPr>
          <w:i/>
          <w:iCs/>
          <w:sz w:val="26"/>
          <w:szCs w:val="26"/>
        </w:rPr>
        <w:t>Lloyd</w:t>
      </w:r>
      <w:r w:rsidR="002E78AD" w:rsidRPr="00C72D8B">
        <w:rPr>
          <w:iCs/>
          <w:sz w:val="26"/>
          <w:szCs w:val="26"/>
        </w:rPr>
        <w:t>,</w:t>
      </w:r>
      <w:r w:rsidR="002E78AD" w:rsidRPr="00C72D8B">
        <w:rPr>
          <w:sz w:val="26"/>
          <w:szCs w:val="26"/>
        </w:rPr>
        <w:t xml:space="preserve"> 904 A.2d at 1020</w:t>
      </w:r>
      <w:r w:rsidR="00E53934" w:rsidRPr="00C72D8B">
        <w:rPr>
          <w:sz w:val="26"/>
          <w:szCs w:val="26"/>
        </w:rPr>
        <w:t>)</w:t>
      </w:r>
      <w:r w:rsidR="002E78AD" w:rsidRPr="00C72D8B">
        <w:rPr>
          <w:sz w:val="26"/>
          <w:szCs w:val="26"/>
        </w:rPr>
        <w:t xml:space="preserve">.  </w:t>
      </w:r>
      <w:r w:rsidR="00402388" w:rsidRPr="00C72D8B">
        <w:rPr>
          <w:sz w:val="26"/>
          <w:szCs w:val="26"/>
        </w:rPr>
        <w:t>We also stated the following</w:t>
      </w:r>
      <w:r w:rsidR="00D6648D" w:rsidRPr="00C72D8B">
        <w:rPr>
          <w:sz w:val="26"/>
          <w:szCs w:val="26"/>
        </w:rPr>
        <w:t xml:space="preserve">:  </w:t>
      </w:r>
    </w:p>
    <w:p w14:paraId="5AF9F83E" w14:textId="77777777" w:rsidR="00D6648D" w:rsidRPr="00C72D8B" w:rsidRDefault="00D6648D" w:rsidP="004376C0">
      <w:pPr>
        <w:spacing w:line="240" w:lineRule="auto"/>
        <w:contextualSpacing/>
        <w:rPr>
          <w:sz w:val="26"/>
          <w:szCs w:val="26"/>
        </w:rPr>
      </w:pPr>
    </w:p>
    <w:p w14:paraId="57567F74" w14:textId="6F0F8BA1" w:rsidR="007B3523" w:rsidRPr="00C72D8B" w:rsidRDefault="002E78AD" w:rsidP="00FC3D0A">
      <w:pPr>
        <w:spacing w:line="240" w:lineRule="auto"/>
        <w:ind w:left="1440" w:right="1440" w:firstLine="720"/>
        <w:contextualSpacing/>
        <w:rPr>
          <w:sz w:val="26"/>
          <w:szCs w:val="26"/>
        </w:rPr>
      </w:pPr>
      <w:r w:rsidRPr="00C72D8B">
        <w:rPr>
          <w:sz w:val="26"/>
          <w:szCs w:val="26"/>
        </w:rPr>
        <w:t xml:space="preserve">Furthermore, taking the approach of denying any rate relief due to rising unemployment numbers among residential customers is inconsistent with our prior rate orders issued during this pandemic: specifically, </w:t>
      </w:r>
      <w:r w:rsidR="00620EA7" w:rsidRPr="00C72D8B">
        <w:rPr>
          <w:sz w:val="26"/>
          <w:szCs w:val="26"/>
        </w:rPr>
        <w:t xml:space="preserve">the </w:t>
      </w:r>
      <w:r w:rsidRPr="00C72D8B">
        <w:rPr>
          <w:i/>
          <w:iCs/>
          <w:sz w:val="26"/>
          <w:szCs w:val="26"/>
        </w:rPr>
        <w:t>PGW Rate Order</w:t>
      </w:r>
      <w:r w:rsidRPr="00C72D8B">
        <w:rPr>
          <w:sz w:val="26"/>
          <w:szCs w:val="26"/>
        </w:rPr>
        <w:t xml:space="preserve">, the </w:t>
      </w:r>
    </w:p>
    <w:p w14:paraId="55A2D5BE" w14:textId="01EBF8D1" w:rsidR="002E78AD" w:rsidRPr="00C72D8B" w:rsidRDefault="002E78AD" w:rsidP="007B3523">
      <w:pPr>
        <w:spacing w:line="240" w:lineRule="auto"/>
        <w:ind w:left="1440" w:right="1440" w:firstLine="0"/>
        <w:contextualSpacing/>
        <w:rPr>
          <w:i/>
          <w:iCs/>
          <w:sz w:val="26"/>
          <w:szCs w:val="26"/>
        </w:rPr>
      </w:pPr>
      <w:r w:rsidRPr="00C72D8B">
        <w:rPr>
          <w:i/>
          <w:iCs/>
          <w:sz w:val="26"/>
          <w:szCs w:val="26"/>
        </w:rPr>
        <w:t>UGI Gas Rate Order</w:t>
      </w:r>
      <w:r w:rsidRPr="00C72D8B">
        <w:rPr>
          <w:sz w:val="26"/>
          <w:szCs w:val="26"/>
        </w:rPr>
        <w:t xml:space="preserve">, and the </w:t>
      </w:r>
      <w:r w:rsidRPr="00C72D8B">
        <w:rPr>
          <w:i/>
          <w:iCs/>
          <w:sz w:val="26"/>
          <w:szCs w:val="26"/>
        </w:rPr>
        <w:t>PWSA Rate Order</w:t>
      </w:r>
      <w:r w:rsidRPr="00C72D8B">
        <w:rPr>
          <w:sz w:val="26"/>
          <w:szCs w:val="26"/>
        </w:rPr>
        <w:t>,</w:t>
      </w:r>
      <w:r w:rsidR="00F40D1A" w:rsidRPr="00C72D8B">
        <w:rPr>
          <w:rStyle w:val="FootnoteReference"/>
          <w:sz w:val="26"/>
          <w:szCs w:val="26"/>
        </w:rPr>
        <w:footnoteReference w:id="4"/>
      </w:r>
      <w:r w:rsidRPr="00C72D8B">
        <w:rPr>
          <w:sz w:val="26"/>
          <w:szCs w:val="26"/>
        </w:rPr>
        <w:t xml:space="preserve"> where we granted rate increases despite rising unemployment numbers across the Commonwealth due to the pandemic.  No party in this proceeding has offered a rational basis to justify a different treatment under the circumstances here.  Indeed, we are not persuaded by the argument that the final rates in the other cases were the results of settlement agreements, as that fact alone does not change the reality that such settlements would not be effective unless approved under our ratemaking authority, and we clearly acknowledged the need for revenue increases during this pandemic for these companies by approving the settled-upon rate increases after we found that such settlements were in the public interest and resulted in just and reasonable rates.  </w:t>
      </w:r>
      <w:r w:rsidRPr="00C72D8B">
        <w:rPr>
          <w:i/>
          <w:iCs/>
          <w:sz w:val="26"/>
          <w:szCs w:val="26"/>
        </w:rPr>
        <w:t>See PGW Rate Order, UGI Gas Rate Order, PWSA Rate Order.</w:t>
      </w:r>
      <w:r w:rsidR="005031CD" w:rsidRPr="00C72D8B">
        <w:rPr>
          <w:rStyle w:val="FootnoteReference"/>
          <w:i/>
          <w:iCs/>
          <w:sz w:val="26"/>
          <w:szCs w:val="26"/>
        </w:rPr>
        <w:footnoteReference w:id="5"/>
      </w:r>
    </w:p>
    <w:p w14:paraId="54B5244B" w14:textId="77777777" w:rsidR="009C7DE1" w:rsidRPr="00C72D8B" w:rsidRDefault="009C7DE1" w:rsidP="007B3523">
      <w:pPr>
        <w:spacing w:line="240" w:lineRule="auto"/>
        <w:ind w:left="1440" w:right="1440" w:firstLine="0"/>
        <w:contextualSpacing/>
        <w:rPr>
          <w:sz w:val="26"/>
          <w:szCs w:val="26"/>
        </w:rPr>
      </w:pPr>
    </w:p>
    <w:p w14:paraId="75A6573D" w14:textId="64A83FDA" w:rsidR="000F0A86" w:rsidRPr="00C72D8B" w:rsidRDefault="000F0A86" w:rsidP="000F0A86">
      <w:pPr>
        <w:ind w:firstLine="0"/>
        <w:contextualSpacing/>
        <w:rPr>
          <w:sz w:val="26"/>
          <w:szCs w:val="26"/>
        </w:rPr>
      </w:pPr>
      <w:r w:rsidRPr="00C72D8B">
        <w:rPr>
          <w:i/>
          <w:iCs/>
          <w:sz w:val="26"/>
          <w:szCs w:val="26"/>
        </w:rPr>
        <w:t>February 2021 Order</w:t>
      </w:r>
      <w:r w:rsidRPr="00C72D8B">
        <w:rPr>
          <w:sz w:val="26"/>
          <w:szCs w:val="26"/>
        </w:rPr>
        <w:t xml:space="preserve"> at </w:t>
      </w:r>
      <w:r w:rsidR="001828EA" w:rsidRPr="00C72D8B">
        <w:rPr>
          <w:sz w:val="26"/>
          <w:szCs w:val="26"/>
        </w:rPr>
        <w:t>51-52.</w:t>
      </w:r>
      <w:r w:rsidR="007448AF" w:rsidRPr="00C72D8B">
        <w:rPr>
          <w:sz w:val="26"/>
          <w:szCs w:val="26"/>
        </w:rPr>
        <w:t xml:space="preserve">  </w:t>
      </w:r>
      <w:r w:rsidR="00F43B1C" w:rsidRPr="00C72D8B">
        <w:rPr>
          <w:sz w:val="26"/>
          <w:szCs w:val="26"/>
        </w:rPr>
        <w:t>We then provided a detailed analysis explaining why the ALJ’s decision was not supported by substantial evidence in the record.</w:t>
      </w:r>
      <w:r w:rsidR="00547580" w:rsidRPr="00C72D8B">
        <w:rPr>
          <w:sz w:val="26"/>
          <w:szCs w:val="26"/>
        </w:rPr>
        <w:t xml:space="preserve">  </w:t>
      </w:r>
      <w:r w:rsidR="00547580" w:rsidRPr="00C72D8B">
        <w:rPr>
          <w:i/>
          <w:iCs/>
          <w:sz w:val="26"/>
          <w:szCs w:val="26"/>
        </w:rPr>
        <w:t>Id</w:t>
      </w:r>
      <w:r w:rsidR="00547580" w:rsidRPr="00C72D8B">
        <w:rPr>
          <w:sz w:val="26"/>
          <w:szCs w:val="26"/>
        </w:rPr>
        <w:t>. at 52-54.</w:t>
      </w:r>
      <w:r w:rsidR="003725FF" w:rsidRPr="00C72D8B">
        <w:rPr>
          <w:sz w:val="26"/>
          <w:szCs w:val="26"/>
        </w:rPr>
        <w:t xml:space="preserve">  </w:t>
      </w:r>
      <w:r w:rsidR="001828EA" w:rsidRPr="00C72D8B">
        <w:rPr>
          <w:sz w:val="26"/>
          <w:szCs w:val="26"/>
        </w:rPr>
        <w:t xml:space="preserve"> </w:t>
      </w:r>
    </w:p>
    <w:p w14:paraId="530B1C41" w14:textId="77777777" w:rsidR="000F0A86" w:rsidRPr="00C72D8B" w:rsidRDefault="000F0A86" w:rsidP="00471026">
      <w:pPr>
        <w:contextualSpacing/>
        <w:rPr>
          <w:sz w:val="26"/>
          <w:szCs w:val="26"/>
        </w:rPr>
      </w:pPr>
    </w:p>
    <w:p w14:paraId="64F35609" w14:textId="08C7BECE" w:rsidR="00686315" w:rsidRPr="00C72D8B" w:rsidRDefault="00686315" w:rsidP="0058517F">
      <w:pPr>
        <w:contextualSpacing/>
        <w:rPr>
          <w:b/>
          <w:bCs/>
          <w:sz w:val="26"/>
          <w:szCs w:val="26"/>
        </w:rPr>
      </w:pPr>
      <w:r w:rsidRPr="00C72D8B">
        <w:rPr>
          <w:sz w:val="26"/>
          <w:szCs w:val="26"/>
        </w:rPr>
        <w:t xml:space="preserve">Having initially reached this conclusion, we proceeded to review the evidence and arguments </w:t>
      </w:r>
      <w:r w:rsidR="00547580" w:rsidRPr="00C72D8B">
        <w:rPr>
          <w:sz w:val="26"/>
          <w:szCs w:val="26"/>
        </w:rPr>
        <w:t xml:space="preserve">the Parties </w:t>
      </w:r>
      <w:r w:rsidRPr="00C72D8B">
        <w:rPr>
          <w:sz w:val="26"/>
          <w:szCs w:val="26"/>
        </w:rPr>
        <w:t xml:space="preserve">presented relating to Columbia’s requested revenue increase and in setting just and reasonable rates.  </w:t>
      </w:r>
      <w:r w:rsidRPr="00C72D8B">
        <w:rPr>
          <w:i/>
          <w:iCs/>
          <w:sz w:val="26"/>
          <w:szCs w:val="26"/>
        </w:rPr>
        <w:t>Id</w:t>
      </w:r>
      <w:r w:rsidRPr="00C72D8B">
        <w:rPr>
          <w:sz w:val="26"/>
          <w:szCs w:val="26"/>
        </w:rPr>
        <w:t>. at 54.</w:t>
      </w:r>
      <w:r w:rsidR="001A2C74" w:rsidRPr="00C72D8B">
        <w:rPr>
          <w:sz w:val="26"/>
          <w:szCs w:val="26"/>
        </w:rPr>
        <w:t xml:space="preserve">  In so doing, we, </w:t>
      </w:r>
      <w:r w:rsidR="001A2C74" w:rsidRPr="00C72D8B">
        <w:rPr>
          <w:i/>
          <w:iCs/>
          <w:sz w:val="26"/>
          <w:szCs w:val="26"/>
        </w:rPr>
        <w:t>inter alia</w:t>
      </w:r>
      <w:r w:rsidR="001A2C74" w:rsidRPr="00C72D8B">
        <w:rPr>
          <w:sz w:val="26"/>
          <w:szCs w:val="26"/>
        </w:rPr>
        <w:t xml:space="preserve">, granted a smaller overall rate increase than the Company requested, selected a lower rate of return than the Company originally proposed, eliminated certain projected expenses and capital spending from the Company’s claim, and made various directives concerning improvements to the Company’s low-income programs.  </w:t>
      </w:r>
      <w:r w:rsidR="001A2C74" w:rsidRPr="00C72D8B">
        <w:rPr>
          <w:i/>
          <w:iCs/>
          <w:sz w:val="26"/>
          <w:szCs w:val="26"/>
        </w:rPr>
        <w:t>February 2021</w:t>
      </w:r>
      <w:r w:rsidR="001A2C74" w:rsidRPr="00C72D8B">
        <w:rPr>
          <w:sz w:val="26"/>
          <w:szCs w:val="26"/>
        </w:rPr>
        <w:t xml:space="preserve"> </w:t>
      </w:r>
      <w:r w:rsidR="001A2C74" w:rsidRPr="00C72D8B">
        <w:rPr>
          <w:i/>
          <w:iCs/>
          <w:sz w:val="26"/>
          <w:szCs w:val="26"/>
        </w:rPr>
        <w:t xml:space="preserve">Order </w:t>
      </w:r>
      <w:r w:rsidR="001A2C74" w:rsidRPr="00C72D8B">
        <w:rPr>
          <w:sz w:val="26"/>
          <w:szCs w:val="26"/>
        </w:rPr>
        <w:t>at 61, 71</w:t>
      </w:r>
      <w:r w:rsidR="00917AE1">
        <w:rPr>
          <w:sz w:val="26"/>
          <w:szCs w:val="26"/>
        </w:rPr>
        <w:noBreakHyphen/>
      </w:r>
      <w:r w:rsidR="001A2C74" w:rsidRPr="00C72D8B">
        <w:rPr>
          <w:sz w:val="26"/>
          <w:szCs w:val="26"/>
        </w:rPr>
        <w:t xml:space="preserve">72, 82, 97, 141, 143, </w:t>
      </w:r>
      <w:r w:rsidR="00D14675" w:rsidRPr="00C72D8B">
        <w:rPr>
          <w:sz w:val="26"/>
          <w:szCs w:val="26"/>
        </w:rPr>
        <w:t xml:space="preserve">and </w:t>
      </w:r>
      <w:r w:rsidR="001A2C74" w:rsidRPr="00C72D8B">
        <w:rPr>
          <w:sz w:val="26"/>
          <w:szCs w:val="26"/>
        </w:rPr>
        <w:t xml:space="preserve">144-77.  </w:t>
      </w:r>
    </w:p>
    <w:p w14:paraId="21D328C1" w14:textId="3CCF41F7" w:rsidR="00686315" w:rsidRPr="00C72D8B" w:rsidRDefault="00686315" w:rsidP="0058517F">
      <w:pPr>
        <w:contextualSpacing/>
        <w:rPr>
          <w:b/>
          <w:bCs/>
          <w:sz w:val="26"/>
          <w:szCs w:val="26"/>
        </w:rPr>
      </w:pPr>
    </w:p>
    <w:p w14:paraId="4D97D70A" w14:textId="0F9AFD56" w:rsidR="00A66FB1" w:rsidRPr="00C72D8B" w:rsidRDefault="00F0456F" w:rsidP="00AC5B9F">
      <w:pPr>
        <w:ind w:firstLine="0"/>
        <w:rPr>
          <w:b/>
          <w:sz w:val="26"/>
          <w:szCs w:val="26"/>
        </w:rPr>
      </w:pPr>
      <w:r w:rsidRPr="00C72D8B">
        <w:rPr>
          <w:b/>
          <w:sz w:val="26"/>
          <w:szCs w:val="26"/>
        </w:rPr>
        <w:t>C.</w:t>
      </w:r>
      <w:r w:rsidRPr="00C72D8B">
        <w:rPr>
          <w:b/>
          <w:sz w:val="26"/>
          <w:szCs w:val="26"/>
        </w:rPr>
        <w:tab/>
      </w:r>
      <w:r w:rsidR="00A66FB1" w:rsidRPr="00C72D8B">
        <w:rPr>
          <w:b/>
          <w:sz w:val="26"/>
          <w:szCs w:val="26"/>
        </w:rPr>
        <w:t>Petition and Answer</w:t>
      </w:r>
    </w:p>
    <w:p w14:paraId="41D0D812" w14:textId="7E1BD486" w:rsidR="00780DB0" w:rsidRPr="00C72D8B" w:rsidRDefault="00780DB0" w:rsidP="00A66FB1">
      <w:pPr>
        <w:ind w:firstLine="720"/>
        <w:contextualSpacing/>
        <w:rPr>
          <w:sz w:val="26"/>
          <w:szCs w:val="26"/>
        </w:rPr>
      </w:pPr>
    </w:p>
    <w:p w14:paraId="0B77234F" w14:textId="2FC01F8F" w:rsidR="009D2CB1" w:rsidRPr="00C72D8B" w:rsidRDefault="00DD4F26" w:rsidP="00C72D8B">
      <w:pPr>
        <w:contextualSpacing/>
        <w:rPr>
          <w:sz w:val="26"/>
          <w:szCs w:val="26"/>
        </w:rPr>
      </w:pPr>
      <w:r w:rsidRPr="00C72D8B">
        <w:rPr>
          <w:sz w:val="26"/>
          <w:szCs w:val="26"/>
        </w:rPr>
        <w:t>In its Petition, t</w:t>
      </w:r>
      <w:r w:rsidR="0069767E" w:rsidRPr="00C72D8B">
        <w:rPr>
          <w:sz w:val="26"/>
          <w:szCs w:val="26"/>
        </w:rPr>
        <w:t xml:space="preserve">he OCA </w:t>
      </w:r>
      <w:r w:rsidRPr="00C72D8B">
        <w:rPr>
          <w:sz w:val="26"/>
          <w:szCs w:val="26"/>
        </w:rPr>
        <w:t xml:space="preserve">objects to the Commission’s </w:t>
      </w:r>
      <w:r w:rsidR="00D47DAF" w:rsidRPr="00C72D8B">
        <w:rPr>
          <w:sz w:val="26"/>
          <w:szCs w:val="26"/>
        </w:rPr>
        <w:t xml:space="preserve">reference to the </w:t>
      </w:r>
      <w:r w:rsidR="00D47DAF" w:rsidRPr="00C72D8B">
        <w:rPr>
          <w:i/>
          <w:iCs/>
          <w:sz w:val="26"/>
          <w:szCs w:val="26"/>
        </w:rPr>
        <w:t>Settled Base</w:t>
      </w:r>
      <w:r w:rsidR="004164B6" w:rsidRPr="00C72D8B">
        <w:rPr>
          <w:i/>
          <w:iCs/>
          <w:sz w:val="26"/>
          <w:szCs w:val="26"/>
        </w:rPr>
        <w:t xml:space="preserve"> Rate Case Orders</w:t>
      </w:r>
      <w:r w:rsidR="004164B6" w:rsidRPr="00C72D8B">
        <w:rPr>
          <w:sz w:val="26"/>
          <w:szCs w:val="26"/>
        </w:rPr>
        <w:t xml:space="preserve"> for three reasons.  First, the OCA a</w:t>
      </w:r>
      <w:r w:rsidR="00950062" w:rsidRPr="00C72D8B">
        <w:rPr>
          <w:sz w:val="26"/>
          <w:szCs w:val="26"/>
        </w:rPr>
        <w:t>rgu</w:t>
      </w:r>
      <w:r w:rsidR="004164B6" w:rsidRPr="00C72D8B">
        <w:rPr>
          <w:sz w:val="26"/>
          <w:szCs w:val="26"/>
        </w:rPr>
        <w:t xml:space="preserve">es that </w:t>
      </w:r>
      <w:r w:rsidR="001E268C" w:rsidRPr="00C72D8B">
        <w:rPr>
          <w:sz w:val="26"/>
          <w:szCs w:val="26"/>
        </w:rPr>
        <w:t>it is improper for settled cases to be used as precedent,</w:t>
      </w:r>
      <w:r w:rsidR="006A3E7C" w:rsidRPr="00C72D8B">
        <w:rPr>
          <w:sz w:val="26"/>
          <w:szCs w:val="26"/>
        </w:rPr>
        <w:t xml:space="preserve"> noting that the </w:t>
      </w:r>
      <w:r w:rsidR="006A3E7C" w:rsidRPr="00C72D8B">
        <w:rPr>
          <w:i/>
          <w:iCs/>
          <w:sz w:val="26"/>
          <w:szCs w:val="26"/>
        </w:rPr>
        <w:t>Settled Base Rate Case Orders</w:t>
      </w:r>
      <w:r w:rsidR="006A3E7C" w:rsidRPr="00C72D8B">
        <w:rPr>
          <w:sz w:val="26"/>
          <w:szCs w:val="26"/>
        </w:rPr>
        <w:t xml:space="preserve"> included standard language </w:t>
      </w:r>
      <w:r w:rsidR="00A92F02" w:rsidRPr="00C72D8B">
        <w:rPr>
          <w:sz w:val="26"/>
          <w:szCs w:val="26"/>
        </w:rPr>
        <w:t xml:space="preserve">that </w:t>
      </w:r>
      <w:r w:rsidR="0069138A" w:rsidRPr="00C72D8B">
        <w:rPr>
          <w:sz w:val="26"/>
          <w:szCs w:val="26"/>
        </w:rPr>
        <w:t xml:space="preserve">settlements may not be cited as precedent </w:t>
      </w:r>
      <w:r w:rsidR="00530F82" w:rsidRPr="00C72D8B">
        <w:rPr>
          <w:sz w:val="26"/>
          <w:szCs w:val="26"/>
        </w:rPr>
        <w:t xml:space="preserve">in future proceedings.  Petition at 6 (citing </w:t>
      </w:r>
      <w:r w:rsidR="001D6D78" w:rsidRPr="00C72D8B">
        <w:rPr>
          <w:i/>
          <w:iCs/>
          <w:sz w:val="26"/>
          <w:szCs w:val="26"/>
        </w:rPr>
        <w:t>HIKO Energy</w:t>
      </w:r>
      <w:r w:rsidR="00494F14" w:rsidRPr="00C72D8B">
        <w:rPr>
          <w:i/>
          <w:iCs/>
          <w:sz w:val="26"/>
          <w:szCs w:val="26"/>
        </w:rPr>
        <w:t>, LLC v. Pa. PUC</w:t>
      </w:r>
      <w:r w:rsidR="00F1351D" w:rsidRPr="00C72D8B">
        <w:rPr>
          <w:sz w:val="26"/>
          <w:szCs w:val="26"/>
        </w:rPr>
        <w:t>, 209 A.3d</w:t>
      </w:r>
      <w:r w:rsidR="00917AE1">
        <w:rPr>
          <w:sz w:val="26"/>
          <w:szCs w:val="26"/>
        </w:rPr>
        <w:t> </w:t>
      </w:r>
      <w:r w:rsidR="00F1351D" w:rsidRPr="00C72D8B">
        <w:rPr>
          <w:sz w:val="26"/>
          <w:szCs w:val="26"/>
        </w:rPr>
        <w:t>246,</w:t>
      </w:r>
      <w:r w:rsidR="00917AE1">
        <w:rPr>
          <w:sz w:val="26"/>
          <w:szCs w:val="26"/>
        </w:rPr>
        <w:t> </w:t>
      </w:r>
      <w:r w:rsidR="00F1351D" w:rsidRPr="00C72D8B">
        <w:rPr>
          <w:sz w:val="26"/>
          <w:szCs w:val="26"/>
        </w:rPr>
        <w:t>265</w:t>
      </w:r>
      <w:r w:rsidR="00C60F46" w:rsidRPr="00C72D8B">
        <w:rPr>
          <w:sz w:val="26"/>
          <w:szCs w:val="26"/>
        </w:rPr>
        <w:t xml:space="preserve">); </w:t>
      </w:r>
      <w:r w:rsidR="00C60F46" w:rsidRPr="00C72D8B">
        <w:rPr>
          <w:i/>
          <w:iCs/>
          <w:sz w:val="26"/>
          <w:szCs w:val="26"/>
        </w:rPr>
        <w:t>P</w:t>
      </w:r>
      <w:r w:rsidR="00705A1A" w:rsidRPr="00C72D8B">
        <w:rPr>
          <w:i/>
          <w:iCs/>
          <w:sz w:val="26"/>
          <w:szCs w:val="26"/>
        </w:rPr>
        <w:t>GW Rate Order</w:t>
      </w:r>
      <w:r w:rsidR="00705A1A" w:rsidRPr="00C72D8B">
        <w:rPr>
          <w:sz w:val="26"/>
          <w:szCs w:val="26"/>
        </w:rPr>
        <w:t xml:space="preserve">.  </w:t>
      </w:r>
    </w:p>
    <w:p w14:paraId="25C81302" w14:textId="6DEFB1F1" w:rsidR="00705A1A" w:rsidRPr="00C72D8B" w:rsidRDefault="00705A1A" w:rsidP="003725FF">
      <w:pPr>
        <w:contextualSpacing/>
        <w:rPr>
          <w:sz w:val="26"/>
          <w:szCs w:val="26"/>
        </w:rPr>
      </w:pPr>
    </w:p>
    <w:p w14:paraId="6971F454" w14:textId="785761F3" w:rsidR="009917AC" w:rsidRPr="00C72D8B" w:rsidRDefault="003D06A4" w:rsidP="00705A1A">
      <w:pPr>
        <w:contextualSpacing/>
        <w:rPr>
          <w:sz w:val="26"/>
          <w:szCs w:val="26"/>
        </w:rPr>
      </w:pPr>
      <w:r w:rsidRPr="00C72D8B">
        <w:rPr>
          <w:sz w:val="26"/>
          <w:szCs w:val="26"/>
        </w:rPr>
        <w:t>Second, the OCA</w:t>
      </w:r>
      <w:r w:rsidR="00950062" w:rsidRPr="00C72D8B">
        <w:rPr>
          <w:sz w:val="26"/>
          <w:szCs w:val="26"/>
        </w:rPr>
        <w:t xml:space="preserve"> avers that </w:t>
      </w:r>
      <w:r w:rsidR="00B070B5" w:rsidRPr="00C72D8B">
        <w:rPr>
          <w:sz w:val="26"/>
          <w:szCs w:val="26"/>
        </w:rPr>
        <w:t xml:space="preserve">the </w:t>
      </w:r>
      <w:r w:rsidR="008902AB" w:rsidRPr="00C72D8B">
        <w:rPr>
          <w:sz w:val="26"/>
          <w:szCs w:val="26"/>
        </w:rPr>
        <w:t xml:space="preserve">Commission failed to consider that the </w:t>
      </w:r>
      <w:r w:rsidR="00B070B5" w:rsidRPr="00C72D8B">
        <w:rPr>
          <w:i/>
          <w:iCs/>
          <w:sz w:val="26"/>
          <w:szCs w:val="26"/>
        </w:rPr>
        <w:t>Settled Base Rate Case Orders</w:t>
      </w:r>
      <w:r w:rsidR="00B070B5" w:rsidRPr="00C72D8B">
        <w:rPr>
          <w:sz w:val="26"/>
          <w:szCs w:val="26"/>
        </w:rPr>
        <w:t xml:space="preserve"> </w:t>
      </w:r>
      <w:r w:rsidR="008D4EE1" w:rsidRPr="00C72D8B">
        <w:rPr>
          <w:sz w:val="26"/>
          <w:szCs w:val="26"/>
        </w:rPr>
        <w:t xml:space="preserve">the Commission referred to in the </w:t>
      </w:r>
      <w:r w:rsidR="008D4EE1" w:rsidRPr="00C72D8B">
        <w:rPr>
          <w:i/>
          <w:iCs/>
          <w:sz w:val="26"/>
          <w:szCs w:val="26"/>
        </w:rPr>
        <w:t>February 20</w:t>
      </w:r>
      <w:r w:rsidR="000A743E" w:rsidRPr="00C72D8B">
        <w:rPr>
          <w:i/>
          <w:iCs/>
          <w:sz w:val="26"/>
          <w:szCs w:val="26"/>
        </w:rPr>
        <w:t>21</w:t>
      </w:r>
      <w:r w:rsidR="008D4EE1" w:rsidRPr="00C72D8B">
        <w:rPr>
          <w:i/>
          <w:iCs/>
          <w:sz w:val="26"/>
          <w:szCs w:val="26"/>
        </w:rPr>
        <w:t xml:space="preserve"> Order</w:t>
      </w:r>
      <w:r w:rsidR="008D4EE1" w:rsidRPr="00C72D8B">
        <w:rPr>
          <w:sz w:val="26"/>
          <w:szCs w:val="26"/>
        </w:rPr>
        <w:t xml:space="preserve"> </w:t>
      </w:r>
      <w:r w:rsidR="00B070B5" w:rsidRPr="00C72D8B">
        <w:rPr>
          <w:sz w:val="26"/>
          <w:szCs w:val="26"/>
        </w:rPr>
        <w:t xml:space="preserve">included </w:t>
      </w:r>
      <w:r w:rsidR="008D4EE1" w:rsidRPr="00C72D8B">
        <w:rPr>
          <w:sz w:val="26"/>
          <w:szCs w:val="26"/>
        </w:rPr>
        <w:t>robust C</w:t>
      </w:r>
      <w:r w:rsidR="00D73A04" w:rsidRPr="00C72D8B">
        <w:rPr>
          <w:sz w:val="26"/>
          <w:szCs w:val="26"/>
        </w:rPr>
        <w:t xml:space="preserve">OVID-19 </w:t>
      </w:r>
      <w:r w:rsidR="00C06A4B" w:rsidRPr="00C72D8B">
        <w:rPr>
          <w:sz w:val="26"/>
          <w:szCs w:val="26"/>
        </w:rPr>
        <w:t xml:space="preserve">relief programs </w:t>
      </w:r>
      <w:r w:rsidR="001929C2" w:rsidRPr="00C72D8B">
        <w:rPr>
          <w:sz w:val="26"/>
          <w:szCs w:val="26"/>
        </w:rPr>
        <w:t xml:space="preserve">and other </w:t>
      </w:r>
      <w:r w:rsidR="0083136F" w:rsidRPr="00C72D8B">
        <w:rPr>
          <w:sz w:val="26"/>
          <w:szCs w:val="26"/>
        </w:rPr>
        <w:t xml:space="preserve">measures </w:t>
      </w:r>
      <w:r w:rsidR="001929C2" w:rsidRPr="00C72D8B">
        <w:rPr>
          <w:sz w:val="26"/>
          <w:szCs w:val="26"/>
        </w:rPr>
        <w:t xml:space="preserve">beneficial </w:t>
      </w:r>
      <w:r w:rsidR="0083136F" w:rsidRPr="00C72D8B">
        <w:rPr>
          <w:sz w:val="26"/>
          <w:szCs w:val="26"/>
        </w:rPr>
        <w:t xml:space="preserve">to ratepayers </w:t>
      </w:r>
      <w:r w:rsidR="00C06A4B" w:rsidRPr="00C72D8B">
        <w:rPr>
          <w:sz w:val="26"/>
          <w:szCs w:val="26"/>
        </w:rPr>
        <w:t xml:space="preserve">that were </w:t>
      </w:r>
      <w:r w:rsidR="00CF3607" w:rsidRPr="00C72D8B">
        <w:rPr>
          <w:sz w:val="26"/>
          <w:szCs w:val="26"/>
        </w:rPr>
        <w:t xml:space="preserve">carefully balanced against </w:t>
      </w:r>
      <w:r w:rsidR="00DA1A65" w:rsidRPr="00C72D8B">
        <w:rPr>
          <w:sz w:val="26"/>
          <w:szCs w:val="26"/>
        </w:rPr>
        <w:t xml:space="preserve">the </w:t>
      </w:r>
      <w:r w:rsidR="00672327" w:rsidRPr="00C72D8B">
        <w:rPr>
          <w:sz w:val="26"/>
          <w:szCs w:val="26"/>
        </w:rPr>
        <w:t>P</w:t>
      </w:r>
      <w:r w:rsidR="001C21A8" w:rsidRPr="00C72D8B">
        <w:rPr>
          <w:sz w:val="26"/>
          <w:szCs w:val="26"/>
        </w:rPr>
        <w:t xml:space="preserve">arties’ decisions to agree on a </w:t>
      </w:r>
      <w:r w:rsidR="00B87321" w:rsidRPr="00C72D8B">
        <w:rPr>
          <w:sz w:val="26"/>
          <w:szCs w:val="26"/>
        </w:rPr>
        <w:t>rate increase.</w:t>
      </w:r>
      <w:r w:rsidR="00E10945" w:rsidRPr="00C72D8B">
        <w:rPr>
          <w:sz w:val="26"/>
          <w:szCs w:val="26"/>
        </w:rPr>
        <w:t xml:space="preserve">  </w:t>
      </w:r>
      <w:r w:rsidR="00FA5667" w:rsidRPr="00C72D8B">
        <w:rPr>
          <w:sz w:val="26"/>
          <w:szCs w:val="26"/>
        </w:rPr>
        <w:t>Petition</w:t>
      </w:r>
      <w:r w:rsidR="003C6909" w:rsidRPr="00C72D8B">
        <w:rPr>
          <w:sz w:val="26"/>
          <w:szCs w:val="26"/>
        </w:rPr>
        <w:t xml:space="preserve"> at 6-7.</w:t>
      </w:r>
      <w:r w:rsidR="00A11877" w:rsidRPr="00C72D8B">
        <w:rPr>
          <w:sz w:val="26"/>
          <w:szCs w:val="26"/>
        </w:rPr>
        <w:t xml:space="preserve">  </w:t>
      </w:r>
      <w:r w:rsidR="003912F8" w:rsidRPr="00C72D8B">
        <w:rPr>
          <w:sz w:val="26"/>
          <w:szCs w:val="26"/>
        </w:rPr>
        <w:t xml:space="preserve">According to the OCA, </w:t>
      </w:r>
      <w:r w:rsidR="005467D3" w:rsidRPr="00C72D8B">
        <w:rPr>
          <w:sz w:val="26"/>
          <w:szCs w:val="26"/>
        </w:rPr>
        <w:t xml:space="preserve">it was improper for the Commission to compare the settlements in the </w:t>
      </w:r>
      <w:r w:rsidR="00BB79DC" w:rsidRPr="00C72D8B">
        <w:rPr>
          <w:i/>
          <w:iCs/>
          <w:sz w:val="26"/>
          <w:szCs w:val="26"/>
        </w:rPr>
        <w:t>Settled Base Rate Case Orders</w:t>
      </w:r>
      <w:r w:rsidR="00BB79DC" w:rsidRPr="00C72D8B">
        <w:rPr>
          <w:sz w:val="26"/>
          <w:szCs w:val="26"/>
        </w:rPr>
        <w:t xml:space="preserve"> to the Columbia</w:t>
      </w:r>
      <w:r w:rsidR="001554FA" w:rsidRPr="00C72D8B">
        <w:rPr>
          <w:sz w:val="26"/>
          <w:szCs w:val="26"/>
        </w:rPr>
        <w:t xml:space="preserve"> proceeding</w:t>
      </w:r>
      <w:r w:rsidR="00C73385" w:rsidRPr="00C72D8B">
        <w:rPr>
          <w:sz w:val="26"/>
          <w:szCs w:val="26"/>
        </w:rPr>
        <w:t>,</w:t>
      </w:r>
      <w:r w:rsidR="00254EF1" w:rsidRPr="00C72D8B">
        <w:rPr>
          <w:sz w:val="26"/>
          <w:szCs w:val="26"/>
        </w:rPr>
        <w:t xml:space="preserve"> because the Columbia filing </w:t>
      </w:r>
      <w:r w:rsidR="004E43C0" w:rsidRPr="00C72D8B">
        <w:rPr>
          <w:sz w:val="26"/>
          <w:szCs w:val="26"/>
        </w:rPr>
        <w:t xml:space="preserve">did not include a COVID-19 relief plan to </w:t>
      </w:r>
      <w:r w:rsidR="0073629E" w:rsidRPr="00C72D8B">
        <w:rPr>
          <w:sz w:val="26"/>
          <w:szCs w:val="26"/>
        </w:rPr>
        <w:t>offset the impac</w:t>
      </w:r>
      <w:r w:rsidR="00A76C0B" w:rsidRPr="00C72D8B">
        <w:rPr>
          <w:sz w:val="26"/>
          <w:szCs w:val="26"/>
        </w:rPr>
        <w:t xml:space="preserve">t of the Company’s </w:t>
      </w:r>
      <w:r w:rsidR="008F22EE" w:rsidRPr="00C72D8B">
        <w:rPr>
          <w:sz w:val="26"/>
          <w:szCs w:val="26"/>
        </w:rPr>
        <w:t xml:space="preserve">proposed </w:t>
      </w:r>
      <w:r w:rsidR="00B53DFC" w:rsidRPr="00C72D8B">
        <w:rPr>
          <w:sz w:val="26"/>
          <w:szCs w:val="26"/>
        </w:rPr>
        <w:t>rate increase</w:t>
      </w:r>
      <w:r w:rsidR="005A3AFA" w:rsidRPr="00C72D8B">
        <w:rPr>
          <w:sz w:val="26"/>
          <w:szCs w:val="26"/>
        </w:rPr>
        <w:t xml:space="preserve"> on ratepayers.</w:t>
      </w:r>
      <w:r w:rsidR="00370015" w:rsidRPr="00C72D8B">
        <w:rPr>
          <w:sz w:val="26"/>
          <w:szCs w:val="26"/>
        </w:rPr>
        <w:t xml:space="preserve">  The OCA submits that because the Commission </w:t>
      </w:r>
      <w:r w:rsidR="00D71B4E" w:rsidRPr="00C72D8B">
        <w:rPr>
          <w:sz w:val="26"/>
          <w:szCs w:val="26"/>
        </w:rPr>
        <w:t xml:space="preserve">overlooked the lack of </w:t>
      </w:r>
      <w:r w:rsidR="005801E5" w:rsidRPr="00C72D8B">
        <w:rPr>
          <w:sz w:val="26"/>
          <w:szCs w:val="26"/>
        </w:rPr>
        <w:t xml:space="preserve">ratepayer COVID-19 protections in the </w:t>
      </w:r>
      <w:r w:rsidR="005801E5" w:rsidRPr="00C72D8B">
        <w:rPr>
          <w:i/>
          <w:iCs/>
          <w:sz w:val="26"/>
          <w:szCs w:val="26"/>
        </w:rPr>
        <w:t>February</w:t>
      </w:r>
      <w:r w:rsidR="00917AE1">
        <w:rPr>
          <w:i/>
          <w:iCs/>
          <w:sz w:val="26"/>
          <w:szCs w:val="26"/>
        </w:rPr>
        <w:t> </w:t>
      </w:r>
      <w:r w:rsidR="005801E5" w:rsidRPr="00C72D8B">
        <w:rPr>
          <w:i/>
          <w:iCs/>
          <w:sz w:val="26"/>
          <w:szCs w:val="26"/>
        </w:rPr>
        <w:t>20</w:t>
      </w:r>
      <w:r w:rsidR="000A743E" w:rsidRPr="00C72D8B">
        <w:rPr>
          <w:i/>
          <w:iCs/>
          <w:sz w:val="26"/>
          <w:szCs w:val="26"/>
        </w:rPr>
        <w:t>2</w:t>
      </w:r>
      <w:r w:rsidR="005801E5" w:rsidRPr="00C72D8B">
        <w:rPr>
          <w:i/>
          <w:iCs/>
          <w:sz w:val="26"/>
          <w:szCs w:val="26"/>
        </w:rPr>
        <w:t>1 Order</w:t>
      </w:r>
      <w:r w:rsidR="005801E5" w:rsidRPr="00C72D8B">
        <w:rPr>
          <w:sz w:val="26"/>
          <w:szCs w:val="26"/>
        </w:rPr>
        <w:t xml:space="preserve">, </w:t>
      </w:r>
      <w:r w:rsidR="0027097B" w:rsidRPr="00C72D8B">
        <w:rPr>
          <w:sz w:val="26"/>
          <w:szCs w:val="26"/>
        </w:rPr>
        <w:t xml:space="preserve">the Commission should reconsider </w:t>
      </w:r>
      <w:r w:rsidR="00754CF3" w:rsidRPr="00C72D8B">
        <w:rPr>
          <w:sz w:val="26"/>
          <w:szCs w:val="26"/>
        </w:rPr>
        <w:t xml:space="preserve">the remaining evidence in its decision to grant Columbia </w:t>
      </w:r>
      <w:r w:rsidR="009917AC" w:rsidRPr="00C72D8B">
        <w:rPr>
          <w:sz w:val="26"/>
          <w:szCs w:val="26"/>
        </w:rPr>
        <w:t>a revenue increase as well as the amount of such increase.</w:t>
      </w:r>
      <w:r w:rsidR="007B1C52" w:rsidRPr="00C72D8B">
        <w:rPr>
          <w:sz w:val="26"/>
          <w:szCs w:val="26"/>
        </w:rPr>
        <w:t xml:space="preserve">  </w:t>
      </w:r>
      <w:r w:rsidR="007B1C52" w:rsidRPr="00C72D8B">
        <w:rPr>
          <w:i/>
          <w:iCs/>
          <w:sz w:val="26"/>
          <w:szCs w:val="26"/>
        </w:rPr>
        <w:t>Id</w:t>
      </w:r>
      <w:r w:rsidR="007B1C52" w:rsidRPr="00C72D8B">
        <w:rPr>
          <w:sz w:val="26"/>
          <w:szCs w:val="26"/>
        </w:rPr>
        <w:t>.</w:t>
      </w:r>
      <w:r w:rsidR="00917AE1">
        <w:rPr>
          <w:sz w:val="26"/>
          <w:szCs w:val="26"/>
        </w:rPr>
        <w:t> </w:t>
      </w:r>
      <w:r w:rsidR="007B1C52" w:rsidRPr="00C72D8B">
        <w:rPr>
          <w:sz w:val="26"/>
          <w:szCs w:val="26"/>
        </w:rPr>
        <w:t>at 7.</w:t>
      </w:r>
    </w:p>
    <w:p w14:paraId="322A3202" w14:textId="77777777" w:rsidR="009917AC" w:rsidRPr="00C72D8B" w:rsidRDefault="009917AC" w:rsidP="00A66FB1">
      <w:pPr>
        <w:ind w:firstLine="720"/>
        <w:contextualSpacing/>
        <w:rPr>
          <w:sz w:val="26"/>
          <w:szCs w:val="26"/>
        </w:rPr>
      </w:pPr>
    </w:p>
    <w:p w14:paraId="1F413640" w14:textId="3B9814E0" w:rsidR="00BD48A5" w:rsidRPr="00C72D8B" w:rsidRDefault="006B30BB" w:rsidP="003725FF">
      <w:pPr>
        <w:contextualSpacing/>
        <w:rPr>
          <w:sz w:val="26"/>
          <w:szCs w:val="26"/>
        </w:rPr>
      </w:pPr>
      <w:r w:rsidRPr="00C72D8B">
        <w:rPr>
          <w:sz w:val="26"/>
          <w:szCs w:val="26"/>
        </w:rPr>
        <w:t xml:space="preserve">Third, the OCA </w:t>
      </w:r>
      <w:r w:rsidR="00DD1FF6" w:rsidRPr="00C72D8B">
        <w:rPr>
          <w:sz w:val="26"/>
          <w:szCs w:val="26"/>
        </w:rPr>
        <w:t xml:space="preserve">argues that due to the Commission’s citation to </w:t>
      </w:r>
      <w:r w:rsidR="00405848" w:rsidRPr="00C72D8B">
        <w:rPr>
          <w:sz w:val="26"/>
          <w:szCs w:val="26"/>
        </w:rPr>
        <w:t xml:space="preserve">the </w:t>
      </w:r>
      <w:r w:rsidR="00405848" w:rsidRPr="00C72D8B">
        <w:rPr>
          <w:i/>
          <w:iCs/>
          <w:sz w:val="26"/>
          <w:szCs w:val="26"/>
        </w:rPr>
        <w:t>Settled Base Rate Case Orders</w:t>
      </w:r>
      <w:r w:rsidR="00405848" w:rsidRPr="00C72D8B">
        <w:rPr>
          <w:sz w:val="26"/>
          <w:szCs w:val="26"/>
        </w:rPr>
        <w:t xml:space="preserve">, </w:t>
      </w:r>
      <w:r w:rsidR="00554164" w:rsidRPr="00C72D8B">
        <w:rPr>
          <w:sz w:val="26"/>
          <w:szCs w:val="26"/>
        </w:rPr>
        <w:t>parties may be reluctant to engage in good faith settlement negotiations</w:t>
      </w:r>
      <w:r w:rsidR="000E0BCC" w:rsidRPr="00C72D8B">
        <w:rPr>
          <w:sz w:val="26"/>
          <w:szCs w:val="26"/>
        </w:rPr>
        <w:t xml:space="preserve"> if their settlement positions </w:t>
      </w:r>
      <w:r w:rsidR="00F349CE" w:rsidRPr="00C72D8B">
        <w:rPr>
          <w:sz w:val="26"/>
          <w:szCs w:val="26"/>
        </w:rPr>
        <w:t xml:space="preserve">would be detrimental to them in </w:t>
      </w:r>
      <w:r w:rsidR="007319A6" w:rsidRPr="00C72D8B">
        <w:rPr>
          <w:sz w:val="26"/>
          <w:szCs w:val="26"/>
        </w:rPr>
        <w:t>future proceedings.</w:t>
      </w:r>
      <w:r w:rsidR="0069145A" w:rsidRPr="00C72D8B">
        <w:rPr>
          <w:sz w:val="26"/>
          <w:szCs w:val="26"/>
        </w:rPr>
        <w:t xml:space="preserve">  </w:t>
      </w:r>
      <w:r w:rsidR="00BC20C5" w:rsidRPr="00C72D8B">
        <w:rPr>
          <w:i/>
          <w:iCs/>
          <w:sz w:val="26"/>
          <w:szCs w:val="26"/>
        </w:rPr>
        <w:t>Id</w:t>
      </w:r>
      <w:r w:rsidR="00BC20C5" w:rsidRPr="00C72D8B">
        <w:rPr>
          <w:sz w:val="26"/>
          <w:szCs w:val="26"/>
        </w:rPr>
        <w:t xml:space="preserve">. at 8.  </w:t>
      </w:r>
      <w:r w:rsidR="0069145A" w:rsidRPr="00C72D8B">
        <w:rPr>
          <w:sz w:val="26"/>
          <w:szCs w:val="26"/>
        </w:rPr>
        <w:t xml:space="preserve">The OCA states that the Commission’s reference to the </w:t>
      </w:r>
      <w:r w:rsidR="00646A87" w:rsidRPr="00C72D8B">
        <w:rPr>
          <w:sz w:val="26"/>
          <w:szCs w:val="26"/>
        </w:rPr>
        <w:t xml:space="preserve">settled rate </w:t>
      </w:r>
      <w:r w:rsidR="007E4DBC" w:rsidRPr="00C72D8B">
        <w:rPr>
          <w:sz w:val="26"/>
          <w:szCs w:val="26"/>
        </w:rPr>
        <w:t xml:space="preserve">increases it approved in the </w:t>
      </w:r>
      <w:r w:rsidR="005B62DC" w:rsidRPr="00C72D8B">
        <w:rPr>
          <w:i/>
          <w:iCs/>
          <w:sz w:val="26"/>
          <w:szCs w:val="26"/>
        </w:rPr>
        <w:t xml:space="preserve">Settled </w:t>
      </w:r>
      <w:r w:rsidR="0069145A" w:rsidRPr="00C72D8B">
        <w:rPr>
          <w:i/>
          <w:iCs/>
          <w:sz w:val="26"/>
          <w:szCs w:val="26"/>
        </w:rPr>
        <w:t>Base Rate Case Orders</w:t>
      </w:r>
      <w:r w:rsidR="0069145A" w:rsidRPr="00C72D8B">
        <w:rPr>
          <w:sz w:val="26"/>
          <w:szCs w:val="26"/>
        </w:rPr>
        <w:t xml:space="preserve"> </w:t>
      </w:r>
      <w:r w:rsidR="007E4DBC" w:rsidRPr="00C72D8B">
        <w:rPr>
          <w:sz w:val="26"/>
          <w:szCs w:val="26"/>
        </w:rPr>
        <w:t xml:space="preserve">compromises </w:t>
      </w:r>
      <w:r w:rsidR="00945B79" w:rsidRPr="00C72D8B">
        <w:rPr>
          <w:sz w:val="26"/>
          <w:szCs w:val="26"/>
        </w:rPr>
        <w:t>the Commission’s own policy of encouraging settlements.</w:t>
      </w:r>
      <w:r w:rsidR="00BC20C5" w:rsidRPr="00C72D8B">
        <w:rPr>
          <w:sz w:val="26"/>
          <w:szCs w:val="26"/>
        </w:rPr>
        <w:t xml:space="preserve">  </w:t>
      </w:r>
      <w:r w:rsidR="006F03B0" w:rsidRPr="00C72D8B">
        <w:rPr>
          <w:i/>
          <w:iCs/>
          <w:sz w:val="26"/>
          <w:szCs w:val="26"/>
        </w:rPr>
        <w:t>Id</w:t>
      </w:r>
      <w:r w:rsidR="006F03B0" w:rsidRPr="00C72D8B">
        <w:rPr>
          <w:sz w:val="26"/>
          <w:szCs w:val="26"/>
        </w:rPr>
        <w:t xml:space="preserve">. (citing 52 Pa. Code §§ </w:t>
      </w:r>
      <w:r w:rsidR="00797B7A" w:rsidRPr="00C72D8B">
        <w:rPr>
          <w:sz w:val="26"/>
          <w:szCs w:val="26"/>
        </w:rPr>
        <w:t>5.231, 69.401</w:t>
      </w:r>
      <w:r w:rsidR="006B5296" w:rsidRPr="00C72D8B">
        <w:rPr>
          <w:sz w:val="26"/>
          <w:szCs w:val="26"/>
        </w:rPr>
        <w:t xml:space="preserve">).  </w:t>
      </w:r>
      <w:r w:rsidR="003A3EE7" w:rsidRPr="00C72D8B">
        <w:rPr>
          <w:sz w:val="26"/>
          <w:szCs w:val="26"/>
        </w:rPr>
        <w:t xml:space="preserve">The OCA contends that the Commission failed to consider the negative effect that citing </w:t>
      </w:r>
      <w:r w:rsidR="00951CDE" w:rsidRPr="00C72D8B">
        <w:rPr>
          <w:sz w:val="26"/>
          <w:szCs w:val="26"/>
        </w:rPr>
        <w:t xml:space="preserve">to prior settlements could have on </w:t>
      </w:r>
      <w:r w:rsidR="00D95C3F" w:rsidRPr="00C72D8B">
        <w:rPr>
          <w:sz w:val="26"/>
          <w:szCs w:val="26"/>
        </w:rPr>
        <w:t xml:space="preserve">the behaviors of parties in future proceedings and settlement negotiations.  </w:t>
      </w:r>
      <w:r w:rsidR="00261B20" w:rsidRPr="00C72D8B">
        <w:rPr>
          <w:sz w:val="26"/>
          <w:szCs w:val="26"/>
        </w:rPr>
        <w:t xml:space="preserve">Petition at </w:t>
      </w:r>
      <w:r w:rsidR="00BD48A5" w:rsidRPr="00C72D8B">
        <w:rPr>
          <w:sz w:val="26"/>
          <w:szCs w:val="26"/>
        </w:rPr>
        <w:t>8.</w:t>
      </w:r>
    </w:p>
    <w:p w14:paraId="3E2EACA0" w14:textId="77777777" w:rsidR="00BD48A5" w:rsidRPr="00C72D8B" w:rsidRDefault="00BD48A5" w:rsidP="003725FF">
      <w:pPr>
        <w:contextualSpacing/>
        <w:rPr>
          <w:sz w:val="26"/>
          <w:szCs w:val="26"/>
        </w:rPr>
      </w:pPr>
    </w:p>
    <w:p w14:paraId="1149739A" w14:textId="4224F696" w:rsidR="00B105D1" w:rsidRPr="00C72D8B" w:rsidRDefault="00BD48A5" w:rsidP="00A66FB1">
      <w:pPr>
        <w:ind w:firstLine="720"/>
        <w:contextualSpacing/>
        <w:rPr>
          <w:sz w:val="26"/>
          <w:szCs w:val="26"/>
        </w:rPr>
      </w:pPr>
      <w:r w:rsidRPr="00C72D8B">
        <w:rPr>
          <w:sz w:val="26"/>
          <w:szCs w:val="26"/>
        </w:rPr>
        <w:tab/>
        <w:t>For these reasons, the OCA requests that</w:t>
      </w:r>
      <w:r w:rsidR="000D3FC0" w:rsidRPr="00C72D8B">
        <w:rPr>
          <w:sz w:val="26"/>
          <w:szCs w:val="26"/>
        </w:rPr>
        <w:t>:</w:t>
      </w:r>
      <w:r w:rsidR="009C7DE1" w:rsidRPr="00C72D8B">
        <w:rPr>
          <w:sz w:val="26"/>
          <w:szCs w:val="26"/>
        </w:rPr>
        <w:t xml:space="preserve"> </w:t>
      </w:r>
      <w:r w:rsidRPr="00C72D8B">
        <w:rPr>
          <w:sz w:val="26"/>
          <w:szCs w:val="26"/>
        </w:rPr>
        <w:t xml:space="preserve"> </w:t>
      </w:r>
      <w:r w:rsidR="000D3FC0" w:rsidRPr="00C72D8B">
        <w:rPr>
          <w:sz w:val="26"/>
          <w:szCs w:val="26"/>
        </w:rPr>
        <w:t xml:space="preserve">(1) </w:t>
      </w:r>
      <w:r w:rsidRPr="00C72D8B">
        <w:rPr>
          <w:sz w:val="26"/>
          <w:szCs w:val="26"/>
        </w:rPr>
        <w:t>the Commission reconsider and amend the</w:t>
      </w:r>
      <w:r w:rsidR="00B713DE" w:rsidRPr="00C72D8B">
        <w:rPr>
          <w:sz w:val="26"/>
          <w:szCs w:val="26"/>
        </w:rPr>
        <w:t xml:space="preserve"> </w:t>
      </w:r>
      <w:r w:rsidR="00B713DE" w:rsidRPr="00C72D8B">
        <w:rPr>
          <w:i/>
          <w:iCs/>
          <w:sz w:val="26"/>
          <w:szCs w:val="26"/>
        </w:rPr>
        <w:t>February 2021 Order</w:t>
      </w:r>
      <w:r w:rsidR="00B713DE" w:rsidRPr="00C72D8B">
        <w:rPr>
          <w:sz w:val="26"/>
          <w:szCs w:val="26"/>
        </w:rPr>
        <w:t xml:space="preserve"> and remove any reference to </w:t>
      </w:r>
      <w:r w:rsidR="00AC0074" w:rsidRPr="00C72D8B">
        <w:rPr>
          <w:sz w:val="26"/>
          <w:szCs w:val="26"/>
        </w:rPr>
        <w:t xml:space="preserve">or reliance on the settlements approved in the </w:t>
      </w:r>
      <w:r w:rsidR="00AC0074" w:rsidRPr="00C72D8B">
        <w:rPr>
          <w:i/>
          <w:iCs/>
          <w:sz w:val="26"/>
          <w:szCs w:val="26"/>
        </w:rPr>
        <w:t>Settled Base Rate Case Orders</w:t>
      </w:r>
      <w:r w:rsidR="000D3FC0" w:rsidRPr="00C72D8B">
        <w:rPr>
          <w:sz w:val="26"/>
          <w:szCs w:val="26"/>
        </w:rPr>
        <w:t xml:space="preserve">, and (2) </w:t>
      </w:r>
      <w:r w:rsidR="003706B1" w:rsidRPr="00C72D8B">
        <w:rPr>
          <w:sz w:val="26"/>
          <w:szCs w:val="26"/>
        </w:rPr>
        <w:t xml:space="preserve">the Commission reconsider the remaining evidence </w:t>
      </w:r>
      <w:r w:rsidR="00CE558B" w:rsidRPr="00C72D8B">
        <w:rPr>
          <w:sz w:val="26"/>
          <w:szCs w:val="26"/>
        </w:rPr>
        <w:t xml:space="preserve">relating to its decision to grant Columbia a revenue </w:t>
      </w:r>
      <w:r w:rsidR="00A56C2A" w:rsidRPr="00C72D8B">
        <w:rPr>
          <w:sz w:val="26"/>
          <w:szCs w:val="26"/>
        </w:rPr>
        <w:t>i</w:t>
      </w:r>
      <w:r w:rsidR="00891C75" w:rsidRPr="00C72D8B">
        <w:rPr>
          <w:sz w:val="26"/>
          <w:szCs w:val="26"/>
        </w:rPr>
        <w:t>ncrease.</w:t>
      </w:r>
    </w:p>
    <w:p w14:paraId="619FE6BD" w14:textId="4E4ACEC7" w:rsidR="00B105D1" w:rsidRPr="00C72D8B" w:rsidRDefault="00B105D1" w:rsidP="003725FF">
      <w:pPr>
        <w:tabs>
          <w:tab w:val="left" w:pos="2605"/>
        </w:tabs>
        <w:contextualSpacing/>
        <w:rPr>
          <w:sz w:val="26"/>
          <w:szCs w:val="26"/>
        </w:rPr>
      </w:pPr>
    </w:p>
    <w:p w14:paraId="547CC096" w14:textId="31D254C4" w:rsidR="00563C6E" w:rsidRPr="00C72D8B" w:rsidRDefault="00E656F5" w:rsidP="003725FF">
      <w:pPr>
        <w:pStyle w:val="ListNumber"/>
        <w:numPr>
          <w:ilvl w:val="0"/>
          <w:numId w:val="0"/>
        </w:numPr>
        <w:spacing w:line="360" w:lineRule="auto"/>
        <w:ind w:firstLine="1440"/>
        <w:rPr>
          <w:sz w:val="26"/>
          <w:szCs w:val="26"/>
        </w:rPr>
      </w:pPr>
      <w:r w:rsidRPr="00C72D8B">
        <w:rPr>
          <w:sz w:val="26"/>
          <w:szCs w:val="26"/>
        </w:rPr>
        <w:t xml:space="preserve">In its Answer to the Petition, </w:t>
      </w:r>
      <w:r w:rsidR="000321B1" w:rsidRPr="00C72D8B">
        <w:rPr>
          <w:sz w:val="26"/>
          <w:szCs w:val="26"/>
        </w:rPr>
        <w:t>Columbia ar</w:t>
      </w:r>
      <w:r w:rsidR="006B328F" w:rsidRPr="00C72D8B">
        <w:rPr>
          <w:sz w:val="26"/>
          <w:szCs w:val="26"/>
        </w:rPr>
        <w:t>gue</w:t>
      </w:r>
      <w:r w:rsidR="000321B1" w:rsidRPr="00C72D8B">
        <w:rPr>
          <w:sz w:val="26"/>
          <w:szCs w:val="26"/>
        </w:rPr>
        <w:t xml:space="preserve">s that the </w:t>
      </w:r>
      <w:r w:rsidR="00CC1E81" w:rsidRPr="00C72D8B">
        <w:rPr>
          <w:sz w:val="26"/>
          <w:szCs w:val="26"/>
        </w:rPr>
        <w:t xml:space="preserve">OCA’s request for reconsideration should be denied because </w:t>
      </w:r>
      <w:r w:rsidR="00A56C2A" w:rsidRPr="00C72D8B">
        <w:rPr>
          <w:sz w:val="26"/>
          <w:szCs w:val="26"/>
        </w:rPr>
        <w:t>it fails to</w:t>
      </w:r>
      <w:r w:rsidR="002F13A0" w:rsidRPr="00C72D8B">
        <w:rPr>
          <w:sz w:val="26"/>
          <w:szCs w:val="26"/>
        </w:rPr>
        <w:t xml:space="preserve"> satisfy the </w:t>
      </w:r>
      <w:r w:rsidR="002F13A0" w:rsidRPr="00C72D8B">
        <w:rPr>
          <w:i/>
          <w:iCs/>
          <w:sz w:val="26"/>
          <w:szCs w:val="26"/>
        </w:rPr>
        <w:t>Duick</w:t>
      </w:r>
      <w:r w:rsidR="002F13A0" w:rsidRPr="00C72D8B">
        <w:rPr>
          <w:sz w:val="26"/>
          <w:szCs w:val="26"/>
        </w:rPr>
        <w:t xml:space="preserve"> standards.  Columbia asserts that the Commission </w:t>
      </w:r>
      <w:r w:rsidR="00A34638" w:rsidRPr="00C72D8B">
        <w:rPr>
          <w:sz w:val="26"/>
          <w:szCs w:val="26"/>
        </w:rPr>
        <w:t xml:space="preserve">specifically considered and rejected the OCA’s argument regarding the applicability of the </w:t>
      </w:r>
      <w:r w:rsidR="00A34638" w:rsidRPr="00C72D8B">
        <w:rPr>
          <w:i/>
          <w:iCs/>
          <w:sz w:val="26"/>
          <w:szCs w:val="26"/>
        </w:rPr>
        <w:t>Settled Base Rate Case</w:t>
      </w:r>
      <w:r w:rsidR="00511BE5" w:rsidRPr="00C72D8B">
        <w:rPr>
          <w:i/>
          <w:iCs/>
          <w:sz w:val="26"/>
          <w:szCs w:val="26"/>
        </w:rPr>
        <w:t xml:space="preserve"> Orders</w:t>
      </w:r>
      <w:r w:rsidR="00A34638" w:rsidRPr="00C72D8B">
        <w:rPr>
          <w:sz w:val="26"/>
          <w:szCs w:val="26"/>
        </w:rPr>
        <w:t>.</w:t>
      </w:r>
      <w:r w:rsidR="003B366E" w:rsidRPr="00C72D8B">
        <w:rPr>
          <w:sz w:val="26"/>
          <w:szCs w:val="26"/>
        </w:rPr>
        <w:t xml:space="preserve">  Answer at </w:t>
      </w:r>
      <w:r w:rsidR="00D24D8A" w:rsidRPr="00C72D8B">
        <w:rPr>
          <w:sz w:val="26"/>
          <w:szCs w:val="26"/>
        </w:rPr>
        <w:t xml:space="preserve">4 (citing </w:t>
      </w:r>
      <w:r w:rsidR="00A72517" w:rsidRPr="00C72D8B">
        <w:rPr>
          <w:i/>
          <w:iCs/>
          <w:sz w:val="26"/>
          <w:szCs w:val="26"/>
        </w:rPr>
        <w:t>February 2021 Order</w:t>
      </w:r>
      <w:r w:rsidR="00A72517" w:rsidRPr="00C72D8B">
        <w:rPr>
          <w:sz w:val="26"/>
          <w:szCs w:val="26"/>
        </w:rPr>
        <w:t xml:space="preserve"> at </w:t>
      </w:r>
      <w:r w:rsidR="00FF2D02" w:rsidRPr="00C72D8B">
        <w:rPr>
          <w:sz w:val="26"/>
          <w:szCs w:val="26"/>
        </w:rPr>
        <w:t>51-52</w:t>
      </w:r>
      <w:r w:rsidR="00881428" w:rsidRPr="00C72D8B">
        <w:rPr>
          <w:sz w:val="26"/>
          <w:szCs w:val="26"/>
        </w:rPr>
        <w:t>)</w:t>
      </w:r>
      <w:r w:rsidR="00FF2D02" w:rsidRPr="00C72D8B">
        <w:rPr>
          <w:sz w:val="26"/>
          <w:szCs w:val="26"/>
        </w:rPr>
        <w:t xml:space="preserve">. </w:t>
      </w:r>
      <w:r w:rsidR="0056265D" w:rsidRPr="00C72D8B">
        <w:rPr>
          <w:sz w:val="26"/>
          <w:szCs w:val="26"/>
        </w:rPr>
        <w:t xml:space="preserve"> </w:t>
      </w:r>
      <w:r w:rsidR="00475ECD" w:rsidRPr="00C72D8B">
        <w:rPr>
          <w:sz w:val="26"/>
          <w:szCs w:val="26"/>
        </w:rPr>
        <w:t xml:space="preserve">Columbia states that the </w:t>
      </w:r>
      <w:r w:rsidR="0036625A" w:rsidRPr="00C72D8B">
        <w:rPr>
          <w:sz w:val="26"/>
          <w:szCs w:val="26"/>
        </w:rPr>
        <w:t xml:space="preserve">Commission considered </w:t>
      </w:r>
      <w:r w:rsidR="00ED18E2" w:rsidRPr="00C72D8B">
        <w:rPr>
          <w:sz w:val="26"/>
          <w:szCs w:val="26"/>
        </w:rPr>
        <w:t xml:space="preserve">and rejected </w:t>
      </w:r>
      <w:r w:rsidR="004A6AD2" w:rsidRPr="00C72D8B">
        <w:rPr>
          <w:sz w:val="26"/>
          <w:szCs w:val="26"/>
        </w:rPr>
        <w:t xml:space="preserve">the </w:t>
      </w:r>
      <w:r w:rsidR="0036625A" w:rsidRPr="00C72D8B">
        <w:rPr>
          <w:sz w:val="26"/>
          <w:szCs w:val="26"/>
        </w:rPr>
        <w:t xml:space="preserve">OCA’s position that the </w:t>
      </w:r>
      <w:r w:rsidR="0036625A" w:rsidRPr="00C72D8B">
        <w:rPr>
          <w:i/>
          <w:iCs/>
          <w:sz w:val="26"/>
          <w:szCs w:val="26"/>
        </w:rPr>
        <w:t>Settled Base Rate Case</w:t>
      </w:r>
      <w:r w:rsidR="00511BE5" w:rsidRPr="00C72D8B">
        <w:rPr>
          <w:i/>
          <w:iCs/>
          <w:sz w:val="26"/>
          <w:szCs w:val="26"/>
        </w:rPr>
        <w:t xml:space="preserve"> Orders</w:t>
      </w:r>
      <w:r w:rsidR="0036625A" w:rsidRPr="00C72D8B">
        <w:rPr>
          <w:sz w:val="26"/>
          <w:szCs w:val="26"/>
        </w:rPr>
        <w:t xml:space="preserve"> should not inform the Commission’s decision in this case.  </w:t>
      </w:r>
      <w:r w:rsidR="006B328F" w:rsidRPr="00C72D8B">
        <w:rPr>
          <w:sz w:val="26"/>
          <w:szCs w:val="26"/>
        </w:rPr>
        <w:t xml:space="preserve">Columbia </w:t>
      </w:r>
      <w:r w:rsidR="00E17D7C" w:rsidRPr="00C72D8B">
        <w:rPr>
          <w:sz w:val="26"/>
          <w:szCs w:val="26"/>
        </w:rPr>
        <w:t xml:space="preserve">avers that the Commission </w:t>
      </w:r>
      <w:r w:rsidR="0036625A" w:rsidRPr="00C72D8B">
        <w:rPr>
          <w:sz w:val="26"/>
          <w:szCs w:val="26"/>
        </w:rPr>
        <w:t xml:space="preserve">rejected </w:t>
      </w:r>
      <w:r w:rsidR="00EB62DE" w:rsidRPr="00C72D8B">
        <w:rPr>
          <w:sz w:val="26"/>
          <w:szCs w:val="26"/>
        </w:rPr>
        <w:t>the OCA’s</w:t>
      </w:r>
      <w:r w:rsidR="0036625A" w:rsidRPr="00C72D8B">
        <w:rPr>
          <w:sz w:val="26"/>
          <w:szCs w:val="26"/>
        </w:rPr>
        <w:t xml:space="preserve"> position</w:t>
      </w:r>
      <w:r w:rsidR="008B7F77" w:rsidRPr="00C72D8B">
        <w:rPr>
          <w:sz w:val="26"/>
          <w:szCs w:val="26"/>
        </w:rPr>
        <w:t xml:space="preserve">, finding that </w:t>
      </w:r>
      <w:r w:rsidR="0036625A" w:rsidRPr="00C72D8B">
        <w:rPr>
          <w:sz w:val="26"/>
          <w:szCs w:val="26"/>
        </w:rPr>
        <w:t xml:space="preserve">the rate increases in the </w:t>
      </w:r>
      <w:r w:rsidR="0036625A" w:rsidRPr="00C72D8B">
        <w:rPr>
          <w:i/>
          <w:iCs/>
          <w:sz w:val="26"/>
          <w:szCs w:val="26"/>
        </w:rPr>
        <w:t>Settled Base Rate Case</w:t>
      </w:r>
      <w:r w:rsidR="00511BE5" w:rsidRPr="00C72D8B">
        <w:rPr>
          <w:i/>
          <w:iCs/>
          <w:sz w:val="26"/>
          <w:szCs w:val="26"/>
        </w:rPr>
        <w:t xml:space="preserve"> Orders</w:t>
      </w:r>
      <w:r w:rsidR="0036625A" w:rsidRPr="00C72D8B">
        <w:rPr>
          <w:sz w:val="26"/>
          <w:szCs w:val="26"/>
        </w:rPr>
        <w:t xml:space="preserve"> could only be approved pursuant to the Commission’s ratemaking authority</w:t>
      </w:r>
      <w:r w:rsidR="00B513A2" w:rsidRPr="00C72D8B">
        <w:rPr>
          <w:sz w:val="26"/>
          <w:szCs w:val="26"/>
        </w:rPr>
        <w:t xml:space="preserve">.  Columbia explains that </w:t>
      </w:r>
      <w:r w:rsidR="00D42A20" w:rsidRPr="00C72D8B">
        <w:rPr>
          <w:sz w:val="26"/>
          <w:szCs w:val="26"/>
        </w:rPr>
        <w:t xml:space="preserve">if </w:t>
      </w:r>
      <w:r w:rsidR="0036625A" w:rsidRPr="00C72D8B">
        <w:rPr>
          <w:sz w:val="26"/>
          <w:szCs w:val="26"/>
        </w:rPr>
        <w:t xml:space="preserve">the Commission </w:t>
      </w:r>
      <w:r w:rsidR="00D42A20" w:rsidRPr="00C72D8B">
        <w:rPr>
          <w:sz w:val="26"/>
          <w:szCs w:val="26"/>
        </w:rPr>
        <w:t xml:space="preserve">had </w:t>
      </w:r>
      <w:r w:rsidR="0036625A" w:rsidRPr="00C72D8B">
        <w:rPr>
          <w:sz w:val="26"/>
          <w:szCs w:val="26"/>
        </w:rPr>
        <w:t xml:space="preserve">not reviewed and approved the rate increases provided for in the settlements as just and reasonable, </w:t>
      </w:r>
      <w:r w:rsidR="00D13BFD" w:rsidRPr="00C72D8B">
        <w:rPr>
          <w:sz w:val="26"/>
          <w:szCs w:val="26"/>
        </w:rPr>
        <w:t xml:space="preserve">then </w:t>
      </w:r>
      <w:r w:rsidR="0036625A" w:rsidRPr="00C72D8B">
        <w:rPr>
          <w:sz w:val="26"/>
          <w:szCs w:val="26"/>
        </w:rPr>
        <w:t xml:space="preserve">those rate increases would not have </w:t>
      </w:r>
      <w:r w:rsidR="00D13BFD" w:rsidRPr="00C72D8B">
        <w:rPr>
          <w:sz w:val="26"/>
          <w:szCs w:val="26"/>
        </w:rPr>
        <w:t>become</w:t>
      </w:r>
      <w:r w:rsidR="0036625A" w:rsidRPr="00C72D8B">
        <w:rPr>
          <w:sz w:val="26"/>
          <w:szCs w:val="26"/>
        </w:rPr>
        <w:t xml:space="preserve"> effect</w:t>
      </w:r>
      <w:r w:rsidR="00D13BFD" w:rsidRPr="00C72D8B">
        <w:rPr>
          <w:sz w:val="26"/>
          <w:szCs w:val="26"/>
        </w:rPr>
        <w:t xml:space="preserve">ive, and </w:t>
      </w:r>
      <w:r w:rsidR="000E7FF7" w:rsidRPr="00C72D8B">
        <w:rPr>
          <w:sz w:val="26"/>
          <w:szCs w:val="26"/>
        </w:rPr>
        <w:t>t</w:t>
      </w:r>
      <w:r w:rsidR="0036625A" w:rsidRPr="00C72D8B">
        <w:rPr>
          <w:sz w:val="26"/>
          <w:szCs w:val="26"/>
        </w:rPr>
        <w:t xml:space="preserve">he fact that the rate increases in the </w:t>
      </w:r>
      <w:r w:rsidR="0036625A" w:rsidRPr="00C72D8B">
        <w:rPr>
          <w:i/>
          <w:iCs/>
          <w:sz w:val="26"/>
          <w:szCs w:val="26"/>
        </w:rPr>
        <w:t>Settled Base Rate Case</w:t>
      </w:r>
      <w:r w:rsidR="00196552" w:rsidRPr="00C72D8B">
        <w:rPr>
          <w:i/>
          <w:iCs/>
          <w:sz w:val="26"/>
          <w:szCs w:val="26"/>
        </w:rPr>
        <w:t xml:space="preserve"> Orders</w:t>
      </w:r>
      <w:r w:rsidR="0036625A" w:rsidRPr="00C72D8B">
        <w:rPr>
          <w:sz w:val="26"/>
          <w:szCs w:val="26"/>
        </w:rPr>
        <w:t xml:space="preserve"> result</w:t>
      </w:r>
      <w:r w:rsidR="000E7FF7" w:rsidRPr="00C72D8B">
        <w:rPr>
          <w:sz w:val="26"/>
          <w:szCs w:val="26"/>
        </w:rPr>
        <w:t>ed</w:t>
      </w:r>
      <w:r w:rsidR="0036625A" w:rsidRPr="00C72D8B">
        <w:rPr>
          <w:sz w:val="26"/>
          <w:szCs w:val="26"/>
        </w:rPr>
        <w:t xml:space="preserve"> </w:t>
      </w:r>
      <w:r w:rsidR="000E7FF7" w:rsidRPr="00C72D8B">
        <w:rPr>
          <w:sz w:val="26"/>
          <w:szCs w:val="26"/>
        </w:rPr>
        <w:t>from</w:t>
      </w:r>
      <w:r w:rsidR="0036625A" w:rsidRPr="00C72D8B">
        <w:rPr>
          <w:sz w:val="26"/>
          <w:szCs w:val="26"/>
        </w:rPr>
        <w:t xml:space="preserve"> settlements was not material to the Commission’s analysis</w:t>
      </w:r>
      <w:r w:rsidR="00881428" w:rsidRPr="00C72D8B">
        <w:rPr>
          <w:sz w:val="26"/>
          <w:szCs w:val="26"/>
        </w:rPr>
        <w:t xml:space="preserve">.  Answer at 5 (citing </w:t>
      </w:r>
      <w:r w:rsidR="00881428" w:rsidRPr="00C72D8B">
        <w:rPr>
          <w:i/>
          <w:iCs/>
          <w:sz w:val="26"/>
          <w:szCs w:val="26"/>
        </w:rPr>
        <w:t>February 2021 Order</w:t>
      </w:r>
      <w:r w:rsidR="00881428" w:rsidRPr="00C72D8B">
        <w:rPr>
          <w:sz w:val="26"/>
          <w:szCs w:val="26"/>
        </w:rPr>
        <w:t xml:space="preserve"> at 51-52).  </w:t>
      </w:r>
      <w:r w:rsidR="0028410A" w:rsidRPr="00C72D8B">
        <w:rPr>
          <w:sz w:val="26"/>
          <w:szCs w:val="26"/>
        </w:rPr>
        <w:t xml:space="preserve">Columbia believes that the </w:t>
      </w:r>
      <w:r w:rsidR="0036625A" w:rsidRPr="00C72D8B">
        <w:rPr>
          <w:sz w:val="26"/>
          <w:szCs w:val="26"/>
        </w:rPr>
        <w:t xml:space="preserve">OCA takes the Commission’s statements regarding the </w:t>
      </w:r>
      <w:r w:rsidR="0036625A" w:rsidRPr="00C72D8B">
        <w:rPr>
          <w:i/>
          <w:iCs/>
          <w:sz w:val="26"/>
          <w:szCs w:val="26"/>
        </w:rPr>
        <w:t>Settled Base Rate Case</w:t>
      </w:r>
      <w:r w:rsidR="00196552" w:rsidRPr="00C72D8B">
        <w:rPr>
          <w:i/>
          <w:iCs/>
          <w:sz w:val="26"/>
          <w:szCs w:val="26"/>
        </w:rPr>
        <w:t xml:space="preserve"> Orders</w:t>
      </w:r>
      <w:r w:rsidR="0036625A" w:rsidRPr="00C72D8B">
        <w:rPr>
          <w:sz w:val="26"/>
          <w:szCs w:val="26"/>
        </w:rPr>
        <w:t xml:space="preserve"> out of context</w:t>
      </w:r>
      <w:r w:rsidR="001A5C99" w:rsidRPr="00C72D8B">
        <w:rPr>
          <w:sz w:val="26"/>
          <w:szCs w:val="26"/>
        </w:rPr>
        <w:t xml:space="preserve"> and that the Commission </w:t>
      </w:r>
      <w:r w:rsidR="00661F5E" w:rsidRPr="00C72D8B">
        <w:rPr>
          <w:sz w:val="26"/>
          <w:szCs w:val="26"/>
        </w:rPr>
        <w:t xml:space="preserve">was </w:t>
      </w:r>
      <w:r w:rsidR="0036625A" w:rsidRPr="00C72D8B">
        <w:rPr>
          <w:sz w:val="26"/>
          <w:szCs w:val="26"/>
        </w:rPr>
        <w:t xml:space="preserve">referring to the </w:t>
      </w:r>
      <w:r w:rsidR="0036625A" w:rsidRPr="00C72D8B">
        <w:rPr>
          <w:i/>
          <w:iCs/>
          <w:sz w:val="26"/>
          <w:szCs w:val="26"/>
        </w:rPr>
        <w:t>Settled Base Rate Case</w:t>
      </w:r>
      <w:r w:rsidR="00196552" w:rsidRPr="00C72D8B">
        <w:rPr>
          <w:i/>
          <w:iCs/>
          <w:sz w:val="26"/>
          <w:szCs w:val="26"/>
        </w:rPr>
        <w:t xml:space="preserve"> Orders</w:t>
      </w:r>
      <w:r w:rsidR="0036625A" w:rsidRPr="00C72D8B">
        <w:rPr>
          <w:sz w:val="26"/>
          <w:szCs w:val="26"/>
        </w:rPr>
        <w:t xml:space="preserve"> </w:t>
      </w:r>
      <w:r w:rsidR="00661F5E" w:rsidRPr="00C72D8B">
        <w:rPr>
          <w:sz w:val="26"/>
          <w:szCs w:val="26"/>
        </w:rPr>
        <w:t xml:space="preserve">for the purpose of </w:t>
      </w:r>
      <w:r w:rsidR="007904E5" w:rsidRPr="00C72D8B">
        <w:rPr>
          <w:sz w:val="26"/>
          <w:szCs w:val="26"/>
        </w:rPr>
        <w:t xml:space="preserve">showing </w:t>
      </w:r>
      <w:r w:rsidR="0036625A" w:rsidRPr="00C72D8B">
        <w:rPr>
          <w:sz w:val="26"/>
          <w:szCs w:val="26"/>
        </w:rPr>
        <w:t xml:space="preserve">that the Commission previously granted rate increases </w:t>
      </w:r>
      <w:r w:rsidR="00AD4DFD" w:rsidRPr="00C72D8B">
        <w:rPr>
          <w:sz w:val="26"/>
          <w:szCs w:val="26"/>
        </w:rPr>
        <w:t xml:space="preserve">during the </w:t>
      </w:r>
      <w:r w:rsidR="0036625A" w:rsidRPr="00C72D8B">
        <w:rPr>
          <w:sz w:val="26"/>
          <w:szCs w:val="26"/>
        </w:rPr>
        <w:t>COVID-19 pandemic</w:t>
      </w:r>
      <w:r w:rsidR="00AD4DFD" w:rsidRPr="00C72D8B">
        <w:rPr>
          <w:sz w:val="26"/>
          <w:szCs w:val="26"/>
        </w:rPr>
        <w:t>.  Answer at 5</w:t>
      </w:r>
      <w:r w:rsidR="00BF649A" w:rsidRPr="00C72D8B">
        <w:rPr>
          <w:sz w:val="26"/>
          <w:szCs w:val="26"/>
        </w:rPr>
        <w:t>-6</w:t>
      </w:r>
      <w:r w:rsidR="00AD4DFD" w:rsidRPr="00C72D8B">
        <w:rPr>
          <w:sz w:val="26"/>
          <w:szCs w:val="26"/>
        </w:rPr>
        <w:t xml:space="preserve"> (citing </w:t>
      </w:r>
      <w:r w:rsidR="00AD4DFD" w:rsidRPr="00C72D8B">
        <w:rPr>
          <w:i/>
          <w:iCs/>
          <w:sz w:val="26"/>
          <w:szCs w:val="26"/>
        </w:rPr>
        <w:t>February 2021 Order</w:t>
      </w:r>
      <w:r w:rsidR="00AD4DFD" w:rsidRPr="00C72D8B">
        <w:rPr>
          <w:sz w:val="26"/>
          <w:szCs w:val="26"/>
        </w:rPr>
        <w:t xml:space="preserve"> at 51).</w:t>
      </w:r>
      <w:r w:rsidR="00EE419D" w:rsidRPr="00C72D8B">
        <w:rPr>
          <w:sz w:val="26"/>
          <w:szCs w:val="26"/>
        </w:rPr>
        <w:t xml:space="preserve">  Columbia submits that </w:t>
      </w:r>
      <w:r w:rsidR="001E18AA" w:rsidRPr="00C72D8B">
        <w:rPr>
          <w:sz w:val="26"/>
          <w:szCs w:val="26"/>
        </w:rPr>
        <w:t xml:space="preserve">it is clear from the </w:t>
      </w:r>
      <w:r w:rsidR="001E18AA" w:rsidRPr="00C72D8B">
        <w:rPr>
          <w:i/>
          <w:iCs/>
          <w:sz w:val="26"/>
          <w:szCs w:val="26"/>
        </w:rPr>
        <w:t>February 2021 Order</w:t>
      </w:r>
      <w:r w:rsidR="001E18AA" w:rsidRPr="00C72D8B">
        <w:rPr>
          <w:sz w:val="26"/>
          <w:szCs w:val="26"/>
        </w:rPr>
        <w:t xml:space="preserve"> that </w:t>
      </w:r>
      <w:r w:rsidR="0074050A" w:rsidRPr="00C72D8B">
        <w:rPr>
          <w:sz w:val="26"/>
          <w:szCs w:val="26"/>
        </w:rPr>
        <w:t xml:space="preserve">the Commission referenced the </w:t>
      </w:r>
      <w:r w:rsidR="00617D75" w:rsidRPr="00C72D8B">
        <w:rPr>
          <w:i/>
          <w:iCs/>
          <w:sz w:val="26"/>
          <w:szCs w:val="26"/>
        </w:rPr>
        <w:t xml:space="preserve">Settled Base Rate </w:t>
      </w:r>
      <w:r w:rsidR="001D5B15" w:rsidRPr="00C72D8B">
        <w:rPr>
          <w:i/>
          <w:iCs/>
          <w:sz w:val="26"/>
          <w:szCs w:val="26"/>
        </w:rPr>
        <w:t>C</w:t>
      </w:r>
      <w:r w:rsidR="00617D75" w:rsidRPr="00C72D8B">
        <w:rPr>
          <w:i/>
          <w:iCs/>
          <w:sz w:val="26"/>
          <w:szCs w:val="26"/>
        </w:rPr>
        <w:t>a</w:t>
      </w:r>
      <w:r w:rsidR="001D5B15" w:rsidRPr="00C72D8B">
        <w:rPr>
          <w:i/>
          <w:iCs/>
          <w:sz w:val="26"/>
          <w:szCs w:val="26"/>
        </w:rPr>
        <w:t>se</w:t>
      </w:r>
      <w:r w:rsidR="00196552" w:rsidRPr="00C72D8B">
        <w:rPr>
          <w:i/>
          <w:iCs/>
          <w:sz w:val="26"/>
          <w:szCs w:val="26"/>
        </w:rPr>
        <w:t xml:space="preserve"> Orders</w:t>
      </w:r>
      <w:r w:rsidR="00CD104B" w:rsidRPr="00C72D8B">
        <w:rPr>
          <w:sz w:val="26"/>
          <w:szCs w:val="26"/>
        </w:rPr>
        <w:t xml:space="preserve"> in response to the arguments of the </w:t>
      </w:r>
      <w:r w:rsidR="00196552" w:rsidRPr="00C72D8B">
        <w:rPr>
          <w:sz w:val="26"/>
          <w:szCs w:val="26"/>
        </w:rPr>
        <w:t>P</w:t>
      </w:r>
      <w:r w:rsidR="00CD104B" w:rsidRPr="00C72D8B">
        <w:rPr>
          <w:sz w:val="26"/>
          <w:szCs w:val="26"/>
        </w:rPr>
        <w:t>arties opposing the rate increase</w:t>
      </w:r>
      <w:r w:rsidR="00CC0F8F" w:rsidRPr="00C72D8B">
        <w:rPr>
          <w:sz w:val="26"/>
          <w:szCs w:val="26"/>
        </w:rPr>
        <w:t xml:space="preserve"> and the ALJ’s recommendation </w:t>
      </w:r>
      <w:r w:rsidR="00656C14" w:rsidRPr="00C72D8B">
        <w:rPr>
          <w:sz w:val="26"/>
          <w:szCs w:val="26"/>
        </w:rPr>
        <w:t xml:space="preserve">to deny a rate increase entirely </w:t>
      </w:r>
      <w:r w:rsidR="00FF211D" w:rsidRPr="00C72D8B">
        <w:rPr>
          <w:sz w:val="26"/>
          <w:szCs w:val="26"/>
        </w:rPr>
        <w:t>due to the economic circumstances resulting from the pandemic</w:t>
      </w:r>
      <w:r w:rsidR="00462615" w:rsidRPr="00C72D8B">
        <w:rPr>
          <w:sz w:val="26"/>
          <w:szCs w:val="26"/>
        </w:rPr>
        <w:t>, including increased unemployment</w:t>
      </w:r>
      <w:r w:rsidR="00FF211D" w:rsidRPr="00C72D8B">
        <w:rPr>
          <w:sz w:val="26"/>
          <w:szCs w:val="26"/>
        </w:rPr>
        <w:t>.</w:t>
      </w:r>
      <w:r w:rsidR="00E509F5" w:rsidRPr="00C72D8B">
        <w:rPr>
          <w:sz w:val="26"/>
          <w:szCs w:val="26"/>
        </w:rPr>
        <w:t xml:space="preserve">  </w:t>
      </w:r>
      <w:r w:rsidR="00931B43" w:rsidRPr="00C72D8B">
        <w:rPr>
          <w:sz w:val="26"/>
          <w:szCs w:val="26"/>
        </w:rPr>
        <w:t xml:space="preserve">According to Columbia, the Commission logically </w:t>
      </w:r>
      <w:r w:rsidR="00154D0D" w:rsidRPr="00C72D8B">
        <w:rPr>
          <w:sz w:val="26"/>
          <w:szCs w:val="26"/>
        </w:rPr>
        <w:t xml:space="preserve">reasoned that if increased unemployment due to the pandemic was a basis for </w:t>
      </w:r>
      <w:r w:rsidR="008F32EC" w:rsidRPr="00C72D8B">
        <w:rPr>
          <w:sz w:val="26"/>
          <w:szCs w:val="26"/>
        </w:rPr>
        <w:t xml:space="preserve">prohibiting </w:t>
      </w:r>
      <w:r w:rsidR="005B5C7D" w:rsidRPr="00C72D8B">
        <w:rPr>
          <w:sz w:val="26"/>
          <w:szCs w:val="26"/>
        </w:rPr>
        <w:t xml:space="preserve">base rate increases, such a prohibition would </w:t>
      </w:r>
      <w:r w:rsidR="007632B0" w:rsidRPr="00C72D8B">
        <w:rPr>
          <w:sz w:val="26"/>
          <w:szCs w:val="26"/>
        </w:rPr>
        <w:t>have equally applied to other rate increase requests during the pandemic.  Answer at 6.</w:t>
      </w:r>
      <w:r w:rsidR="005B5C7D" w:rsidRPr="00C72D8B">
        <w:rPr>
          <w:sz w:val="26"/>
          <w:szCs w:val="26"/>
        </w:rPr>
        <w:t xml:space="preserve"> </w:t>
      </w:r>
    </w:p>
    <w:p w14:paraId="4F50FA00" w14:textId="7093B13B" w:rsidR="00462615" w:rsidRPr="00C72D8B" w:rsidRDefault="00462615" w:rsidP="00617D75">
      <w:pPr>
        <w:pStyle w:val="ListNumber"/>
        <w:numPr>
          <w:ilvl w:val="0"/>
          <w:numId w:val="0"/>
        </w:numPr>
        <w:spacing w:line="360" w:lineRule="auto"/>
        <w:rPr>
          <w:sz w:val="26"/>
          <w:szCs w:val="26"/>
        </w:rPr>
      </w:pPr>
    </w:p>
    <w:p w14:paraId="0C6811F8" w14:textId="2A2F1573" w:rsidR="0062382A" w:rsidRPr="00C72D8B" w:rsidRDefault="00462615" w:rsidP="0062382A">
      <w:pPr>
        <w:pStyle w:val="ListNumber"/>
        <w:numPr>
          <w:ilvl w:val="0"/>
          <w:numId w:val="0"/>
        </w:numPr>
        <w:spacing w:line="360" w:lineRule="auto"/>
        <w:rPr>
          <w:sz w:val="26"/>
          <w:szCs w:val="26"/>
        </w:rPr>
      </w:pPr>
      <w:r w:rsidRPr="00C72D8B">
        <w:rPr>
          <w:sz w:val="26"/>
          <w:szCs w:val="26"/>
        </w:rPr>
        <w:tab/>
      </w:r>
      <w:r w:rsidRPr="00C72D8B">
        <w:rPr>
          <w:sz w:val="26"/>
          <w:szCs w:val="26"/>
        </w:rPr>
        <w:tab/>
        <w:t xml:space="preserve">Columbia </w:t>
      </w:r>
      <w:r w:rsidR="00010A63" w:rsidRPr="00C72D8B">
        <w:rPr>
          <w:sz w:val="26"/>
          <w:szCs w:val="26"/>
        </w:rPr>
        <w:t>also disagrees with the OCA’s argument that</w:t>
      </w:r>
      <w:r w:rsidR="0062382A" w:rsidRPr="00C72D8B">
        <w:rPr>
          <w:sz w:val="26"/>
          <w:szCs w:val="26"/>
        </w:rPr>
        <w:t xml:space="preserve"> </w:t>
      </w:r>
      <w:r w:rsidR="00554B99" w:rsidRPr="00C72D8B">
        <w:rPr>
          <w:sz w:val="26"/>
          <w:szCs w:val="26"/>
        </w:rPr>
        <w:t xml:space="preserve">the Commission’s reference to the </w:t>
      </w:r>
      <w:r w:rsidR="00554B99" w:rsidRPr="00C72D8B">
        <w:rPr>
          <w:i/>
          <w:iCs/>
          <w:sz w:val="26"/>
          <w:szCs w:val="26"/>
        </w:rPr>
        <w:t>Settled Base Rate Case</w:t>
      </w:r>
      <w:r w:rsidR="00196552" w:rsidRPr="00C72D8B">
        <w:rPr>
          <w:i/>
          <w:iCs/>
          <w:sz w:val="26"/>
          <w:szCs w:val="26"/>
        </w:rPr>
        <w:t xml:space="preserve"> Orders</w:t>
      </w:r>
      <w:r w:rsidR="00554B99" w:rsidRPr="00C72D8B">
        <w:rPr>
          <w:sz w:val="26"/>
          <w:szCs w:val="26"/>
        </w:rPr>
        <w:t xml:space="preserve"> </w:t>
      </w:r>
      <w:r w:rsidR="003E46A4" w:rsidRPr="00C72D8B">
        <w:rPr>
          <w:sz w:val="26"/>
          <w:szCs w:val="26"/>
        </w:rPr>
        <w:t>would discourage future settlement negotiations.</w:t>
      </w:r>
      <w:r w:rsidR="00010A63" w:rsidRPr="00C72D8B">
        <w:rPr>
          <w:sz w:val="26"/>
          <w:szCs w:val="26"/>
        </w:rPr>
        <w:t xml:space="preserve"> </w:t>
      </w:r>
      <w:r w:rsidR="00196552" w:rsidRPr="00C72D8B">
        <w:rPr>
          <w:sz w:val="26"/>
          <w:szCs w:val="26"/>
        </w:rPr>
        <w:t xml:space="preserve"> </w:t>
      </w:r>
      <w:r w:rsidR="003E46A4" w:rsidRPr="00C72D8B">
        <w:rPr>
          <w:sz w:val="26"/>
          <w:szCs w:val="26"/>
        </w:rPr>
        <w:t>Columbia states that t</w:t>
      </w:r>
      <w:r w:rsidR="0062382A" w:rsidRPr="00C72D8B">
        <w:rPr>
          <w:sz w:val="26"/>
          <w:szCs w:val="26"/>
        </w:rPr>
        <w:t>he Commission did not rely on the resolution of any specific issue in a prior settlement as precedent</w:t>
      </w:r>
      <w:r w:rsidR="002E0100" w:rsidRPr="00C72D8B">
        <w:rPr>
          <w:sz w:val="26"/>
          <w:szCs w:val="26"/>
        </w:rPr>
        <w:t>,</w:t>
      </w:r>
      <w:r w:rsidR="0062382A" w:rsidRPr="00C72D8B">
        <w:rPr>
          <w:sz w:val="26"/>
          <w:szCs w:val="26"/>
        </w:rPr>
        <w:t xml:space="preserve"> but</w:t>
      </w:r>
      <w:r w:rsidR="002E0100" w:rsidRPr="00C72D8B">
        <w:rPr>
          <w:sz w:val="26"/>
          <w:szCs w:val="26"/>
        </w:rPr>
        <w:t>, rather,</w:t>
      </w:r>
      <w:r w:rsidR="0062382A" w:rsidRPr="00C72D8B">
        <w:rPr>
          <w:sz w:val="26"/>
          <w:szCs w:val="26"/>
        </w:rPr>
        <w:t xml:space="preserve"> cited the result</w:t>
      </w:r>
      <w:r w:rsidR="002E0100" w:rsidRPr="00C72D8B">
        <w:rPr>
          <w:sz w:val="26"/>
          <w:szCs w:val="26"/>
        </w:rPr>
        <w:t>s</w:t>
      </w:r>
      <w:r w:rsidR="0062382A" w:rsidRPr="00C72D8B">
        <w:rPr>
          <w:sz w:val="26"/>
          <w:szCs w:val="26"/>
        </w:rPr>
        <w:t xml:space="preserve"> of prior settled cases to </w:t>
      </w:r>
      <w:r w:rsidR="002E0100" w:rsidRPr="00C72D8B">
        <w:rPr>
          <w:sz w:val="26"/>
          <w:szCs w:val="26"/>
        </w:rPr>
        <w:t>show</w:t>
      </w:r>
      <w:r w:rsidR="0062382A" w:rsidRPr="00C72D8B">
        <w:rPr>
          <w:sz w:val="26"/>
          <w:szCs w:val="26"/>
        </w:rPr>
        <w:t xml:space="preserve"> that the Commission previously approved rate increases during the COVID-19 pandemic.</w:t>
      </w:r>
      <w:r w:rsidR="002E0100" w:rsidRPr="00C72D8B">
        <w:rPr>
          <w:sz w:val="26"/>
          <w:szCs w:val="26"/>
        </w:rPr>
        <w:t xml:space="preserve"> </w:t>
      </w:r>
      <w:r w:rsidR="0062382A" w:rsidRPr="00C72D8B">
        <w:rPr>
          <w:sz w:val="26"/>
          <w:szCs w:val="26"/>
        </w:rPr>
        <w:t xml:space="preserve"> </w:t>
      </w:r>
      <w:r w:rsidR="00424B66" w:rsidRPr="00C72D8B">
        <w:rPr>
          <w:sz w:val="26"/>
          <w:szCs w:val="26"/>
        </w:rPr>
        <w:t xml:space="preserve">Columbia avers that the </w:t>
      </w:r>
      <w:r w:rsidR="006C4ADA" w:rsidRPr="00C72D8B">
        <w:rPr>
          <w:sz w:val="26"/>
          <w:szCs w:val="26"/>
        </w:rPr>
        <w:t>Co</w:t>
      </w:r>
      <w:r w:rsidR="0062382A" w:rsidRPr="00C72D8B">
        <w:rPr>
          <w:sz w:val="26"/>
          <w:szCs w:val="26"/>
        </w:rPr>
        <w:t>mmission considered and rejected the unprecedented contention that an otherwise justified rate increase could be denied due to economic conditions</w:t>
      </w:r>
      <w:r w:rsidR="006C4ADA" w:rsidRPr="00C72D8B">
        <w:rPr>
          <w:sz w:val="26"/>
          <w:szCs w:val="26"/>
        </w:rPr>
        <w:t>.</w:t>
      </w:r>
      <w:r w:rsidR="00DA5D56" w:rsidRPr="00C72D8B">
        <w:rPr>
          <w:sz w:val="26"/>
          <w:szCs w:val="26"/>
        </w:rPr>
        <w:t xml:space="preserve">  </w:t>
      </w:r>
      <w:r w:rsidR="00DA5D56" w:rsidRPr="00C72D8B">
        <w:rPr>
          <w:i/>
          <w:iCs/>
          <w:sz w:val="26"/>
          <w:szCs w:val="26"/>
        </w:rPr>
        <w:t>Id</w:t>
      </w:r>
      <w:r w:rsidR="00DA5D56" w:rsidRPr="00C72D8B">
        <w:rPr>
          <w:sz w:val="26"/>
          <w:szCs w:val="26"/>
        </w:rPr>
        <w:t>.</w:t>
      </w:r>
      <w:r w:rsidR="0062382A" w:rsidRPr="00C72D8B">
        <w:rPr>
          <w:sz w:val="26"/>
          <w:szCs w:val="26"/>
        </w:rPr>
        <w:t xml:space="preserve">  </w:t>
      </w:r>
    </w:p>
    <w:p w14:paraId="3484AB47" w14:textId="60AB9690" w:rsidR="00DA5D56" w:rsidRPr="00C72D8B" w:rsidRDefault="00DA5D56" w:rsidP="0062382A">
      <w:pPr>
        <w:pStyle w:val="ListNumber"/>
        <w:numPr>
          <w:ilvl w:val="0"/>
          <w:numId w:val="0"/>
        </w:numPr>
        <w:spacing w:line="360" w:lineRule="auto"/>
        <w:rPr>
          <w:sz w:val="26"/>
          <w:szCs w:val="26"/>
        </w:rPr>
      </w:pPr>
    </w:p>
    <w:p w14:paraId="6A6C5845" w14:textId="013881F0" w:rsidR="009F1155" w:rsidRPr="00C72D8B" w:rsidRDefault="00141978" w:rsidP="009D224B">
      <w:pPr>
        <w:pStyle w:val="ListNumber"/>
        <w:numPr>
          <w:ilvl w:val="0"/>
          <w:numId w:val="0"/>
        </w:numPr>
        <w:spacing w:line="360" w:lineRule="auto"/>
        <w:rPr>
          <w:sz w:val="26"/>
          <w:szCs w:val="26"/>
        </w:rPr>
      </w:pPr>
      <w:r w:rsidRPr="00C72D8B">
        <w:rPr>
          <w:sz w:val="26"/>
          <w:szCs w:val="26"/>
        </w:rPr>
        <w:tab/>
      </w:r>
      <w:r w:rsidRPr="00C72D8B">
        <w:rPr>
          <w:sz w:val="26"/>
          <w:szCs w:val="26"/>
        </w:rPr>
        <w:tab/>
        <w:t xml:space="preserve">Further, Columbia avers that </w:t>
      </w:r>
      <w:r w:rsidR="00C75E63" w:rsidRPr="00C72D8B">
        <w:rPr>
          <w:sz w:val="26"/>
          <w:szCs w:val="26"/>
        </w:rPr>
        <w:t>in its Petition, the OCA is attempting to re-litiga</w:t>
      </w:r>
      <w:r w:rsidR="003A1A6A" w:rsidRPr="00C72D8B">
        <w:rPr>
          <w:sz w:val="26"/>
          <w:szCs w:val="26"/>
        </w:rPr>
        <w:t>t</w:t>
      </w:r>
      <w:r w:rsidR="00C75E63" w:rsidRPr="00C72D8B">
        <w:rPr>
          <w:sz w:val="26"/>
          <w:szCs w:val="26"/>
        </w:rPr>
        <w:t xml:space="preserve">e </w:t>
      </w:r>
      <w:r w:rsidR="003A1A6A" w:rsidRPr="00C72D8B">
        <w:rPr>
          <w:sz w:val="26"/>
          <w:szCs w:val="26"/>
        </w:rPr>
        <w:t xml:space="preserve">its </w:t>
      </w:r>
      <w:r w:rsidR="00591B19" w:rsidRPr="00C72D8B">
        <w:rPr>
          <w:sz w:val="26"/>
          <w:szCs w:val="26"/>
        </w:rPr>
        <w:t>argument</w:t>
      </w:r>
      <w:r w:rsidR="003A1A6A" w:rsidRPr="00C72D8B">
        <w:rPr>
          <w:sz w:val="26"/>
          <w:szCs w:val="26"/>
        </w:rPr>
        <w:t xml:space="preserve"> that </w:t>
      </w:r>
      <w:r w:rsidR="001E55D6" w:rsidRPr="00C72D8B">
        <w:rPr>
          <w:sz w:val="26"/>
          <w:szCs w:val="26"/>
        </w:rPr>
        <w:t>no rate increase is appropriate during the COVID-19 pandemic, and the Commission has already specific</w:t>
      </w:r>
      <w:r w:rsidR="00591B19" w:rsidRPr="00C72D8B">
        <w:rPr>
          <w:sz w:val="26"/>
          <w:szCs w:val="26"/>
        </w:rPr>
        <w:t>ally considered and rejected the OCA’s argument.</w:t>
      </w:r>
      <w:r w:rsidR="001E55D6" w:rsidRPr="00C72D8B">
        <w:rPr>
          <w:sz w:val="26"/>
          <w:szCs w:val="26"/>
        </w:rPr>
        <w:t xml:space="preserve"> </w:t>
      </w:r>
      <w:r w:rsidR="003A1A6A" w:rsidRPr="00C72D8B">
        <w:rPr>
          <w:sz w:val="26"/>
          <w:szCs w:val="26"/>
        </w:rPr>
        <w:t xml:space="preserve"> </w:t>
      </w:r>
      <w:r w:rsidR="00450BAB" w:rsidRPr="00C72D8B">
        <w:rPr>
          <w:i/>
          <w:iCs/>
          <w:sz w:val="26"/>
          <w:szCs w:val="26"/>
        </w:rPr>
        <w:t>Id</w:t>
      </w:r>
      <w:r w:rsidR="00450BAB" w:rsidRPr="00C72D8B">
        <w:rPr>
          <w:sz w:val="26"/>
          <w:szCs w:val="26"/>
        </w:rPr>
        <w:t xml:space="preserve">. at 7 (citing </w:t>
      </w:r>
      <w:r w:rsidR="00544C84" w:rsidRPr="00C72D8B">
        <w:rPr>
          <w:i/>
          <w:iCs/>
          <w:sz w:val="26"/>
          <w:szCs w:val="26"/>
        </w:rPr>
        <w:t>February 2021 Order</w:t>
      </w:r>
      <w:r w:rsidR="00544C84" w:rsidRPr="00C72D8B">
        <w:rPr>
          <w:sz w:val="26"/>
          <w:szCs w:val="26"/>
        </w:rPr>
        <w:t xml:space="preserve"> at 54).  </w:t>
      </w:r>
      <w:r w:rsidR="00BE2928" w:rsidRPr="00C72D8B">
        <w:rPr>
          <w:sz w:val="26"/>
          <w:szCs w:val="26"/>
        </w:rPr>
        <w:t xml:space="preserve">Columbia states that the </w:t>
      </w:r>
      <w:r w:rsidR="00A95849" w:rsidRPr="00C72D8B">
        <w:rPr>
          <w:sz w:val="26"/>
          <w:szCs w:val="26"/>
        </w:rPr>
        <w:t xml:space="preserve">Commission </w:t>
      </w:r>
      <w:r w:rsidR="00CF0C63" w:rsidRPr="00C72D8B">
        <w:rPr>
          <w:sz w:val="26"/>
          <w:szCs w:val="26"/>
        </w:rPr>
        <w:t>found</w:t>
      </w:r>
      <w:r w:rsidR="00A95849" w:rsidRPr="00C72D8B">
        <w:rPr>
          <w:sz w:val="26"/>
          <w:szCs w:val="26"/>
        </w:rPr>
        <w:t xml:space="preserve"> that traditional ratemaking methodologies </w:t>
      </w:r>
      <w:r w:rsidR="00CF0C63" w:rsidRPr="00C72D8B">
        <w:rPr>
          <w:sz w:val="26"/>
          <w:szCs w:val="26"/>
        </w:rPr>
        <w:t>permit</w:t>
      </w:r>
      <w:r w:rsidR="00A95849" w:rsidRPr="00C72D8B">
        <w:rPr>
          <w:sz w:val="26"/>
          <w:szCs w:val="26"/>
        </w:rPr>
        <w:t xml:space="preserve"> the Commission to consider “important factors or principles in setting just and reasonable rates, such as quality of service, gradualism, and rate affordability, during this pandemic.”  </w:t>
      </w:r>
      <w:r w:rsidR="00E371F8" w:rsidRPr="00C72D8B">
        <w:rPr>
          <w:sz w:val="26"/>
          <w:szCs w:val="26"/>
        </w:rPr>
        <w:t xml:space="preserve">Answer at 7 (citing </w:t>
      </w:r>
      <w:r w:rsidR="00E371F8" w:rsidRPr="00C72D8B">
        <w:rPr>
          <w:i/>
          <w:iCs/>
          <w:sz w:val="26"/>
          <w:szCs w:val="26"/>
        </w:rPr>
        <w:t>February 2021 Order</w:t>
      </w:r>
      <w:r w:rsidR="00E371F8" w:rsidRPr="00C72D8B">
        <w:rPr>
          <w:sz w:val="26"/>
          <w:szCs w:val="26"/>
        </w:rPr>
        <w:t xml:space="preserve"> at</w:t>
      </w:r>
      <w:r w:rsidR="00A95849" w:rsidRPr="00C72D8B">
        <w:rPr>
          <w:sz w:val="26"/>
          <w:szCs w:val="26"/>
        </w:rPr>
        <w:t xml:space="preserve"> 47</w:t>
      </w:r>
      <w:r w:rsidR="00E371F8" w:rsidRPr="00C72D8B">
        <w:rPr>
          <w:sz w:val="26"/>
          <w:szCs w:val="26"/>
        </w:rPr>
        <w:t>)</w:t>
      </w:r>
      <w:r w:rsidR="00A95849" w:rsidRPr="00C72D8B">
        <w:rPr>
          <w:sz w:val="26"/>
          <w:szCs w:val="26"/>
        </w:rPr>
        <w:t xml:space="preserve">.  </w:t>
      </w:r>
      <w:r w:rsidR="00421651" w:rsidRPr="00C72D8B">
        <w:rPr>
          <w:sz w:val="26"/>
          <w:szCs w:val="26"/>
        </w:rPr>
        <w:t>Columbia also states that t</w:t>
      </w:r>
      <w:r w:rsidR="00A95849" w:rsidRPr="00C72D8B">
        <w:rPr>
          <w:sz w:val="26"/>
          <w:szCs w:val="26"/>
        </w:rPr>
        <w:t xml:space="preserve">he Commission then applied these factors </w:t>
      </w:r>
      <w:r w:rsidR="009F3DDF" w:rsidRPr="00C72D8B">
        <w:rPr>
          <w:sz w:val="26"/>
          <w:szCs w:val="26"/>
        </w:rPr>
        <w:t xml:space="preserve">in its </w:t>
      </w:r>
      <w:r w:rsidR="00A95849" w:rsidRPr="00C72D8B">
        <w:rPr>
          <w:sz w:val="26"/>
          <w:szCs w:val="26"/>
        </w:rPr>
        <w:t>consider</w:t>
      </w:r>
      <w:r w:rsidR="009F3DDF" w:rsidRPr="00C72D8B">
        <w:rPr>
          <w:sz w:val="26"/>
          <w:szCs w:val="26"/>
        </w:rPr>
        <w:t>ation of</w:t>
      </w:r>
      <w:r w:rsidR="00A95849" w:rsidRPr="00C72D8B">
        <w:rPr>
          <w:sz w:val="26"/>
          <w:szCs w:val="26"/>
        </w:rPr>
        <w:t xml:space="preserve"> the elements of Columbia’s requested rate increase.  </w:t>
      </w:r>
      <w:r w:rsidR="008B2BA2" w:rsidRPr="00C72D8B">
        <w:rPr>
          <w:sz w:val="26"/>
          <w:szCs w:val="26"/>
        </w:rPr>
        <w:t xml:space="preserve">Answer at 7.  </w:t>
      </w:r>
      <w:r w:rsidR="00A95849" w:rsidRPr="00C72D8B">
        <w:rPr>
          <w:sz w:val="26"/>
          <w:szCs w:val="26"/>
        </w:rPr>
        <w:t xml:space="preserve">For example, </w:t>
      </w:r>
      <w:r w:rsidR="0073445C" w:rsidRPr="00C72D8B">
        <w:rPr>
          <w:sz w:val="26"/>
          <w:szCs w:val="26"/>
        </w:rPr>
        <w:t xml:space="preserve">Columbia notes that </w:t>
      </w:r>
      <w:r w:rsidR="00A95849" w:rsidRPr="00C72D8B">
        <w:rPr>
          <w:sz w:val="26"/>
          <w:szCs w:val="26"/>
        </w:rPr>
        <w:t xml:space="preserve">the Commission granted a smaller overall rate increase than </w:t>
      </w:r>
      <w:r w:rsidR="008A4895" w:rsidRPr="00C72D8B">
        <w:rPr>
          <w:sz w:val="26"/>
          <w:szCs w:val="26"/>
        </w:rPr>
        <w:t xml:space="preserve">the Company </w:t>
      </w:r>
      <w:r w:rsidR="00A95849" w:rsidRPr="00C72D8B">
        <w:rPr>
          <w:sz w:val="26"/>
          <w:szCs w:val="26"/>
        </w:rPr>
        <w:t xml:space="preserve">requested, selected a lower rate of return than </w:t>
      </w:r>
      <w:r w:rsidR="008A4895" w:rsidRPr="00C72D8B">
        <w:rPr>
          <w:sz w:val="26"/>
          <w:szCs w:val="26"/>
        </w:rPr>
        <w:t xml:space="preserve">the Company </w:t>
      </w:r>
      <w:r w:rsidR="00A95849" w:rsidRPr="00C72D8B">
        <w:rPr>
          <w:sz w:val="26"/>
          <w:szCs w:val="26"/>
        </w:rPr>
        <w:t xml:space="preserve">originally proposed, eliminated certain projected expenses and capital spending from the Company’s claim, accepted the </w:t>
      </w:r>
      <w:r w:rsidR="00B54DB8" w:rsidRPr="00C72D8B">
        <w:rPr>
          <w:sz w:val="26"/>
          <w:szCs w:val="26"/>
        </w:rPr>
        <w:t>ALJ’s</w:t>
      </w:r>
      <w:r w:rsidR="00A95849" w:rsidRPr="00C72D8B">
        <w:rPr>
          <w:sz w:val="26"/>
          <w:szCs w:val="26"/>
        </w:rPr>
        <w:t xml:space="preserve"> modification to the Company’s proposed Residential rate design, and made various directives concerning low-income programs.  </w:t>
      </w:r>
      <w:r w:rsidR="008B2BA2" w:rsidRPr="00C72D8B">
        <w:rPr>
          <w:i/>
          <w:iCs/>
          <w:sz w:val="26"/>
          <w:szCs w:val="26"/>
        </w:rPr>
        <w:t>Id</w:t>
      </w:r>
      <w:r w:rsidR="008B2BA2" w:rsidRPr="00C72D8B">
        <w:rPr>
          <w:sz w:val="26"/>
          <w:szCs w:val="26"/>
        </w:rPr>
        <w:t xml:space="preserve">. at 7-8 (citing </w:t>
      </w:r>
      <w:r w:rsidR="00A017AD" w:rsidRPr="00C72D8B">
        <w:rPr>
          <w:i/>
          <w:iCs/>
          <w:sz w:val="26"/>
          <w:szCs w:val="26"/>
        </w:rPr>
        <w:t>February 2021</w:t>
      </w:r>
      <w:r w:rsidR="00A017AD" w:rsidRPr="00C72D8B">
        <w:rPr>
          <w:sz w:val="26"/>
          <w:szCs w:val="26"/>
        </w:rPr>
        <w:t xml:space="preserve"> </w:t>
      </w:r>
      <w:r w:rsidR="00A95849" w:rsidRPr="00C72D8B">
        <w:rPr>
          <w:i/>
          <w:iCs/>
          <w:sz w:val="26"/>
          <w:szCs w:val="26"/>
        </w:rPr>
        <w:t>Order</w:t>
      </w:r>
      <w:r w:rsidR="00A017AD" w:rsidRPr="00C72D8B">
        <w:rPr>
          <w:i/>
          <w:iCs/>
          <w:sz w:val="26"/>
          <w:szCs w:val="26"/>
        </w:rPr>
        <w:t xml:space="preserve"> </w:t>
      </w:r>
      <w:r w:rsidR="00A017AD" w:rsidRPr="00C72D8B">
        <w:rPr>
          <w:sz w:val="26"/>
          <w:szCs w:val="26"/>
        </w:rPr>
        <w:t>at</w:t>
      </w:r>
      <w:r w:rsidR="00A95849" w:rsidRPr="00C72D8B">
        <w:rPr>
          <w:sz w:val="26"/>
          <w:szCs w:val="26"/>
        </w:rPr>
        <w:t xml:space="preserve"> 61, 71-72, 82, 97, 141, 143, 144-77, </w:t>
      </w:r>
      <w:r w:rsidR="00A017AD" w:rsidRPr="00C72D8B">
        <w:rPr>
          <w:sz w:val="26"/>
          <w:szCs w:val="26"/>
        </w:rPr>
        <w:t xml:space="preserve">and </w:t>
      </w:r>
      <w:r w:rsidR="00A95849" w:rsidRPr="00C72D8B">
        <w:rPr>
          <w:sz w:val="26"/>
          <w:szCs w:val="26"/>
        </w:rPr>
        <w:t>262-65</w:t>
      </w:r>
      <w:r w:rsidR="00A017AD" w:rsidRPr="00C72D8B">
        <w:rPr>
          <w:sz w:val="26"/>
          <w:szCs w:val="26"/>
        </w:rPr>
        <w:t>)</w:t>
      </w:r>
      <w:r w:rsidR="00A95849" w:rsidRPr="00C72D8B">
        <w:rPr>
          <w:sz w:val="26"/>
          <w:szCs w:val="26"/>
        </w:rPr>
        <w:t xml:space="preserve">.  </w:t>
      </w:r>
      <w:r w:rsidR="00A017AD" w:rsidRPr="00C72D8B">
        <w:rPr>
          <w:sz w:val="26"/>
          <w:szCs w:val="26"/>
        </w:rPr>
        <w:t xml:space="preserve">Columbia asserts that it was </w:t>
      </w:r>
      <w:r w:rsidR="00A95849" w:rsidRPr="00C72D8B">
        <w:rPr>
          <w:sz w:val="26"/>
          <w:szCs w:val="26"/>
        </w:rPr>
        <w:t xml:space="preserve">this analysis </w:t>
      </w:r>
      <w:r w:rsidR="00736C71" w:rsidRPr="00C72D8B">
        <w:rPr>
          <w:sz w:val="26"/>
          <w:szCs w:val="26"/>
        </w:rPr>
        <w:t>pursuant to</w:t>
      </w:r>
      <w:r w:rsidR="00A95849" w:rsidRPr="00C72D8B">
        <w:rPr>
          <w:sz w:val="26"/>
          <w:szCs w:val="26"/>
        </w:rPr>
        <w:t xml:space="preserve"> the Commission’s authority under traditional ratemaking methodologies, </w:t>
      </w:r>
      <w:r w:rsidR="00027FEC" w:rsidRPr="00C72D8B">
        <w:rPr>
          <w:sz w:val="26"/>
          <w:szCs w:val="26"/>
        </w:rPr>
        <w:t>rather</w:t>
      </w:r>
      <w:r w:rsidR="00A95849" w:rsidRPr="00C72D8B">
        <w:rPr>
          <w:sz w:val="26"/>
          <w:szCs w:val="26"/>
        </w:rPr>
        <w:t xml:space="preserve"> than </w:t>
      </w:r>
      <w:r w:rsidR="00027FEC" w:rsidRPr="00C72D8B">
        <w:rPr>
          <w:sz w:val="26"/>
          <w:szCs w:val="26"/>
        </w:rPr>
        <w:t>the</w:t>
      </w:r>
      <w:r w:rsidR="00A95849" w:rsidRPr="00C72D8B">
        <w:rPr>
          <w:sz w:val="26"/>
          <w:szCs w:val="26"/>
        </w:rPr>
        <w:t xml:space="preserve"> consideration of the </w:t>
      </w:r>
      <w:r w:rsidR="00A95849" w:rsidRPr="00C72D8B">
        <w:rPr>
          <w:i/>
          <w:iCs/>
          <w:sz w:val="26"/>
          <w:szCs w:val="26"/>
        </w:rPr>
        <w:t>Settled Base Rate Case</w:t>
      </w:r>
      <w:r w:rsidR="0096376E" w:rsidRPr="00C72D8B">
        <w:rPr>
          <w:i/>
          <w:iCs/>
          <w:sz w:val="26"/>
          <w:szCs w:val="26"/>
        </w:rPr>
        <w:t xml:space="preserve"> Orders</w:t>
      </w:r>
      <w:r w:rsidR="00A95849" w:rsidRPr="00C72D8B">
        <w:rPr>
          <w:sz w:val="26"/>
          <w:szCs w:val="26"/>
        </w:rPr>
        <w:t>, that s</w:t>
      </w:r>
      <w:r w:rsidR="00027FEC" w:rsidRPr="00C72D8B">
        <w:rPr>
          <w:sz w:val="26"/>
          <w:szCs w:val="26"/>
        </w:rPr>
        <w:t>upports</w:t>
      </w:r>
      <w:r w:rsidR="00A95849" w:rsidRPr="00C72D8B">
        <w:rPr>
          <w:sz w:val="26"/>
          <w:szCs w:val="26"/>
        </w:rPr>
        <w:t xml:space="preserve"> the Commission’s decision to reject the </w:t>
      </w:r>
      <w:r w:rsidR="007F57A9" w:rsidRPr="00C72D8B">
        <w:rPr>
          <w:sz w:val="26"/>
          <w:szCs w:val="26"/>
        </w:rPr>
        <w:t xml:space="preserve">ALJ’s </w:t>
      </w:r>
      <w:r w:rsidR="00A95849" w:rsidRPr="00C72D8B">
        <w:rPr>
          <w:sz w:val="26"/>
          <w:szCs w:val="26"/>
        </w:rPr>
        <w:t>recommendation to deny any rate increase to Columbia.</w:t>
      </w:r>
      <w:r w:rsidR="00490326" w:rsidRPr="00C72D8B">
        <w:rPr>
          <w:sz w:val="26"/>
          <w:szCs w:val="26"/>
        </w:rPr>
        <w:t xml:space="preserve">  </w:t>
      </w:r>
      <w:r w:rsidR="004F30D0" w:rsidRPr="00C72D8B">
        <w:rPr>
          <w:sz w:val="26"/>
          <w:szCs w:val="26"/>
        </w:rPr>
        <w:t xml:space="preserve">Answer at 8.  </w:t>
      </w:r>
    </w:p>
    <w:p w14:paraId="1BA7B135" w14:textId="77777777" w:rsidR="009F1155" w:rsidRPr="00C72D8B" w:rsidRDefault="009F1155" w:rsidP="009D224B">
      <w:pPr>
        <w:pStyle w:val="ListNumber"/>
        <w:numPr>
          <w:ilvl w:val="0"/>
          <w:numId w:val="0"/>
        </w:numPr>
        <w:spacing w:line="360" w:lineRule="auto"/>
        <w:rPr>
          <w:sz w:val="26"/>
          <w:szCs w:val="26"/>
        </w:rPr>
      </w:pPr>
    </w:p>
    <w:p w14:paraId="0F6ACB33" w14:textId="2E03079C" w:rsidR="00100B14" w:rsidRPr="00C72D8B" w:rsidRDefault="009F1155" w:rsidP="005A0E0D">
      <w:pPr>
        <w:pStyle w:val="ListNumber"/>
        <w:numPr>
          <w:ilvl w:val="0"/>
          <w:numId w:val="0"/>
        </w:numPr>
        <w:spacing w:line="360" w:lineRule="auto"/>
        <w:rPr>
          <w:sz w:val="26"/>
          <w:szCs w:val="26"/>
        </w:rPr>
      </w:pPr>
      <w:r w:rsidRPr="00C72D8B">
        <w:rPr>
          <w:sz w:val="26"/>
          <w:szCs w:val="26"/>
        </w:rPr>
        <w:tab/>
      </w:r>
      <w:r w:rsidRPr="00C72D8B">
        <w:rPr>
          <w:sz w:val="26"/>
          <w:szCs w:val="26"/>
        </w:rPr>
        <w:tab/>
        <w:t xml:space="preserve">Finally, Columbia argues that the OCA relies on an incorrect characterization of the Company’s </w:t>
      </w:r>
      <w:r w:rsidR="006A05CA" w:rsidRPr="00C72D8B">
        <w:rPr>
          <w:sz w:val="26"/>
          <w:szCs w:val="26"/>
        </w:rPr>
        <w:t>COVID-19 customer relief efforts</w:t>
      </w:r>
      <w:r w:rsidR="00DC5038" w:rsidRPr="00C72D8B">
        <w:rPr>
          <w:sz w:val="26"/>
          <w:szCs w:val="26"/>
        </w:rPr>
        <w:t xml:space="preserve"> in attempting to distinguish the instant proceeding from </w:t>
      </w:r>
      <w:r w:rsidR="00BA1226" w:rsidRPr="00C72D8B">
        <w:rPr>
          <w:sz w:val="26"/>
          <w:szCs w:val="26"/>
        </w:rPr>
        <w:t xml:space="preserve">the </w:t>
      </w:r>
      <w:r w:rsidR="00BA1226" w:rsidRPr="00C72D8B">
        <w:rPr>
          <w:i/>
          <w:iCs/>
          <w:sz w:val="26"/>
          <w:szCs w:val="26"/>
        </w:rPr>
        <w:t>Settled Base Rate Case</w:t>
      </w:r>
      <w:r w:rsidR="002D0A1C" w:rsidRPr="00C72D8B">
        <w:rPr>
          <w:i/>
          <w:iCs/>
          <w:sz w:val="26"/>
          <w:szCs w:val="26"/>
        </w:rPr>
        <w:t xml:space="preserve"> Orders</w:t>
      </w:r>
      <w:r w:rsidR="006A05CA" w:rsidRPr="00C72D8B">
        <w:rPr>
          <w:sz w:val="26"/>
          <w:szCs w:val="26"/>
        </w:rPr>
        <w:t>.</w:t>
      </w:r>
      <w:r w:rsidR="00BA1226" w:rsidRPr="00C72D8B">
        <w:rPr>
          <w:sz w:val="26"/>
          <w:szCs w:val="26"/>
        </w:rPr>
        <w:t xml:space="preserve">  The Company describes the efforts </w:t>
      </w:r>
      <w:r w:rsidR="000C5C5F" w:rsidRPr="00C72D8B">
        <w:rPr>
          <w:sz w:val="26"/>
          <w:szCs w:val="26"/>
        </w:rPr>
        <w:t xml:space="preserve">it has undertaken in response to the pandemic.  </w:t>
      </w:r>
      <w:r w:rsidR="00195BDD" w:rsidRPr="00C72D8B">
        <w:rPr>
          <w:i/>
          <w:iCs/>
          <w:sz w:val="26"/>
          <w:szCs w:val="26"/>
        </w:rPr>
        <w:t>Id</w:t>
      </w:r>
      <w:r w:rsidR="00195BDD" w:rsidRPr="00C72D8B">
        <w:rPr>
          <w:sz w:val="26"/>
          <w:szCs w:val="26"/>
        </w:rPr>
        <w:t xml:space="preserve">.  </w:t>
      </w:r>
      <w:r w:rsidR="00622772" w:rsidRPr="00C72D8B">
        <w:rPr>
          <w:sz w:val="26"/>
          <w:szCs w:val="26"/>
        </w:rPr>
        <w:t xml:space="preserve">First, </w:t>
      </w:r>
      <w:r w:rsidR="00ED26B3" w:rsidRPr="00C72D8B">
        <w:rPr>
          <w:sz w:val="26"/>
          <w:szCs w:val="26"/>
        </w:rPr>
        <w:t xml:space="preserve">Columbia states that </w:t>
      </w:r>
      <w:r w:rsidR="00622772" w:rsidRPr="00C72D8B">
        <w:rPr>
          <w:sz w:val="26"/>
          <w:szCs w:val="26"/>
        </w:rPr>
        <w:t xml:space="preserve">in response to the onset of the pandemic, </w:t>
      </w:r>
      <w:r w:rsidR="00C23828" w:rsidRPr="00C72D8B">
        <w:rPr>
          <w:sz w:val="26"/>
          <w:szCs w:val="26"/>
        </w:rPr>
        <w:t xml:space="preserve">it </w:t>
      </w:r>
      <w:r w:rsidR="00622772" w:rsidRPr="00C72D8B">
        <w:rPr>
          <w:sz w:val="26"/>
          <w:szCs w:val="26"/>
        </w:rPr>
        <w:t xml:space="preserve">voluntarily delayed its rate filing by five weeks, resulting in the loss of $16.1 million of the full amount of </w:t>
      </w:r>
      <w:r w:rsidR="00C23828" w:rsidRPr="00C72D8B">
        <w:rPr>
          <w:sz w:val="26"/>
          <w:szCs w:val="26"/>
        </w:rPr>
        <w:t>its</w:t>
      </w:r>
      <w:r w:rsidR="00622772" w:rsidRPr="00C72D8B">
        <w:rPr>
          <w:sz w:val="26"/>
          <w:szCs w:val="26"/>
        </w:rPr>
        <w:t xml:space="preserve"> proposed rate increase.  </w:t>
      </w:r>
      <w:r w:rsidR="00195BDD" w:rsidRPr="00C72D8B">
        <w:rPr>
          <w:i/>
          <w:iCs/>
          <w:sz w:val="26"/>
          <w:szCs w:val="26"/>
        </w:rPr>
        <w:t>Id</w:t>
      </w:r>
      <w:r w:rsidR="00195BDD" w:rsidRPr="00C72D8B">
        <w:rPr>
          <w:sz w:val="26"/>
          <w:szCs w:val="26"/>
        </w:rPr>
        <w:t xml:space="preserve">. (citing </w:t>
      </w:r>
      <w:r w:rsidR="00622772" w:rsidRPr="00C72D8B">
        <w:rPr>
          <w:sz w:val="26"/>
          <w:szCs w:val="26"/>
        </w:rPr>
        <w:t xml:space="preserve">Columbia St. </w:t>
      </w:r>
      <w:r w:rsidR="00195BDD" w:rsidRPr="00C72D8B">
        <w:rPr>
          <w:sz w:val="26"/>
          <w:szCs w:val="26"/>
        </w:rPr>
        <w:t>1</w:t>
      </w:r>
      <w:r w:rsidR="00622772" w:rsidRPr="00C72D8B">
        <w:rPr>
          <w:sz w:val="26"/>
          <w:szCs w:val="26"/>
        </w:rPr>
        <w:t>-R</w:t>
      </w:r>
      <w:r w:rsidR="00195BDD" w:rsidRPr="00C72D8B">
        <w:rPr>
          <w:sz w:val="26"/>
          <w:szCs w:val="26"/>
        </w:rPr>
        <w:t xml:space="preserve"> at</w:t>
      </w:r>
      <w:r w:rsidR="00622772" w:rsidRPr="00C72D8B">
        <w:rPr>
          <w:sz w:val="26"/>
          <w:szCs w:val="26"/>
        </w:rPr>
        <w:t xml:space="preserve"> 11</w:t>
      </w:r>
      <w:r w:rsidR="00195BDD" w:rsidRPr="00C72D8B">
        <w:rPr>
          <w:sz w:val="26"/>
          <w:szCs w:val="26"/>
        </w:rPr>
        <w:t>)</w:t>
      </w:r>
      <w:r w:rsidR="00622772" w:rsidRPr="00C72D8B">
        <w:rPr>
          <w:sz w:val="26"/>
          <w:szCs w:val="26"/>
        </w:rPr>
        <w:t xml:space="preserve">.  </w:t>
      </w:r>
      <w:r w:rsidR="00195BDD" w:rsidRPr="00C72D8B">
        <w:rPr>
          <w:sz w:val="26"/>
          <w:szCs w:val="26"/>
        </w:rPr>
        <w:t xml:space="preserve">Second, Columbia states </w:t>
      </w:r>
      <w:r w:rsidR="009B5101" w:rsidRPr="00C72D8B">
        <w:rPr>
          <w:sz w:val="26"/>
          <w:szCs w:val="26"/>
        </w:rPr>
        <w:t>it</w:t>
      </w:r>
      <w:r w:rsidR="00EB218D" w:rsidRPr="00C72D8B">
        <w:rPr>
          <w:sz w:val="26"/>
          <w:szCs w:val="26"/>
        </w:rPr>
        <w:t xml:space="preserve"> </w:t>
      </w:r>
      <w:r w:rsidR="00622772" w:rsidRPr="00C72D8B">
        <w:rPr>
          <w:sz w:val="26"/>
          <w:szCs w:val="26"/>
        </w:rPr>
        <w:t xml:space="preserve">developed an enhanced education and outreach program, which includes Columbia call center representatives making outbound calls to customers who may be eligible for assistance based on Company records.  </w:t>
      </w:r>
      <w:r w:rsidR="004850AF" w:rsidRPr="00C72D8B">
        <w:rPr>
          <w:sz w:val="26"/>
          <w:szCs w:val="26"/>
        </w:rPr>
        <w:t xml:space="preserve">Answer at 9.  </w:t>
      </w:r>
      <w:r w:rsidR="00D03FA4" w:rsidRPr="00C72D8B">
        <w:rPr>
          <w:sz w:val="26"/>
          <w:szCs w:val="26"/>
        </w:rPr>
        <w:t xml:space="preserve">Third, </w:t>
      </w:r>
      <w:r w:rsidR="00622772" w:rsidRPr="00C72D8B">
        <w:rPr>
          <w:sz w:val="26"/>
          <w:szCs w:val="26"/>
        </w:rPr>
        <w:t xml:space="preserve">Columbia temporarily ceased customer shut offs for all customers </w:t>
      </w:r>
      <w:r w:rsidR="00D03FA4" w:rsidRPr="00C72D8B">
        <w:rPr>
          <w:sz w:val="26"/>
          <w:szCs w:val="26"/>
        </w:rPr>
        <w:t>before</w:t>
      </w:r>
      <w:r w:rsidR="00622772" w:rsidRPr="00C72D8B">
        <w:rPr>
          <w:sz w:val="26"/>
          <w:szCs w:val="26"/>
        </w:rPr>
        <w:t xml:space="preserve"> the Commission’s directives </w:t>
      </w:r>
      <w:r w:rsidR="00D03FA4" w:rsidRPr="00C72D8B">
        <w:rPr>
          <w:sz w:val="26"/>
          <w:szCs w:val="26"/>
        </w:rPr>
        <w:t xml:space="preserve">to do so.  </w:t>
      </w:r>
      <w:r w:rsidR="004850AF" w:rsidRPr="00C72D8B">
        <w:rPr>
          <w:i/>
          <w:iCs/>
          <w:sz w:val="26"/>
          <w:szCs w:val="26"/>
        </w:rPr>
        <w:t>Id</w:t>
      </w:r>
      <w:r w:rsidR="004850AF" w:rsidRPr="00C72D8B">
        <w:rPr>
          <w:sz w:val="26"/>
          <w:szCs w:val="26"/>
        </w:rPr>
        <w:t xml:space="preserve">. (citing </w:t>
      </w:r>
      <w:r w:rsidR="00622772" w:rsidRPr="00C72D8B">
        <w:rPr>
          <w:i/>
          <w:iCs/>
          <w:sz w:val="26"/>
          <w:szCs w:val="26"/>
        </w:rPr>
        <w:t>Public Utility Service Termination Moratorium Proclamation of Disaster Emergency – COVID-19</w:t>
      </w:r>
      <w:r w:rsidR="00622772" w:rsidRPr="00C72D8B">
        <w:rPr>
          <w:sz w:val="26"/>
          <w:szCs w:val="26"/>
        </w:rPr>
        <w:t>, Docket No. M</w:t>
      </w:r>
      <w:r w:rsidR="00622772" w:rsidRPr="00C72D8B">
        <w:rPr>
          <w:sz w:val="26"/>
          <w:szCs w:val="26"/>
        </w:rPr>
        <w:noBreakHyphen/>
        <w:t>2020</w:t>
      </w:r>
      <w:r w:rsidR="00622772" w:rsidRPr="00C72D8B">
        <w:rPr>
          <w:sz w:val="26"/>
          <w:szCs w:val="26"/>
        </w:rPr>
        <w:noBreakHyphen/>
        <w:t xml:space="preserve">3-19244 </w:t>
      </w:r>
      <w:r w:rsidR="004850AF" w:rsidRPr="00C72D8B">
        <w:rPr>
          <w:sz w:val="26"/>
          <w:szCs w:val="26"/>
        </w:rPr>
        <w:t>(</w:t>
      </w:r>
      <w:r w:rsidR="002D0A1C" w:rsidRPr="00C72D8B">
        <w:rPr>
          <w:sz w:val="26"/>
          <w:szCs w:val="26"/>
        </w:rPr>
        <w:t>Order e</w:t>
      </w:r>
      <w:r w:rsidR="00622772" w:rsidRPr="00C72D8B">
        <w:rPr>
          <w:sz w:val="26"/>
          <w:szCs w:val="26"/>
        </w:rPr>
        <w:t>ntered March 13, 2020</w:t>
      </w:r>
      <w:r w:rsidR="0064032A" w:rsidRPr="00C72D8B">
        <w:rPr>
          <w:sz w:val="26"/>
          <w:szCs w:val="26"/>
        </w:rPr>
        <w:t>))</w:t>
      </w:r>
      <w:r w:rsidR="00622772" w:rsidRPr="00C72D8B">
        <w:rPr>
          <w:sz w:val="26"/>
          <w:szCs w:val="26"/>
        </w:rPr>
        <w:t xml:space="preserve">.  </w:t>
      </w:r>
      <w:r w:rsidR="0064032A" w:rsidRPr="00C72D8B">
        <w:rPr>
          <w:sz w:val="26"/>
          <w:szCs w:val="26"/>
        </w:rPr>
        <w:t>Fourth, i</w:t>
      </w:r>
      <w:r w:rsidR="00622772" w:rsidRPr="00C72D8B">
        <w:rPr>
          <w:sz w:val="26"/>
          <w:szCs w:val="26"/>
        </w:rPr>
        <w:t>n addition to the Company’s normal payment plan offerings, Co</w:t>
      </w:r>
      <w:r w:rsidR="0064032A" w:rsidRPr="00C72D8B">
        <w:rPr>
          <w:sz w:val="26"/>
          <w:szCs w:val="26"/>
        </w:rPr>
        <w:t>lumbia</w:t>
      </w:r>
      <w:r w:rsidR="00622772" w:rsidRPr="00C72D8B">
        <w:rPr>
          <w:sz w:val="26"/>
          <w:szCs w:val="26"/>
        </w:rPr>
        <w:t xml:space="preserve"> began to offer two new </w:t>
      </w:r>
      <w:r w:rsidR="00D506B2" w:rsidRPr="00C72D8B">
        <w:rPr>
          <w:sz w:val="26"/>
          <w:szCs w:val="26"/>
        </w:rPr>
        <w:t>six</w:t>
      </w:r>
      <w:r w:rsidR="00622772" w:rsidRPr="00C72D8B">
        <w:rPr>
          <w:sz w:val="26"/>
          <w:szCs w:val="26"/>
        </w:rPr>
        <w:t xml:space="preserve">-month payment plan options.  </w:t>
      </w:r>
      <w:r w:rsidR="00D506B2" w:rsidRPr="00C72D8B">
        <w:rPr>
          <w:sz w:val="26"/>
          <w:szCs w:val="26"/>
        </w:rPr>
        <w:t xml:space="preserve">Fifth, </w:t>
      </w:r>
      <w:r w:rsidR="00622772" w:rsidRPr="00C72D8B">
        <w:rPr>
          <w:sz w:val="26"/>
          <w:szCs w:val="26"/>
        </w:rPr>
        <w:t xml:space="preserve">Columbia </w:t>
      </w:r>
      <w:r w:rsidR="009C4BC0" w:rsidRPr="00C72D8B">
        <w:rPr>
          <w:sz w:val="26"/>
          <w:szCs w:val="26"/>
        </w:rPr>
        <w:t xml:space="preserve">states that it </w:t>
      </w:r>
      <w:r w:rsidR="00622772" w:rsidRPr="00C72D8B">
        <w:rPr>
          <w:sz w:val="26"/>
          <w:szCs w:val="26"/>
        </w:rPr>
        <w:t xml:space="preserve">made several changes to its Customer Assistance Program (CAP), including not removing customers from CAP, not requiring proof of income for CAP customers who are unable to verify income, and not including any “stimulus” income or additional unemployment compensation as income for purposes of determining CAP eligibility.  </w:t>
      </w:r>
      <w:r w:rsidR="009C4BC0" w:rsidRPr="00C72D8B">
        <w:rPr>
          <w:sz w:val="26"/>
          <w:szCs w:val="26"/>
        </w:rPr>
        <w:t>Sixth, Columbia states that it</w:t>
      </w:r>
      <w:r w:rsidR="00622772" w:rsidRPr="00C72D8B">
        <w:rPr>
          <w:sz w:val="26"/>
          <w:szCs w:val="26"/>
        </w:rPr>
        <w:t xml:space="preserve"> modified its existing Hardship Fund by waiving the requirement of a demonstrated good-faith payment effort to be eligible for the Hardship Fund and allowing all low-income customers in arrears to be eligible for the Hardship Fund regardless of CAP status.  Finally, Columbia waived all late payment and reconnect</w:t>
      </w:r>
      <w:r w:rsidR="00020341" w:rsidRPr="00C72D8B">
        <w:rPr>
          <w:sz w:val="26"/>
          <w:szCs w:val="26"/>
        </w:rPr>
        <w:t>ion</w:t>
      </w:r>
      <w:r w:rsidR="00622772" w:rsidRPr="00C72D8B">
        <w:rPr>
          <w:sz w:val="26"/>
          <w:szCs w:val="26"/>
        </w:rPr>
        <w:t xml:space="preserve"> fees.  </w:t>
      </w:r>
      <w:r w:rsidR="005555D2" w:rsidRPr="00C72D8B">
        <w:rPr>
          <w:sz w:val="26"/>
          <w:szCs w:val="26"/>
        </w:rPr>
        <w:t xml:space="preserve">Answer at 9 (citing </w:t>
      </w:r>
      <w:r w:rsidR="00622772" w:rsidRPr="00C72D8B">
        <w:rPr>
          <w:sz w:val="26"/>
          <w:szCs w:val="26"/>
        </w:rPr>
        <w:t>Columbia M</w:t>
      </w:r>
      <w:r w:rsidR="005555D2" w:rsidRPr="00C72D8B">
        <w:rPr>
          <w:sz w:val="26"/>
          <w:szCs w:val="26"/>
        </w:rPr>
        <w:t>.</w:t>
      </w:r>
      <w:r w:rsidR="00622772" w:rsidRPr="00C72D8B">
        <w:rPr>
          <w:sz w:val="26"/>
          <w:szCs w:val="26"/>
        </w:rPr>
        <w:t>B</w:t>
      </w:r>
      <w:r w:rsidR="005555D2" w:rsidRPr="00C72D8B">
        <w:rPr>
          <w:sz w:val="26"/>
          <w:szCs w:val="26"/>
        </w:rPr>
        <w:t>. at</w:t>
      </w:r>
      <w:r w:rsidR="00622772" w:rsidRPr="00C72D8B">
        <w:rPr>
          <w:sz w:val="26"/>
          <w:szCs w:val="26"/>
        </w:rPr>
        <w:t xml:space="preserve"> 25-30</w:t>
      </w:r>
      <w:r w:rsidR="00100B14" w:rsidRPr="00C72D8B">
        <w:rPr>
          <w:sz w:val="26"/>
          <w:szCs w:val="26"/>
        </w:rPr>
        <w:t>)</w:t>
      </w:r>
      <w:r w:rsidR="00622772" w:rsidRPr="00C72D8B">
        <w:rPr>
          <w:sz w:val="26"/>
          <w:szCs w:val="26"/>
        </w:rPr>
        <w:t xml:space="preserve">.  </w:t>
      </w:r>
    </w:p>
    <w:p w14:paraId="5EEB8B04" w14:textId="77777777" w:rsidR="00100B14" w:rsidRPr="00C72D8B" w:rsidRDefault="00100B14" w:rsidP="005A0E0D">
      <w:pPr>
        <w:pStyle w:val="ListNumber"/>
        <w:numPr>
          <w:ilvl w:val="0"/>
          <w:numId w:val="0"/>
        </w:numPr>
        <w:spacing w:line="360" w:lineRule="auto"/>
        <w:rPr>
          <w:sz w:val="26"/>
          <w:szCs w:val="26"/>
        </w:rPr>
      </w:pPr>
    </w:p>
    <w:p w14:paraId="5F3A4F9C" w14:textId="09A45134" w:rsidR="00727F18" w:rsidRPr="00C72D8B" w:rsidRDefault="00100B14" w:rsidP="00192E17">
      <w:pPr>
        <w:pStyle w:val="ListNumber"/>
        <w:numPr>
          <w:ilvl w:val="0"/>
          <w:numId w:val="0"/>
        </w:numPr>
        <w:spacing w:line="360" w:lineRule="auto"/>
        <w:ind w:firstLine="1440"/>
        <w:rPr>
          <w:sz w:val="26"/>
          <w:szCs w:val="26"/>
        </w:rPr>
      </w:pPr>
      <w:r w:rsidRPr="00C72D8B">
        <w:rPr>
          <w:sz w:val="26"/>
          <w:szCs w:val="26"/>
        </w:rPr>
        <w:t>Columbia continues that i</w:t>
      </w:r>
      <w:r w:rsidR="00622772" w:rsidRPr="00C72D8B">
        <w:rPr>
          <w:sz w:val="26"/>
          <w:szCs w:val="26"/>
        </w:rPr>
        <w:t>n addition to these efforts, on October 26, 2020, Columbia requested that the Commission temporarily amend the Company’s Universal Service and Energy Conservation Plan to increase the number of customers who qualify for Hardship Fund assistance by increasing the income limit from 200% of the Federal Poverty Income Guidelines (FPIG) to 300% of the FPIG through September 31, 2021.</w:t>
      </w:r>
      <w:r w:rsidR="00A363C6" w:rsidRPr="00C72D8B">
        <w:rPr>
          <w:sz w:val="26"/>
          <w:szCs w:val="26"/>
        </w:rPr>
        <w:t xml:space="preserve"> Answer at 9.</w:t>
      </w:r>
      <w:r w:rsidR="00622772" w:rsidRPr="00C72D8B">
        <w:rPr>
          <w:sz w:val="26"/>
          <w:szCs w:val="26"/>
        </w:rPr>
        <w:t xml:space="preserve">  Columbia’s purpose in requesting th</w:t>
      </w:r>
      <w:r w:rsidR="00996890" w:rsidRPr="00C72D8B">
        <w:rPr>
          <w:sz w:val="26"/>
          <w:szCs w:val="26"/>
        </w:rPr>
        <w:t>is</w:t>
      </w:r>
      <w:r w:rsidR="00622772" w:rsidRPr="00C72D8B">
        <w:rPr>
          <w:sz w:val="26"/>
          <w:szCs w:val="26"/>
        </w:rPr>
        <w:t xml:space="preserve"> change was to assist customers who have been impacted financially by the COVID-19 pandemic but do not qualify for other assistance.  </w:t>
      </w:r>
      <w:r w:rsidR="00A363C6" w:rsidRPr="00C72D8B">
        <w:rPr>
          <w:i/>
          <w:iCs/>
          <w:sz w:val="26"/>
          <w:szCs w:val="26"/>
        </w:rPr>
        <w:t>Id</w:t>
      </w:r>
      <w:r w:rsidR="00A363C6" w:rsidRPr="00C72D8B">
        <w:rPr>
          <w:sz w:val="26"/>
          <w:szCs w:val="26"/>
        </w:rPr>
        <w:t xml:space="preserve">. at 9-10.  </w:t>
      </w:r>
      <w:r w:rsidR="00996890" w:rsidRPr="00C72D8B">
        <w:rPr>
          <w:sz w:val="26"/>
          <w:szCs w:val="26"/>
        </w:rPr>
        <w:t>Columbia explains that t</w:t>
      </w:r>
      <w:r w:rsidR="00622772" w:rsidRPr="00C72D8B">
        <w:rPr>
          <w:sz w:val="26"/>
          <w:szCs w:val="26"/>
        </w:rPr>
        <w:t>o support the additional customers eligible for the Hardship Fund, Columbia secured a voluntary $400,000 shareholder contribution</w:t>
      </w:r>
      <w:r w:rsidR="00A363C6" w:rsidRPr="00C72D8B">
        <w:rPr>
          <w:sz w:val="26"/>
          <w:szCs w:val="26"/>
        </w:rPr>
        <w:t>, which was approved by the Commission</w:t>
      </w:r>
      <w:r w:rsidR="00622772" w:rsidRPr="00C72D8B">
        <w:rPr>
          <w:sz w:val="26"/>
          <w:szCs w:val="26"/>
        </w:rPr>
        <w:t xml:space="preserve">.  </w:t>
      </w:r>
      <w:r w:rsidR="00D65EBE" w:rsidRPr="00C72D8B">
        <w:rPr>
          <w:i/>
          <w:iCs/>
          <w:sz w:val="26"/>
          <w:szCs w:val="26"/>
        </w:rPr>
        <w:t>Id</w:t>
      </w:r>
      <w:r w:rsidR="00D65EBE" w:rsidRPr="00C72D8B">
        <w:rPr>
          <w:sz w:val="26"/>
          <w:szCs w:val="26"/>
        </w:rPr>
        <w:t xml:space="preserve">. at 10 (citing </w:t>
      </w:r>
      <w:r w:rsidR="00622772" w:rsidRPr="00C72D8B">
        <w:rPr>
          <w:i/>
          <w:iCs/>
          <w:sz w:val="26"/>
          <w:szCs w:val="26"/>
        </w:rPr>
        <w:t>Petition of Columbia Gas of Pennsylvania to Temporarily Amend its Current 2019 Universal Service and Energy Conservation Plan</w:t>
      </w:r>
      <w:r w:rsidR="00622772" w:rsidRPr="00C72D8B">
        <w:rPr>
          <w:sz w:val="26"/>
          <w:szCs w:val="26"/>
        </w:rPr>
        <w:t xml:space="preserve">, Docket No. M-2018-2645401 (Secretarial Letter </w:t>
      </w:r>
      <w:r w:rsidR="00D65EBE" w:rsidRPr="00C72D8B">
        <w:rPr>
          <w:sz w:val="26"/>
          <w:szCs w:val="26"/>
        </w:rPr>
        <w:t>issued</w:t>
      </w:r>
      <w:r w:rsidR="00622772" w:rsidRPr="00C72D8B">
        <w:rPr>
          <w:sz w:val="26"/>
          <w:szCs w:val="26"/>
        </w:rPr>
        <w:t xml:space="preserve"> November 17, 2020)</w:t>
      </w:r>
      <w:r w:rsidR="00D65EBE" w:rsidRPr="00C72D8B">
        <w:rPr>
          <w:sz w:val="26"/>
          <w:szCs w:val="26"/>
        </w:rPr>
        <w:t>)</w:t>
      </w:r>
      <w:r w:rsidR="00622772" w:rsidRPr="00C72D8B">
        <w:rPr>
          <w:sz w:val="26"/>
          <w:szCs w:val="26"/>
        </w:rPr>
        <w:t>.</w:t>
      </w:r>
      <w:r w:rsidR="00D65EBE" w:rsidRPr="00C72D8B">
        <w:rPr>
          <w:sz w:val="26"/>
          <w:szCs w:val="26"/>
        </w:rPr>
        <w:t xml:space="preserve">  For these reasons, Columbia contends that </w:t>
      </w:r>
      <w:r w:rsidR="00192E17" w:rsidRPr="00C72D8B">
        <w:rPr>
          <w:sz w:val="26"/>
          <w:szCs w:val="26"/>
        </w:rPr>
        <w:t xml:space="preserve">the </w:t>
      </w:r>
      <w:r w:rsidR="00622772" w:rsidRPr="00C72D8B">
        <w:rPr>
          <w:sz w:val="26"/>
          <w:szCs w:val="26"/>
        </w:rPr>
        <w:t>OCA</w:t>
      </w:r>
      <w:r w:rsidR="00192E17" w:rsidRPr="00C72D8B">
        <w:rPr>
          <w:sz w:val="26"/>
          <w:szCs w:val="26"/>
        </w:rPr>
        <w:t xml:space="preserve"> fails to raise a </w:t>
      </w:r>
      <w:r w:rsidR="00622772" w:rsidRPr="00C72D8B">
        <w:rPr>
          <w:sz w:val="26"/>
          <w:szCs w:val="26"/>
        </w:rPr>
        <w:t>“new” argument by incorrectly claiming that Columbia has not undertaken COVID-19 relief efforts and ignoring the substantial evidence to the contrary.</w:t>
      </w:r>
      <w:r w:rsidR="00192E17" w:rsidRPr="00C72D8B">
        <w:rPr>
          <w:sz w:val="26"/>
          <w:szCs w:val="26"/>
        </w:rPr>
        <w:t xml:space="preserve">  Answer at</w:t>
      </w:r>
      <w:r w:rsidR="0063022C">
        <w:rPr>
          <w:sz w:val="26"/>
          <w:szCs w:val="26"/>
        </w:rPr>
        <w:t> </w:t>
      </w:r>
      <w:r w:rsidR="00192E17" w:rsidRPr="00C72D8B">
        <w:rPr>
          <w:sz w:val="26"/>
          <w:szCs w:val="26"/>
        </w:rPr>
        <w:t>10.</w:t>
      </w:r>
    </w:p>
    <w:p w14:paraId="1C259390" w14:textId="77777777" w:rsidR="00727F18" w:rsidRPr="00C72D8B" w:rsidRDefault="00727F18" w:rsidP="00192E17">
      <w:pPr>
        <w:pStyle w:val="ListNumber"/>
        <w:numPr>
          <w:ilvl w:val="0"/>
          <w:numId w:val="0"/>
        </w:numPr>
        <w:spacing w:line="360" w:lineRule="auto"/>
        <w:ind w:firstLine="1440"/>
        <w:rPr>
          <w:sz w:val="26"/>
          <w:szCs w:val="26"/>
        </w:rPr>
      </w:pPr>
    </w:p>
    <w:p w14:paraId="31BBEF00" w14:textId="268ED07F" w:rsidR="00DA5D56" w:rsidRPr="00C72D8B" w:rsidRDefault="00727F18" w:rsidP="00192E17">
      <w:pPr>
        <w:pStyle w:val="ListNumber"/>
        <w:numPr>
          <w:ilvl w:val="0"/>
          <w:numId w:val="0"/>
        </w:numPr>
        <w:spacing w:line="360" w:lineRule="auto"/>
        <w:ind w:firstLine="1440"/>
        <w:rPr>
          <w:sz w:val="26"/>
          <w:szCs w:val="26"/>
        </w:rPr>
      </w:pPr>
      <w:r w:rsidRPr="00C72D8B">
        <w:rPr>
          <w:sz w:val="26"/>
          <w:szCs w:val="26"/>
        </w:rPr>
        <w:t xml:space="preserve">In its </w:t>
      </w:r>
      <w:r w:rsidR="00AD0DDF" w:rsidRPr="00C72D8B">
        <w:rPr>
          <w:sz w:val="26"/>
          <w:szCs w:val="26"/>
        </w:rPr>
        <w:t>L</w:t>
      </w:r>
      <w:r w:rsidRPr="00C72D8B">
        <w:rPr>
          <w:sz w:val="26"/>
          <w:szCs w:val="26"/>
        </w:rPr>
        <w:t xml:space="preserve">etter </w:t>
      </w:r>
      <w:r w:rsidR="00AD0DDF" w:rsidRPr="00C72D8B">
        <w:rPr>
          <w:sz w:val="26"/>
          <w:szCs w:val="26"/>
        </w:rPr>
        <w:t>R</w:t>
      </w:r>
      <w:r w:rsidRPr="00C72D8B">
        <w:rPr>
          <w:sz w:val="26"/>
          <w:szCs w:val="26"/>
        </w:rPr>
        <w:t xml:space="preserve">esponse, I&amp;E </w:t>
      </w:r>
      <w:r w:rsidR="004B02B5" w:rsidRPr="00C72D8B">
        <w:rPr>
          <w:sz w:val="26"/>
          <w:szCs w:val="26"/>
        </w:rPr>
        <w:t xml:space="preserve">states that it agrees with Columbia that the OCA’s Petition does not satisfy the </w:t>
      </w:r>
      <w:r w:rsidR="004B02B5" w:rsidRPr="00C72D8B">
        <w:rPr>
          <w:i/>
          <w:iCs/>
          <w:sz w:val="26"/>
          <w:szCs w:val="26"/>
        </w:rPr>
        <w:t>Duick</w:t>
      </w:r>
      <w:r w:rsidR="004B02B5" w:rsidRPr="00C72D8B">
        <w:rPr>
          <w:sz w:val="26"/>
          <w:szCs w:val="26"/>
        </w:rPr>
        <w:t xml:space="preserve"> standards for granting reconsideration</w:t>
      </w:r>
      <w:r w:rsidR="008907DF" w:rsidRPr="00C72D8B">
        <w:rPr>
          <w:sz w:val="26"/>
          <w:szCs w:val="26"/>
        </w:rPr>
        <w:t xml:space="preserve">.  I&amp;E requests that the Commission deny the OCA’s Petition.  </w:t>
      </w:r>
      <w:r w:rsidR="00045BB1" w:rsidRPr="00C72D8B">
        <w:rPr>
          <w:sz w:val="26"/>
          <w:szCs w:val="26"/>
        </w:rPr>
        <w:t xml:space="preserve">I&amp;E </w:t>
      </w:r>
      <w:r w:rsidR="005E4222" w:rsidRPr="00C72D8B">
        <w:rPr>
          <w:sz w:val="26"/>
          <w:szCs w:val="26"/>
        </w:rPr>
        <w:t>Letter</w:t>
      </w:r>
      <w:r w:rsidR="00045BB1" w:rsidRPr="00C72D8B">
        <w:rPr>
          <w:sz w:val="26"/>
          <w:szCs w:val="26"/>
        </w:rPr>
        <w:t xml:space="preserve"> at 1.</w:t>
      </w:r>
      <w:r w:rsidR="004B02B5" w:rsidRPr="00C72D8B">
        <w:rPr>
          <w:sz w:val="26"/>
          <w:szCs w:val="26"/>
        </w:rPr>
        <w:t xml:space="preserve"> </w:t>
      </w:r>
      <w:r w:rsidR="00622772" w:rsidRPr="00C72D8B">
        <w:rPr>
          <w:sz w:val="26"/>
          <w:szCs w:val="26"/>
        </w:rPr>
        <w:t xml:space="preserve"> </w:t>
      </w:r>
    </w:p>
    <w:p w14:paraId="3C365D52" w14:textId="0CA6DB66" w:rsidR="00637372" w:rsidRPr="00C72D8B" w:rsidRDefault="00637372" w:rsidP="005A0E0D">
      <w:pPr>
        <w:pStyle w:val="ListNumber"/>
        <w:numPr>
          <w:ilvl w:val="0"/>
          <w:numId w:val="0"/>
        </w:numPr>
        <w:spacing w:line="360" w:lineRule="auto"/>
        <w:rPr>
          <w:sz w:val="26"/>
          <w:szCs w:val="26"/>
        </w:rPr>
      </w:pPr>
    </w:p>
    <w:p w14:paraId="7A8B88A4" w14:textId="74686C6D" w:rsidR="00780DB0" w:rsidRPr="00C72D8B" w:rsidRDefault="00201E68" w:rsidP="00201E68">
      <w:pPr>
        <w:ind w:firstLine="0"/>
        <w:rPr>
          <w:b/>
          <w:bCs/>
          <w:sz w:val="26"/>
          <w:szCs w:val="26"/>
        </w:rPr>
      </w:pPr>
      <w:r w:rsidRPr="00C72D8B">
        <w:rPr>
          <w:b/>
          <w:bCs/>
          <w:sz w:val="26"/>
          <w:szCs w:val="26"/>
        </w:rPr>
        <w:t>D.</w:t>
      </w:r>
      <w:r w:rsidRPr="00C72D8B">
        <w:rPr>
          <w:b/>
          <w:bCs/>
          <w:sz w:val="26"/>
          <w:szCs w:val="26"/>
        </w:rPr>
        <w:tab/>
      </w:r>
      <w:r w:rsidR="00A66FB1" w:rsidRPr="00C72D8B">
        <w:rPr>
          <w:b/>
          <w:bCs/>
          <w:sz w:val="26"/>
          <w:szCs w:val="26"/>
        </w:rPr>
        <w:t>Disposition</w:t>
      </w:r>
    </w:p>
    <w:p w14:paraId="2B1A1327" w14:textId="0F044030" w:rsidR="00105B41" w:rsidRPr="00C72D8B" w:rsidRDefault="00105B41" w:rsidP="006736DA">
      <w:pPr>
        <w:rPr>
          <w:sz w:val="26"/>
          <w:szCs w:val="26"/>
        </w:rPr>
      </w:pPr>
    </w:p>
    <w:p w14:paraId="7D55EDAF" w14:textId="4A23643F" w:rsidR="00731008" w:rsidRPr="00C72D8B" w:rsidRDefault="00D30EAD" w:rsidP="00731008">
      <w:pPr>
        <w:pStyle w:val="p3"/>
        <w:widowControl/>
        <w:spacing w:line="360" w:lineRule="auto"/>
        <w:ind w:firstLine="1440"/>
        <w:rPr>
          <w:sz w:val="26"/>
          <w:szCs w:val="26"/>
        </w:rPr>
      </w:pPr>
      <w:r w:rsidRPr="00C72D8B">
        <w:rPr>
          <w:sz w:val="26"/>
          <w:szCs w:val="26"/>
        </w:rPr>
        <w:t xml:space="preserve">Under the circumstances in this case, we find that the OCA has not satisfied the standards for reconsideration.  </w:t>
      </w:r>
      <w:r w:rsidR="00731008" w:rsidRPr="00C72D8B">
        <w:rPr>
          <w:sz w:val="26"/>
          <w:szCs w:val="26"/>
        </w:rPr>
        <w:t xml:space="preserve">A petition for reconsideration is governed by </w:t>
      </w:r>
      <w:r w:rsidR="00731008" w:rsidRPr="00C72D8B">
        <w:rPr>
          <w:i/>
          <w:sz w:val="26"/>
          <w:szCs w:val="26"/>
        </w:rPr>
        <w:t>Duick</w:t>
      </w:r>
      <w:r w:rsidR="00731008" w:rsidRPr="00C72D8B">
        <w:rPr>
          <w:sz w:val="26"/>
          <w:szCs w:val="26"/>
        </w:rPr>
        <w:t xml:space="preserve">, which essentially requires the Commission to perform a two-step analysis.  First, the Commission must determine whether the petitioner has offered any new arguments that were not addressed by the Commission in its previous order.  The Commission will not reconsider its previous decision based on arguments that have already been made.  Second, the Commission must evaluate any new argument or evidence and decide whether modification of its previous order is warranted.  However, the Commission will not necessarily modify a prior order just because a petitioner offers a new argument that was not addressed by the Commission in its previous order.  </w:t>
      </w:r>
    </w:p>
    <w:p w14:paraId="277897D6" w14:textId="5865C72E" w:rsidR="006137DF" w:rsidRPr="00C72D8B" w:rsidRDefault="006137DF" w:rsidP="00731008">
      <w:pPr>
        <w:pStyle w:val="p3"/>
        <w:widowControl/>
        <w:spacing w:line="360" w:lineRule="auto"/>
        <w:ind w:firstLine="1440"/>
        <w:rPr>
          <w:sz w:val="26"/>
          <w:szCs w:val="26"/>
        </w:rPr>
      </w:pPr>
    </w:p>
    <w:p w14:paraId="26DD2F62" w14:textId="018F76AD" w:rsidR="00C32DF2" w:rsidRPr="00C72D8B" w:rsidRDefault="007D3DDF" w:rsidP="000069A8">
      <w:pPr>
        <w:contextualSpacing/>
        <w:rPr>
          <w:sz w:val="26"/>
          <w:szCs w:val="26"/>
        </w:rPr>
      </w:pPr>
      <w:r w:rsidRPr="00C72D8B">
        <w:rPr>
          <w:sz w:val="26"/>
          <w:szCs w:val="26"/>
        </w:rPr>
        <w:t xml:space="preserve">The OCA has not raised any arguments in its Petition that </w:t>
      </w:r>
      <w:r w:rsidR="005D1EDE" w:rsidRPr="00C72D8B">
        <w:rPr>
          <w:sz w:val="26"/>
          <w:szCs w:val="26"/>
        </w:rPr>
        <w:t xml:space="preserve">are </w:t>
      </w:r>
      <w:r w:rsidR="006A63BA" w:rsidRPr="00C72D8B">
        <w:rPr>
          <w:rFonts w:eastAsia="Calibri"/>
          <w:color w:val="000000"/>
          <w:sz w:val="26"/>
          <w:szCs w:val="26"/>
          <w:u w:color="000000"/>
        </w:rPr>
        <w:t xml:space="preserve">“new and novel” </w:t>
      </w:r>
      <w:r w:rsidR="005D1EDE" w:rsidRPr="00C72D8B">
        <w:rPr>
          <w:rFonts w:eastAsia="Calibri"/>
          <w:color w:val="000000"/>
          <w:sz w:val="26"/>
          <w:szCs w:val="26"/>
          <w:u w:color="000000"/>
        </w:rPr>
        <w:t xml:space="preserve">or that </w:t>
      </w:r>
      <w:r w:rsidR="004B1C8D" w:rsidRPr="00C72D8B">
        <w:rPr>
          <w:rFonts w:eastAsia="Calibri"/>
          <w:color w:val="000000"/>
          <w:sz w:val="26"/>
          <w:szCs w:val="26"/>
          <w:u w:color="000000"/>
        </w:rPr>
        <w:t xml:space="preserve">the Commission has </w:t>
      </w:r>
      <w:r w:rsidR="006A63BA" w:rsidRPr="00C72D8B">
        <w:rPr>
          <w:rFonts w:eastAsia="Calibri"/>
          <w:color w:val="000000"/>
          <w:sz w:val="26"/>
          <w:szCs w:val="26"/>
          <w:u w:color="000000"/>
        </w:rPr>
        <w:t>not previously addressed</w:t>
      </w:r>
      <w:r w:rsidR="00527332" w:rsidRPr="00C72D8B">
        <w:rPr>
          <w:rFonts w:eastAsia="Calibri"/>
          <w:color w:val="000000"/>
          <w:sz w:val="26"/>
          <w:szCs w:val="26"/>
          <w:u w:color="000000"/>
        </w:rPr>
        <w:t>.</w:t>
      </w:r>
      <w:r w:rsidRPr="00C72D8B">
        <w:rPr>
          <w:sz w:val="26"/>
          <w:szCs w:val="26"/>
        </w:rPr>
        <w:t xml:space="preserve">  </w:t>
      </w:r>
      <w:r w:rsidR="00030482" w:rsidRPr="00C72D8B">
        <w:rPr>
          <w:sz w:val="26"/>
          <w:szCs w:val="26"/>
        </w:rPr>
        <w:t xml:space="preserve">In the </w:t>
      </w:r>
      <w:r w:rsidR="00030482" w:rsidRPr="00C72D8B">
        <w:rPr>
          <w:i/>
          <w:iCs/>
          <w:sz w:val="26"/>
          <w:szCs w:val="26"/>
        </w:rPr>
        <w:t xml:space="preserve">February </w:t>
      </w:r>
      <w:r w:rsidR="003E2BEE" w:rsidRPr="00C72D8B">
        <w:rPr>
          <w:i/>
          <w:iCs/>
          <w:sz w:val="26"/>
          <w:szCs w:val="26"/>
        </w:rPr>
        <w:t xml:space="preserve">2021 </w:t>
      </w:r>
      <w:r w:rsidR="00CF0141" w:rsidRPr="00C72D8B">
        <w:rPr>
          <w:i/>
          <w:iCs/>
          <w:sz w:val="26"/>
          <w:szCs w:val="26"/>
        </w:rPr>
        <w:t>Order</w:t>
      </w:r>
      <w:r w:rsidR="00CF0141" w:rsidRPr="00C72D8B">
        <w:rPr>
          <w:sz w:val="26"/>
          <w:szCs w:val="26"/>
        </w:rPr>
        <w:t xml:space="preserve">, we directly addressed </w:t>
      </w:r>
      <w:r w:rsidR="0019484D" w:rsidRPr="00C72D8B">
        <w:rPr>
          <w:sz w:val="26"/>
          <w:szCs w:val="26"/>
        </w:rPr>
        <w:t>the arguments the OCA raises in its Petition</w:t>
      </w:r>
      <w:r w:rsidR="00FC51D7" w:rsidRPr="00C72D8B">
        <w:rPr>
          <w:sz w:val="26"/>
          <w:szCs w:val="26"/>
        </w:rPr>
        <w:t xml:space="preserve">, </w:t>
      </w:r>
      <w:r w:rsidR="00527332" w:rsidRPr="00C72D8B">
        <w:rPr>
          <w:sz w:val="26"/>
          <w:szCs w:val="26"/>
        </w:rPr>
        <w:t>namely,</w:t>
      </w:r>
      <w:r w:rsidR="008120C6" w:rsidRPr="00C72D8B">
        <w:rPr>
          <w:sz w:val="26"/>
          <w:szCs w:val="26"/>
        </w:rPr>
        <w:t xml:space="preserve"> that</w:t>
      </w:r>
      <w:r w:rsidR="00B316C9" w:rsidRPr="00C72D8B">
        <w:rPr>
          <w:sz w:val="26"/>
          <w:szCs w:val="26"/>
        </w:rPr>
        <w:t>:</w:t>
      </w:r>
      <w:r w:rsidR="00A65C16" w:rsidRPr="00C72D8B">
        <w:rPr>
          <w:sz w:val="26"/>
          <w:szCs w:val="26"/>
        </w:rPr>
        <w:t xml:space="preserve"> </w:t>
      </w:r>
      <w:r w:rsidR="008120C6" w:rsidRPr="00C72D8B">
        <w:rPr>
          <w:sz w:val="26"/>
          <w:szCs w:val="26"/>
        </w:rPr>
        <w:t xml:space="preserve"> </w:t>
      </w:r>
      <w:r w:rsidR="00B316C9" w:rsidRPr="00C72D8B">
        <w:rPr>
          <w:sz w:val="26"/>
          <w:szCs w:val="26"/>
        </w:rPr>
        <w:t xml:space="preserve">(1) </w:t>
      </w:r>
      <w:r w:rsidR="00C9014E" w:rsidRPr="00C72D8B">
        <w:rPr>
          <w:sz w:val="26"/>
          <w:szCs w:val="26"/>
        </w:rPr>
        <w:t xml:space="preserve">the </w:t>
      </w:r>
      <w:r w:rsidR="00C9014E" w:rsidRPr="00C72D8B">
        <w:rPr>
          <w:i/>
          <w:iCs/>
          <w:sz w:val="26"/>
          <w:szCs w:val="26"/>
        </w:rPr>
        <w:t>Settled Base Rate Case</w:t>
      </w:r>
      <w:r w:rsidR="003E420A" w:rsidRPr="00C72D8B">
        <w:rPr>
          <w:i/>
          <w:iCs/>
          <w:sz w:val="26"/>
          <w:szCs w:val="26"/>
        </w:rPr>
        <w:t xml:space="preserve"> Orders</w:t>
      </w:r>
      <w:r w:rsidR="00C9014E" w:rsidRPr="00C72D8B">
        <w:rPr>
          <w:sz w:val="26"/>
          <w:szCs w:val="26"/>
        </w:rPr>
        <w:t xml:space="preserve"> could not be relied on as </w:t>
      </w:r>
      <w:r w:rsidR="00B375DF" w:rsidRPr="00C72D8B">
        <w:rPr>
          <w:sz w:val="26"/>
          <w:szCs w:val="26"/>
        </w:rPr>
        <w:t xml:space="preserve">precedent in </w:t>
      </w:r>
      <w:r w:rsidR="009D612B" w:rsidRPr="00C72D8B">
        <w:rPr>
          <w:sz w:val="26"/>
          <w:szCs w:val="26"/>
        </w:rPr>
        <w:t>this proceeding</w:t>
      </w:r>
      <w:r w:rsidR="00B2081F" w:rsidRPr="00C72D8B">
        <w:rPr>
          <w:sz w:val="26"/>
          <w:szCs w:val="26"/>
        </w:rPr>
        <w:t>,</w:t>
      </w:r>
      <w:r w:rsidR="00E96187" w:rsidRPr="00C72D8B">
        <w:rPr>
          <w:sz w:val="26"/>
          <w:szCs w:val="26"/>
        </w:rPr>
        <w:t xml:space="preserve"> and (2)</w:t>
      </w:r>
      <w:r w:rsidR="009D612B" w:rsidRPr="00C72D8B">
        <w:rPr>
          <w:sz w:val="26"/>
          <w:szCs w:val="26"/>
        </w:rPr>
        <w:t xml:space="preserve"> </w:t>
      </w:r>
      <w:r w:rsidR="00EF4D63" w:rsidRPr="00C72D8B">
        <w:rPr>
          <w:sz w:val="26"/>
          <w:szCs w:val="26"/>
        </w:rPr>
        <w:t xml:space="preserve">the </w:t>
      </w:r>
      <w:r w:rsidR="003E420A" w:rsidRPr="00C72D8B">
        <w:rPr>
          <w:sz w:val="26"/>
          <w:szCs w:val="26"/>
        </w:rPr>
        <w:t xml:space="preserve">circumstances in the </w:t>
      </w:r>
      <w:r w:rsidR="00EF4D63" w:rsidRPr="00C72D8B">
        <w:rPr>
          <w:i/>
          <w:iCs/>
          <w:sz w:val="26"/>
          <w:szCs w:val="26"/>
        </w:rPr>
        <w:t>Settled Base Rate Case Orders</w:t>
      </w:r>
      <w:r w:rsidR="00EF4D63" w:rsidRPr="00C72D8B">
        <w:rPr>
          <w:sz w:val="26"/>
          <w:szCs w:val="26"/>
        </w:rPr>
        <w:t xml:space="preserve"> </w:t>
      </w:r>
      <w:r w:rsidR="003E420A" w:rsidRPr="00C72D8B">
        <w:rPr>
          <w:sz w:val="26"/>
          <w:szCs w:val="26"/>
        </w:rPr>
        <w:t xml:space="preserve">are distinguishable from the circumstances in this case because the </w:t>
      </w:r>
      <w:r w:rsidR="005B46C7" w:rsidRPr="00C72D8B">
        <w:rPr>
          <w:i/>
          <w:iCs/>
          <w:sz w:val="26"/>
          <w:szCs w:val="26"/>
        </w:rPr>
        <w:t>Settled Base Rate Case Orders</w:t>
      </w:r>
      <w:r w:rsidR="005B46C7" w:rsidRPr="00C72D8B">
        <w:rPr>
          <w:sz w:val="26"/>
          <w:szCs w:val="26"/>
        </w:rPr>
        <w:t xml:space="preserve"> </w:t>
      </w:r>
      <w:r w:rsidR="00EF4D63" w:rsidRPr="00C72D8B">
        <w:rPr>
          <w:sz w:val="26"/>
          <w:szCs w:val="26"/>
        </w:rPr>
        <w:t xml:space="preserve">included robust COVID-19 relief programs and other measures beneficial to ratepayers that were carefully balanced against the </w:t>
      </w:r>
      <w:r w:rsidR="00E96187" w:rsidRPr="00C72D8B">
        <w:rPr>
          <w:sz w:val="26"/>
          <w:szCs w:val="26"/>
        </w:rPr>
        <w:t>p</w:t>
      </w:r>
      <w:r w:rsidR="00EF4D63" w:rsidRPr="00C72D8B">
        <w:rPr>
          <w:sz w:val="26"/>
          <w:szCs w:val="26"/>
        </w:rPr>
        <w:t>arties’ decisions to agree on a rate increase.</w:t>
      </w:r>
      <w:r w:rsidR="00A11869" w:rsidRPr="00C72D8B">
        <w:rPr>
          <w:sz w:val="26"/>
          <w:szCs w:val="26"/>
        </w:rPr>
        <w:t xml:space="preserve">  We addressed these arguments in response to the positions espoused by </w:t>
      </w:r>
      <w:r w:rsidR="00C32DF2" w:rsidRPr="00C72D8B">
        <w:rPr>
          <w:sz w:val="26"/>
          <w:szCs w:val="26"/>
        </w:rPr>
        <w:t>I&amp;E, Columbia, and the OCA in their Exceptions and Replies to Exceptions</w:t>
      </w:r>
      <w:r w:rsidR="000C51CC" w:rsidRPr="00C72D8B">
        <w:rPr>
          <w:sz w:val="26"/>
          <w:szCs w:val="26"/>
        </w:rPr>
        <w:t>.</w:t>
      </w:r>
    </w:p>
    <w:p w14:paraId="1BFDBD96" w14:textId="64CA42D4" w:rsidR="001E1494" w:rsidRPr="00C72D8B" w:rsidRDefault="001E1494" w:rsidP="000069A8">
      <w:pPr>
        <w:contextualSpacing/>
        <w:rPr>
          <w:sz w:val="26"/>
          <w:szCs w:val="26"/>
        </w:rPr>
      </w:pPr>
    </w:p>
    <w:p w14:paraId="110F5014" w14:textId="74A32978" w:rsidR="00E87110" w:rsidRPr="00C72D8B" w:rsidRDefault="00AD1170" w:rsidP="000B53FB">
      <w:pPr>
        <w:contextualSpacing/>
        <w:rPr>
          <w:sz w:val="26"/>
          <w:szCs w:val="26"/>
        </w:rPr>
      </w:pPr>
      <w:r w:rsidRPr="00C72D8B">
        <w:rPr>
          <w:sz w:val="26"/>
          <w:szCs w:val="26"/>
        </w:rPr>
        <w:t xml:space="preserve">For example, the OCA </w:t>
      </w:r>
      <w:r w:rsidR="006414AB" w:rsidRPr="00C72D8B">
        <w:rPr>
          <w:sz w:val="26"/>
          <w:szCs w:val="26"/>
        </w:rPr>
        <w:t xml:space="preserve">averred in its Replies to Exceptions that I&amp;E improperly relied on the </w:t>
      </w:r>
      <w:r w:rsidR="001A45EB" w:rsidRPr="00C72D8B">
        <w:rPr>
          <w:sz w:val="26"/>
          <w:szCs w:val="26"/>
        </w:rPr>
        <w:t xml:space="preserve">Commission’s </w:t>
      </w:r>
      <w:r w:rsidR="00C45D15" w:rsidRPr="00C72D8B">
        <w:rPr>
          <w:i/>
          <w:iCs/>
          <w:sz w:val="26"/>
          <w:szCs w:val="26"/>
        </w:rPr>
        <w:t xml:space="preserve">Settled </w:t>
      </w:r>
      <w:r w:rsidR="0027363F" w:rsidRPr="00C72D8B">
        <w:rPr>
          <w:i/>
          <w:iCs/>
          <w:sz w:val="26"/>
          <w:szCs w:val="26"/>
        </w:rPr>
        <w:t>Base Rate Case Orders</w:t>
      </w:r>
      <w:r w:rsidR="0027363F" w:rsidRPr="00C72D8B">
        <w:rPr>
          <w:sz w:val="26"/>
          <w:szCs w:val="26"/>
        </w:rPr>
        <w:t xml:space="preserve"> </w:t>
      </w:r>
      <w:r w:rsidR="003457FA" w:rsidRPr="00C72D8B">
        <w:rPr>
          <w:sz w:val="26"/>
          <w:szCs w:val="26"/>
        </w:rPr>
        <w:t xml:space="preserve">in support of its position </w:t>
      </w:r>
      <w:r w:rsidR="00E12129" w:rsidRPr="00C72D8B">
        <w:rPr>
          <w:sz w:val="26"/>
          <w:szCs w:val="26"/>
        </w:rPr>
        <w:t xml:space="preserve">in Exceptions </w:t>
      </w:r>
      <w:r w:rsidR="003457FA" w:rsidRPr="00C72D8B">
        <w:rPr>
          <w:sz w:val="26"/>
          <w:szCs w:val="26"/>
        </w:rPr>
        <w:t xml:space="preserve">that </w:t>
      </w:r>
      <w:r w:rsidR="00D1088F" w:rsidRPr="00C72D8B">
        <w:rPr>
          <w:sz w:val="26"/>
          <w:szCs w:val="26"/>
        </w:rPr>
        <w:t>Columbia should be granted an appropriate revenue increase</w:t>
      </w:r>
      <w:r w:rsidR="000A5C2F" w:rsidRPr="00C72D8B">
        <w:rPr>
          <w:sz w:val="26"/>
          <w:szCs w:val="26"/>
        </w:rPr>
        <w:t>,</w:t>
      </w:r>
      <w:r w:rsidR="009F5F8C" w:rsidRPr="00C72D8B">
        <w:rPr>
          <w:sz w:val="26"/>
          <w:szCs w:val="26"/>
        </w:rPr>
        <w:t xml:space="preserve"> consistent with the standards in </w:t>
      </w:r>
      <w:r w:rsidR="009F5F8C" w:rsidRPr="00C72D8B">
        <w:rPr>
          <w:i/>
          <w:iCs/>
          <w:sz w:val="26"/>
          <w:szCs w:val="26"/>
        </w:rPr>
        <w:t>Bluefield</w:t>
      </w:r>
      <w:r w:rsidR="009F5F8C" w:rsidRPr="00C72D8B">
        <w:rPr>
          <w:sz w:val="26"/>
          <w:szCs w:val="26"/>
        </w:rPr>
        <w:t xml:space="preserve"> and </w:t>
      </w:r>
      <w:r w:rsidR="008000C8" w:rsidRPr="00C72D8B">
        <w:rPr>
          <w:i/>
          <w:iCs/>
          <w:sz w:val="26"/>
          <w:szCs w:val="26"/>
        </w:rPr>
        <w:t>Hope Natural Gas</w:t>
      </w:r>
      <w:r w:rsidR="00D1088F" w:rsidRPr="00C72D8B">
        <w:rPr>
          <w:sz w:val="26"/>
          <w:szCs w:val="26"/>
        </w:rPr>
        <w:t xml:space="preserve">.  </w:t>
      </w:r>
      <w:r w:rsidR="00494379" w:rsidRPr="00C72D8B">
        <w:rPr>
          <w:sz w:val="26"/>
          <w:szCs w:val="26"/>
        </w:rPr>
        <w:t xml:space="preserve">OCA R. Exc. at 5-6 (citing I&amp;E Exc. at </w:t>
      </w:r>
      <w:r w:rsidR="009A5F02" w:rsidRPr="00C72D8B">
        <w:rPr>
          <w:sz w:val="26"/>
          <w:szCs w:val="26"/>
        </w:rPr>
        <w:t>8-11)</w:t>
      </w:r>
      <w:r w:rsidR="008C4501" w:rsidRPr="00C72D8B">
        <w:rPr>
          <w:sz w:val="26"/>
          <w:szCs w:val="26"/>
        </w:rPr>
        <w:t xml:space="preserve">. </w:t>
      </w:r>
      <w:r w:rsidR="00770835" w:rsidRPr="00C72D8B">
        <w:rPr>
          <w:sz w:val="26"/>
          <w:szCs w:val="26"/>
        </w:rPr>
        <w:t xml:space="preserve"> Additionally, in </w:t>
      </w:r>
      <w:r w:rsidR="000D62B6" w:rsidRPr="00C72D8B">
        <w:rPr>
          <w:sz w:val="26"/>
          <w:szCs w:val="26"/>
        </w:rPr>
        <w:t xml:space="preserve">response to Columbia’s </w:t>
      </w:r>
      <w:r w:rsidR="0031211D" w:rsidRPr="00C72D8B">
        <w:rPr>
          <w:sz w:val="26"/>
          <w:szCs w:val="26"/>
        </w:rPr>
        <w:t xml:space="preserve">proposal in its Exceptions to </w:t>
      </w:r>
      <w:r w:rsidR="001E7E99" w:rsidRPr="00C72D8B">
        <w:rPr>
          <w:sz w:val="26"/>
          <w:szCs w:val="26"/>
        </w:rPr>
        <w:t xml:space="preserve">implement a </w:t>
      </w:r>
      <w:r w:rsidR="00602BF1" w:rsidRPr="00C72D8B">
        <w:rPr>
          <w:sz w:val="26"/>
          <w:szCs w:val="26"/>
        </w:rPr>
        <w:t>phased</w:t>
      </w:r>
      <w:r w:rsidR="000069A8" w:rsidRPr="00C72D8B">
        <w:rPr>
          <w:sz w:val="26"/>
          <w:szCs w:val="26"/>
        </w:rPr>
        <w:t xml:space="preserve">-in revenue increase </w:t>
      </w:r>
      <w:r w:rsidR="00602BF1" w:rsidRPr="00C72D8B">
        <w:rPr>
          <w:sz w:val="26"/>
          <w:szCs w:val="26"/>
        </w:rPr>
        <w:t>similar to</w:t>
      </w:r>
      <w:r w:rsidR="00A21161" w:rsidRPr="00C72D8B">
        <w:rPr>
          <w:sz w:val="26"/>
          <w:szCs w:val="26"/>
        </w:rPr>
        <w:t xml:space="preserve"> those in the</w:t>
      </w:r>
      <w:r w:rsidR="000069A8" w:rsidRPr="00C72D8B">
        <w:rPr>
          <w:sz w:val="26"/>
          <w:szCs w:val="26"/>
        </w:rPr>
        <w:t xml:space="preserve"> </w:t>
      </w:r>
      <w:r w:rsidR="000069A8" w:rsidRPr="00C72D8B">
        <w:rPr>
          <w:i/>
          <w:iCs/>
          <w:sz w:val="26"/>
          <w:szCs w:val="26"/>
        </w:rPr>
        <w:t>UGI Gas</w:t>
      </w:r>
      <w:r w:rsidR="00B06AC0" w:rsidRPr="00C72D8B">
        <w:rPr>
          <w:i/>
          <w:iCs/>
          <w:sz w:val="26"/>
          <w:szCs w:val="26"/>
        </w:rPr>
        <w:t xml:space="preserve"> Rate Order </w:t>
      </w:r>
      <w:r w:rsidR="00B06AC0" w:rsidRPr="00C72D8B">
        <w:rPr>
          <w:sz w:val="26"/>
          <w:szCs w:val="26"/>
        </w:rPr>
        <w:t>and the</w:t>
      </w:r>
      <w:r w:rsidR="00B06AC0" w:rsidRPr="00C72D8B">
        <w:rPr>
          <w:i/>
          <w:iCs/>
          <w:sz w:val="26"/>
          <w:szCs w:val="26"/>
        </w:rPr>
        <w:t xml:space="preserve"> </w:t>
      </w:r>
      <w:r w:rsidR="000069A8" w:rsidRPr="00C72D8B">
        <w:rPr>
          <w:i/>
          <w:iCs/>
          <w:sz w:val="26"/>
          <w:szCs w:val="26"/>
        </w:rPr>
        <w:t>PGW</w:t>
      </w:r>
      <w:r w:rsidR="00B06AC0" w:rsidRPr="00C72D8B">
        <w:rPr>
          <w:i/>
          <w:iCs/>
          <w:sz w:val="26"/>
          <w:szCs w:val="26"/>
        </w:rPr>
        <w:t xml:space="preserve"> Rate Order</w:t>
      </w:r>
      <w:r w:rsidR="00B06AC0" w:rsidRPr="00C72D8B">
        <w:rPr>
          <w:sz w:val="26"/>
          <w:szCs w:val="26"/>
        </w:rPr>
        <w:t xml:space="preserve">, </w:t>
      </w:r>
      <w:r w:rsidR="006F2A64" w:rsidRPr="00C72D8B">
        <w:rPr>
          <w:sz w:val="26"/>
          <w:szCs w:val="26"/>
        </w:rPr>
        <w:t>the OCA argue</w:t>
      </w:r>
      <w:r w:rsidR="000B53FB" w:rsidRPr="00C72D8B">
        <w:rPr>
          <w:sz w:val="26"/>
          <w:szCs w:val="26"/>
        </w:rPr>
        <w:t>d</w:t>
      </w:r>
      <w:r w:rsidR="006F2A64" w:rsidRPr="00C72D8B">
        <w:rPr>
          <w:sz w:val="26"/>
          <w:szCs w:val="26"/>
        </w:rPr>
        <w:t xml:space="preserve"> that the Company’s </w:t>
      </w:r>
      <w:r w:rsidR="007D7B5E" w:rsidRPr="00C72D8B">
        <w:rPr>
          <w:sz w:val="26"/>
          <w:szCs w:val="26"/>
        </w:rPr>
        <w:t xml:space="preserve">reliance </w:t>
      </w:r>
      <w:r w:rsidR="006F2A64" w:rsidRPr="00C72D8B">
        <w:rPr>
          <w:sz w:val="26"/>
          <w:szCs w:val="26"/>
        </w:rPr>
        <w:t xml:space="preserve">on </w:t>
      </w:r>
      <w:r w:rsidR="000B53FB" w:rsidRPr="00C72D8B">
        <w:rPr>
          <w:sz w:val="26"/>
          <w:szCs w:val="26"/>
        </w:rPr>
        <w:t xml:space="preserve">the </w:t>
      </w:r>
      <w:r w:rsidR="006F2A64" w:rsidRPr="00C72D8B">
        <w:rPr>
          <w:i/>
          <w:iCs/>
          <w:sz w:val="26"/>
          <w:szCs w:val="26"/>
        </w:rPr>
        <w:t>UGI Gas</w:t>
      </w:r>
      <w:r w:rsidR="006F2A64" w:rsidRPr="00C72D8B">
        <w:rPr>
          <w:sz w:val="26"/>
          <w:szCs w:val="26"/>
        </w:rPr>
        <w:t xml:space="preserve"> </w:t>
      </w:r>
      <w:r w:rsidR="000B53FB" w:rsidRPr="00C72D8B">
        <w:rPr>
          <w:i/>
          <w:iCs/>
          <w:sz w:val="26"/>
          <w:szCs w:val="26"/>
        </w:rPr>
        <w:t>Rate Order</w:t>
      </w:r>
      <w:r w:rsidR="000B53FB" w:rsidRPr="00C72D8B">
        <w:rPr>
          <w:sz w:val="26"/>
          <w:szCs w:val="26"/>
        </w:rPr>
        <w:t xml:space="preserve"> </w:t>
      </w:r>
      <w:r w:rsidR="006F2A64" w:rsidRPr="00C72D8B">
        <w:rPr>
          <w:sz w:val="26"/>
          <w:szCs w:val="26"/>
        </w:rPr>
        <w:t xml:space="preserve">and </w:t>
      </w:r>
      <w:r w:rsidR="000B53FB" w:rsidRPr="00C72D8B">
        <w:rPr>
          <w:sz w:val="26"/>
          <w:szCs w:val="26"/>
        </w:rPr>
        <w:t xml:space="preserve">the </w:t>
      </w:r>
      <w:r w:rsidR="006F2A64" w:rsidRPr="00C72D8B">
        <w:rPr>
          <w:i/>
          <w:iCs/>
          <w:sz w:val="26"/>
          <w:szCs w:val="26"/>
        </w:rPr>
        <w:t>PGW Rate Order</w:t>
      </w:r>
      <w:r w:rsidR="006F2A64" w:rsidRPr="00C72D8B">
        <w:rPr>
          <w:sz w:val="26"/>
          <w:szCs w:val="26"/>
        </w:rPr>
        <w:t xml:space="preserve"> should be rejected, as those matters </w:t>
      </w:r>
      <w:r w:rsidR="009A70BB" w:rsidRPr="00C72D8B">
        <w:rPr>
          <w:sz w:val="26"/>
          <w:szCs w:val="26"/>
        </w:rPr>
        <w:t xml:space="preserve">were different from </w:t>
      </w:r>
      <w:r w:rsidR="001B3B99" w:rsidRPr="00C72D8B">
        <w:rPr>
          <w:sz w:val="26"/>
          <w:szCs w:val="26"/>
        </w:rPr>
        <w:t>Columbia’s proposal because those matters</w:t>
      </w:r>
      <w:r w:rsidR="006F2A64" w:rsidRPr="00C72D8B">
        <w:rPr>
          <w:sz w:val="26"/>
          <w:szCs w:val="26"/>
        </w:rPr>
        <w:t xml:space="preserve"> included robust COVID</w:t>
      </w:r>
      <w:r w:rsidR="004F0953">
        <w:rPr>
          <w:sz w:val="26"/>
          <w:szCs w:val="26"/>
        </w:rPr>
        <w:noBreakHyphen/>
      </w:r>
      <w:r w:rsidR="006F2A64" w:rsidRPr="00C72D8B">
        <w:rPr>
          <w:sz w:val="26"/>
          <w:szCs w:val="26"/>
        </w:rPr>
        <w:t>19 relief plans, low-income customer relief, stay-out provisions, and a host of other customer benefits th</w:t>
      </w:r>
      <w:r w:rsidR="006A4DF0" w:rsidRPr="00C72D8B">
        <w:rPr>
          <w:sz w:val="26"/>
          <w:szCs w:val="26"/>
        </w:rPr>
        <w:t>at</w:t>
      </w:r>
      <w:r w:rsidR="006F2A64" w:rsidRPr="00C72D8B">
        <w:rPr>
          <w:sz w:val="26"/>
          <w:szCs w:val="26"/>
        </w:rPr>
        <w:t xml:space="preserve"> result</w:t>
      </w:r>
      <w:r w:rsidR="006A4DF0" w:rsidRPr="00C72D8B">
        <w:rPr>
          <w:sz w:val="26"/>
          <w:szCs w:val="26"/>
        </w:rPr>
        <w:t>ed</w:t>
      </w:r>
      <w:r w:rsidR="006F2A64" w:rsidRPr="00C72D8B">
        <w:rPr>
          <w:sz w:val="26"/>
          <w:szCs w:val="26"/>
        </w:rPr>
        <w:t xml:space="preserve"> </w:t>
      </w:r>
      <w:r w:rsidR="006A4DF0" w:rsidRPr="00C72D8B">
        <w:rPr>
          <w:sz w:val="26"/>
          <w:szCs w:val="26"/>
        </w:rPr>
        <w:t>from</w:t>
      </w:r>
      <w:r w:rsidR="006F2A64" w:rsidRPr="00C72D8B">
        <w:rPr>
          <w:sz w:val="26"/>
          <w:szCs w:val="26"/>
        </w:rPr>
        <w:t xml:space="preserve"> extensive settlement negotiations.</w:t>
      </w:r>
      <w:r w:rsidR="006A4DF0" w:rsidRPr="00C72D8B">
        <w:rPr>
          <w:sz w:val="26"/>
          <w:szCs w:val="26"/>
        </w:rPr>
        <w:t xml:space="preserve">  </w:t>
      </w:r>
      <w:r w:rsidR="009F6B15" w:rsidRPr="00C72D8B">
        <w:rPr>
          <w:i/>
          <w:iCs/>
          <w:sz w:val="26"/>
          <w:szCs w:val="26"/>
        </w:rPr>
        <w:t>February</w:t>
      </w:r>
      <w:r w:rsidR="004F0953">
        <w:rPr>
          <w:i/>
          <w:iCs/>
          <w:sz w:val="26"/>
          <w:szCs w:val="26"/>
        </w:rPr>
        <w:t> </w:t>
      </w:r>
      <w:r w:rsidR="009F6B15" w:rsidRPr="00C72D8B">
        <w:rPr>
          <w:i/>
          <w:iCs/>
          <w:sz w:val="26"/>
          <w:szCs w:val="26"/>
        </w:rPr>
        <w:t>2021 Order</w:t>
      </w:r>
      <w:r w:rsidR="009F6B15" w:rsidRPr="00C72D8B">
        <w:rPr>
          <w:sz w:val="26"/>
          <w:szCs w:val="26"/>
        </w:rPr>
        <w:t xml:space="preserve"> at </w:t>
      </w:r>
      <w:r w:rsidR="006420D7" w:rsidRPr="00C72D8B">
        <w:rPr>
          <w:sz w:val="26"/>
          <w:szCs w:val="26"/>
        </w:rPr>
        <w:t>227-28</w:t>
      </w:r>
      <w:r w:rsidR="00855F0D" w:rsidRPr="00C72D8B">
        <w:rPr>
          <w:sz w:val="26"/>
          <w:szCs w:val="26"/>
        </w:rPr>
        <w:t>, 229</w:t>
      </w:r>
      <w:r w:rsidR="0079124E" w:rsidRPr="00C72D8B">
        <w:rPr>
          <w:sz w:val="26"/>
          <w:szCs w:val="26"/>
        </w:rPr>
        <w:t>-30</w:t>
      </w:r>
      <w:r w:rsidR="00517FF7" w:rsidRPr="00C72D8B">
        <w:rPr>
          <w:sz w:val="26"/>
          <w:szCs w:val="26"/>
        </w:rPr>
        <w:t xml:space="preserve">; </w:t>
      </w:r>
      <w:r w:rsidR="00DE2385" w:rsidRPr="00C72D8B">
        <w:rPr>
          <w:sz w:val="26"/>
          <w:szCs w:val="26"/>
        </w:rPr>
        <w:t>Columbia Exc. at 33-38</w:t>
      </w:r>
      <w:r w:rsidR="00F82E32" w:rsidRPr="00C72D8B">
        <w:rPr>
          <w:sz w:val="26"/>
          <w:szCs w:val="26"/>
        </w:rPr>
        <w:t>;</w:t>
      </w:r>
      <w:r w:rsidR="006F3ECD" w:rsidRPr="00C72D8B">
        <w:rPr>
          <w:sz w:val="26"/>
          <w:szCs w:val="26"/>
        </w:rPr>
        <w:t xml:space="preserve"> </w:t>
      </w:r>
      <w:r w:rsidR="00514B4D" w:rsidRPr="00C72D8B">
        <w:rPr>
          <w:sz w:val="26"/>
          <w:szCs w:val="26"/>
        </w:rPr>
        <w:t>OCA R. Exc. at 20</w:t>
      </w:r>
      <w:r w:rsidR="00855F0D" w:rsidRPr="00C72D8B">
        <w:rPr>
          <w:sz w:val="26"/>
          <w:szCs w:val="26"/>
        </w:rPr>
        <w:t>.</w:t>
      </w:r>
      <w:r w:rsidR="00E703B6" w:rsidRPr="00C72D8B">
        <w:rPr>
          <w:sz w:val="26"/>
          <w:szCs w:val="26"/>
        </w:rPr>
        <w:t xml:space="preserve">  </w:t>
      </w:r>
    </w:p>
    <w:p w14:paraId="2ABFFDC5" w14:textId="77777777" w:rsidR="00E87110" w:rsidRPr="00C72D8B" w:rsidRDefault="00E87110" w:rsidP="000B53FB">
      <w:pPr>
        <w:contextualSpacing/>
        <w:rPr>
          <w:sz w:val="26"/>
          <w:szCs w:val="26"/>
        </w:rPr>
      </w:pPr>
    </w:p>
    <w:p w14:paraId="43A0A6CA" w14:textId="63622890" w:rsidR="00A74449" w:rsidRPr="00C72D8B" w:rsidRDefault="00E87110" w:rsidP="000B53FB">
      <w:pPr>
        <w:contextualSpacing/>
        <w:rPr>
          <w:sz w:val="26"/>
          <w:szCs w:val="26"/>
        </w:rPr>
      </w:pPr>
      <w:r w:rsidRPr="00C72D8B">
        <w:rPr>
          <w:sz w:val="26"/>
          <w:szCs w:val="26"/>
        </w:rPr>
        <w:t xml:space="preserve">In response to the </w:t>
      </w:r>
      <w:r w:rsidR="00215F01" w:rsidRPr="00C72D8B">
        <w:rPr>
          <w:sz w:val="26"/>
          <w:szCs w:val="26"/>
        </w:rPr>
        <w:t>Parties’</w:t>
      </w:r>
      <w:r w:rsidRPr="00C72D8B">
        <w:rPr>
          <w:sz w:val="26"/>
          <w:szCs w:val="26"/>
        </w:rPr>
        <w:t xml:space="preserve"> arguments </w:t>
      </w:r>
      <w:r w:rsidR="00215F01" w:rsidRPr="00C72D8B">
        <w:rPr>
          <w:sz w:val="26"/>
          <w:szCs w:val="26"/>
        </w:rPr>
        <w:t>in favor of</w:t>
      </w:r>
      <w:r w:rsidRPr="00C72D8B">
        <w:rPr>
          <w:sz w:val="26"/>
          <w:szCs w:val="26"/>
        </w:rPr>
        <w:t xml:space="preserve"> </w:t>
      </w:r>
      <w:r w:rsidR="00EF0D4C" w:rsidRPr="00C72D8B">
        <w:rPr>
          <w:sz w:val="26"/>
          <w:szCs w:val="26"/>
        </w:rPr>
        <w:t xml:space="preserve">a complete denial of Columbia’s requested rate relief and </w:t>
      </w:r>
      <w:r w:rsidR="00215F01" w:rsidRPr="00C72D8B">
        <w:rPr>
          <w:sz w:val="26"/>
          <w:szCs w:val="26"/>
        </w:rPr>
        <w:t xml:space="preserve">the OCA’s argument concerning </w:t>
      </w:r>
      <w:r w:rsidR="002F6390" w:rsidRPr="00C72D8B">
        <w:rPr>
          <w:sz w:val="26"/>
          <w:szCs w:val="26"/>
        </w:rPr>
        <w:t xml:space="preserve">any </w:t>
      </w:r>
      <w:r w:rsidR="00834AB1" w:rsidRPr="00C72D8B">
        <w:rPr>
          <w:sz w:val="26"/>
          <w:szCs w:val="26"/>
        </w:rPr>
        <w:t>re</w:t>
      </w:r>
      <w:r w:rsidR="002F6390" w:rsidRPr="00C72D8B">
        <w:rPr>
          <w:sz w:val="26"/>
          <w:szCs w:val="26"/>
        </w:rPr>
        <w:t>ference to</w:t>
      </w:r>
      <w:r w:rsidR="00834AB1" w:rsidRPr="00C72D8B">
        <w:rPr>
          <w:sz w:val="26"/>
          <w:szCs w:val="26"/>
        </w:rPr>
        <w:t xml:space="preserve"> </w:t>
      </w:r>
      <w:r w:rsidRPr="00C72D8B">
        <w:rPr>
          <w:sz w:val="26"/>
          <w:szCs w:val="26"/>
        </w:rPr>
        <w:t>the</w:t>
      </w:r>
      <w:r w:rsidR="00834AB1" w:rsidRPr="00C72D8B">
        <w:rPr>
          <w:sz w:val="26"/>
          <w:szCs w:val="26"/>
        </w:rPr>
        <w:t xml:space="preserve"> </w:t>
      </w:r>
      <w:r w:rsidR="00834AB1" w:rsidRPr="00C72D8B">
        <w:rPr>
          <w:i/>
          <w:iCs/>
          <w:sz w:val="26"/>
          <w:szCs w:val="26"/>
        </w:rPr>
        <w:t>Settled Base Rate Case Orders</w:t>
      </w:r>
      <w:r w:rsidR="00F245C8" w:rsidRPr="00C72D8B">
        <w:rPr>
          <w:sz w:val="26"/>
          <w:szCs w:val="26"/>
        </w:rPr>
        <w:t>, we stated the following</w:t>
      </w:r>
      <w:r w:rsidR="00A74449" w:rsidRPr="00C72D8B">
        <w:rPr>
          <w:sz w:val="26"/>
          <w:szCs w:val="26"/>
        </w:rPr>
        <w:t xml:space="preserve">:  </w:t>
      </w:r>
    </w:p>
    <w:p w14:paraId="6E1294FD" w14:textId="77777777" w:rsidR="00A74449" w:rsidRPr="00C72D8B" w:rsidRDefault="00A74449" w:rsidP="004F0953">
      <w:pPr>
        <w:spacing w:line="240" w:lineRule="auto"/>
        <w:contextualSpacing/>
        <w:rPr>
          <w:sz w:val="26"/>
          <w:szCs w:val="26"/>
        </w:rPr>
      </w:pPr>
    </w:p>
    <w:p w14:paraId="11AA4348" w14:textId="54E82C76" w:rsidR="00A74449" w:rsidRPr="00C72D8B" w:rsidRDefault="00A74449" w:rsidP="009543D4">
      <w:pPr>
        <w:spacing w:line="240" w:lineRule="auto"/>
        <w:ind w:left="1440" w:right="1440" w:firstLine="720"/>
        <w:contextualSpacing/>
        <w:rPr>
          <w:sz w:val="26"/>
          <w:szCs w:val="26"/>
        </w:rPr>
      </w:pPr>
      <w:r w:rsidRPr="00C72D8B">
        <w:rPr>
          <w:sz w:val="26"/>
          <w:szCs w:val="26"/>
        </w:rPr>
        <w:t xml:space="preserve">Furthermore, taking the approach of denying any rate relief due to rising unemployment numbers among residential customers is inconsistent with our prior rate orders issued during this pandemic: specifically, the </w:t>
      </w:r>
      <w:r w:rsidRPr="00C72D8B">
        <w:rPr>
          <w:i/>
          <w:iCs/>
          <w:sz w:val="26"/>
          <w:szCs w:val="26"/>
        </w:rPr>
        <w:t>PGW Rate Order</w:t>
      </w:r>
      <w:r w:rsidRPr="00C72D8B">
        <w:rPr>
          <w:sz w:val="26"/>
          <w:szCs w:val="26"/>
        </w:rPr>
        <w:t xml:space="preserve">, the </w:t>
      </w:r>
      <w:r w:rsidRPr="00C72D8B">
        <w:rPr>
          <w:i/>
          <w:iCs/>
          <w:sz w:val="26"/>
          <w:szCs w:val="26"/>
        </w:rPr>
        <w:t>UGI Gas Rate Order</w:t>
      </w:r>
      <w:r w:rsidRPr="00C72D8B">
        <w:rPr>
          <w:sz w:val="26"/>
          <w:szCs w:val="26"/>
        </w:rPr>
        <w:t xml:space="preserve">, and the </w:t>
      </w:r>
      <w:r w:rsidRPr="00C72D8B">
        <w:rPr>
          <w:i/>
          <w:iCs/>
          <w:sz w:val="26"/>
          <w:szCs w:val="26"/>
        </w:rPr>
        <w:t>PWSA Rate Order</w:t>
      </w:r>
      <w:r w:rsidRPr="00C72D8B">
        <w:rPr>
          <w:sz w:val="26"/>
          <w:szCs w:val="26"/>
        </w:rPr>
        <w:t xml:space="preserve">, where we granted rate increases despite rising unemployment numbers across the Commonwealth due to the pandemic.  No party in this proceeding has offered a rational basis to justify a different treatment under the circumstances here.  Indeed, we are not persuaded by the argument that the final rates in the other cases were the results of settlement agreements, as that fact alone does not change the reality that such settlements would not be effective unless approved under our ratemaking authority, and we clearly acknowledged the need for revenue increases during this pandemic for these companies by approving the settled-upon rate increases after we found that such settlements were in the public interest and resulted in just and reasonable rates.  </w:t>
      </w:r>
      <w:r w:rsidRPr="00C72D8B">
        <w:rPr>
          <w:i/>
          <w:iCs/>
          <w:sz w:val="26"/>
          <w:szCs w:val="26"/>
        </w:rPr>
        <w:t>See PGW Rate Order, UGI Gas Rate Order, PWSA Rate Order.</w:t>
      </w:r>
    </w:p>
    <w:p w14:paraId="4BE3CC5A" w14:textId="77777777" w:rsidR="00A74449" w:rsidRPr="00C72D8B" w:rsidRDefault="00A74449" w:rsidP="00A74449">
      <w:pPr>
        <w:contextualSpacing/>
        <w:rPr>
          <w:sz w:val="26"/>
          <w:szCs w:val="26"/>
        </w:rPr>
      </w:pPr>
    </w:p>
    <w:p w14:paraId="7D237ACF" w14:textId="52EADB58" w:rsidR="00A74449" w:rsidRPr="00C72D8B" w:rsidRDefault="00A74449" w:rsidP="00A74449">
      <w:pPr>
        <w:ind w:firstLine="0"/>
        <w:contextualSpacing/>
        <w:rPr>
          <w:sz w:val="26"/>
          <w:szCs w:val="26"/>
        </w:rPr>
      </w:pPr>
      <w:r w:rsidRPr="00C72D8B">
        <w:rPr>
          <w:i/>
          <w:iCs/>
          <w:sz w:val="26"/>
          <w:szCs w:val="26"/>
        </w:rPr>
        <w:t>February 2021 Order</w:t>
      </w:r>
      <w:r w:rsidRPr="00C72D8B">
        <w:rPr>
          <w:sz w:val="26"/>
          <w:szCs w:val="26"/>
        </w:rPr>
        <w:t xml:space="preserve"> at 51-52.</w:t>
      </w:r>
      <w:r w:rsidR="007E7A7D" w:rsidRPr="00C72D8B">
        <w:rPr>
          <w:sz w:val="26"/>
          <w:szCs w:val="26"/>
        </w:rPr>
        <w:t xml:space="preserve">  </w:t>
      </w:r>
      <w:r w:rsidR="00C347BB" w:rsidRPr="00C72D8B">
        <w:rPr>
          <w:sz w:val="26"/>
          <w:szCs w:val="26"/>
        </w:rPr>
        <w:t xml:space="preserve">The </w:t>
      </w:r>
      <w:r w:rsidR="00DE2268" w:rsidRPr="00C72D8B">
        <w:rPr>
          <w:sz w:val="26"/>
          <w:szCs w:val="26"/>
        </w:rPr>
        <w:t xml:space="preserve">above </w:t>
      </w:r>
      <w:r w:rsidR="00C347BB" w:rsidRPr="00C72D8B">
        <w:rPr>
          <w:sz w:val="26"/>
          <w:szCs w:val="26"/>
        </w:rPr>
        <w:t>language</w:t>
      </w:r>
      <w:r w:rsidR="00DE2268" w:rsidRPr="00C72D8B">
        <w:rPr>
          <w:sz w:val="26"/>
          <w:szCs w:val="26"/>
        </w:rPr>
        <w:t xml:space="preserve"> </w:t>
      </w:r>
      <w:r w:rsidR="00A04A1F" w:rsidRPr="00C72D8B">
        <w:rPr>
          <w:sz w:val="26"/>
          <w:szCs w:val="26"/>
        </w:rPr>
        <w:t>clearly reflects that we considered and d</w:t>
      </w:r>
      <w:r w:rsidR="00421A5A" w:rsidRPr="00C72D8B">
        <w:rPr>
          <w:sz w:val="26"/>
          <w:szCs w:val="26"/>
        </w:rPr>
        <w:t>enied</w:t>
      </w:r>
      <w:r w:rsidR="002B078D" w:rsidRPr="00C72D8B">
        <w:rPr>
          <w:sz w:val="26"/>
          <w:szCs w:val="26"/>
        </w:rPr>
        <w:t>,</w:t>
      </w:r>
      <w:r w:rsidR="00A04A1F" w:rsidRPr="00C72D8B">
        <w:rPr>
          <w:sz w:val="26"/>
          <w:szCs w:val="26"/>
        </w:rPr>
        <w:t xml:space="preserve"> in the </w:t>
      </w:r>
      <w:r w:rsidR="002B078D" w:rsidRPr="00C72D8B">
        <w:rPr>
          <w:i/>
          <w:iCs/>
          <w:sz w:val="26"/>
          <w:szCs w:val="26"/>
        </w:rPr>
        <w:t>February 2021 Order</w:t>
      </w:r>
      <w:r w:rsidR="002B078D" w:rsidRPr="00C72D8B">
        <w:rPr>
          <w:sz w:val="26"/>
          <w:szCs w:val="26"/>
        </w:rPr>
        <w:t xml:space="preserve">, </w:t>
      </w:r>
      <w:r w:rsidR="00A04A1F" w:rsidRPr="00C72D8B">
        <w:rPr>
          <w:sz w:val="26"/>
          <w:szCs w:val="26"/>
        </w:rPr>
        <w:t xml:space="preserve">the same arguments that the OCA raises in its </w:t>
      </w:r>
      <w:r w:rsidR="006F276F" w:rsidRPr="00C72D8B">
        <w:rPr>
          <w:sz w:val="26"/>
          <w:szCs w:val="26"/>
        </w:rPr>
        <w:t xml:space="preserve">instant </w:t>
      </w:r>
      <w:r w:rsidR="00A04A1F" w:rsidRPr="00C72D8B">
        <w:rPr>
          <w:sz w:val="26"/>
          <w:szCs w:val="26"/>
        </w:rPr>
        <w:t>Petition.</w:t>
      </w:r>
      <w:r w:rsidR="00C347BB" w:rsidRPr="00C72D8B">
        <w:rPr>
          <w:sz w:val="26"/>
          <w:szCs w:val="26"/>
        </w:rPr>
        <w:t xml:space="preserve">  </w:t>
      </w:r>
    </w:p>
    <w:p w14:paraId="2465DC8D" w14:textId="77777777" w:rsidR="00476B97" w:rsidRPr="00C72D8B" w:rsidRDefault="00476B97" w:rsidP="00A74449">
      <w:pPr>
        <w:ind w:firstLine="0"/>
        <w:contextualSpacing/>
        <w:rPr>
          <w:sz w:val="26"/>
          <w:szCs w:val="26"/>
        </w:rPr>
      </w:pPr>
    </w:p>
    <w:p w14:paraId="768313B4" w14:textId="70DB4756" w:rsidR="00A111A2" w:rsidRPr="00C72D8B" w:rsidRDefault="00D216F4" w:rsidP="00F26656">
      <w:pPr>
        <w:contextualSpacing/>
        <w:rPr>
          <w:sz w:val="26"/>
          <w:szCs w:val="26"/>
        </w:rPr>
      </w:pPr>
      <w:r w:rsidRPr="00C72D8B">
        <w:rPr>
          <w:sz w:val="26"/>
          <w:szCs w:val="26"/>
        </w:rPr>
        <w:t xml:space="preserve">Moreover, we referred to the </w:t>
      </w:r>
      <w:r w:rsidR="00AF1078" w:rsidRPr="00C72D8B">
        <w:rPr>
          <w:i/>
          <w:iCs/>
          <w:sz w:val="26"/>
          <w:szCs w:val="26"/>
        </w:rPr>
        <w:t>Settled Base Rate Case Orders</w:t>
      </w:r>
      <w:r w:rsidR="00AF1078" w:rsidRPr="00C72D8B">
        <w:rPr>
          <w:sz w:val="26"/>
          <w:szCs w:val="26"/>
        </w:rPr>
        <w:t xml:space="preserve"> for </w:t>
      </w:r>
      <w:r w:rsidR="003A3688" w:rsidRPr="00C72D8B">
        <w:rPr>
          <w:sz w:val="26"/>
          <w:szCs w:val="26"/>
        </w:rPr>
        <w:t>the limited purpose of</w:t>
      </w:r>
      <w:r w:rsidR="001F2B51" w:rsidRPr="00C72D8B">
        <w:rPr>
          <w:sz w:val="26"/>
          <w:szCs w:val="26"/>
        </w:rPr>
        <w:t xml:space="preserve"> indicating that </w:t>
      </w:r>
      <w:r w:rsidR="00646EF6" w:rsidRPr="00C72D8B">
        <w:rPr>
          <w:sz w:val="26"/>
          <w:szCs w:val="26"/>
        </w:rPr>
        <w:t xml:space="preserve">pursuant to our ratemaking </w:t>
      </w:r>
      <w:r w:rsidR="00B874AE" w:rsidRPr="00C72D8B">
        <w:rPr>
          <w:sz w:val="26"/>
          <w:szCs w:val="26"/>
        </w:rPr>
        <w:t xml:space="preserve">authority, </w:t>
      </w:r>
      <w:r w:rsidR="00F62084" w:rsidRPr="00C72D8B">
        <w:rPr>
          <w:sz w:val="26"/>
          <w:szCs w:val="26"/>
        </w:rPr>
        <w:t xml:space="preserve">we have approved, and are authorized to approve, </w:t>
      </w:r>
      <w:r w:rsidR="0098229D" w:rsidRPr="00C72D8B">
        <w:rPr>
          <w:sz w:val="26"/>
          <w:szCs w:val="26"/>
        </w:rPr>
        <w:t xml:space="preserve">during this pandemic, </w:t>
      </w:r>
      <w:r w:rsidR="0081229A" w:rsidRPr="00C72D8B">
        <w:rPr>
          <w:sz w:val="26"/>
          <w:szCs w:val="26"/>
        </w:rPr>
        <w:t>rate increase</w:t>
      </w:r>
      <w:r w:rsidR="00B00742" w:rsidRPr="00C72D8B">
        <w:rPr>
          <w:sz w:val="26"/>
          <w:szCs w:val="26"/>
        </w:rPr>
        <w:t xml:space="preserve"> requests</w:t>
      </w:r>
      <w:r w:rsidR="00F22AAC" w:rsidRPr="00C72D8B">
        <w:rPr>
          <w:sz w:val="26"/>
          <w:szCs w:val="26"/>
        </w:rPr>
        <w:t xml:space="preserve"> that result in just and reasonable rates. </w:t>
      </w:r>
      <w:r w:rsidR="00FF719E" w:rsidRPr="00C72D8B">
        <w:rPr>
          <w:sz w:val="26"/>
          <w:szCs w:val="26"/>
        </w:rPr>
        <w:t xml:space="preserve"> </w:t>
      </w:r>
      <w:r w:rsidR="003D7271" w:rsidRPr="00C72D8B">
        <w:rPr>
          <w:sz w:val="26"/>
          <w:szCs w:val="26"/>
        </w:rPr>
        <w:t xml:space="preserve">We did not rely on </w:t>
      </w:r>
      <w:r w:rsidR="005277AA" w:rsidRPr="00C72D8B">
        <w:rPr>
          <w:sz w:val="26"/>
          <w:szCs w:val="26"/>
        </w:rPr>
        <w:t xml:space="preserve">as precedential </w:t>
      </w:r>
      <w:r w:rsidR="003D7271" w:rsidRPr="00C72D8B">
        <w:rPr>
          <w:sz w:val="26"/>
          <w:szCs w:val="26"/>
        </w:rPr>
        <w:t xml:space="preserve">or cite to any specific </w:t>
      </w:r>
      <w:r w:rsidR="005117A7" w:rsidRPr="00C72D8B">
        <w:rPr>
          <w:sz w:val="26"/>
          <w:szCs w:val="26"/>
        </w:rPr>
        <w:t xml:space="preserve">language or settlement terms in </w:t>
      </w:r>
      <w:r w:rsidR="006527DA" w:rsidRPr="00C72D8B">
        <w:rPr>
          <w:sz w:val="26"/>
          <w:szCs w:val="26"/>
        </w:rPr>
        <w:t xml:space="preserve">the parties’ settlement agreements in the </w:t>
      </w:r>
      <w:r w:rsidR="004A7FC7" w:rsidRPr="00C72D8B">
        <w:rPr>
          <w:i/>
          <w:iCs/>
          <w:sz w:val="26"/>
          <w:szCs w:val="26"/>
        </w:rPr>
        <w:t>Settled Base Rate Case Orders</w:t>
      </w:r>
      <w:r w:rsidR="004A7FC7" w:rsidRPr="00C72D8B">
        <w:rPr>
          <w:sz w:val="26"/>
          <w:szCs w:val="26"/>
        </w:rPr>
        <w:t xml:space="preserve">.  </w:t>
      </w:r>
      <w:r w:rsidR="00FF719E" w:rsidRPr="00C72D8B">
        <w:rPr>
          <w:sz w:val="26"/>
          <w:szCs w:val="26"/>
        </w:rPr>
        <w:t xml:space="preserve">This limited reference to the </w:t>
      </w:r>
      <w:r w:rsidR="00FF719E" w:rsidRPr="00C72D8B">
        <w:rPr>
          <w:i/>
          <w:iCs/>
          <w:sz w:val="26"/>
          <w:szCs w:val="26"/>
        </w:rPr>
        <w:t>Settled Base Rate Case Orders</w:t>
      </w:r>
      <w:r w:rsidR="00FF719E" w:rsidRPr="00C72D8B">
        <w:rPr>
          <w:sz w:val="26"/>
          <w:szCs w:val="26"/>
        </w:rPr>
        <w:t xml:space="preserve"> in a small portion of the </w:t>
      </w:r>
      <w:r w:rsidR="00FF719E" w:rsidRPr="00C72D8B">
        <w:rPr>
          <w:i/>
          <w:iCs/>
          <w:sz w:val="26"/>
          <w:szCs w:val="26"/>
        </w:rPr>
        <w:t>February 2021 Order</w:t>
      </w:r>
      <w:r w:rsidR="003E78FD" w:rsidRPr="00C72D8B">
        <w:rPr>
          <w:sz w:val="26"/>
          <w:szCs w:val="26"/>
        </w:rPr>
        <w:t xml:space="preserve"> d</w:t>
      </w:r>
      <w:r w:rsidR="00A574DE" w:rsidRPr="00C72D8B">
        <w:rPr>
          <w:sz w:val="26"/>
          <w:szCs w:val="26"/>
        </w:rPr>
        <w:t>id</w:t>
      </w:r>
      <w:r w:rsidR="003E78FD" w:rsidRPr="00C72D8B">
        <w:rPr>
          <w:sz w:val="26"/>
          <w:szCs w:val="26"/>
        </w:rPr>
        <w:t xml:space="preserve"> not impact </w:t>
      </w:r>
      <w:r w:rsidR="000622C7" w:rsidRPr="00C72D8B">
        <w:rPr>
          <w:sz w:val="26"/>
          <w:szCs w:val="26"/>
        </w:rPr>
        <w:t xml:space="preserve">or weigh into </w:t>
      </w:r>
      <w:r w:rsidR="003E78FD" w:rsidRPr="00C72D8B">
        <w:rPr>
          <w:sz w:val="26"/>
          <w:szCs w:val="26"/>
        </w:rPr>
        <w:t xml:space="preserve">our </w:t>
      </w:r>
      <w:r w:rsidR="00235D0D" w:rsidRPr="00C72D8B">
        <w:rPr>
          <w:sz w:val="26"/>
          <w:szCs w:val="26"/>
        </w:rPr>
        <w:t>decision to evaluate the Company’s rate increase proposal u</w:t>
      </w:r>
      <w:r w:rsidR="00841FE6" w:rsidRPr="00C72D8B">
        <w:rPr>
          <w:sz w:val="26"/>
          <w:szCs w:val="26"/>
        </w:rPr>
        <w:t>sing</w:t>
      </w:r>
      <w:r w:rsidR="00235D0D" w:rsidRPr="00C72D8B">
        <w:rPr>
          <w:sz w:val="26"/>
          <w:szCs w:val="26"/>
        </w:rPr>
        <w:t xml:space="preserve"> the </w:t>
      </w:r>
      <w:r w:rsidR="0063704D" w:rsidRPr="00C72D8B">
        <w:rPr>
          <w:sz w:val="26"/>
          <w:szCs w:val="26"/>
        </w:rPr>
        <w:t>traditional ratemaking methodologies</w:t>
      </w:r>
      <w:r w:rsidR="00841FE6" w:rsidRPr="00C72D8B">
        <w:rPr>
          <w:sz w:val="26"/>
          <w:szCs w:val="26"/>
        </w:rPr>
        <w:t xml:space="preserve"> or our</w:t>
      </w:r>
      <w:r w:rsidR="0063704D" w:rsidRPr="00C72D8B">
        <w:rPr>
          <w:sz w:val="26"/>
          <w:szCs w:val="26"/>
        </w:rPr>
        <w:t xml:space="preserve"> </w:t>
      </w:r>
      <w:r w:rsidR="008A2489" w:rsidRPr="00C72D8B">
        <w:rPr>
          <w:sz w:val="26"/>
          <w:szCs w:val="26"/>
        </w:rPr>
        <w:t xml:space="preserve">ultimate </w:t>
      </w:r>
      <w:r w:rsidR="003E78FD" w:rsidRPr="00C72D8B">
        <w:rPr>
          <w:sz w:val="26"/>
          <w:szCs w:val="26"/>
        </w:rPr>
        <w:t xml:space="preserve">decision </w:t>
      </w:r>
      <w:r w:rsidR="00CC023D" w:rsidRPr="00C72D8B">
        <w:rPr>
          <w:sz w:val="26"/>
          <w:szCs w:val="26"/>
        </w:rPr>
        <w:t>to grant Columbia a revenue increase.</w:t>
      </w:r>
      <w:r w:rsidR="006A4FA6" w:rsidRPr="00C72D8B">
        <w:rPr>
          <w:sz w:val="26"/>
          <w:szCs w:val="26"/>
        </w:rPr>
        <w:t xml:space="preserve">  </w:t>
      </w:r>
      <w:r w:rsidR="00863430" w:rsidRPr="00C72D8B">
        <w:rPr>
          <w:sz w:val="26"/>
          <w:szCs w:val="26"/>
        </w:rPr>
        <w:t xml:space="preserve">In fact, none of our findings </w:t>
      </w:r>
      <w:r w:rsidR="00E2516A" w:rsidRPr="00C72D8B">
        <w:rPr>
          <w:sz w:val="26"/>
          <w:szCs w:val="26"/>
        </w:rPr>
        <w:t xml:space="preserve">in this proceeding </w:t>
      </w:r>
      <w:r w:rsidR="00863430" w:rsidRPr="00C72D8B">
        <w:rPr>
          <w:sz w:val="26"/>
          <w:szCs w:val="26"/>
        </w:rPr>
        <w:t xml:space="preserve">would change </w:t>
      </w:r>
      <w:r w:rsidR="00E2516A" w:rsidRPr="00C72D8B">
        <w:rPr>
          <w:sz w:val="26"/>
          <w:szCs w:val="26"/>
        </w:rPr>
        <w:t>i</w:t>
      </w:r>
      <w:r w:rsidR="004357CD" w:rsidRPr="00C72D8B">
        <w:rPr>
          <w:sz w:val="26"/>
          <w:szCs w:val="26"/>
        </w:rPr>
        <w:t xml:space="preserve">f </w:t>
      </w:r>
      <w:r w:rsidR="00E2516A" w:rsidRPr="00C72D8B">
        <w:rPr>
          <w:sz w:val="26"/>
          <w:szCs w:val="26"/>
        </w:rPr>
        <w:t xml:space="preserve">this </w:t>
      </w:r>
      <w:r w:rsidR="00A111A2" w:rsidRPr="00C72D8B">
        <w:rPr>
          <w:sz w:val="26"/>
          <w:szCs w:val="26"/>
        </w:rPr>
        <w:t>limited reference</w:t>
      </w:r>
      <w:r w:rsidR="004357CD" w:rsidRPr="00C72D8B">
        <w:rPr>
          <w:sz w:val="26"/>
          <w:szCs w:val="26"/>
        </w:rPr>
        <w:t xml:space="preserve"> to the </w:t>
      </w:r>
      <w:r w:rsidR="004357CD" w:rsidRPr="00C72D8B">
        <w:rPr>
          <w:i/>
          <w:iCs/>
          <w:sz w:val="26"/>
          <w:szCs w:val="26"/>
        </w:rPr>
        <w:t>Settled Base Rate Case Orders</w:t>
      </w:r>
      <w:r w:rsidR="004357CD" w:rsidRPr="00C72D8B">
        <w:rPr>
          <w:sz w:val="26"/>
          <w:szCs w:val="26"/>
        </w:rPr>
        <w:t xml:space="preserve"> </w:t>
      </w:r>
      <w:r w:rsidR="006F3D97" w:rsidRPr="00C72D8B">
        <w:rPr>
          <w:sz w:val="26"/>
          <w:szCs w:val="26"/>
        </w:rPr>
        <w:t xml:space="preserve">had not been included in the </w:t>
      </w:r>
      <w:r w:rsidR="006F3D97" w:rsidRPr="00C72D8B">
        <w:rPr>
          <w:i/>
          <w:iCs/>
          <w:sz w:val="26"/>
          <w:szCs w:val="26"/>
        </w:rPr>
        <w:t>February 2021 Order</w:t>
      </w:r>
      <w:r w:rsidR="00A111A2" w:rsidRPr="00C72D8B">
        <w:rPr>
          <w:sz w:val="26"/>
          <w:szCs w:val="26"/>
        </w:rPr>
        <w:t xml:space="preserve">.  </w:t>
      </w:r>
    </w:p>
    <w:p w14:paraId="654847B5" w14:textId="77777777" w:rsidR="00A111A2" w:rsidRPr="00C72D8B" w:rsidRDefault="00A111A2" w:rsidP="00F26656">
      <w:pPr>
        <w:contextualSpacing/>
        <w:rPr>
          <w:sz w:val="26"/>
          <w:szCs w:val="26"/>
        </w:rPr>
      </w:pPr>
    </w:p>
    <w:p w14:paraId="04E300B2" w14:textId="77C8691E" w:rsidR="00F26656" w:rsidRPr="00C72D8B" w:rsidRDefault="006A4FA6" w:rsidP="00F26656">
      <w:pPr>
        <w:contextualSpacing/>
        <w:rPr>
          <w:b/>
          <w:bCs/>
          <w:sz w:val="26"/>
          <w:szCs w:val="26"/>
        </w:rPr>
      </w:pPr>
      <w:r w:rsidRPr="00C72D8B">
        <w:rPr>
          <w:sz w:val="26"/>
          <w:szCs w:val="26"/>
        </w:rPr>
        <w:t xml:space="preserve">As we stated in the </w:t>
      </w:r>
      <w:r w:rsidRPr="00C72D8B">
        <w:rPr>
          <w:i/>
          <w:iCs/>
          <w:sz w:val="26"/>
          <w:szCs w:val="26"/>
        </w:rPr>
        <w:t>February 2021 Order</w:t>
      </w:r>
      <w:r w:rsidRPr="00C72D8B">
        <w:rPr>
          <w:sz w:val="26"/>
          <w:szCs w:val="26"/>
        </w:rPr>
        <w:t xml:space="preserve">, </w:t>
      </w:r>
      <w:r w:rsidR="0039293D" w:rsidRPr="00C72D8B">
        <w:rPr>
          <w:sz w:val="26"/>
          <w:szCs w:val="26"/>
        </w:rPr>
        <w:t>we reversed the ALJ’s decision to deny Columbia’s rate request in its entirety because</w:t>
      </w:r>
      <w:r w:rsidR="00947E4F" w:rsidRPr="00C72D8B">
        <w:rPr>
          <w:sz w:val="26"/>
          <w:szCs w:val="26"/>
        </w:rPr>
        <w:t>:</w:t>
      </w:r>
      <w:r w:rsidR="0039293D" w:rsidRPr="00C72D8B">
        <w:rPr>
          <w:sz w:val="26"/>
          <w:szCs w:val="26"/>
        </w:rPr>
        <w:t xml:space="preserve"> </w:t>
      </w:r>
      <w:r w:rsidR="00A65C16" w:rsidRPr="00C72D8B">
        <w:rPr>
          <w:sz w:val="26"/>
          <w:szCs w:val="26"/>
        </w:rPr>
        <w:t xml:space="preserve"> </w:t>
      </w:r>
      <w:r w:rsidR="00947E4F" w:rsidRPr="00C72D8B">
        <w:rPr>
          <w:sz w:val="26"/>
          <w:szCs w:val="26"/>
        </w:rPr>
        <w:t xml:space="preserve">(1) the continued use of traditional ratemaking methodologies during the pandemic is consistent with the setting of just and reasonable rates and the constitutional standards established in </w:t>
      </w:r>
      <w:r w:rsidR="00947E4F" w:rsidRPr="00C72D8B">
        <w:rPr>
          <w:i/>
          <w:sz w:val="26"/>
          <w:szCs w:val="26"/>
        </w:rPr>
        <w:t>Bluefield</w:t>
      </w:r>
      <w:r w:rsidR="00947E4F" w:rsidRPr="00C72D8B">
        <w:rPr>
          <w:sz w:val="26"/>
          <w:szCs w:val="26"/>
        </w:rPr>
        <w:t xml:space="preserve"> and </w:t>
      </w:r>
      <w:r w:rsidR="00947E4F" w:rsidRPr="00C72D8B">
        <w:rPr>
          <w:i/>
          <w:sz w:val="26"/>
          <w:szCs w:val="26"/>
        </w:rPr>
        <w:t>Hope Natural Gas</w:t>
      </w:r>
      <w:r w:rsidR="00947E4F" w:rsidRPr="00C72D8B">
        <w:rPr>
          <w:sz w:val="26"/>
          <w:szCs w:val="26"/>
        </w:rPr>
        <w:t>, and the pandemic d</w:t>
      </w:r>
      <w:r w:rsidR="008042B5" w:rsidRPr="00C72D8B">
        <w:rPr>
          <w:sz w:val="26"/>
          <w:szCs w:val="26"/>
        </w:rPr>
        <w:t>id</w:t>
      </w:r>
      <w:r w:rsidR="00947E4F" w:rsidRPr="00C72D8B">
        <w:rPr>
          <w:sz w:val="26"/>
          <w:szCs w:val="26"/>
        </w:rPr>
        <w:t xml:space="preserve"> not change the continued application of these standards; and (2) there was a lack of substantial evidence in the record to support the ALJ’s recommendation to completely deny the Company’s requested rate increase.  </w:t>
      </w:r>
      <w:r w:rsidR="00947E4F" w:rsidRPr="00C72D8B">
        <w:rPr>
          <w:i/>
          <w:iCs/>
          <w:sz w:val="26"/>
          <w:szCs w:val="26"/>
        </w:rPr>
        <w:t>February 2021 Order</w:t>
      </w:r>
      <w:r w:rsidR="00947E4F" w:rsidRPr="00C72D8B">
        <w:rPr>
          <w:sz w:val="26"/>
          <w:szCs w:val="26"/>
        </w:rPr>
        <w:t xml:space="preserve"> at 42</w:t>
      </w:r>
      <w:r w:rsidR="005D6FDD" w:rsidRPr="00C72D8B">
        <w:rPr>
          <w:sz w:val="26"/>
          <w:szCs w:val="26"/>
        </w:rPr>
        <w:t>, 51</w:t>
      </w:r>
      <w:r w:rsidR="00947E4F" w:rsidRPr="00C72D8B">
        <w:rPr>
          <w:sz w:val="26"/>
          <w:szCs w:val="26"/>
        </w:rPr>
        <w:t>.</w:t>
      </w:r>
      <w:r w:rsidR="005D6FDD" w:rsidRPr="00C72D8B">
        <w:rPr>
          <w:sz w:val="26"/>
          <w:szCs w:val="26"/>
        </w:rPr>
        <w:t xml:space="preserve">  </w:t>
      </w:r>
      <w:r w:rsidR="00F26656" w:rsidRPr="00C72D8B">
        <w:rPr>
          <w:sz w:val="26"/>
          <w:szCs w:val="26"/>
        </w:rPr>
        <w:t xml:space="preserve">Having initially reached this conclusion, we then proceeded to review the evidence and arguments </w:t>
      </w:r>
      <w:r w:rsidR="008042B5" w:rsidRPr="00C72D8B">
        <w:rPr>
          <w:sz w:val="26"/>
          <w:szCs w:val="26"/>
        </w:rPr>
        <w:t xml:space="preserve">the Parties </w:t>
      </w:r>
      <w:r w:rsidR="00F26656" w:rsidRPr="00C72D8B">
        <w:rPr>
          <w:sz w:val="26"/>
          <w:szCs w:val="26"/>
        </w:rPr>
        <w:t xml:space="preserve">presented relating to Columbia’s requested revenue increase and in setting just and reasonable rates.  </w:t>
      </w:r>
      <w:r w:rsidR="003526D1" w:rsidRPr="00C72D8B">
        <w:rPr>
          <w:i/>
          <w:iCs/>
          <w:sz w:val="26"/>
          <w:szCs w:val="26"/>
        </w:rPr>
        <w:t>Id</w:t>
      </w:r>
      <w:r w:rsidR="003526D1" w:rsidRPr="00C72D8B">
        <w:rPr>
          <w:sz w:val="26"/>
          <w:szCs w:val="26"/>
        </w:rPr>
        <w:t>. at 54.</w:t>
      </w:r>
      <w:r w:rsidR="00495E5C" w:rsidRPr="00C72D8B">
        <w:rPr>
          <w:sz w:val="26"/>
          <w:szCs w:val="26"/>
        </w:rPr>
        <w:t xml:space="preserve">  </w:t>
      </w:r>
    </w:p>
    <w:p w14:paraId="66B487A9" w14:textId="0AE36789" w:rsidR="00947E4F" w:rsidRPr="00C72D8B" w:rsidRDefault="00947E4F" w:rsidP="00947E4F">
      <w:pPr>
        <w:contextualSpacing/>
        <w:rPr>
          <w:sz w:val="26"/>
          <w:szCs w:val="26"/>
        </w:rPr>
      </w:pPr>
    </w:p>
    <w:p w14:paraId="7FAD9961" w14:textId="4547C416" w:rsidR="00B1070F" w:rsidRPr="00C72D8B" w:rsidRDefault="00E369AD" w:rsidP="00D41417">
      <w:pPr>
        <w:tabs>
          <w:tab w:val="left" w:pos="-720"/>
        </w:tabs>
        <w:suppressAutoHyphens/>
        <w:contextualSpacing/>
        <w:rPr>
          <w:sz w:val="26"/>
          <w:szCs w:val="26"/>
        </w:rPr>
      </w:pPr>
      <w:r w:rsidRPr="00C72D8B">
        <w:rPr>
          <w:sz w:val="26"/>
          <w:szCs w:val="26"/>
        </w:rPr>
        <w:t xml:space="preserve">In reaching our decision </w:t>
      </w:r>
      <w:r w:rsidR="008F2D67" w:rsidRPr="00C72D8B">
        <w:rPr>
          <w:sz w:val="26"/>
          <w:szCs w:val="26"/>
        </w:rPr>
        <w:t xml:space="preserve">to grant Columbia a revenue increase, </w:t>
      </w:r>
      <w:r w:rsidR="003919D4" w:rsidRPr="00C72D8B">
        <w:rPr>
          <w:sz w:val="26"/>
          <w:szCs w:val="26"/>
        </w:rPr>
        <w:t xml:space="preserve">as we have done in prior rate cases, </w:t>
      </w:r>
      <w:r w:rsidR="005C781A" w:rsidRPr="00C72D8B">
        <w:rPr>
          <w:sz w:val="26"/>
          <w:szCs w:val="26"/>
        </w:rPr>
        <w:t xml:space="preserve">we </w:t>
      </w:r>
      <w:r w:rsidR="00F87A2D" w:rsidRPr="00C72D8B">
        <w:rPr>
          <w:sz w:val="26"/>
          <w:szCs w:val="26"/>
        </w:rPr>
        <w:t>considered</w:t>
      </w:r>
      <w:r w:rsidR="00AB0DC1" w:rsidRPr="00C72D8B">
        <w:rPr>
          <w:sz w:val="26"/>
          <w:szCs w:val="26"/>
        </w:rPr>
        <w:t xml:space="preserve"> the proper balance between </w:t>
      </w:r>
      <w:r w:rsidR="00F87A2D" w:rsidRPr="00C72D8B">
        <w:rPr>
          <w:sz w:val="26"/>
          <w:szCs w:val="26"/>
        </w:rPr>
        <w:t xml:space="preserve">the </w:t>
      </w:r>
      <w:r w:rsidR="00AB0DC1" w:rsidRPr="00C72D8B">
        <w:rPr>
          <w:sz w:val="26"/>
          <w:szCs w:val="26"/>
        </w:rPr>
        <w:t>interests of ratepayers and utilities</w:t>
      </w:r>
      <w:r w:rsidR="00F87A2D" w:rsidRPr="00C72D8B">
        <w:rPr>
          <w:sz w:val="26"/>
          <w:szCs w:val="26"/>
        </w:rPr>
        <w:t xml:space="preserve"> as well as the </w:t>
      </w:r>
      <w:r w:rsidR="00AB0DC1" w:rsidRPr="00C72D8B">
        <w:rPr>
          <w:sz w:val="26"/>
          <w:szCs w:val="26"/>
        </w:rPr>
        <w:t>broad public interests in the rate-making process.</w:t>
      </w:r>
      <w:r w:rsidR="00F87A2D" w:rsidRPr="00C72D8B">
        <w:rPr>
          <w:sz w:val="26"/>
          <w:szCs w:val="26"/>
        </w:rPr>
        <w:t xml:space="preserve">  </w:t>
      </w:r>
      <w:r w:rsidR="00012AA6" w:rsidRPr="00C72D8B">
        <w:rPr>
          <w:i/>
          <w:iCs/>
          <w:sz w:val="26"/>
          <w:szCs w:val="26"/>
        </w:rPr>
        <w:t>See</w:t>
      </w:r>
      <w:r w:rsidR="00AB0DC1" w:rsidRPr="00C72D8B">
        <w:rPr>
          <w:sz w:val="26"/>
          <w:szCs w:val="26"/>
        </w:rPr>
        <w:t xml:space="preserve"> </w:t>
      </w:r>
      <w:r w:rsidR="006848D3" w:rsidRPr="00C72D8B">
        <w:rPr>
          <w:i/>
          <w:iCs/>
          <w:sz w:val="26"/>
          <w:szCs w:val="26"/>
        </w:rPr>
        <w:t>Popowsky v. Pa. PUC</w:t>
      </w:r>
      <w:r w:rsidR="006848D3" w:rsidRPr="00C72D8B">
        <w:rPr>
          <w:sz w:val="26"/>
          <w:szCs w:val="26"/>
        </w:rPr>
        <w:t>, 665 A.2d 808, 812 (Pa. 1995)</w:t>
      </w:r>
      <w:r w:rsidR="00AB0DC1" w:rsidRPr="00C72D8B">
        <w:rPr>
          <w:sz w:val="26"/>
          <w:szCs w:val="26"/>
        </w:rPr>
        <w:t>;</w:t>
      </w:r>
      <w:r w:rsidR="00AB0DC1" w:rsidRPr="00C72D8B">
        <w:rPr>
          <w:i/>
          <w:iCs/>
          <w:sz w:val="26"/>
          <w:szCs w:val="26"/>
        </w:rPr>
        <w:t xml:space="preserve"> Hope Natural Ga</w:t>
      </w:r>
      <w:r w:rsidR="00AB0DC1" w:rsidRPr="00C72D8B">
        <w:rPr>
          <w:sz w:val="26"/>
          <w:szCs w:val="26"/>
        </w:rPr>
        <w:t>s, 320 U.S. at 603 (the “fixing of ‘just and reasonable’ rates involves a balancing of the investor and the consumer interests”).</w:t>
      </w:r>
      <w:r w:rsidR="00A41636" w:rsidRPr="00C72D8B">
        <w:rPr>
          <w:sz w:val="26"/>
          <w:szCs w:val="26"/>
        </w:rPr>
        <w:t xml:space="preserve">  </w:t>
      </w:r>
      <w:r w:rsidR="00BB0814" w:rsidRPr="00C72D8B">
        <w:rPr>
          <w:sz w:val="26"/>
          <w:szCs w:val="26"/>
        </w:rPr>
        <w:t>We stated</w:t>
      </w:r>
      <w:r w:rsidR="00B1070F" w:rsidRPr="00C72D8B">
        <w:rPr>
          <w:sz w:val="26"/>
          <w:szCs w:val="26"/>
        </w:rPr>
        <w:t xml:space="preserve">, </w:t>
      </w:r>
    </w:p>
    <w:p w14:paraId="17D3E81D" w14:textId="77777777" w:rsidR="00B1070F" w:rsidRPr="00C72D8B" w:rsidRDefault="00B1070F" w:rsidP="001A0BBA">
      <w:pPr>
        <w:tabs>
          <w:tab w:val="left" w:pos="-720"/>
        </w:tabs>
        <w:suppressAutoHyphens/>
        <w:spacing w:line="240" w:lineRule="auto"/>
        <w:contextualSpacing/>
        <w:rPr>
          <w:sz w:val="26"/>
          <w:szCs w:val="26"/>
        </w:rPr>
      </w:pPr>
    </w:p>
    <w:p w14:paraId="700E5C28" w14:textId="77777777" w:rsidR="00EE2A73" w:rsidRPr="00C72D8B" w:rsidRDefault="002B1188" w:rsidP="00BD5E57">
      <w:pPr>
        <w:tabs>
          <w:tab w:val="left" w:pos="-720"/>
        </w:tabs>
        <w:suppressAutoHyphens/>
        <w:spacing w:line="240" w:lineRule="auto"/>
        <w:ind w:left="1440" w:right="1440" w:firstLine="0"/>
        <w:contextualSpacing/>
        <w:rPr>
          <w:sz w:val="26"/>
          <w:szCs w:val="26"/>
        </w:rPr>
      </w:pPr>
      <w:r w:rsidRPr="00C72D8B">
        <w:rPr>
          <w:sz w:val="26"/>
          <w:szCs w:val="26"/>
        </w:rPr>
        <w:t>Indeed, in our opinion, the applicable legal standards that require the Commission to balance between the interests of the utility’s customers, investors, and the public interest, require the Commission, by necessary implication, to weigh evidence or unique considerations related to changes in service, market forces, and the economy.  Thus, it is our responsibility under the applicable legal and constitutional standards to weigh evidence and unique considerations related to the COVID-19 pandemic in setting just and reasonable rates, and our continued use of traditional ratemaking methodologies permit our consideration of important ratemaking principles, like gradualism and rate affordability, in relation to this pandemic.</w:t>
      </w:r>
    </w:p>
    <w:p w14:paraId="7758151E" w14:textId="77777777" w:rsidR="00EE2A73" w:rsidRPr="00C72D8B" w:rsidRDefault="00EE2A73" w:rsidP="00D41417">
      <w:pPr>
        <w:tabs>
          <w:tab w:val="left" w:pos="-720"/>
        </w:tabs>
        <w:suppressAutoHyphens/>
        <w:contextualSpacing/>
        <w:rPr>
          <w:sz w:val="26"/>
          <w:szCs w:val="26"/>
        </w:rPr>
      </w:pPr>
    </w:p>
    <w:p w14:paraId="621EEFB1" w14:textId="4FAB43CA" w:rsidR="00480EB3" w:rsidRPr="00C72D8B" w:rsidRDefault="0070591E" w:rsidP="00480EB3">
      <w:pPr>
        <w:tabs>
          <w:tab w:val="left" w:pos="-720"/>
        </w:tabs>
        <w:suppressAutoHyphens/>
        <w:ind w:firstLine="0"/>
        <w:contextualSpacing/>
        <w:rPr>
          <w:sz w:val="26"/>
          <w:szCs w:val="26"/>
        </w:rPr>
      </w:pPr>
      <w:r w:rsidRPr="00C72D8B">
        <w:rPr>
          <w:i/>
          <w:iCs/>
          <w:sz w:val="26"/>
          <w:szCs w:val="26"/>
        </w:rPr>
        <w:t>February 2021 Order</w:t>
      </w:r>
      <w:r w:rsidRPr="00C72D8B">
        <w:rPr>
          <w:sz w:val="26"/>
          <w:szCs w:val="26"/>
        </w:rPr>
        <w:t xml:space="preserve"> at 48.  </w:t>
      </w:r>
    </w:p>
    <w:p w14:paraId="02D29874" w14:textId="77777777" w:rsidR="00480EB3" w:rsidRPr="00C72D8B" w:rsidRDefault="00480EB3" w:rsidP="00D41417">
      <w:pPr>
        <w:tabs>
          <w:tab w:val="left" w:pos="-720"/>
        </w:tabs>
        <w:suppressAutoHyphens/>
        <w:contextualSpacing/>
        <w:rPr>
          <w:sz w:val="26"/>
          <w:szCs w:val="26"/>
        </w:rPr>
      </w:pPr>
    </w:p>
    <w:p w14:paraId="51CE3B5C" w14:textId="6D3A66B7" w:rsidR="00CB02B2" w:rsidRPr="00C72D8B" w:rsidRDefault="00533C3D" w:rsidP="00D41417">
      <w:pPr>
        <w:tabs>
          <w:tab w:val="left" w:pos="-720"/>
        </w:tabs>
        <w:suppressAutoHyphens/>
        <w:contextualSpacing/>
        <w:rPr>
          <w:sz w:val="26"/>
          <w:szCs w:val="26"/>
        </w:rPr>
      </w:pPr>
      <w:r w:rsidRPr="00C72D8B">
        <w:rPr>
          <w:sz w:val="26"/>
          <w:szCs w:val="26"/>
        </w:rPr>
        <w:t xml:space="preserve">In </w:t>
      </w:r>
      <w:r w:rsidR="0070591E" w:rsidRPr="00C72D8B">
        <w:rPr>
          <w:sz w:val="26"/>
          <w:szCs w:val="26"/>
        </w:rPr>
        <w:t xml:space="preserve">evaluating the evidence </w:t>
      </w:r>
      <w:r w:rsidR="00500CBE" w:rsidRPr="00C72D8B">
        <w:rPr>
          <w:sz w:val="26"/>
          <w:szCs w:val="26"/>
        </w:rPr>
        <w:t xml:space="preserve">in this proceeding </w:t>
      </w:r>
      <w:r w:rsidR="00A658F5" w:rsidRPr="00C72D8B">
        <w:rPr>
          <w:sz w:val="26"/>
          <w:szCs w:val="26"/>
        </w:rPr>
        <w:t>consistent with these legal principles,</w:t>
      </w:r>
      <w:r w:rsidRPr="00C72D8B">
        <w:rPr>
          <w:sz w:val="26"/>
          <w:szCs w:val="26"/>
        </w:rPr>
        <w:t xml:space="preserve"> we, </w:t>
      </w:r>
      <w:r w:rsidRPr="00C72D8B">
        <w:rPr>
          <w:i/>
          <w:iCs/>
          <w:sz w:val="26"/>
          <w:szCs w:val="26"/>
        </w:rPr>
        <w:t>inter alia</w:t>
      </w:r>
      <w:r w:rsidRPr="00C72D8B">
        <w:rPr>
          <w:sz w:val="26"/>
          <w:szCs w:val="26"/>
        </w:rPr>
        <w:t xml:space="preserve">, </w:t>
      </w:r>
      <w:r w:rsidR="00A82886" w:rsidRPr="00C72D8B">
        <w:rPr>
          <w:sz w:val="26"/>
          <w:szCs w:val="26"/>
        </w:rPr>
        <w:t xml:space="preserve">granted a smaller overall rate increase than the Company requested, selected a lower rate of return than the Company originally proposed, eliminated certain projected expenses and capital spending from the Company’s claim, and made various directives concerning </w:t>
      </w:r>
      <w:r w:rsidR="008B1751" w:rsidRPr="00C72D8B">
        <w:rPr>
          <w:sz w:val="26"/>
          <w:szCs w:val="26"/>
        </w:rPr>
        <w:t xml:space="preserve">improvements to the Company’s </w:t>
      </w:r>
      <w:r w:rsidR="00A82886" w:rsidRPr="00C72D8B">
        <w:rPr>
          <w:sz w:val="26"/>
          <w:szCs w:val="26"/>
        </w:rPr>
        <w:t xml:space="preserve">low-income programs.  </w:t>
      </w:r>
      <w:r w:rsidR="00500CBE" w:rsidRPr="00C72D8B">
        <w:rPr>
          <w:i/>
          <w:iCs/>
          <w:sz w:val="26"/>
          <w:szCs w:val="26"/>
        </w:rPr>
        <w:t>Id</w:t>
      </w:r>
      <w:r w:rsidR="00500CBE" w:rsidRPr="00C72D8B">
        <w:rPr>
          <w:sz w:val="26"/>
          <w:szCs w:val="26"/>
        </w:rPr>
        <w:t>.</w:t>
      </w:r>
      <w:r w:rsidR="00A82886" w:rsidRPr="00C72D8B">
        <w:rPr>
          <w:i/>
          <w:iCs/>
          <w:sz w:val="26"/>
          <w:szCs w:val="26"/>
        </w:rPr>
        <w:t xml:space="preserve"> </w:t>
      </w:r>
      <w:r w:rsidR="00A82886" w:rsidRPr="00C72D8B">
        <w:rPr>
          <w:sz w:val="26"/>
          <w:szCs w:val="26"/>
        </w:rPr>
        <w:t>at 61, 71-72, 82, 97, 141, 143, 144-77.</w:t>
      </w:r>
      <w:r w:rsidR="00F961FC" w:rsidRPr="00C72D8B">
        <w:rPr>
          <w:sz w:val="26"/>
          <w:szCs w:val="26"/>
        </w:rPr>
        <w:t xml:space="preserve">  Our </w:t>
      </w:r>
      <w:r w:rsidR="00B80F11" w:rsidRPr="00C72D8B">
        <w:rPr>
          <w:sz w:val="26"/>
          <w:szCs w:val="26"/>
        </w:rPr>
        <w:t xml:space="preserve">decisions in this proceeding were based on whether Columbia satisfied its burden of proof to </w:t>
      </w:r>
      <w:r w:rsidR="003753B9" w:rsidRPr="00C72D8B">
        <w:rPr>
          <w:rFonts w:eastAsiaTheme="minorHAnsi"/>
          <w:sz w:val="26"/>
          <w:szCs w:val="26"/>
        </w:rPr>
        <w:t>establish the justness and reasonableness of e</w:t>
      </w:r>
      <w:r w:rsidR="00D41417" w:rsidRPr="00C72D8B">
        <w:rPr>
          <w:rFonts w:eastAsiaTheme="minorHAnsi"/>
          <w:sz w:val="26"/>
          <w:szCs w:val="26"/>
        </w:rPr>
        <w:t>ach</w:t>
      </w:r>
      <w:r w:rsidR="003753B9" w:rsidRPr="00C72D8B">
        <w:rPr>
          <w:rFonts w:eastAsiaTheme="minorHAnsi"/>
          <w:sz w:val="26"/>
          <w:szCs w:val="26"/>
        </w:rPr>
        <w:t xml:space="preserve"> element of </w:t>
      </w:r>
      <w:r w:rsidR="00D41417" w:rsidRPr="00C72D8B">
        <w:rPr>
          <w:rFonts w:eastAsiaTheme="minorHAnsi"/>
          <w:sz w:val="26"/>
          <w:szCs w:val="26"/>
        </w:rPr>
        <w:t>its</w:t>
      </w:r>
      <w:r w:rsidR="003753B9" w:rsidRPr="00C72D8B">
        <w:rPr>
          <w:rFonts w:eastAsiaTheme="minorHAnsi"/>
          <w:sz w:val="26"/>
          <w:szCs w:val="26"/>
        </w:rPr>
        <w:t xml:space="preserve"> rate increase request </w:t>
      </w:r>
      <w:r w:rsidR="00D23577" w:rsidRPr="00C72D8B">
        <w:rPr>
          <w:rFonts w:eastAsiaTheme="minorHAnsi"/>
          <w:sz w:val="26"/>
          <w:szCs w:val="26"/>
        </w:rPr>
        <w:t xml:space="preserve">and </w:t>
      </w:r>
      <w:r w:rsidR="00405764" w:rsidRPr="00C72D8B">
        <w:rPr>
          <w:rFonts w:eastAsiaTheme="minorHAnsi"/>
          <w:sz w:val="26"/>
          <w:szCs w:val="26"/>
        </w:rPr>
        <w:t xml:space="preserve">on </w:t>
      </w:r>
      <w:r w:rsidR="005968F3" w:rsidRPr="00C72D8B">
        <w:rPr>
          <w:rFonts w:eastAsiaTheme="minorHAnsi"/>
          <w:sz w:val="26"/>
          <w:szCs w:val="26"/>
        </w:rPr>
        <w:t>ensuring that each decision was supported by</w:t>
      </w:r>
      <w:r w:rsidR="00D23577" w:rsidRPr="00C72D8B">
        <w:rPr>
          <w:rFonts w:eastAsiaTheme="minorHAnsi"/>
          <w:sz w:val="26"/>
          <w:szCs w:val="26"/>
        </w:rPr>
        <w:t xml:space="preserve"> subst</w:t>
      </w:r>
      <w:r w:rsidR="005968F3" w:rsidRPr="00C72D8B">
        <w:rPr>
          <w:rFonts w:eastAsiaTheme="minorHAnsi"/>
          <w:sz w:val="26"/>
          <w:szCs w:val="26"/>
        </w:rPr>
        <w:t xml:space="preserve">antial evidence in the record.  </w:t>
      </w:r>
      <w:r w:rsidR="00017489" w:rsidRPr="00C72D8B">
        <w:rPr>
          <w:rFonts w:eastAsiaTheme="minorHAnsi"/>
          <w:sz w:val="26"/>
          <w:szCs w:val="26"/>
        </w:rPr>
        <w:t xml:space="preserve">Our determinations were not based on </w:t>
      </w:r>
      <w:r w:rsidR="00277C46" w:rsidRPr="00C72D8B">
        <w:rPr>
          <w:rFonts w:eastAsiaTheme="minorHAnsi"/>
          <w:sz w:val="26"/>
          <w:szCs w:val="26"/>
        </w:rPr>
        <w:t xml:space="preserve">the settlements in the </w:t>
      </w:r>
      <w:r w:rsidR="00277C46" w:rsidRPr="00C72D8B">
        <w:rPr>
          <w:rFonts w:eastAsiaTheme="minorHAnsi"/>
          <w:i/>
          <w:iCs/>
          <w:sz w:val="26"/>
          <w:szCs w:val="26"/>
        </w:rPr>
        <w:t>Base Rate Case Orders</w:t>
      </w:r>
      <w:r w:rsidR="00277C46" w:rsidRPr="00C72D8B">
        <w:rPr>
          <w:rFonts w:eastAsiaTheme="minorHAnsi"/>
          <w:sz w:val="26"/>
          <w:szCs w:val="26"/>
        </w:rPr>
        <w:t xml:space="preserve">.  </w:t>
      </w:r>
      <w:r w:rsidR="001A2C74" w:rsidRPr="00C72D8B">
        <w:rPr>
          <w:rFonts w:eastAsiaTheme="minorHAnsi"/>
          <w:sz w:val="26"/>
          <w:szCs w:val="26"/>
        </w:rPr>
        <w:t xml:space="preserve">For </w:t>
      </w:r>
      <w:proofErr w:type="gramStart"/>
      <w:r w:rsidR="001A2C74" w:rsidRPr="00C72D8B">
        <w:rPr>
          <w:rFonts w:eastAsiaTheme="minorHAnsi"/>
          <w:sz w:val="26"/>
          <w:szCs w:val="26"/>
        </w:rPr>
        <w:t>all of</w:t>
      </w:r>
      <w:proofErr w:type="gramEnd"/>
      <w:r w:rsidR="001A2C74" w:rsidRPr="00C72D8B">
        <w:rPr>
          <w:rFonts w:eastAsiaTheme="minorHAnsi"/>
          <w:sz w:val="26"/>
          <w:szCs w:val="26"/>
        </w:rPr>
        <w:t xml:space="preserve"> these reasons, we shall deny the OCA’s Petition.  </w:t>
      </w:r>
    </w:p>
    <w:p w14:paraId="75F70A08" w14:textId="4FEBA194" w:rsidR="00962F70" w:rsidRPr="00C72D8B" w:rsidRDefault="00962F70" w:rsidP="00A74449">
      <w:pPr>
        <w:ind w:firstLine="0"/>
        <w:contextualSpacing/>
        <w:rPr>
          <w:sz w:val="26"/>
          <w:szCs w:val="26"/>
        </w:rPr>
      </w:pPr>
    </w:p>
    <w:p w14:paraId="027541E2" w14:textId="61C8BCCD" w:rsidR="008949FE" w:rsidRPr="00C72D8B" w:rsidRDefault="008949FE" w:rsidP="00D46140">
      <w:pPr>
        <w:ind w:firstLine="0"/>
        <w:contextualSpacing/>
        <w:jc w:val="center"/>
        <w:rPr>
          <w:rFonts w:eastAsia="Calibri"/>
          <w:b/>
          <w:sz w:val="26"/>
          <w:szCs w:val="26"/>
        </w:rPr>
      </w:pPr>
      <w:r w:rsidRPr="00C72D8B">
        <w:rPr>
          <w:rFonts w:eastAsia="Calibri"/>
          <w:b/>
          <w:sz w:val="26"/>
          <w:szCs w:val="26"/>
        </w:rPr>
        <w:t>I</w:t>
      </w:r>
      <w:r w:rsidR="00D46140" w:rsidRPr="00C72D8B">
        <w:rPr>
          <w:rFonts w:eastAsia="Calibri"/>
          <w:b/>
          <w:sz w:val="26"/>
          <w:szCs w:val="26"/>
        </w:rPr>
        <w:t>II</w:t>
      </w:r>
      <w:r w:rsidRPr="00C72D8B">
        <w:rPr>
          <w:rFonts w:eastAsia="Calibri"/>
          <w:b/>
          <w:sz w:val="26"/>
          <w:szCs w:val="26"/>
        </w:rPr>
        <w:t>.</w:t>
      </w:r>
      <w:r w:rsidRPr="00C72D8B">
        <w:rPr>
          <w:rFonts w:eastAsia="Calibri"/>
          <w:b/>
          <w:sz w:val="26"/>
          <w:szCs w:val="26"/>
        </w:rPr>
        <w:tab/>
        <w:t>Conclusion</w:t>
      </w:r>
    </w:p>
    <w:p w14:paraId="676D2E47" w14:textId="77777777" w:rsidR="008949FE" w:rsidRPr="00C72D8B" w:rsidRDefault="008949FE" w:rsidP="008949FE">
      <w:pPr>
        <w:keepNext/>
        <w:keepLines/>
        <w:ind w:firstLine="0"/>
        <w:rPr>
          <w:rFonts w:eastAsia="Calibri"/>
          <w:sz w:val="26"/>
          <w:szCs w:val="26"/>
        </w:rPr>
      </w:pPr>
    </w:p>
    <w:p w14:paraId="1143D285" w14:textId="73317B74" w:rsidR="008949FE" w:rsidRPr="00C72D8B" w:rsidRDefault="008949FE" w:rsidP="008949FE">
      <w:pPr>
        <w:keepNext/>
        <w:ind w:firstLine="0"/>
        <w:rPr>
          <w:rFonts w:eastAsia="Calibri"/>
          <w:sz w:val="26"/>
          <w:szCs w:val="26"/>
        </w:rPr>
      </w:pPr>
      <w:r w:rsidRPr="00C72D8B">
        <w:rPr>
          <w:rFonts w:eastAsia="Calibri"/>
          <w:sz w:val="26"/>
          <w:szCs w:val="26"/>
        </w:rPr>
        <w:tab/>
      </w:r>
      <w:r w:rsidRPr="00C72D8B">
        <w:rPr>
          <w:rFonts w:eastAsia="Calibri"/>
          <w:sz w:val="26"/>
          <w:szCs w:val="26"/>
        </w:rPr>
        <w:tab/>
        <w:t xml:space="preserve">Based on our review of the record, the Parties’ positions, and the applicable law, we shall deny the </w:t>
      </w:r>
      <w:r w:rsidR="001D03FD" w:rsidRPr="00C72D8B">
        <w:rPr>
          <w:rFonts w:eastAsia="Calibri"/>
          <w:sz w:val="26"/>
          <w:szCs w:val="26"/>
        </w:rPr>
        <w:t>OCA’s</w:t>
      </w:r>
      <w:r w:rsidRPr="00C72D8B">
        <w:rPr>
          <w:rFonts w:eastAsia="Calibri"/>
          <w:sz w:val="26"/>
          <w:szCs w:val="26"/>
        </w:rPr>
        <w:t xml:space="preserve"> Petition</w:t>
      </w:r>
      <w:r w:rsidRPr="00C72D8B">
        <w:rPr>
          <w:sz w:val="26"/>
          <w:szCs w:val="26"/>
        </w:rPr>
        <w:t xml:space="preserve"> which seeks the following relief:</w:t>
      </w:r>
      <w:r w:rsidR="00F17D09" w:rsidRPr="00C72D8B">
        <w:rPr>
          <w:sz w:val="26"/>
          <w:szCs w:val="26"/>
        </w:rPr>
        <w:t xml:space="preserve"> </w:t>
      </w:r>
      <w:r w:rsidRPr="00C72D8B">
        <w:rPr>
          <w:sz w:val="26"/>
          <w:szCs w:val="26"/>
        </w:rPr>
        <w:t xml:space="preserve"> </w:t>
      </w:r>
      <w:r w:rsidR="001D1836" w:rsidRPr="00C72D8B">
        <w:rPr>
          <w:sz w:val="26"/>
          <w:szCs w:val="26"/>
        </w:rPr>
        <w:t>(1)</w:t>
      </w:r>
      <w:r w:rsidR="00C72D8B" w:rsidRPr="00C72D8B">
        <w:rPr>
          <w:sz w:val="26"/>
          <w:szCs w:val="26"/>
        </w:rPr>
        <w:t> </w:t>
      </w:r>
      <w:r w:rsidR="005724FD" w:rsidRPr="00C72D8B">
        <w:rPr>
          <w:sz w:val="26"/>
          <w:szCs w:val="26"/>
        </w:rPr>
        <w:t>r</w:t>
      </w:r>
      <w:r w:rsidR="00A522BE" w:rsidRPr="00C72D8B">
        <w:rPr>
          <w:sz w:val="26"/>
          <w:szCs w:val="26"/>
        </w:rPr>
        <w:t>econsider</w:t>
      </w:r>
      <w:r w:rsidR="005724FD" w:rsidRPr="00C72D8B">
        <w:rPr>
          <w:sz w:val="26"/>
          <w:szCs w:val="26"/>
        </w:rPr>
        <w:t>ation</w:t>
      </w:r>
      <w:r w:rsidR="00A522BE" w:rsidRPr="00C72D8B">
        <w:rPr>
          <w:sz w:val="26"/>
          <w:szCs w:val="26"/>
        </w:rPr>
        <w:t xml:space="preserve"> and amend</w:t>
      </w:r>
      <w:r w:rsidR="005724FD" w:rsidRPr="00C72D8B">
        <w:rPr>
          <w:sz w:val="26"/>
          <w:szCs w:val="26"/>
        </w:rPr>
        <w:t>ment of</w:t>
      </w:r>
      <w:r w:rsidR="00A522BE" w:rsidRPr="00C72D8B">
        <w:rPr>
          <w:sz w:val="26"/>
          <w:szCs w:val="26"/>
        </w:rPr>
        <w:t xml:space="preserve"> the </w:t>
      </w:r>
      <w:r w:rsidR="00A522BE" w:rsidRPr="00C72D8B">
        <w:rPr>
          <w:i/>
          <w:iCs/>
          <w:sz w:val="26"/>
          <w:szCs w:val="26"/>
        </w:rPr>
        <w:t>February 2021 Order</w:t>
      </w:r>
      <w:r w:rsidR="00A522BE" w:rsidRPr="00C72D8B">
        <w:rPr>
          <w:sz w:val="26"/>
          <w:szCs w:val="26"/>
        </w:rPr>
        <w:t xml:space="preserve"> and remov</w:t>
      </w:r>
      <w:r w:rsidR="00565C3D" w:rsidRPr="00C72D8B">
        <w:rPr>
          <w:sz w:val="26"/>
          <w:szCs w:val="26"/>
        </w:rPr>
        <w:t>al of</w:t>
      </w:r>
      <w:r w:rsidR="00A522BE" w:rsidRPr="00C72D8B">
        <w:rPr>
          <w:sz w:val="26"/>
          <w:szCs w:val="26"/>
        </w:rPr>
        <w:t xml:space="preserve"> any reference to or reliance on the settlements approved in the </w:t>
      </w:r>
      <w:r w:rsidR="00A522BE" w:rsidRPr="00C72D8B">
        <w:rPr>
          <w:i/>
          <w:iCs/>
          <w:sz w:val="26"/>
          <w:szCs w:val="26"/>
        </w:rPr>
        <w:t>Settled Base Rate Case Orders</w:t>
      </w:r>
      <w:r w:rsidR="00A522BE" w:rsidRPr="00C72D8B">
        <w:rPr>
          <w:sz w:val="26"/>
          <w:szCs w:val="26"/>
        </w:rPr>
        <w:t>, and (2) reconsider</w:t>
      </w:r>
      <w:r w:rsidR="00565C3D" w:rsidRPr="00C72D8B">
        <w:rPr>
          <w:sz w:val="26"/>
          <w:szCs w:val="26"/>
        </w:rPr>
        <w:t>ation of</w:t>
      </w:r>
      <w:r w:rsidR="00A522BE" w:rsidRPr="00C72D8B">
        <w:rPr>
          <w:sz w:val="26"/>
          <w:szCs w:val="26"/>
        </w:rPr>
        <w:t xml:space="preserve"> the remaining evidence relating to </w:t>
      </w:r>
      <w:r w:rsidR="005B5FB4" w:rsidRPr="00C72D8B">
        <w:rPr>
          <w:sz w:val="26"/>
          <w:szCs w:val="26"/>
        </w:rPr>
        <w:t>the</w:t>
      </w:r>
      <w:r w:rsidR="00A522BE" w:rsidRPr="00C72D8B">
        <w:rPr>
          <w:sz w:val="26"/>
          <w:szCs w:val="26"/>
        </w:rPr>
        <w:t xml:space="preserve"> decision to grant Columbia a revenue increase</w:t>
      </w:r>
      <w:r w:rsidR="005B5FB4" w:rsidRPr="00C72D8B">
        <w:rPr>
          <w:sz w:val="26"/>
          <w:szCs w:val="26"/>
        </w:rPr>
        <w:t>;</w:t>
      </w:r>
      <w:r w:rsidR="00585DA7" w:rsidRPr="00C72D8B">
        <w:rPr>
          <w:sz w:val="26"/>
          <w:szCs w:val="26"/>
        </w:rPr>
        <w:t xml:space="preserve"> </w:t>
      </w:r>
      <w:r w:rsidRPr="00C72D8B">
        <w:rPr>
          <w:rFonts w:eastAsia="Calibri"/>
          <w:b/>
          <w:sz w:val="26"/>
          <w:szCs w:val="26"/>
        </w:rPr>
        <w:t>THEREFORE,</w:t>
      </w:r>
    </w:p>
    <w:p w14:paraId="71EFFBF9" w14:textId="77777777" w:rsidR="008949FE" w:rsidRPr="00C72D8B" w:rsidRDefault="008949FE" w:rsidP="008949FE">
      <w:pPr>
        <w:ind w:firstLine="0"/>
        <w:rPr>
          <w:rFonts w:eastAsia="Calibri"/>
          <w:sz w:val="26"/>
          <w:szCs w:val="26"/>
        </w:rPr>
      </w:pPr>
    </w:p>
    <w:p w14:paraId="1EA2807C" w14:textId="77777777" w:rsidR="008949FE" w:rsidRPr="00C72D8B" w:rsidRDefault="008949FE" w:rsidP="008949FE">
      <w:pPr>
        <w:keepNext/>
        <w:keepLines/>
        <w:ind w:firstLine="0"/>
        <w:rPr>
          <w:rFonts w:eastAsia="Calibri"/>
          <w:b/>
          <w:sz w:val="26"/>
          <w:szCs w:val="26"/>
        </w:rPr>
      </w:pPr>
      <w:r w:rsidRPr="00C72D8B">
        <w:rPr>
          <w:rFonts w:eastAsia="Calibri"/>
          <w:b/>
          <w:sz w:val="26"/>
          <w:szCs w:val="26"/>
        </w:rPr>
        <w:tab/>
      </w:r>
      <w:r w:rsidRPr="00C72D8B">
        <w:rPr>
          <w:rFonts w:eastAsia="Calibri"/>
          <w:b/>
          <w:sz w:val="26"/>
          <w:szCs w:val="26"/>
        </w:rPr>
        <w:tab/>
        <w:t>IT IS ORDERED:</w:t>
      </w:r>
    </w:p>
    <w:p w14:paraId="5B27E6CB" w14:textId="77777777" w:rsidR="008949FE" w:rsidRPr="00C72D8B" w:rsidRDefault="008949FE" w:rsidP="008949FE">
      <w:pPr>
        <w:keepNext/>
        <w:keepLines/>
        <w:ind w:firstLine="0"/>
        <w:rPr>
          <w:rFonts w:eastAsia="Calibri"/>
          <w:b/>
          <w:sz w:val="26"/>
          <w:szCs w:val="26"/>
        </w:rPr>
      </w:pPr>
    </w:p>
    <w:p w14:paraId="24CDDA1B" w14:textId="5C062CB4" w:rsidR="008949FE" w:rsidRPr="00C72D8B" w:rsidRDefault="008949FE" w:rsidP="008949FE">
      <w:pPr>
        <w:keepNext/>
        <w:keepLines/>
        <w:ind w:firstLine="0"/>
        <w:rPr>
          <w:rFonts w:eastAsia="Calibri"/>
          <w:sz w:val="26"/>
          <w:szCs w:val="26"/>
        </w:rPr>
      </w:pPr>
      <w:r w:rsidRPr="00C72D8B">
        <w:rPr>
          <w:rFonts w:eastAsia="Calibri"/>
          <w:sz w:val="26"/>
          <w:szCs w:val="26"/>
        </w:rPr>
        <w:tab/>
      </w:r>
      <w:r w:rsidRPr="00C72D8B">
        <w:rPr>
          <w:rFonts w:eastAsia="Calibri"/>
          <w:sz w:val="26"/>
          <w:szCs w:val="26"/>
        </w:rPr>
        <w:tab/>
        <w:t xml:space="preserve">That </w:t>
      </w:r>
      <w:r w:rsidRPr="00C72D8B">
        <w:rPr>
          <w:sz w:val="26"/>
          <w:szCs w:val="26"/>
        </w:rPr>
        <w:t xml:space="preserve">the </w:t>
      </w:r>
      <w:r w:rsidR="00FB6AB1" w:rsidRPr="00C72D8B">
        <w:rPr>
          <w:sz w:val="26"/>
          <w:szCs w:val="26"/>
        </w:rPr>
        <w:t>Petition for Reconsideration filed by the Office of Consumer Advocate on March 8, 2021</w:t>
      </w:r>
      <w:r w:rsidR="001D03FD" w:rsidRPr="00C72D8B">
        <w:rPr>
          <w:sz w:val="26"/>
          <w:szCs w:val="26"/>
        </w:rPr>
        <w:t>,</w:t>
      </w:r>
      <w:r w:rsidRPr="00C72D8B">
        <w:rPr>
          <w:sz w:val="26"/>
          <w:szCs w:val="26"/>
        </w:rPr>
        <w:t xml:space="preserve"> </w:t>
      </w:r>
      <w:r w:rsidRPr="00C72D8B">
        <w:rPr>
          <w:rFonts w:eastAsia="Calibri"/>
          <w:sz w:val="26"/>
          <w:szCs w:val="26"/>
        </w:rPr>
        <w:t>is denied, consistent with the discussion in this Opinion and Order.</w:t>
      </w:r>
    </w:p>
    <w:p w14:paraId="7955AF53" w14:textId="39ED9F4B" w:rsidR="006736DA" w:rsidRPr="00C72D8B" w:rsidRDefault="006736DA" w:rsidP="00D021F5">
      <w:pPr>
        <w:spacing w:line="240" w:lineRule="auto"/>
        <w:ind w:firstLine="5040"/>
        <w:rPr>
          <w:sz w:val="26"/>
          <w:szCs w:val="26"/>
        </w:rPr>
      </w:pPr>
      <w:r w:rsidRPr="00C72D8B">
        <w:rPr>
          <w:b/>
          <w:sz w:val="26"/>
          <w:szCs w:val="26"/>
        </w:rPr>
        <w:t>BY THE COMMISSION,</w:t>
      </w:r>
    </w:p>
    <w:p w14:paraId="673407EC" w14:textId="60463AD5" w:rsidR="006736DA" w:rsidRPr="00C72D8B" w:rsidRDefault="00D36F64" w:rsidP="00D021F5">
      <w:pPr>
        <w:tabs>
          <w:tab w:val="left" w:pos="6045"/>
        </w:tabs>
        <w:spacing w:line="240" w:lineRule="auto"/>
        <w:ind w:firstLine="5040"/>
        <w:rPr>
          <w:sz w:val="26"/>
          <w:szCs w:val="26"/>
        </w:rPr>
      </w:pPr>
      <w:r>
        <w:rPr>
          <w:rFonts w:ascii="Arial" w:hAnsi="Arial" w:cs="Arial"/>
          <w:noProof/>
        </w:rPr>
        <w:drawing>
          <wp:anchor distT="0" distB="0" distL="114300" distR="114300" simplePos="0" relativeHeight="251659264" behindDoc="1" locked="0" layoutInCell="1" allowOverlap="1" wp14:anchorId="68A0B104" wp14:editId="0D56103D">
            <wp:simplePos x="0" y="0"/>
            <wp:positionH relativeFrom="margin">
              <wp:posOffset>3040380</wp:posOffset>
            </wp:positionH>
            <wp:positionV relativeFrom="paragraph">
              <wp:posOffset>116840</wp:posOffset>
            </wp:positionV>
            <wp:extent cx="1837944" cy="704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0E3D7" w14:textId="4AEC2B20" w:rsidR="006736DA" w:rsidRDefault="006736DA" w:rsidP="00D021F5">
      <w:pPr>
        <w:spacing w:line="240" w:lineRule="auto"/>
        <w:ind w:firstLine="5040"/>
        <w:rPr>
          <w:sz w:val="26"/>
          <w:szCs w:val="26"/>
        </w:rPr>
      </w:pPr>
    </w:p>
    <w:p w14:paraId="4F56D36E" w14:textId="380F86EF" w:rsidR="00D36F64" w:rsidRDefault="00D36F64"/>
    <w:p w14:paraId="50FA0172" w14:textId="417AB476" w:rsidR="00D36F64" w:rsidRDefault="00D36F64"/>
    <w:p w14:paraId="4E0080BF" w14:textId="5983035D" w:rsidR="006736DA" w:rsidRPr="00C72D8B" w:rsidRDefault="00D36F64" w:rsidP="00D36F64">
      <w:pPr>
        <w:spacing w:line="240" w:lineRule="auto"/>
        <w:ind w:left="4320" w:firstLine="720"/>
        <w:rPr>
          <w:sz w:val="26"/>
          <w:szCs w:val="26"/>
        </w:rPr>
      </w:pPr>
      <w:r>
        <w:t>R</w:t>
      </w:r>
      <w:r w:rsidR="006736DA" w:rsidRPr="00C72D8B">
        <w:rPr>
          <w:sz w:val="26"/>
          <w:szCs w:val="26"/>
        </w:rPr>
        <w:t>osemary Chiavetta</w:t>
      </w:r>
    </w:p>
    <w:p w14:paraId="0457FA81" w14:textId="77777777" w:rsidR="006736DA" w:rsidRPr="00C72D8B" w:rsidRDefault="006736DA" w:rsidP="00D021F5">
      <w:pPr>
        <w:spacing w:line="240" w:lineRule="auto"/>
        <w:ind w:firstLine="5040"/>
        <w:rPr>
          <w:sz w:val="26"/>
          <w:szCs w:val="26"/>
        </w:rPr>
      </w:pPr>
      <w:r w:rsidRPr="00C72D8B">
        <w:rPr>
          <w:sz w:val="26"/>
          <w:szCs w:val="26"/>
        </w:rPr>
        <w:t>Secretary</w:t>
      </w:r>
    </w:p>
    <w:p w14:paraId="3E31D58B" w14:textId="77777777" w:rsidR="006736DA" w:rsidRPr="00C72D8B" w:rsidRDefault="006736DA" w:rsidP="006736DA">
      <w:pPr>
        <w:spacing w:line="240" w:lineRule="auto"/>
        <w:ind w:firstLine="0"/>
        <w:rPr>
          <w:sz w:val="26"/>
          <w:szCs w:val="26"/>
        </w:rPr>
      </w:pPr>
    </w:p>
    <w:p w14:paraId="18DA158F" w14:textId="77777777" w:rsidR="006736DA" w:rsidRPr="00C72D8B" w:rsidRDefault="006736DA" w:rsidP="006736DA">
      <w:pPr>
        <w:spacing w:line="240" w:lineRule="auto"/>
        <w:ind w:firstLine="0"/>
        <w:rPr>
          <w:sz w:val="26"/>
          <w:szCs w:val="26"/>
        </w:rPr>
      </w:pPr>
      <w:r w:rsidRPr="00C72D8B">
        <w:rPr>
          <w:sz w:val="26"/>
          <w:szCs w:val="26"/>
        </w:rPr>
        <w:t>(SEAL)</w:t>
      </w:r>
    </w:p>
    <w:p w14:paraId="0179BD2F" w14:textId="77777777" w:rsidR="006736DA" w:rsidRPr="00C72D8B" w:rsidRDefault="006736DA" w:rsidP="006736DA">
      <w:pPr>
        <w:spacing w:line="240" w:lineRule="auto"/>
        <w:ind w:firstLine="0"/>
        <w:rPr>
          <w:sz w:val="26"/>
          <w:szCs w:val="26"/>
        </w:rPr>
      </w:pPr>
    </w:p>
    <w:p w14:paraId="365B6A53" w14:textId="7BD4495E" w:rsidR="006736DA" w:rsidRPr="00C72D8B" w:rsidRDefault="006736DA" w:rsidP="006736DA">
      <w:pPr>
        <w:spacing w:line="240" w:lineRule="auto"/>
        <w:ind w:firstLine="0"/>
        <w:rPr>
          <w:sz w:val="26"/>
          <w:szCs w:val="26"/>
        </w:rPr>
      </w:pPr>
      <w:r w:rsidRPr="00C72D8B">
        <w:rPr>
          <w:sz w:val="26"/>
          <w:szCs w:val="26"/>
        </w:rPr>
        <w:t>ORDER ADOPTED:</w:t>
      </w:r>
      <w:r w:rsidR="00793350" w:rsidRPr="00C72D8B">
        <w:rPr>
          <w:sz w:val="26"/>
          <w:szCs w:val="26"/>
        </w:rPr>
        <w:t xml:space="preserve">  April 15, 2021</w:t>
      </w:r>
      <w:r w:rsidRPr="00C72D8B">
        <w:rPr>
          <w:sz w:val="26"/>
          <w:szCs w:val="26"/>
        </w:rPr>
        <w:t xml:space="preserve">  </w:t>
      </w:r>
    </w:p>
    <w:p w14:paraId="2571A695" w14:textId="77777777" w:rsidR="00D36F64" w:rsidRDefault="00D36F64" w:rsidP="002C18C2">
      <w:pPr>
        <w:spacing w:line="240" w:lineRule="auto"/>
        <w:ind w:firstLine="0"/>
        <w:rPr>
          <w:sz w:val="26"/>
          <w:szCs w:val="26"/>
        </w:rPr>
      </w:pPr>
    </w:p>
    <w:p w14:paraId="7FA51EEB" w14:textId="41238E15" w:rsidR="006736DA" w:rsidRPr="00C72D8B" w:rsidRDefault="006736DA" w:rsidP="002C18C2">
      <w:pPr>
        <w:spacing w:line="240" w:lineRule="auto"/>
        <w:ind w:firstLine="0"/>
        <w:rPr>
          <w:sz w:val="26"/>
          <w:szCs w:val="26"/>
        </w:rPr>
      </w:pPr>
      <w:r w:rsidRPr="00C72D8B">
        <w:rPr>
          <w:sz w:val="26"/>
          <w:szCs w:val="26"/>
        </w:rPr>
        <w:t xml:space="preserve">ORDER ENTERED:  </w:t>
      </w:r>
      <w:r w:rsidR="00D36F64">
        <w:rPr>
          <w:sz w:val="26"/>
          <w:szCs w:val="26"/>
        </w:rPr>
        <w:t>April 15, 2021</w:t>
      </w:r>
    </w:p>
    <w:sectPr w:rsidR="006736DA" w:rsidRPr="00C72D8B" w:rsidSect="00921AF7">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373B7" w14:textId="77777777" w:rsidR="00E37DD8" w:rsidRDefault="00E37DD8">
      <w:r>
        <w:separator/>
      </w:r>
    </w:p>
  </w:endnote>
  <w:endnote w:type="continuationSeparator" w:id="0">
    <w:p w14:paraId="1F0038EF" w14:textId="77777777" w:rsidR="00E37DD8" w:rsidRDefault="00E3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8D796" w14:textId="77777777" w:rsidR="008B3C24" w:rsidRDefault="008B3C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73745B" w14:textId="77777777" w:rsidR="008B3C24" w:rsidRDefault="008B3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16E49" w14:textId="0A5745EF" w:rsidR="008B3C24" w:rsidRPr="0083785A" w:rsidRDefault="008B3C24" w:rsidP="00E707FE">
    <w:pPr>
      <w:pStyle w:val="Footer"/>
      <w:tabs>
        <w:tab w:val="clear" w:pos="4320"/>
        <w:tab w:val="clear" w:pos="8640"/>
      </w:tabs>
      <w:spacing w:line="240" w:lineRule="auto"/>
      <w:ind w:firstLine="0"/>
      <w:jc w:val="center"/>
      <w:rPr>
        <w:rStyle w:val="PageNumber"/>
        <w:sz w:val="26"/>
        <w:szCs w:val="26"/>
      </w:rPr>
    </w:pPr>
    <w:r w:rsidRPr="0083785A">
      <w:rPr>
        <w:rStyle w:val="PageNumber"/>
        <w:sz w:val="26"/>
        <w:szCs w:val="26"/>
      </w:rPr>
      <w:fldChar w:fldCharType="begin"/>
    </w:r>
    <w:r w:rsidRPr="0083785A">
      <w:rPr>
        <w:rStyle w:val="PageNumber"/>
        <w:sz w:val="26"/>
        <w:szCs w:val="26"/>
      </w:rPr>
      <w:instrText xml:space="preserve">PAGE  </w:instrText>
    </w:r>
    <w:r w:rsidRPr="0083785A">
      <w:rPr>
        <w:rStyle w:val="PageNumber"/>
        <w:sz w:val="26"/>
        <w:szCs w:val="26"/>
      </w:rPr>
      <w:fldChar w:fldCharType="separate"/>
    </w:r>
    <w:r w:rsidR="009B5DEF" w:rsidRPr="0083785A">
      <w:rPr>
        <w:rStyle w:val="PageNumber"/>
        <w:noProof/>
        <w:sz w:val="26"/>
        <w:szCs w:val="26"/>
      </w:rPr>
      <w:t>2</w:t>
    </w:r>
    <w:r w:rsidRPr="0083785A">
      <w:rPr>
        <w:rStyle w:val="PageNumber"/>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738E2" w14:textId="77777777" w:rsidR="00E37DD8" w:rsidRDefault="00E37DD8" w:rsidP="0083785A">
      <w:pPr>
        <w:spacing w:line="240" w:lineRule="auto"/>
        <w:ind w:firstLine="0"/>
      </w:pPr>
      <w:r>
        <w:separator/>
      </w:r>
    </w:p>
  </w:footnote>
  <w:footnote w:type="continuationSeparator" w:id="0">
    <w:p w14:paraId="0EDC21F8" w14:textId="77777777" w:rsidR="00E37DD8" w:rsidRDefault="00E37DD8">
      <w:r>
        <w:continuationSeparator/>
      </w:r>
    </w:p>
  </w:footnote>
  <w:footnote w:id="1">
    <w:p w14:paraId="03FE0E7F" w14:textId="77777777" w:rsidR="00780DB0" w:rsidRPr="00022E11" w:rsidRDefault="00780DB0" w:rsidP="003C0B66">
      <w:pPr>
        <w:pStyle w:val="FootnoteText"/>
        <w:keepNext/>
        <w:keepLines/>
        <w:spacing w:line="240" w:lineRule="auto"/>
        <w:ind w:firstLine="720"/>
        <w:contextualSpacing/>
        <w:rPr>
          <w:sz w:val="26"/>
          <w:szCs w:val="26"/>
        </w:rPr>
      </w:pPr>
      <w:r w:rsidRPr="009812CE">
        <w:rPr>
          <w:rStyle w:val="FootnoteReference"/>
          <w:sz w:val="26"/>
          <w:szCs w:val="26"/>
        </w:rPr>
        <w:footnoteRef/>
      </w:r>
      <w:r w:rsidRPr="009812CE">
        <w:rPr>
          <w:sz w:val="26"/>
          <w:szCs w:val="26"/>
        </w:rPr>
        <w:t xml:space="preserve"> </w:t>
      </w:r>
      <w:r w:rsidRPr="00022E11">
        <w:rPr>
          <w:sz w:val="26"/>
          <w:szCs w:val="26"/>
        </w:rPr>
        <w:tab/>
        <w:t>Originally, Columbia expected to file this base rate request on or before March 20, 2020.  However, beginning on March 16, 2020, pursuant to an Executive Order issued by the Pennsylvania Deputy Secretary for Human Resources and Management due to the COVID-19 disaster emergency declaration of the Governor, the Commission’s physical offices were closed.  As of the entry date of this Opinion and Order, the Commission’s office buildings remain closed due to the COVID-19 disaster emergency; however, the Commission remains fully operational with its staff teleworking.  All business was conducted electronic</w:t>
      </w:r>
      <w:r>
        <w:rPr>
          <w:sz w:val="26"/>
          <w:szCs w:val="26"/>
        </w:rPr>
        <w:t>ally</w:t>
      </w:r>
      <w:r w:rsidRPr="00022E11">
        <w:rPr>
          <w:sz w:val="26"/>
          <w:szCs w:val="26"/>
        </w:rPr>
        <w:t xml:space="preserve"> and/or telephonically.  On March</w:t>
      </w:r>
      <w:r>
        <w:rPr>
          <w:sz w:val="26"/>
          <w:szCs w:val="26"/>
        </w:rPr>
        <w:t> </w:t>
      </w:r>
      <w:r w:rsidRPr="00022E11">
        <w:rPr>
          <w:sz w:val="26"/>
          <w:szCs w:val="26"/>
        </w:rPr>
        <w:t>25, 2020, Columbia requested to postpone the initial filing until on or before April</w:t>
      </w:r>
      <w:r>
        <w:rPr>
          <w:sz w:val="26"/>
          <w:szCs w:val="26"/>
        </w:rPr>
        <w:t> </w:t>
      </w:r>
      <w:r w:rsidRPr="00022E11">
        <w:rPr>
          <w:sz w:val="26"/>
          <w:szCs w:val="26"/>
        </w:rPr>
        <w:t xml:space="preserve">28, 2020.  The Commission granted the Company’s request by Secretarial Letter issued on March 27, 2020.  </w:t>
      </w:r>
    </w:p>
  </w:footnote>
  <w:footnote w:id="2">
    <w:p w14:paraId="447EDD74" w14:textId="77777777" w:rsidR="00780DB0" w:rsidRPr="00B519CC" w:rsidRDefault="00780DB0" w:rsidP="00E707FE">
      <w:pPr>
        <w:pStyle w:val="FootnoteText"/>
        <w:keepNext/>
        <w:keepLines/>
        <w:spacing w:line="240" w:lineRule="auto"/>
        <w:ind w:firstLine="720"/>
        <w:contextualSpacing/>
        <w:rPr>
          <w:sz w:val="26"/>
          <w:szCs w:val="26"/>
        </w:rPr>
      </w:pPr>
      <w:r w:rsidRPr="005C5574">
        <w:rPr>
          <w:rStyle w:val="FootnoteReference"/>
          <w:sz w:val="26"/>
          <w:szCs w:val="26"/>
        </w:rPr>
        <w:footnoteRef/>
      </w:r>
      <w:r w:rsidRPr="00E94EDE">
        <w:rPr>
          <w:sz w:val="26"/>
          <w:szCs w:val="26"/>
        </w:rPr>
        <w:t xml:space="preserve"> </w:t>
      </w:r>
      <w:r w:rsidRPr="00E94EDE">
        <w:rPr>
          <w:sz w:val="26"/>
          <w:szCs w:val="26"/>
        </w:rPr>
        <w:tab/>
        <w:t xml:space="preserve">By electronic mail on September 24, 2020, Mr. Ilie requested withdrawal of his Formal Complaint, which request was not opposed by any other Party.  </w:t>
      </w:r>
    </w:p>
  </w:footnote>
  <w:footnote w:id="3">
    <w:p w14:paraId="52027146" w14:textId="77777777" w:rsidR="00780DB0" w:rsidRPr="003205B6" w:rsidRDefault="00780DB0" w:rsidP="005C5574">
      <w:pPr>
        <w:pStyle w:val="FootnoteText"/>
        <w:keepNext/>
        <w:keepLines/>
        <w:spacing w:line="240" w:lineRule="auto"/>
        <w:ind w:firstLine="720"/>
        <w:contextualSpacing/>
        <w:rPr>
          <w:sz w:val="26"/>
          <w:szCs w:val="26"/>
        </w:rPr>
      </w:pPr>
      <w:r w:rsidRPr="005C5574">
        <w:rPr>
          <w:rStyle w:val="FootnoteReference"/>
          <w:sz w:val="26"/>
          <w:szCs w:val="26"/>
        </w:rPr>
        <w:footnoteRef/>
      </w:r>
      <w:r w:rsidRPr="00B519CC">
        <w:rPr>
          <w:sz w:val="26"/>
          <w:szCs w:val="26"/>
        </w:rPr>
        <w:t xml:space="preserve"> </w:t>
      </w:r>
      <w:r w:rsidRPr="00B519CC">
        <w:rPr>
          <w:sz w:val="26"/>
          <w:szCs w:val="26"/>
        </w:rPr>
        <w:tab/>
        <w:t xml:space="preserve">We note that the ALJ makes her recommendations on these elements in the alternative, should the Commission grant Columbia’s request to consider all the elements in its base rate increase request.  Accordingly, all of the ALJ’s recommendations discussed herein, with the exception of the recommendation to deny the rate increase request in its entirety, are recommendations the ALJ made “alternatively.”  </w:t>
      </w:r>
    </w:p>
  </w:footnote>
  <w:footnote w:id="4">
    <w:p w14:paraId="655534A2" w14:textId="3F294EC3" w:rsidR="00F40D1A" w:rsidRPr="007160A5" w:rsidRDefault="00F40D1A" w:rsidP="005C5574">
      <w:pPr>
        <w:pStyle w:val="FootnoteText"/>
        <w:spacing w:after="120" w:line="240" w:lineRule="auto"/>
        <w:ind w:firstLine="720"/>
        <w:rPr>
          <w:sz w:val="26"/>
          <w:szCs w:val="26"/>
        </w:rPr>
      </w:pPr>
      <w:r w:rsidRPr="007160A5">
        <w:rPr>
          <w:rStyle w:val="FootnoteReference"/>
          <w:sz w:val="26"/>
          <w:szCs w:val="26"/>
        </w:rPr>
        <w:footnoteRef/>
      </w:r>
      <w:r w:rsidRPr="007160A5">
        <w:rPr>
          <w:sz w:val="26"/>
          <w:szCs w:val="26"/>
        </w:rPr>
        <w:t xml:space="preserve"> </w:t>
      </w:r>
      <w:r w:rsidR="007160A5">
        <w:rPr>
          <w:sz w:val="26"/>
          <w:szCs w:val="26"/>
        </w:rPr>
        <w:tab/>
      </w:r>
      <w:r w:rsidR="00442F55" w:rsidRPr="00E9174E">
        <w:rPr>
          <w:i/>
          <w:iCs/>
          <w:sz w:val="26"/>
          <w:szCs w:val="26"/>
        </w:rPr>
        <w:t>Pa. PUC v. PGW</w:t>
      </w:r>
      <w:r w:rsidR="00442F55" w:rsidRPr="00E9174E">
        <w:rPr>
          <w:sz w:val="26"/>
          <w:szCs w:val="26"/>
        </w:rPr>
        <w:t>, Docket No. R-2020-3017206 (Order entered Nov.</w:t>
      </w:r>
      <w:r w:rsidR="00442F55">
        <w:rPr>
          <w:sz w:val="26"/>
          <w:szCs w:val="26"/>
        </w:rPr>
        <w:t> </w:t>
      </w:r>
      <w:r w:rsidR="00442F55" w:rsidRPr="00E9174E">
        <w:rPr>
          <w:sz w:val="26"/>
          <w:szCs w:val="26"/>
        </w:rPr>
        <w:t>19,</w:t>
      </w:r>
      <w:r w:rsidR="00442F55">
        <w:rPr>
          <w:sz w:val="26"/>
          <w:szCs w:val="26"/>
        </w:rPr>
        <w:t> </w:t>
      </w:r>
      <w:r w:rsidR="00442F55" w:rsidRPr="00E9174E">
        <w:rPr>
          <w:sz w:val="26"/>
          <w:szCs w:val="26"/>
        </w:rPr>
        <w:t>2020)</w:t>
      </w:r>
      <w:r w:rsidR="00442F55">
        <w:rPr>
          <w:sz w:val="26"/>
          <w:szCs w:val="26"/>
        </w:rPr>
        <w:t xml:space="preserve"> (</w:t>
      </w:r>
      <w:r w:rsidR="00442F55" w:rsidRPr="00442F55">
        <w:rPr>
          <w:i/>
          <w:iCs/>
          <w:sz w:val="26"/>
          <w:szCs w:val="26"/>
        </w:rPr>
        <w:t>PGW Rate Order</w:t>
      </w:r>
      <w:r w:rsidR="00442F55">
        <w:rPr>
          <w:sz w:val="26"/>
          <w:szCs w:val="26"/>
        </w:rPr>
        <w:t xml:space="preserve">); </w:t>
      </w:r>
      <w:r w:rsidR="007B3523" w:rsidRPr="00E9174E">
        <w:rPr>
          <w:i/>
          <w:iCs/>
          <w:sz w:val="26"/>
          <w:szCs w:val="26"/>
        </w:rPr>
        <w:t>Pa. PUC v. UGI Utilities, Inc. - Gas Division</w:t>
      </w:r>
      <w:r w:rsidR="007B3523" w:rsidRPr="00E9174E">
        <w:rPr>
          <w:sz w:val="26"/>
          <w:szCs w:val="26"/>
        </w:rPr>
        <w:t>, Docket No. R-2019-3015162 (Order entered October</w:t>
      </w:r>
      <w:r w:rsidR="007B3523">
        <w:rPr>
          <w:sz w:val="26"/>
          <w:szCs w:val="26"/>
        </w:rPr>
        <w:t> </w:t>
      </w:r>
      <w:r w:rsidR="007B3523" w:rsidRPr="00E9174E">
        <w:rPr>
          <w:sz w:val="26"/>
          <w:szCs w:val="26"/>
        </w:rPr>
        <w:t>8, 2020) (</w:t>
      </w:r>
      <w:r w:rsidR="007B3523" w:rsidRPr="00E9174E">
        <w:rPr>
          <w:i/>
          <w:iCs/>
          <w:sz w:val="26"/>
          <w:szCs w:val="26"/>
        </w:rPr>
        <w:t>UGI Gas Rate Order</w:t>
      </w:r>
      <w:r w:rsidR="007B3523" w:rsidRPr="00E9174E">
        <w:rPr>
          <w:sz w:val="26"/>
          <w:szCs w:val="26"/>
        </w:rPr>
        <w:t>);</w:t>
      </w:r>
      <w:r w:rsidR="007B3523" w:rsidRPr="00E9174E">
        <w:rPr>
          <w:i/>
          <w:iCs/>
          <w:sz w:val="26"/>
          <w:szCs w:val="26"/>
        </w:rPr>
        <w:t xml:space="preserve"> </w:t>
      </w:r>
      <w:r w:rsidR="00946832">
        <w:rPr>
          <w:i/>
          <w:iCs/>
          <w:sz w:val="26"/>
          <w:szCs w:val="26"/>
        </w:rPr>
        <w:t xml:space="preserve">Pa. PUC v. </w:t>
      </w:r>
      <w:r w:rsidR="007B3523" w:rsidRPr="00E9174E">
        <w:rPr>
          <w:i/>
          <w:iCs/>
          <w:sz w:val="26"/>
          <w:szCs w:val="26"/>
        </w:rPr>
        <w:t>Pittsburgh Water and Sewer Authority</w:t>
      </w:r>
      <w:r w:rsidR="007B3523" w:rsidRPr="00E9174E">
        <w:rPr>
          <w:sz w:val="26"/>
          <w:szCs w:val="26"/>
        </w:rPr>
        <w:t>, Docket Nos. R</w:t>
      </w:r>
      <w:r w:rsidR="007B3523" w:rsidRPr="00E9174E">
        <w:rPr>
          <w:sz w:val="26"/>
          <w:szCs w:val="26"/>
        </w:rPr>
        <w:noBreakHyphen/>
        <w:t>2020-3017951, R</w:t>
      </w:r>
      <w:r w:rsidR="00917AE1">
        <w:rPr>
          <w:sz w:val="26"/>
          <w:szCs w:val="26"/>
        </w:rPr>
        <w:noBreakHyphen/>
      </w:r>
      <w:r w:rsidR="007B3523" w:rsidRPr="00E9174E">
        <w:rPr>
          <w:sz w:val="26"/>
          <w:szCs w:val="26"/>
        </w:rPr>
        <w:t>2020</w:t>
      </w:r>
      <w:r w:rsidR="00917AE1">
        <w:rPr>
          <w:sz w:val="26"/>
          <w:szCs w:val="26"/>
        </w:rPr>
        <w:noBreakHyphen/>
      </w:r>
      <w:r w:rsidR="007B3523" w:rsidRPr="00E9174E">
        <w:rPr>
          <w:sz w:val="26"/>
          <w:szCs w:val="26"/>
        </w:rPr>
        <w:t>3017970 (Order entered December 3, 2020) (</w:t>
      </w:r>
      <w:r w:rsidR="007B3523" w:rsidRPr="00E9174E">
        <w:rPr>
          <w:i/>
          <w:iCs/>
          <w:sz w:val="26"/>
          <w:szCs w:val="26"/>
        </w:rPr>
        <w:t>PWSA Rate Order</w:t>
      </w:r>
      <w:r w:rsidR="007B3523" w:rsidRPr="00E9174E">
        <w:rPr>
          <w:sz w:val="26"/>
          <w:szCs w:val="26"/>
        </w:rPr>
        <w:t xml:space="preserve">)). </w:t>
      </w:r>
      <w:r w:rsidR="00442F55">
        <w:rPr>
          <w:sz w:val="26"/>
          <w:szCs w:val="26"/>
        </w:rPr>
        <w:t xml:space="preserve"> </w:t>
      </w:r>
      <w:r w:rsidR="001F3B29">
        <w:rPr>
          <w:sz w:val="26"/>
          <w:szCs w:val="26"/>
        </w:rPr>
        <w:t>In its Petition, t</w:t>
      </w:r>
      <w:r w:rsidR="007160A5">
        <w:rPr>
          <w:sz w:val="26"/>
          <w:szCs w:val="26"/>
        </w:rPr>
        <w:t>he OCA refers to these three cases a</w:t>
      </w:r>
      <w:r w:rsidR="001F3B29">
        <w:rPr>
          <w:sz w:val="26"/>
          <w:szCs w:val="26"/>
        </w:rPr>
        <w:t xml:space="preserve">s the </w:t>
      </w:r>
      <w:r w:rsidR="001F3B29" w:rsidRPr="00F0456F">
        <w:rPr>
          <w:i/>
          <w:iCs/>
          <w:sz w:val="26"/>
          <w:szCs w:val="26"/>
        </w:rPr>
        <w:t>Settled Base Rate Case</w:t>
      </w:r>
      <w:r w:rsidR="007A410D" w:rsidRPr="00F0456F">
        <w:rPr>
          <w:i/>
          <w:iCs/>
          <w:sz w:val="26"/>
          <w:szCs w:val="26"/>
        </w:rPr>
        <w:t xml:space="preserve"> Orders</w:t>
      </w:r>
      <w:r w:rsidR="001F3B29">
        <w:rPr>
          <w:sz w:val="26"/>
          <w:szCs w:val="26"/>
        </w:rPr>
        <w:t xml:space="preserve">.  We will </w:t>
      </w:r>
      <w:r w:rsidR="00615072">
        <w:rPr>
          <w:sz w:val="26"/>
          <w:szCs w:val="26"/>
        </w:rPr>
        <w:t xml:space="preserve">also </w:t>
      </w:r>
      <w:r w:rsidR="001F3B29">
        <w:rPr>
          <w:sz w:val="26"/>
          <w:szCs w:val="26"/>
        </w:rPr>
        <w:t>refer to these cases</w:t>
      </w:r>
      <w:r w:rsidR="00615072">
        <w:rPr>
          <w:sz w:val="26"/>
          <w:szCs w:val="26"/>
        </w:rPr>
        <w:t>, collectively,</w:t>
      </w:r>
      <w:r w:rsidR="001F3B29">
        <w:rPr>
          <w:sz w:val="26"/>
          <w:szCs w:val="26"/>
        </w:rPr>
        <w:t xml:space="preserve"> throughout th</w:t>
      </w:r>
      <w:r w:rsidR="00615072">
        <w:rPr>
          <w:sz w:val="26"/>
          <w:szCs w:val="26"/>
        </w:rPr>
        <w:t>is Opinion and Order as the</w:t>
      </w:r>
      <w:r w:rsidR="001F3B29">
        <w:rPr>
          <w:sz w:val="26"/>
          <w:szCs w:val="26"/>
        </w:rPr>
        <w:t xml:space="preserve"> </w:t>
      </w:r>
      <w:r w:rsidR="00615072" w:rsidRPr="00F0456F">
        <w:rPr>
          <w:i/>
          <w:iCs/>
          <w:sz w:val="26"/>
          <w:szCs w:val="26"/>
        </w:rPr>
        <w:t>Settled Base Rate Case</w:t>
      </w:r>
      <w:r w:rsidR="007A410D" w:rsidRPr="00F0456F">
        <w:rPr>
          <w:i/>
          <w:iCs/>
          <w:sz w:val="26"/>
          <w:szCs w:val="26"/>
        </w:rPr>
        <w:t xml:space="preserve"> Orders</w:t>
      </w:r>
      <w:r w:rsidR="00615072">
        <w:rPr>
          <w:sz w:val="26"/>
          <w:szCs w:val="26"/>
        </w:rPr>
        <w:t xml:space="preserve">.  </w:t>
      </w:r>
      <w:r w:rsidR="007160A5">
        <w:rPr>
          <w:sz w:val="26"/>
          <w:szCs w:val="26"/>
        </w:rPr>
        <w:t xml:space="preserve"> </w:t>
      </w:r>
    </w:p>
  </w:footnote>
  <w:footnote w:id="5">
    <w:p w14:paraId="6DF58D9D" w14:textId="6F532BF2" w:rsidR="005031CD" w:rsidRPr="005031CD" w:rsidRDefault="005031CD" w:rsidP="005C5574">
      <w:pPr>
        <w:pStyle w:val="FootnoteText"/>
        <w:spacing w:line="240" w:lineRule="auto"/>
        <w:ind w:firstLine="720"/>
        <w:rPr>
          <w:sz w:val="26"/>
          <w:szCs w:val="26"/>
        </w:rPr>
      </w:pPr>
      <w:r w:rsidRPr="005031CD">
        <w:rPr>
          <w:rStyle w:val="FootnoteReference"/>
          <w:sz w:val="26"/>
          <w:szCs w:val="26"/>
        </w:rPr>
        <w:footnoteRef/>
      </w:r>
      <w:r w:rsidRPr="005031CD">
        <w:rPr>
          <w:sz w:val="26"/>
          <w:szCs w:val="26"/>
        </w:rPr>
        <w:t xml:space="preserve"> </w:t>
      </w:r>
      <w:r>
        <w:rPr>
          <w:sz w:val="26"/>
          <w:szCs w:val="26"/>
        </w:rPr>
        <w:tab/>
      </w:r>
      <w:r w:rsidR="00F37F90">
        <w:rPr>
          <w:sz w:val="26"/>
          <w:szCs w:val="26"/>
        </w:rPr>
        <w:t>In its Petition, the OCA specifically objects to t</w:t>
      </w:r>
      <w:r w:rsidR="001756CB">
        <w:rPr>
          <w:sz w:val="26"/>
          <w:szCs w:val="26"/>
        </w:rPr>
        <w:t xml:space="preserve">he references to </w:t>
      </w:r>
      <w:r w:rsidR="00631EFD">
        <w:rPr>
          <w:sz w:val="26"/>
          <w:szCs w:val="26"/>
        </w:rPr>
        <w:t xml:space="preserve">the </w:t>
      </w:r>
      <w:r w:rsidR="00631EFD" w:rsidRPr="00F0456F">
        <w:rPr>
          <w:i/>
          <w:iCs/>
          <w:sz w:val="26"/>
          <w:szCs w:val="26"/>
        </w:rPr>
        <w:t>Settled Base Rate Case</w:t>
      </w:r>
      <w:r w:rsidR="00D523CE" w:rsidRPr="00F0456F">
        <w:rPr>
          <w:i/>
          <w:iCs/>
          <w:sz w:val="26"/>
          <w:szCs w:val="26"/>
        </w:rPr>
        <w:t xml:space="preserve"> Orders</w:t>
      </w:r>
      <w:r w:rsidR="00631EFD">
        <w:rPr>
          <w:sz w:val="26"/>
          <w:szCs w:val="26"/>
        </w:rPr>
        <w:t xml:space="preserve"> in this portion of the </w:t>
      </w:r>
      <w:r w:rsidR="00631EFD" w:rsidRPr="00631EFD">
        <w:rPr>
          <w:i/>
          <w:iCs/>
          <w:sz w:val="26"/>
          <w:szCs w:val="26"/>
        </w:rPr>
        <w:t>February 2021 Order</w:t>
      </w:r>
      <w:r w:rsidR="00F37F90">
        <w:rPr>
          <w:sz w:val="26"/>
          <w:szCs w:val="26"/>
        </w:rPr>
        <w:t>.</w:t>
      </w:r>
      <w:r w:rsidR="00631EFD">
        <w:rPr>
          <w:sz w:val="26"/>
          <w:szCs w:val="2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D4ED70A"/>
    <w:lvl w:ilvl="0">
      <w:start w:val="1"/>
      <w:numFmt w:val="decimal"/>
      <w:pStyle w:val="ListNumber"/>
      <w:lvlText w:val="%1."/>
      <w:lvlJc w:val="left"/>
      <w:pPr>
        <w:tabs>
          <w:tab w:val="num" w:pos="360"/>
        </w:tabs>
        <w:ind w:left="360" w:hanging="360"/>
      </w:pPr>
    </w:lvl>
  </w:abstractNum>
  <w:abstractNum w:abstractNumId="1" w15:restartNumberingAfterBreak="0">
    <w:nsid w:val="088C210D"/>
    <w:multiLevelType w:val="hybridMultilevel"/>
    <w:tmpl w:val="8B7C98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1D1C8E"/>
    <w:multiLevelType w:val="hybridMultilevel"/>
    <w:tmpl w:val="319C950C"/>
    <w:lvl w:ilvl="0" w:tplc="BFC80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2130F"/>
    <w:multiLevelType w:val="hybridMultilevel"/>
    <w:tmpl w:val="D93088E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D724590"/>
    <w:multiLevelType w:val="hybridMultilevel"/>
    <w:tmpl w:val="E82A1656"/>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5832F00"/>
    <w:multiLevelType w:val="hybridMultilevel"/>
    <w:tmpl w:val="89841C62"/>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7" w15:restartNumberingAfterBreak="0">
    <w:nsid w:val="35E66A8A"/>
    <w:multiLevelType w:val="hybridMultilevel"/>
    <w:tmpl w:val="1772BBC0"/>
    <w:lvl w:ilvl="0" w:tplc="D3088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9" w15:restartNumberingAfterBreak="0">
    <w:nsid w:val="3C3B6423"/>
    <w:multiLevelType w:val="hybridMultilevel"/>
    <w:tmpl w:val="2C8A0EB2"/>
    <w:lvl w:ilvl="0" w:tplc="B84A8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BC4D58"/>
    <w:multiLevelType w:val="hybridMultilevel"/>
    <w:tmpl w:val="B3CAE4CA"/>
    <w:lvl w:ilvl="0" w:tplc="09008A46">
      <w:start w:val="1"/>
      <w:numFmt w:val="lowerLetter"/>
      <w:lvlText w:val="%1."/>
      <w:lvlJc w:val="left"/>
      <w:pPr>
        <w:tabs>
          <w:tab w:val="num" w:pos="2520"/>
        </w:tabs>
        <w:ind w:left="2520" w:hanging="360"/>
      </w:pPr>
      <w:rPr>
        <w:rFonts w:hint="default"/>
      </w:rPr>
    </w:lvl>
    <w:lvl w:ilvl="1" w:tplc="2196C23A">
      <w:start w:val="1"/>
      <w:numFmt w:val="lowerLetter"/>
      <w:lvlText w:val="%2."/>
      <w:lvlJc w:val="left"/>
      <w:pPr>
        <w:tabs>
          <w:tab w:val="num" w:pos="3600"/>
        </w:tabs>
        <w:ind w:left="3600" w:hanging="360"/>
      </w:pPr>
    </w:lvl>
    <w:lvl w:ilvl="2" w:tplc="D11CDAD6">
      <w:start w:val="1"/>
      <w:numFmt w:val="lowerRoman"/>
      <w:lvlText w:val="%3."/>
      <w:lvlJc w:val="right"/>
      <w:pPr>
        <w:tabs>
          <w:tab w:val="num" w:pos="4320"/>
        </w:tabs>
        <w:ind w:left="4320" w:hanging="180"/>
      </w:pPr>
    </w:lvl>
    <w:lvl w:ilvl="3" w:tplc="D3C60D48">
      <w:start w:val="1"/>
      <w:numFmt w:val="lowerLetter"/>
      <w:lvlText w:val="%4."/>
      <w:lvlJc w:val="left"/>
      <w:pPr>
        <w:tabs>
          <w:tab w:val="num" w:pos="5040"/>
        </w:tabs>
        <w:ind w:left="5040" w:hanging="360"/>
      </w:pPr>
      <w:rPr>
        <w:rFonts w:hint="default"/>
      </w:rPr>
    </w:lvl>
    <w:lvl w:ilvl="4" w:tplc="BF721428">
      <w:start w:val="1"/>
      <w:numFmt w:val="decimal"/>
      <w:lvlText w:val="%5."/>
      <w:lvlJc w:val="left"/>
      <w:pPr>
        <w:tabs>
          <w:tab w:val="num" w:pos="5760"/>
        </w:tabs>
        <w:ind w:left="5760" w:hanging="360"/>
      </w:pPr>
      <w:rPr>
        <w:rFonts w:hint="default"/>
      </w:rPr>
    </w:lvl>
    <w:lvl w:ilvl="5" w:tplc="9C2822F6" w:tentative="1">
      <w:start w:val="1"/>
      <w:numFmt w:val="lowerRoman"/>
      <w:lvlText w:val="%6."/>
      <w:lvlJc w:val="right"/>
      <w:pPr>
        <w:tabs>
          <w:tab w:val="num" w:pos="6480"/>
        </w:tabs>
        <w:ind w:left="6480" w:hanging="180"/>
      </w:pPr>
    </w:lvl>
    <w:lvl w:ilvl="6" w:tplc="B22014AE" w:tentative="1">
      <w:start w:val="1"/>
      <w:numFmt w:val="decimal"/>
      <w:lvlText w:val="%7."/>
      <w:lvlJc w:val="left"/>
      <w:pPr>
        <w:tabs>
          <w:tab w:val="num" w:pos="7200"/>
        </w:tabs>
        <w:ind w:left="7200" w:hanging="360"/>
      </w:pPr>
    </w:lvl>
    <w:lvl w:ilvl="7" w:tplc="CCFC5B6A" w:tentative="1">
      <w:start w:val="1"/>
      <w:numFmt w:val="lowerLetter"/>
      <w:lvlText w:val="%8."/>
      <w:lvlJc w:val="left"/>
      <w:pPr>
        <w:tabs>
          <w:tab w:val="num" w:pos="7920"/>
        </w:tabs>
        <w:ind w:left="7920" w:hanging="360"/>
      </w:pPr>
    </w:lvl>
    <w:lvl w:ilvl="8" w:tplc="524EFE3C" w:tentative="1">
      <w:start w:val="1"/>
      <w:numFmt w:val="lowerRoman"/>
      <w:lvlText w:val="%9."/>
      <w:lvlJc w:val="right"/>
      <w:pPr>
        <w:tabs>
          <w:tab w:val="num" w:pos="8640"/>
        </w:tabs>
        <w:ind w:left="8640" w:hanging="180"/>
      </w:pPr>
    </w:lvl>
  </w:abstractNum>
  <w:abstractNum w:abstractNumId="11" w15:restartNumberingAfterBreak="0">
    <w:nsid w:val="415350C1"/>
    <w:multiLevelType w:val="hybridMultilevel"/>
    <w:tmpl w:val="A044DB12"/>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8D526A"/>
    <w:multiLevelType w:val="hybridMultilevel"/>
    <w:tmpl w:val="F1D6566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B6B03D4"/>
    <w:multiLevelType w:val="multilevel"/>
    <w:tmpl w:val="A5240054"/>
    <w:name w:val="zzmpOutline||Outline|2|3|1|1|2|41||1|4|0||1|4|0||1|4|1||1|4|0||1|4|9||1|4|0||1|4|0||1|4|0||"/>
    <w:lvl w:ilvl="0">
      <w:start w:val="1"/>
      <w:numFmt w:val="upperRoman"/>
      <w:pStyle w:val="OutlineL1"/>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11"/>
      <w:numFmt w:val="decimal"/>
      <w:lvlRestart w:val="0"/>
      <w:pStyle w:val="OutlineL2"/>
      <w:lvlText w:val="%2."/>
      <w:lvlJc w:val="left"/>
      <w:pPr>
        <w:tabs>
          <w:tab w:val="num" w:pos="1800"/>
        </w:tabs>
        <w:ind w:left="360" w:firstLine="720"/>
      </w:pPr>
      <w:rPr>
        <w:rFonts w:ascii="Times New Roman" w:hAnsi="Times New Roman" w:cs="Times New Roman" w:hint="default"/>
        <w:b w:val="0"/>
        <w:i w:val="0"/>
        <w:caps w:val="0"/>
        <w:strike w:val="0"/>
        <w:dstrike w:val="0"/>
        <w:sz w:val="24"/>
        <w:u w:val="none"/>
        <w:effect w:val="none"/>
      </w:rPr>
    </w:lvl>
    <w:lvl w:ilvl="2">
      <w:start w:val="1"/>
      <w:numFmt w:val="upperLetter"/>
      <w:pStyle w:val="OutlineL3"/>
      <w:lvlText w:val="%3."/>
      <w:lvlJc w:val="left"/>
      <w:pPr>
        <w:tabs>
          <w:tab w:val="num" w:pos="2160"/>
        </w:tabs>
        <w:ind w:left="0" w:firstLine="1440"/>
      </w:pPr>
      <w:rPr>
        <w:rFonts w:ascii="Times New Roman" w:hAnsi="Times New Roman" w:cs="Times New Roman" w:hint="default"/>
        <w:b w:val="0"/>
        <w:i w:val="0"/>
        <w:caps w:val="0"/>
        <w:strike w:val="0"/>
        <w:dstrike w:val="0"/>
        <w:sz w:val="24"/>
        <w:u w:val="none"/>
        <w:effect w:val="none"/>
      </w:rPr>
    </w:lvl>
    <w:lvl w:ilvl="3">
      <w:start w:val="1"/>
      <w:numFmt w:val="decimal"/>
      <w:lvlRestart w:val="0"/>
      <w:pStyle w:val="OutlineL4"/>
      <w:lvlText w:val="(%4)"/>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4">
      <w:start w:val="1"/>
      <w:numFmt w:val="lowerLetter"/>
      <w:pStyle w:val="Outline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upperLetter"/>
      <w:lvlRestart w:val="0"/>
      <w:pStyle w:val="OutlineL6"/>
      <w:lvlText w:val="APPENDIX %6"/>
      <w:lvlJc w:val="left"/>
      <w:pPr>
        <w:tabs>
          <w:tab w:val="num" w:pos="2880"/>
        </w:tabs>
        <w:ind w:left="0" w:firstLine="0"/>
      </w:pPr>
      <w:rPr>
        <w:rFonts w:ascii="Times New Roman" w:hAnsi="Times New Roman" w:cs="Times New Roman" w:hint="default"/>
        <w:b/>
        <w:i w:val="0"/>
        <w:caps w:val="0"/>
        <w:strike w:val="0"/>
        <w:dstrike w:val="0"/>
        <w:sz w:val="24"/>
        <w:u w:val="none"/>
        <w:effect w:val="none"/>
      </w:rPr>
    </w:lvl>
    <w:lvl w:ilvl="6">
      <w:start w:val="1"/>
      <w:numFmt w:val="decimal"/>
      <w:pStyle w:val="OutlineL7"/>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pStyle w:val="OutlineL8"/>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14" w15:restartNumberingAfterBreak="0">
    <w:nsid w:val="5DBD5700"/>
    <w:multiLevelType w:val="hybridMultilevel"/>
    <w:tmpl w:val="D0C6B6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5E5C3168"/>
    <w:multiLevelType w:val="hybridMultilevel"/>
    <w:tmpl w:val="A1B2957C"/>
    <w:lvl w:ilvl="0" w:tplc="1CC28D8C">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471B05"/>
    <w:multiLevelType w:val="multilevel"/>
    <w:tmpl w:val="97204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0"/>
  </w:num>
  <w:num w:numId="4">
    <w:abstractNumId w:val="2"/>
  </w:num>
  <w:num w:numId="5">
    <w:abstractNumId w:val="7"/>
  </w:num>
  <w:num w:numId="6">
    <w:abstractNumId w:val="9"/>
  </w:num>
  <w:num w:numId="7">
    <w:abstractNumId w:val="11"/>
  </w:num>
  <w:num w:numId="8">
    <w:abstractNumId w:val="4"/>
  </w:num>
  <w:num w:numId="9">
    <w:abstractNumId w:val="14"/>
  </w:num>
  <w:num w:numId="10">
    <w:abstractNumId w:val="8"/>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5"/>
  </w:num>
  <w:num w:numId="16">
    <w:abstractNumId w:val="15"/>
    <w:lvlOverride w:ilvl="0">
      <w:startOverride w:val="2"/>
    </w:lvlOverride>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B6"/>
    <w:rsid w:val="000000F8"/>
    <w:rsid w:val="00000490"/>
    <w:rsid w:val="00001119"/>
    <w:rsid w:val="00003997"/>
    <w:rsid w:val="00004994"/>
    <w:rsid w:val="000061B8"/>
    <w:rsid w:val="000063E8"/>
    <w:rsid w:val="000069A8"/>
    <w:rsid w:val="00006A1D"/>
    <w:rsid w:val="00006A6C"/>
    <w:rsid w:val="00006FE6"/>
    <w:rsid w:val="000107D0"/>
    <w:rsid w:val="00010A63"/>
    <w:rsid w:val="00010C2C"/>
    <w:rsid w:val="000112A6"/>
    <w:rsid w:val="00011A85"/>
    <w:rsid w:val="000125AB"/>
    <w:rsid w:val="00012AA6"/>
    <w:rsid w:val="00012B9C"/>
    <w:rsid w:val="000158EC"/>
    <w:rsid w:val="00017489"/>
    <w:rsid w:val="00017985"/>
    <w:rsid w:val="00020341"/>
    <w:rsid w:val="0002051A"/>
    <w:rsid w:val="00021836"/>
    <w:rsid w:val="00021EBA"/>
    <w:rsid w:val="00022C9C"/>
    <w:rsid w:val="00023481"/>
    <w:rsid w:val="000235D8"/>
    <w:rsid w:val="00023717"/>
    <w:rsid w:val="00023D23"/>
    <w:rsid w:val="00026250"/>
    <w:rsid w:val="00027CC4"/>
    <w:rsid w:val="00027FEC"/>
    <w:rsid w:val="00030482"/>
    <w:rsid w:val="00030995"/>
    <w:rsid w:val="00031717"/>
    <w:rsid w:val="000321B1"/>
    <w:rsid w:val="0003307E"/>
    <w:rsid w:val="000346E4"/>
    <w:rsid w:val="00036227"/>
    <w:rsid w:val="00036A86"/>
    <w:rsid w:val="00036DE4"/>
    <w:rsid w:val="0004057B"/>
    <w:rsid w:val="00041E8E"/>
    <w:rsid w:val="00043279"/>
    <w:rsid w:val="00043ABA"/>
    <w:rsid w:val="00044DF9"/>
    <w:rsid w:val="000456F7"/>
    <w:rsid w:val="00045BB1"/>
    <w:rsid w:val="00046C24"/>
    <w:rsid w:val="00046D2C"/>
    <w:rsid w:val="00047550"/>
    <w:rsid w:val="00051048"/>
    <w:rsid w:val="000514BE"/>
    <w:rsid w:val="00051844"/>
    <w:rsid w:val="00053335"/>
    <w:rsid w:val="000535DD"/>
    <w:rsid w:val="00053BD5"/>
    <w:rsid w:val="000547BE"/>
    <w:rsid w:val="000553E5"/>
    <w:rsid w:val="000558B8"/>
    <w:rsid w:val="000578F8"/>
    <w:rsid w:val="00057BD9"/>
    <w:rsid w:val="000600A5"/>
    <w:rsid w:val="00061434"/>
    <w:rsid w:val="00061F18"/>
    <w:rsid w:val="000622C7"/>
    <w:rsid w:val="000635DA"/>
    <w:rsid w:val="00066D6B"/>
    <w:rsid w:val="000706D0"/>
    <w:rsid w:val="000719AA"/>
    <w:rsid w:val="000719D6"/>
    <w:rsid w:val="00072FFD"/>
    <w:rsid w:val="0007343A"/>
    <w:rsid w:val="00076EAF"/>
    <w:rsid w:val="00077519"/>
    <w:rsid w:val="00080ADE"/>
    <w:rsid w:val="00080B3B"/>
    <w:rsid w:val="00082448"/>
    <w:rsid w:val="00083A09"/>
    <w:rsid w:val="00085143"/>
    <w:rsid w:val="00085685"/>
    <w:rsid w:val="000864EE"/>
    <w:rsid w:val="000867DF"/>
    <w:rsid w:val="0008767C"/>
    <w:rsid w:val="000915C7"/>
    <w:rsid w:val="00091DD0"/>
    <w:rsid w:val="0009519D"/>
    <w:rsid w:val="000953EF"/>
    <w:rsid w:val="00097699"/>
    <w:rsid w:val="000A07A8"/>
    <w:rsid w:val="000A0CF8"/>
    <w:rsid w:val="000A1375"/>
    <w:rsid w:val="000A2658"/>
    <w:rsid w:val="000A297C"/>
    <w:rsid w:val="000A2B83"/>
    <w:rsid w:val="000A38A9"/>
    <w:rsid w:val="000A5C2F"/>
    <w:rsid w:val="000A5C32"/>
    <w:rsid w:val="000A743E"/>
    <w:rsid w:val="000A777B"/>
    <w:rsid w:val="000B07E6"/>
    <w:rsid w:val="000B3BA4"/>
    <w:rsid w:val="000B3BE9"/>
    <w:rsid w:val="000B4595"/>
    <w:rsid w:val="000B539F"/>
    <w:rsid w:val="000B53FB"/>
    <w:rsid w:val="000B582D"/>
    <w:rsid w:val="000B5E09"/>
    <w:rsid w:val="000B5F13"/>
    <w:rsid w:val="000C4699"/>
    <w:rsid w:val="000C46BF"/>
    <w:rsid w:val="000C51CC"/>
    <w:rsid w:val="000C5552"/>
    <w:rsid w:val="000C5680"/>
    <w:rsid w:val="000C5C5F"/>
    <w:rsid w:val="000C678A"/>
    <w:rsid w:val="000C6C41"/>
    <w:rsid w:val="000D06A4"/>
    <w:rsid w:val="000D074A"/>
    <w:rsid w:val="000D1206"/>
    <w:rsid w:val="000D1DA9"/>
    <w:rsid w:val="000D31CC"/>
    <w:rsid w:val="000D3FC0"/>
    <w:rsid w:val="000D62B6"/>
    <w:rsid w:val="000D6E5C"/>
    <w:rsid w:val="000D6EC7"/>
    <w:rsid w:val="000D74E8"/>
    <w:rsid w:val="000E0679"/>
    <w:rsid w:val="000E0B17"/>
    <w:rsid w:val="000E0BCC"/>
    <w:rsid w:val="000E1F33"/>
    <w:rsid w:val="000E41EC"/>
    <w:rsid w:val="000E4E3B"/>
    <w:rsid w:val="000E4FBA"/>
    <w:rsid w:val="000E5232"/>
    <w:rsid w:val="000E57F9"/>
    <w:rsid w:val="000E694E"/>
    <w:rsid w:val="000E6AC9"/>
    <w:rsid w:val="000E6B38"/>
    <w:rsid w:val="000E6E5C"/>
    <w:rsid w:val="000E7FF7"/>
    <w:rsid w:val="000F0A86"/>
    <w:rsid w:val="000F1B49"/>
    <w:rsid w:val="000F1ED3"/>
    <w:rsid w:val="000F2620"/>
    <w:rsid w:val="000F361E"/>
    <w:rsid w:val="000F3E84"/>
    <w:rsid w:val="000F519B"/>
    <w:rsid w:val="000F5465"/>
    <w:rsid w:val="000F691F"/>
    <w:rsid w:val="000F6C0E"/>
    <w:rsid w:val="001004A2"/>
    <w:rsid w:val="00100508"/>
    <w:rsid w:val="00100B14"/>
    <w:rsid w:val="0010176D"/>
    <w:rsid w:val="00101836"/>
    <w:rsid w:val="0010376A"/>
    <w:rsid w:val="00103965"/>
    <w:rsid w:val="00103D94"/>
    <w:rsid w:val="00104915"/>
    <w:rsid w:val="00104D37"/>
    <w:rsid w:val="00104E80"/>
    <w:rsid w:val="00105828"/>
    <w:rsid w:val="00105B41"/>
    <w:rsid w:val="0010631A"/>
    <w:rsid w:val="00106A2F"/>
    <w:rsid w:val="00106C7F"/>
    <w:rsid w:val="001128EB"/>
    <w:rsid w:val="00112AFE"/>
    <w:rsid w:val="00113195"/>
    <w:rsid w:val="00113E36"/>
    <w:rsid w:val="00113E65"/>
    <w:rsid w:val="00114294"/>
    <w:rsid w:val="00114E0D"/>
    <w:rsid w:val="001152A3"/>
    <w:rsid w:val="00117382"/>
    <w:rsid w:val="00121A5F"/>
    <w:rsid w:val="00122054"/>
    <w:rsid w:val="001221C4"/>
    <w:rsid w:val="001225B2"/>
    <w:rsid w:val="00122EAB"/>
    <w:rsid w:val="00125308"/>
    <w:rsid w:val="00125613"/>
    <w:rsid w:val="00125F28"/>
    <w:rsid w:val="0012601C"/>
    <w:rsid w:val="00126FC6"/>
    <w:rsid w:val="00127981"/>
    <w:rsid w:val="00130D9D"/>
    <w:rsid w:val="001325C4"/>
    <w:rsid w:val="001365D1"/>
    <w:rsid w:val="0013730E"/>
    <w:rsid w:val="00137A08"/>
    <w:rsid w:val="00141810"/>
    <w:rsid w:val="00141978"/>
    <w:rsid w:val="00142044"/>
    <w:rsid w:val="00143A1D"/>
    <w:rsid w:val="00145C08"/>
    <w:rsid w:val="001460B5"/>
    <w:rsid w:val="00146BCE"/>
    <w:rsid w:val="00150344"/>
    <w:rsid w:val="00151F4E"/>
    <w:rsid w:val="00154D0D"/>
    <w:rsid w:val="00154E2E"/>
    <w:rsid w:val="001554FA"/>
    <w:rsid w:val="00155803"/>
    <w:rsid w:val="00157AA5"/>
    <w:rsid w:val="00160408"/>
    <w:rsid w:val="00160FEB"/>
    <w:rsid w:val="0016112F"/>
    <w:rsid w:val="00162718"/>
    <w:rsid w:val="00165DFF"/>
    <w:rsid w:val="00166208"/>
    <w:rsid w:val="00166A23"/>
    <w:rsid w:val="00166E7A"/>
    <w:rsid w:val="00167417"/>
    <w:rsid w:val="0016750C"/>
    <w:rsid w:val="001675F1"/>
    <w:rsid w:val="001676D4"/>
    <w:rsid w:val="00167EDF"/>
    <w:rsid w:val="00167F9A"/>
    <w:rsid w:val="00171BE0"/>
    <w:rsid w:val="00171D79"/>
    <w:rsid w:val="00172BD2"/>
    <w:rsid w:val="00172D6D"/>
    <w:rsid w:val="0017314E"/>
    <w:rsid w:val="001746F8"/>
    <w:rsid w:val="001756CB"/>
    <w:rsid w:val="00176738"/>
    <w:rsid w:val="0017754B"/>
    <w:rsid w:val="00181213"/>
    <w:rsid w:val="001815DD"/>
    <w:rsid w:val="0018186D"/>
    <w:rsid w:val="001828EA"/>
    <w:rsid w:val="001829A4"/>
    <w:rsid w:val="00182F9A"/>
    <w:rsid w:val="00183567"/>
    <w:rsid w:val="0018387E"/>
    <w:rsid w:val="001840C2"/>
    <w:rsid w:val="001846D9"/>
    <w:rsid w:val="001856DE"/>
    <w:rsid w:val="00187EA9"/>
    <w:rsid w:val="001904E3"/>
    <w:rsid w:val="00190880"/>
    <w:rsid w:val="00190F37"/>
    <w:rsid w:val="001913B0"/>
    <w:rsid w:val="00191905"/>
    <w:rsid w:val="00191B52"/>
    <w:rsid w:val="0019210B"/>
    <w:rsid w:val="00192482"/>
    <w:rsid w:val="0019281A"/>
    <w:rsid w:val="001929C2"/>
    <w:rsid w:val="00192E17"/>
    <w:rsid w:val="0019307C"/>
    <w:rsid w:val="0019484D"/>
    <w:rsid w:val="00195677"/>
    <w:rsid w:val="00195BDD"/>
    <w:rsid w:val="00196552"/>
    <w:rsid w:val="001966BE"/>
    <w:rsid w:val="001A0BBA"/>
    <w:rsid w:val="001A1A42"/>
    <w:rsid w:val="001A2158"/>
    <w:rsid w:val="001A2C74"/>
    <w:rsid w:val="001A45EB"/>
    <w:rsid w:val="001A49F5"/>
    <w:rsid w:val="001A5452"/>
    <w:rsid w:val="001A5C99"/>
    <w:rsid w:val="001A6F64"/>
    <w:rsid w:val="001B049E"/>
    <w:rsid w:val="001B1607"/>
    <w:rsid w:val="001B1715"/>
    <w:rsid w:val="001B3B99"/>
    <w:rsid w:val="001B5725"/>
    <w:rsid w:val="001B5DB5"/>
    <w:rsid w:val="001B5FE2"/>
    <w:rsid w:val="001B625E"/>
    <w:rsid w:val="001B6594"/>
    <w:rsid w:val="001B6A5F"/>
    <w:rsid w:val="001B6F07"/>
    <w:rsid w:val="001B714A"/>
    <w:rsid w:val="001C02C3"/>
    <w:rsid w:val="001C1708"/>
    <w:rsid w:val="001C21A8"/>
    <w:rsid w:val="001C3364"/>
    <w:rsid w:val="001C3CF1"/>
    <w:rsid w:val="001C3D3D"/>
    <w:rsid w:val="001C3F4B"/>
    <w:rsid w:val="001C4774"/>
    <w:rsid w:val="001C5EEE"/>
    <w:rsid w:val="001C6D3F"/>
    <w:rsid w:val="001C7262"/>
    <w:rsid w:val="001C7AC9"/>
    <w:rsid w:val="001D03FD"/>
    <w:rsid w:val="001D1836"/>
    <w:rsid w:val="001D4045"/>
    <w:rsid w:val="001D45E0"/>
    <w:rsid w:val="001D48D6"/>
    <w:rsid w:val="001D49CA"/>
    <w:rsid w:val="001D5B15"/>
    <w:rsid w:val="001D5B8B"/>
    <w:rsid w:val="001D68E4"/>
    <w:rsid w:val="001D6D78"/>
    <w:rsid w:val="001D7E82"/>
    <w:rsid w:val="001E0328"/>
    <w:rsid w:val="001E080E"/>
    <w:rsid w:val="001E1494"/>
    <w:rsid w:val="001E18AA"/>
    <w:rsid w:val="001E268C"/>
    <w:rsid w:val="001E298E"/>
    <w:rsid w:val="001E2AC0"/>
    <w:rsid w:val="001E36F1"/>
    <w:rsid w:val="001E55D6"/>
    <w:rsid w:val="001E5D33"/>
    <w:rsid w:val="001E7E99"/>
    <w:rsid w:val="001F07C6"/>
    <w:rsid w:val="001F0C12"/>
    <w:rsid w:val="001F26A4"/>
    <w:rsid w:val="001F2B51"/>
    <w:rsid w:val="001F3B29"/>
    <w:rsid w:val="001F498D"/>
    <w:rsid w:val="001F4A13"/>
    <w:rsid w:val="001F5AAA"/>
    <w:rsid w:val="001F6405"/>
    <w:rsid w:val="001F665F"/>
    <w:rsid w:val="001F69E6"/>
    <w:rsid w:val="001F72EA"/>
    <w:rsid w:val="001F77AE"/>
    <w:rsid w:val="001F78C1"/>
    <w:rsid w:val="0020010E"/>
    <w:rsid w:val="002003A6"/>
    <w:rsid w:val="00200955"/>
    <w:rsid w:val="00200D81"/>
    <w:rsid w:val="00200F12"/>
    <w:rsid w:val="00201E68"/>
    <w:rsid w:val="00202E86"/>
    <w:rsid w:val="0020323E"/>
    <w:rsid w:val="002032FA"/>
    <w:rsid w:val="00203344"/>
    <w:rsid w:val="00203645"/>
    <w:rsid w:val="0020417A"/>
    <w:rsid w:val="00204CE5"/>
    <w:rsid w:val="002057B2"/>
    <w:rsid w:val="00205B36"/>
    <w:rsid w:val="00207AD5"/>
    <w:rsid w:val="00207B28"/>
    <w:rsid w:val="00207C51"/>
    <w:rsid w:val="00207F5C"/>
    <w:rsid w:val="002102FC"/>
    <w:rsid w:val="00211584"/>
    <w:rsid w:val="00211DEB"/>
    <w:rsid w:val="0021224A"/>
    <w:rsid w:val="00212C3A"/>
    <w:rsid w:val="00213457"/>
    <w:rsid w:val="002139E1"/>
    <w:rsid w:val="00213A7B"/>
    <w:rsid w:val="00213C66"/>
    <w:rsid w:val="00214E7F"/>
    <w:rsid w:val="00215892"/>
    <w:rsid w:val="002158EE"/>
    <w:rsid w:val="00215F01"/>
    <w:rsid w:val="00217D17"/>
    <w:rsid w:val="00217D2C"/>
    <w:rsid w:val="002210A7"/>
    <w:rsid w:val="002214A7"/>
    <w:rsid w:val="002219F9"/>
    <w:rsid w:val="00221AB9"/>
    <w:rsid w:val="00221E58"/>
    <w:rsid w:val="002238C7"/>
    <w:rsid w:val="00225CC0"/>
    <w:rsid w:val="002261D9"/>
    <w:rsid w:val="00226906"/>
    <w:rsid w:val="002275E9"/>
    <w:rsid w:val="00227B81"/>
    <w:rsid w:val="00230281"/>
    <w:rsid w:val="00230405"/>
    <w:rsid w:val="002353D5"/>
    <w:rsid w:val="00235D0D"/>
    <w:rsid w:val="002373CD"/>
    <w:rsid w:val="00237418"/>
    <w:rsid w:val="002402BB"/>
    <w:rsid w:val="00240C64"/>
    <w:rsid w:val="0024276C"/>
    <w:rsid w:val="00242845"/>
    <w:rsid w:val="00243AF8"/>
    <w:rsid w:val="00243E20"/>
    <w:rsid w:val="00245415"/>
    <w:rsid w:val="00245CFF"/>
    <w:rsid w:val="00246B66"/>
    <w:rsid w:val="00247293"/>
    <w:rsid w:val="00247300"/>
    <w:rsid w:val="00247BAF"/>
    <w:rsid w:val="002504CC"/>
    <w:rsid w:val="00251BC5"/>
    <w:rsid w:val="00252C16"/>
    <w:rsid w:val="00254EF1"/>
    <w:rsid w:val="0025559B"/>
    <w:rsid w:val="00256D7D"/>
    <w:rsid w:val="00257620"/>
    <w:rsid w:val="00257DCD"/>
    <w:rsid w:val="00257FA7"/>
    <w:rsid w:val="002600D0"/>
    <w:rsid w:val="00260520"/>
    <w:rsid w:val="0026062F"/>
    <w:rsid w:val="002611EC"/>
    <w:rsid w:val="00261B20"/>
    <w:rsid w:val="00261E8E"/>
    <w:rsid w:val="0026237F"/>
    <w:rsid w:val="00262823"/>
    <w:rsid w:val="0026420B"/>
    <w:rsid w:val="002644B5"/>
    <w:rsid w:val="002648FA"/>
    <w:rsid w:val="0026565F"/>
    <w:rsid w:val="0026756D"/>
    <w:rsid w:val="002707C9"/>
    <w:rsid w:val="0027097B"/>
    <w:rsid w:val="00271A34"/>
    <w:rsid w:val="00272E98"/>
    <w:rsid w:val="00272F18"/>
    <w:rsid w:val="0027307A"/>
    <w:rsid w:val="0027363F"/>
    <w:rsid w:val="00273A7B"/>
    <w:rsid w:val="0027442F"/>
    <w:rsid w:val="00274576"/>
    <w:rsid w:val="00274BAD"/>
    <w:rsid w:val="00274E87"/>
    <w:rsid w:val="00274F28"/>
    <w:rsid w:val="0027558B"/>
    <w:rsid w:val="00276496"/>
    <w:rsid w:val="002778CA"/>
    <w:rsid w:val="002779FC"/>
    <w:rsid w:val="00277C46"/>
    <w:rsid w:val="00280A6D"/>
    <w:rsid w:val="002811C4"/>
    <w:rsid w:val="0028184E"/>
    <w:rsid w:val="0028270A"/>
    <w:rsid w:val="00282F9C"/>
    <w:rsid w:val="00283A56"/>
    <w:rsid w:val="0028410A"/>
    <w:rsid w:val="00286A4D"/>
    <w:rsid w:val="00290147"/>
    <w:rsid w:val="0029131E"/>
    <w:rsid w:val="0029194C"/>
    <w:rsid w:val="002923C2"/>
    <w:rsid w:val="00292BE0"/>
    <w:rsid w:val="002958D5"/>
    <w:rsid w:val="00295B19"/>
    <w:rsid w:val="00296112"/>
    <w:rsid w:val="00296C0F"/>
    <w:rsid w:val="00297DA2"/>
    <w:rsid w:val="002A1096"/>
    <w:rsid w:val="002A13EA"/>
    <w:rsid w:val="002A1A76"/>
    <w:rsid w:val="002A1CB7"/>
    <w:rsid w:val="002A2B3E"/>
    <w:rsid w:val="002A3231"/>
    <w:rsid w:val="002A4B28"/>
    <w:rsid w:val="002A56D1"/>
    <w:rsid w:val="002A57FB"/>
    <w:rsid w:val="002A5E09"/>
    <w:rsid w:val="002A5E56"/>
    <w:rsid w:val="002A6014"/>
    <w:rsid w:val="002A6CBC"/>
    <w:rsid w:val="002A6FFE"/>
    <w:rsid w:val="002A7DC1"/>
    <w:rsid w:val="002B078D"/>
    <w:rsid w:val="002B1188"/>
    <w:rsid w:val="002B1A85"/>
    <w:rsid w:val="002B25FC"/>
    <w:rsid w:val="002B2751"/>
    <w:rsid w:val="002B3B80"/>
    <w:rsid w:val="002B51DF"/>
    <w:rsid w:val="002B635C"/>
    <w:rsid w:val="002B6F71"/>
    <w:rsid w:val="002C18C2"/>
    <w:rsid w:val="002C24F1"/>
    <w:rsid w:val="002C2FF6"/>
    <w:rsid w:val="002C4D48"/>
    <w:rsid w:val="002C5763"/>
    <w:rsid w:val="002C5CDB"/>
    <w:rsid w:val="002C7171"/>
    <w:rsid w:val="002C7EE6"/>
    <w:rsid w:val="002D0A1C"/>
    <w:rsid w:val="002D11A4"/>
    <w:rsid w:val="002D1455"/>
    <w:rsid w:val="002D186E"/>
    <w:rsid w:val="002D4137"/>
    <w:rsid w:val="002E0100"/>
    <w:rsid w:val="002E0502"/>
    <w:rsid w:val="002E0B0E"/>
    <w:rsid w:val="002E0E5D"/>
    <w:rsid w:val="002E1082"/>
    <w:rsid w:val="002E126F"/>
    <w:rsid w:val="002E1308"/>
    <w:rsid w:val="002E151E"/>
    <w:rsid w:val="002E29ED"/>
    <w:rsid w:val="002E2CD7"/>
    <w:rsid w:val="002E42C7"/>
    <w:rsid w:val="002E4E2A"/>
    <w:rsid w:val="002E64DA"/>
    <w:rsid w:val="002E71B3"/>
    <w:rsid w:val="002E78AD"/>
    <w:rsid w:val="002F13A0"/>
    <w:rsid w:val="002F1F7A"/>
    <w:rsid w:val="002F2C87"/>
    <w:rsid w:val="002F38A3"/>
    <w:rsid w:val="002F4467"/>
    <w:rsid w:val="002F5DC1"/>
    <w:rsid w:val="002F6390"/>
    <w:rsid w:val="002F6F23"/>
    <w:rsid w:val="002F7498"/>
    <w:rsid w:val="002F7BBC"/>
    <w:rsid w:val="00301491"/>
    <w:rsid w:val="00302507"/>
    <w:rsid w:val="00303312"/>
    <w:rsid w:val="00303A18"/>
    <w:rsid w:val="00304E3C"/>
    <w:rsid w:val="00305B3F"/>
    <w:rsid w:val="00306209"/>
    <w:rsid w:val="003078A4"/>
    <w:rsid w:val="00310038"/>
    <w:rsid w:val="00310265"/>
    <w:rsid w:val="00310960"/>
    <w:rsid w:val="003119E3"/>
    <w:rsid w:val="00311E8F"/>
    <w:rsid w:val="0031211D"/>
    <w:rsid w:val="00312827"/>
    <w:rsid w:val="0031368C"/>
    <w:rsid w:val="003137A0"/>
    <w:rsid w:val="003140C4"/>
    <w:rsid w:val="00314DA9"/>
    <w:rsid w:val="00315A37"/>
    <w:rsid w:val="00315B34"/>
    <w:rsid w:val="0031636D"/>
    <w:rsid w:val="0031670D"/>
    <w:rsid w:val="003170E5"/>
    <w:rsid w:val="003170EA"/>
    <w:rsid w:val="003177EF"/>
    <w:rsid w:val="003205B6"/>
    <w:rsid w:val="003209E7"/>
    <w:rsid w:val="00320F56"/>
    <w:rsid w:val="00321E67"/>
    <w:rsid w:val="003232D0"/>
    <w:rsid w:val="00323316"/>
    <w:rsid w:val="00323801"/>
    <w:rsid w:val="00324B3E"/>
    <w:rsid w:val="00325F1C"/>
    <w:rsid w:val="0033100D"/>
    <w:rsid w:val="00333CF8"/>
    <w:rsid w:val="00333FAF"/>
    <w:rsid w:val="00334476"/>
    <w:rsid w:val="00336847"/>
    <w:rsid w:val="00340E2E"/>
    <w:rsid w:val="003411F8"/>
    <w:rsid w:val="003415C5"/>
    <w:rsid w:val="003424AD"/>
    <w:rsid w:val="00342C3A"/>
    <w:rsid w:val="00342FE6"/>
    <w:rsid w:val="00344162"/>
    <w:rsid w:val="00344469"/>
    <w:rsid w:val="00344AD1"/>
    <w:rsid w:val="00344C1D"/>
    <w:rsid w:val="003457FA"/>
    <w:rsid w:val="003461E0"/>
    <w:rsid w:val="00347113"/>
    <w:rsid w:val="00347A56"/>
    <w:rsid w:val="0035047A"/>
    <w:rsid w:val="00351397"/>
    <w:rsid w:val="003526D1"/>
    <w:rsid w:val="00353461"/>
    <w:rsid w:val="00353F28"/>
    <w:rsid w:val="00355975"/>
    <w:rsid w:val="00356F31"/>
    <w:rsid w:val="00357AD2"/>
    <w:rsid w:val="00360991"/>
    <w:rsid w:val="003612A3"/>
    <w:rsid w:val="00361C0F"/>
    <w:rsid w:val="003628E6"/>
    <w:rsid w:val="00362C8C"/>
    <w:rsid w:val="00362DCD"/>
    <w:rsid w:val="00363D81"/>
    <w:rsid w:val="003640FB"/>
    <w:rsid w:val="00365C3C"/>
    <w:rsid w:val="0036625A"/>
    <w:rsid w:val="00366441"/>
    <w:rsid w:val="003665D0"/>
    <w:rsid w:val="00366CB8"/>
    <w:rsid w:val="00370015"/>
    <w:rsid w:val="00370041"/>
    <w:rsid w:val="003706B1"/>
    <w:rsid w:val="003716AB"/>
    <w:rsid w:val="00371A47"/>
    <w:rsid w:val="00371C22"/>
    <w:rsid w:val="00372137"/>
    <w:rsid w:val="003725FF"/>
    <w:rsid w:val="0037346D"/>
    <w:rsid w:val="0037370D"/>
    <w:rsid w:val="00374391"/>
    <w:rsid w:val="0037447D"/>
    <w:rsid w:val="003753B9"/>
    <w:rsid w:val="003756F0"/>
    <w:rsid w:val="0037622C"/>
    <w:rsid w:val="003762AA"/>
    <w:rsid w:val="00376ACA"/>
    <w:rsid w:val="00376C32"/>
    <w:rsid w:val="00377C5F"/>
    <w:rsid w:val="0038052D"/>
    <w:rsid w:val="0038097E"/>
    <w:rsid w:val="00381FA3"/>
    <w:rsid w:val="00384667"/>
    <w:rsid w:val="003850A7"/>
    <w:rsid w:val="003879A6"/>
    <w:rsid w:val="00390421"/>
    <w:rsid w:val="003912F8"/>
    <w:rsid w:val="003919D4"/>
    <w:rsid w:val="0039293D"/>
    <w:rsid w:val="00392954"/>
    <w:rsid w:val="00392B40"/>
    <w:rsid w:val="00393A46"/>
    <w:rsid w:val="00394C54"/>
    <w:rsid w:val="00394FD8"/>
    <w:rsid w:val="00395189"/>
    <w:rsid w:val="003960B8"/>
    <w:rsid w:val="0039666C"/>
    <w:rsid w:val="00396E53"/>
    <w:rsid w:val="00396EB0"/>
    <w:rsid w:val="003A11AE"/>
    <w:rsid w:val="003A1A6A"/>
    <w:rsid w:val="003A235B"/>
    <w:rsid w:val="003A2B1B"/>
    <w:rsid w:val="003A31A3"/>
    <w:rsid w:val="003A3688"/>
    <w:rsid w:val="003A3B7E"/>
    <w:rsid w:val="003A3EE7"/>
    <w:rsid w:val="003A5BDE"/>
    <w:rsid w:val="003A5EB7"/>
    <w:rsid w:val="003A6583"/>
    <w:rsid w:val="003A6686"/>
    <w:rsid w:val="003A6801"/>
    <w:rsid w:val="003B055B"/>
    <w:rsid w:val="003B1DCD"/>
    <w:rsid w:val="003B2594"/>
    <w:rsid w:val="003B31F2"/>
    <w:rsid w:val="003B366E"/>
    <w:rsid w:val="003B4142"/>
    <w:rsid w:val="003B48F2"/>
    <w:rsid w:val="003B7D11"/>
    <w:rsid w:val="003C0714"/>
    <w:rsid w:val="003C0B66"/>
    <w:rsid w:val="003C305C"/>
    <w:rsid w:val="003C3610"/>
    <w:rsid w:val="003C383F"/>
    <w:rsid w:val="003C4CD1"/>
    <w:rsid w:val="003C56D5"/>
    <w:rsid w:val="003C5B5C"/>
    <w:rsid w:val="003C5F34"/>
    <w:rsid w:val="003C6909"/>
    <w:rsid w:val="003D06A4"/>
    <w:rsid w:val="003D141C"/>
    <w:rsid w:val="003D29F4"/>
    <w:rsid w:val="003D312D"/>
    <w:rsid w:val="003D368A"/>
    <w:rsid w:val="003D3CD3"/>
    <w:rsid w:val="003D4C38"/>
    <w:rsid w:val="003D7271"/>
    <w:rsid w:val="003D7DF5"/>
    <w:rsid w:val="003E00DF"/>
    <w:rsid w:val="003E053E"/>
    <w:rsid w:val="003E090E"/>
    <w:rsid w:val="003E1E0F"/>
    <w:rsid w:val="003E2BEE"/>
    <w:rsid w:val="003E33F2"/>
    <w:rsid w:val="003E420A"/>
    <w:rsid w:val="003E46A4"/>
    <w:rsid w:val="003E4A2A"/>
    <w:rsid w:val="003E6607"/>
    <w:rsid w:val="003E662E"/>
    <w:rsid w:val="003E703B"/>
    <w:rsid w:val="003E7315"/>
    <w:rsid w:val="003E78FD"/>
    <w:rsid w:val="003E7C67"/>
    <w:rsid w:val="003F09CD"/>
    <w:rsid w:val="003F2D02"/>
    <w:rsid w:val="003F325A"/>
    <w:rsid w:val="003F32C1"/>
    <w:rsid w:val="003F3BBB"/>
    <w:rsid w:val="003F3E00"/>
    <w:rsid w:val="003F4BFD"/>
    <w:rsid w:val="003F5EC0"/>
    <w:rsid w:val="003F5F24"/>
    <w:rsid w:val="003F60CC"/>
    <w:rsid w:val="00400D1A"/>
    <w:rsid w:val="00401A20"/>
    <w:rsid w:val="004022D2"/>
    <w:rsid w:val="00402388"/>
    <w:rsid w:val="004029D4"/>
    <w:rsid w:val="00405429"/>
    <w:rsid w:val="00405764"/>
    <w:rsid w:val="00405848"/>
    <w:rsid w:val="00405EFA"/>
    <w:rsid w:val="00406602"/>
    <w:rsid w:val="00406709"/>
    <w:rsid w:val="00406EFB"/>
    <w:rsid w:val="004102C1"/>
    <w:rsid w:val="004118B7"/>
    <w:rsid w:val="00411A40"/>
    <w:rsid w:val="00413A1B"/>
    <w:rsid w:val="00414978"/>
    <w:rsid w:val="00415395"/>
    <w:rsid w:val="00415ACE"/>
    <w:rsid w:val="004164B6"/>
    <w:rsid w:val="0041665B"/>
    <w:rsid w:val="004166BE"/>
    <w:rsid w:val="00416C15"/>
    <w:rsid w:val="00416F88"/>
    <w:rsid w:val="00417997"/>
    <w:rsid w:val="00417DB3"/>
    <w:rsid w:val="0042096D"/>
    <w:rsid w:val="00421651"/>
    <w:rsid w:val="00421A5A"/>
    <w:rsid w:val="004220D8"/>
    <w:rsid w:val="00423C60"/>
    <w:rsid w:val="00424783"/>
    <w:rsid w:val="00424B66"/>
    <w:rsid w:val="00424DCC"/>
    <w:rsid w:val="00424E48"/>
    <w:rsid w:val="00425312"/>
    <w:rsid w:val="00425BD7"/>
    <w:rsid w:val="00426023"/>
    <w:rsid w:val="00426142"/>
    <w:rsid w:val="004261DD"/>
    <w:rsid w:val="004262FC"/>
    <w:rsid w:val="00431A02"/>
    <w:rsid w:val="00432195"/>
    <w:rsid w:val="004328A5"/>
    <w:rsid w:val="00433BC6"/>
    <w:rsid w:val="00433DE7"/>
    <w:rsid w:val="004357CD"/>
    <w:rsid w:val="00436DC0"/>
    <w:rsid w:val="004376C0"/>
    <w:rsid w:val="00437FB5"/>
    <w:rsid w:val="004407A8"/>
    <w:rsid w:val="00440F85"/>
    <w:rsid w:val="004413F9"/>
    <w:rsid w:val="0044143E"/>
    <w:rsid w:val="004414EE"/>
    <w:rsid w:val="00441B2C"/>
    <w:rsid w:val="004429DB"/>
    <w:rsid w:val="00442F55"/>
    <w:rsid w:val="00443A4C"/>
    <w:rsid w:val="00443D43"/>
    <w:rsid w:val="004444B0"/>
    <w:rsid w:val="004467E3"/>
    <w:rsid w:val="00447B7E"/>
    <w:rsid w:val="00447C51"/>
    <w:rsid w:val="00447C84"/>
    <w:rsid w:val="00447CF8"/>
    <w:rsid w:val="004503B5"/>
    <w:rsid w:val="00450852"/>
    <w:rsid w:val="00450BAB"/>
    <w:rsid w:val="00451064"/>
    <w:rsid w:val="00451532"/>
    <w:rsid w:val="00454843"/>
    <w:rsid w:val="00454D4C"/>
    <w:rsid w:val="00455294"/>
    <w:rsid w:val="00456B20"/>
    <w:rsid w:val="00457249"/>
    <w:rsid w:val="00461070"/>
    <w:rsid w:val="00462615"/>
    <w:rsid w:val="004640E0"/>
    <w:rsid w:val="0046446C"/>
    <w:rsid w:val="004669EE"/>
    <w:rsid w:val="00470943"/>
    <w:rsid w:val="00471026"/>
    <w:rsid w:val="0047112C"/>
    <w:rsid w:val="00472D8F"/>
    <w:rsid w:val="0047325F"/>
    <w:rsid w:val="00475ECD"/>
    <w:rsid w:val="00476B97"/>
    <w:rsid w:val="00476E5A"/>
    <w:rsid w:val="00476FB3"/>
    <w:rsid w:val="0047795C"/>
    <w:rsid w:val="00477AF0"/>
    <w:rsid w:val="004805B2"/>
    <w:rsid w:val="00480E72"/>
    <w:rsid w:val="00480EB3"/>
    <w:rsid w:val="0048107C"/>
    <w:rsid w:val="004819AA"/>
    <w:rsid w:val="00481D78"/>
    <w:rsid w:val="004838A5"/>
    <w:rsid w:val="0048439F"/>
    <w:rsid w:val="004850AF"/>
    <w:rsid w:val="0048559E"/>
    <w:rsid w:val="0048640F"/>
    <w:rsid w:val="00487602"/>
    <w:rsid w:val="004901E9"/>
    <w:rsid w:val="00490326"/>
    <w:rsid w:val="004911E1"/>
    <w:rsid w:val="00492717"/>
    <w:rsid w:val="00494379"/>
    <w:rsid w:val="00494527"/>
    <w:rsid w:val="0049475A"/>
    <w:rsid w:val="00494F14"/>
    <w:rsid w:val="00495E2C"/>
    <w:rsid w:val="00495E5C"/>
    <w:rsid w:val="00495F90"/>
    <w:rsid w:val="004966A7"/>
    <w:rsid w:val="00496744"/>
    <w:rsid w:val="00497470"/>
    <w:rsid w:val="00497D85"/>
    <w:rsid w:val="004A04C4"/>
    <w:rsid w:val="004A0867"/>
    <w:rsid w:val="004A0C01"/>
    <w:rsid w:val="004A1D20"/>
    <w:rsid w:val="004A2A08"/>
    <w:rsid w:val="004A412A"/>
    <w:rsid w:val="004A4B7F"/>
    <w:rsid w:val="004A584E"/>
    <w:rsid w:val="004A6AD2"/>
    <w:rsid w:val="004A7453"/>
    <w:rsid w:val="004A7455"/>
    <w:rsid w:val="004A75DD"/>
    <w:rsid w:val="004A7FC7"/>
    <w:rsid w:val="004B02B5"/>
    <w:rsid w:val="004B1119"/>
    <w:rsid w:val="004B1C8D"/>
    <w:rsid w:val="004B21DC"/>
    <w:rsid w:val="004B2DC8"/>
    <w:rsid w:val="004B31C8"/>
    <w:rsid w:val="004B4C02"/>
    <w:rsid w:val="004B5656"/>
    <w:rsid w:val="004B5B6B"/>
    <w:rsid w:val="004B6ABC"/>
    <w:rsid w:val="004B700A"/>
    <w:rsid w:val="004C04CF"/>
    <w:rsid w:val="004C0816"/>
    <w:rsid w:val="004C10F2"/>
    <w:rsid w:val="004C119F"/>
    <w:rsid w:val="004C181B"/>
    <w:rsid w:val="004C31BA"/>
    <w:rsid w:val="004C33CF"/>
    <w:rsid w:val="004C415A"/>
    <w:rsid w:val="004C57A8"/>
    <w:rsid w:val="004C5ADD"/>
    <w:rsid w:val="004C5CEA"/>
    <w:rsid w:val="004C5E71"/>
    <w:rsid w:val="004C5EF2"/>
    <w:rsid w:val="004C61FE"/>
    <w:rsid w:val="004C78AA"/>
    <w:rsid w:val="004C7C49"/>
    <w:rsid w:val="004D06C3"/>
    <w:rsid w:val="004D0785"/>
    <w:rsid w:val="004D096F"/>
    <w:rsid w:val="004D0B74"/>
    <w:rsid w:val="004D1344"/>
    <w:rsid w:val="004D3BF3"/>
    <w:rsid w:val="004D459F"/>
    <w:rsid w:val="004D4CCD"/>
    <w:rsid w:val="004D5E6D"/>
    <w:rsid w:val="004D6801"/>
    <w:rsid w:val="004D6BFE"/>
    <w:rsid w:val="004D7038"/>
    <w:rsid w:val="004D7727"/>
    <w:rsid w:val="004E031E"/>
    <w:rsid w:val="004E1B39"/>
    <w:rsid w:val="004E2953"/>
    <w:rsid w:val="004E3CC9"/>
    <w:rsid w:val="004E3FEA"/>
    <w:rsid w:val="004E4310"/>
    <w:rsid w:val="004E43C0"/>
    <w:rsid w:val="004E477E"/>
    <w:rsid w:val="004E4BC5"/>
    <w:rsid w:val="004E605E"/>
    <w:rsid w:val="004E6E76"/>
    <w:rsid w:val="004E781D"/>
    <w:rsid w:val="004E7A87"/>
    <w:rsid w:val="004F08AC"/>
    <w:rsid w:val="004F0953"/>
    <w:rsid w:val="004F110F"/>
    <w:rsid w:val="004F14CA"/>
    <w:rsid w:val="004F1C20"/>
    <w:rsid w:val="004F2D39"/>
    <w:rsid w:val="004F30D0"/>
    <w:rsid w:val="004F4230"/>
    <w:rsid w:val="004F44DF"/>
    <w:rsid w:val="004F4934"/>
    <w:rsid w:val="004F4AE6"/>
    <w:rsid w:val="004F4FD2"/>
    <w:rsid w:val="004F5D56"/>
    <w:rsid w:val="004F6935"/>
    <w:rsid w:val="004F6C5D"/>
    <w:rsid w:val="004F6DFB"/>
    <w:rsid w:val="0050050A"/>
    <w:rsid w:val="005008B3"/>
    <w:rsid w:val="00500CBE"/>
    <w:rsid w:val="00500E93"/>
    <w:rsid w:val="0050187B"/>
    <w:rsid w:val="00502423"/>
    <w:rsid w:val="0050257B"/>
    <w:rsid w:val="005028F7"/>
    <w:rsid w:val="005031CD"/>
    <w:rsid w:val="005062F9"/>
    <w:rsid w:val="00506341"/>
    <w:rsid w:val="00507065"/>
    <w:rsid w:val="005079DC"/>
    <w:rsid w:val="00507F0F"/>
    <w:rsid w:val="005117A7"/>
    <w:rsid w:val="00511BE5"/>
    <w:rsid w:val="00511D7A"/>
    <w:rsid w:val="005125EA"/>
    <w:rsid w:val="00512E35"/>
    <w:rsid w:val="00513759"/>
    <w:rsid w:val="00514B4D"/>
    <w:rsid w:val="00516535"/>
    <w:rsid w:val="005165EB"/>
    <w:rsid w:val="005168C4"/>
    <w:rsid w:val="0051773D"/>
    <w:rsid w:val="00517F39"/>
    <w:rsid w:val="00517FF7"/>
    <w:rsid w:val="00521391"/>
    <w:rsid w:val="005220FB"/>
    <w:rsid w:val="00527332"/>
    <w:rsid w:val="005277AA"/>
    <w:rsid w:val="00527D0E"/>
    <w:rsid w:val="00530112"/>
    <w:rsid w:val="00530F82"/>
    <w:rsid w:val="00531B93"/>
    <w:rsid w:val="0053223A"/>
    <w:rsid w:val="00533C3D"/>
    <w:rsid w:val="0053426B"/>
    <w:rsid w:val="005342B1"/>
    <w:rsid w:val="00535343"/>
    <w:rsid w:val="005367FD"/>
    <w:rsid w:val="00536AC1"/>
    <w:rsid w:val="00537B51"/>
    <w:rsid w:val="00540001"/>
    <w:rsid w:val="00540D27"/>
    <w:rsid w:val="00541427"/>
    <w:rsid w:val="00541559"/>
    <w:rsid w:val="005420AB"/>
    <w:rsid w:val="0054230B"/>
    <w:rsid w:val="00543589"/>
    <w:rsid w:val="00544BC2"/>
    <w:rsid w:val="00544C84"/>
    <w:rsid w:val="0054660D"/>
    <w:rsid w:val="005467D3"/>
    <w:rsid w:val="00546D51"/>
    <w:rsid w:val="00547580"/>
    <w:rsid w:val="00551A7C"/>
    <w:rsid w:val="00552674"/>
    <w:rsid w:val="00553B02"/>
    <w:rsid w:val="00554164"/>
    <w:rsid w:val="00554B99"/>
    <w:rsid w:val="005555D2"/>
    <w:rsid w:val="005557F0"/>
    <w:rsid w:val="00556952"/>
    <w:rsid w:val="00560CE5"/>
    <w:rsid w:val="00561BA3"/>
    <w:rsid w:val="0056265D"/>
    <w:rsid w:val="005627A7"/>
    <w:rsid w:val="0056329A"/>
    <w:rsid w:val="00563C6E"/>
    <w:rsid w:val="00564E7E"/>
    <w:rsid w:val="005659CE"/>
    <w:rsid w:val="00565C3D"/>
    <w:rsid w:val="005660DF"/>
    <w:rsid w:val="005724A8"/>
    <w:rsid w:val="005724FD"/>
    <w:rsid w:val="00572610"/>
    <w:rsid w:val="00572CFA"/>
    <w:rsid w:val="0057400D"/>
    <w:rsid w:val="0057421D"/>
    <w:rsid w:val="005749A7"/>
    <w:rsid w:val="00574F42"/>
    <w:rsid w:val="00575BF5"/>
    <w:rsid w:val="005760F9"/>
    <w:rsid w:val="005769E2"/>
    <w:rsid w:val="00576A66"/>
    <w:rsid w:val="00577191"/>
    <w:rsid w:val="00577966"/>
    <w:rsid w:val="005801E5"/>
    <w:rsid w:val="005808CA"/>
    <w:rsid w:val="00580F3D"/>
    <w:rsid w:val="00582B84"/>
    <w:rsid w:val="00582CCE"/>
    <w:rsid w:val="00584539"/>
    <w:rsid w:val="0058517F"/>
    <w:rsid w:val="00585A95"/>
    <w:rsid w:val="00585DA7"/>
    <w:rsid w:val="00585FB1"/>
    <w:rsid w:val="00586CC2"/>
    <w:rsid w:val="00586D10"/>
    <w:rsid w:val="0059093B"/>
    <w:rsid w:val="00590985"/>
    <w:rsid w:val="005915BF"/>
    <w:rsid w:val="00591B19"/>
    <w:rsid w:val="00592753"/>
    <w:rsid w:val="00592A89"/>
    <w:rsid w:val="00595992"/>
    <w:rsid w:val="005968F3"/>
    <w:rsid w:val="00597030"/>
    <w:rsid w:val="00597A7F"/>
    <w:rsid w:val="005A093C"/>
    <w:rsid w:val="005A0E0D"/>
    <w:rsid w:val="005A1C45"/>
    <w:rsid w:val="005A2CC8"/>
    <w:rsid w:val="005A349E"/>
    <w:rsid w:val="005A3AFA"/>
    <w:rsid w:val="005A4537"/>
    <w:rsid w:val="005A4A55"/>
    <w:rsid w:val="005A6161"/>
    <w:rsid w:val="005B0379"/>
    <w:rsid w:val="005B11F9"/>
    <w:rsid w:val="005B16CC"/>
    <w:rsid w:val="005B17A3"/>
    <w:rsid w:val="005B1AA1"/>
    <w:rsid w:val="005B1D53"/>
    <w:rsid w:val="005B251C"/>
    <w:rsid w:val="005B259E"/>
    <w:rsid w:val="005B27DA"/>
    <w:rsid w:val="005B3379"/>
    <w:rsid w:val="005B34ED"/>
    <w:rsid w:val="005B4235"/>
    <w:rsid w:val="005B4568"/>
    <w:rsid w:val="005B46C7"/>
    <w:rsid w:val="005B5C7D"/>
    <w:rsid w:val="005B5FB4"/>
    <w:rsid w:val="005B62DC"/>
    <w:rsid w:val="005B6859"/>
    <w:rsid w:val="005B6D42"/>
    <w:rsid w:val="005B7081"/>
    <w:rsid w:val="005B7F09"/>
    <w:rsid w:val="005C2151"/>
    <w:rsid w:val="005C436C"/>
    <w:rsid w:val="005C4415"/>
    <w:rsid w:val="005C48F2"/>
    <w:rsid w:val="005C544C"/>
    <w:rsid w:val="005C5574"/>
    <w:rsid w:val="005C614C"/>
    <w:rsid w:val="005C62B4"/>
    <w:rsid w:val="005C6C58"/>
    <w:rsid w:val="005C781A"/>
    <w:rsid w:val="005D1EDE"/>
    <w:rsid w:val="005D30F2"/>
    <w:rsid w:val="005D3B5A"/>
    <w:rsid w:val="005D3DDD"/>
    <w:rsid w:val="005D4476"/>
    <w:rsid w:val="005D4D71"/>
    <w:rsid w:val="005D6B9A"/>
    <w:rsid w:val="005D6FDD"/>
    <w:rsid w:val="005D7E1C"/>
    <w:rsid w:val="005E0D7C"/>
    <w:rsid w:val="005E13B6"/>
    <w:rsid w:val="005E17DC"/>
    <w:rsid w:val="005E23DE"/>
    <w:rsid w:val="005E3051"/>
    <w:rsid w:val="005E3267"/>
    <w:rsid w:val="005E3C7C"/>
    <w:rsid w:val="005E4222"/>
    <w:rsid w:val="005E53B6"/>
    <w:rsid w:val="005E64C4"/>
    <w:rsid w:val="005E6DB4"/>
    <w:rsid w:val="005E72C7"/>
    <w:rsid w:val="005E73AB"/>
    <w:rsid w:val="005E7D63"/>
    <w:rsid w:val="005F029B"/>
    <w:rsid w:val="005F1906"/>
    <w:rsid w:val="005F1BC8"/>
    <w:rsid w:val="005F1ED5"/>
    <w:rsid w:val="005F275F"/>
    <w:rsid w:val="005F2BC2"/>
    <w:rsid w:val="005F488D"/>
    <w:rsid w:val="005F5A99"/>
    <w:rsid w:val="005F5CA7"/>
    <w:rsid w:val="005F6573"/>
    <w:rsid w:val="005F761B"/>
    <w:rsid w:val="00600F64"/>
    <w:rsid w:val="0060148C"/>
    <w:rsid w:val="00601A09"/>
    <w:rsid w:val="00602BF1"/>
    <w:rsid w:val="00604686"/>
    <w:rsid w:val="00604A3A"/>
    <w:rsid w:val="00605DBD"/>
    <w:rsid w:val="006065DA"/>
    <w:rsid w:val="00607421"/>
    <w:rsid w:val="0060754E"/>
    <w:rsid w:val="00611071"/>
    <w:rsid w:val="006111A9"/>
    <w:rsid w:val="00611986"/>
    <w:rsid w:val="00612205"/>
    <w:rsid w:val="00613489"/>
    <w:rsid w:val="006137DF"/>
    <w:rsid w:val="00613AAA"/>
    <w:rsid w:val="00614722"/>
    <w:rsid w:val="00615072"/>
    <w:rsid w:val="00615CAD"/>
    <w:rsid w:val="00615F9F"/>
    <w:rsid w:val="0061704B"/>
    <w:rsid w:val="0061787B"/>
    <w:rsid w:val="006178A2"/>
    <w:rsid w:val="00617D75"/>
    <w:rsid w:val="006202CE"/>
    <w:rsid w:val="00620858"/>
    <w:rsid w:val="00620EA7"/>
    <w:rsid w:val="00622772"/>
    <w:rsid w:val="0062289E"/>
    <w:rsid w:val="00622DC4"/>
    <w:rsid w:val="0062380E"/>
    <w:rsid w:val="0062382A"/>
    <w:rsid w:val="00624F34"/>
    <w:rsid w:val="006266C0"/>
    <w:rsid w:val="00626CDD"/>
    <w:rsid w:val="0063022C"/>
    <w:rsid w:val="0063083F"/>
    <w:rsid w:val="00631EFD"/>
    <w:rsid w:val="00632E1D"/>
    <w:rsid w:val="006337FB"/>
    <w:rsid w:val="00633F35"/>
    <w:rsid w:val="00634D5E"/>
    <w:rsid w:val="00635041"/>
    <w:rsid w:val="0063704D"/>
    <w:rsid w:val="00637372"/>
    <w:rsid w:val="0064032A"/>
    <w:rsid w:val="006414AB"/>
    <w:rsid w:val="006420D7"/>
    <w:rsid w:val="0064323B"/>
    <w:rsid w:val="0064355B"/>
    <w:rsid w:val="00644AC2"/>
    <w:rsid w:val="00646A87"/>
    <w:rsid w:val="00646EF6"/>
    <w:rsid w:val="00647004"/>
    <w:rsid w:val="006477CE"/>
    <w:rsid w:val="0064787F"/>
    <w:rsid w:val="006479C8"/>
    <w:rsid w:val="00651633"/>
    <w:rsid w:val="00651C99"/>
    <w:rsid w:val="00652712"/>
    <w:rsid w:val="006527DA"/>
    <w:rsid w:val="006533BD"/>
    <w:rsid w:val="006547B2"/>
    <w:rsid w:val="006547E5"/>
    <w:rsid w:val="00655701"/>
    <w:rsid w:val="00655CA7"/>
    <w:rsid w:val="00655F31"/>
    <w:rsid w:val="00656C14"/>
    <w:rsid w:val="00657516"/>
    <w:rsid w:val="00660885"/>
    <w:rsid w:val="006615D0"/>
    <w:rsid w:val="00661956"/>
    <w:rsid w:val="00661F5E"/>
    <w:rsid w:val="00663CCD"/>
    <w:rsid w:val="00664126"/>
    <w:rsid w:val="006643AC"/>
    <w:rsid w:val="00665584"/>
    <w:rsid w:val="00665BB7"/>
    <w:rsid w:val="0066668B"/>
    <w:rsid w:val="00667B97"/>
    <w:rsid w:val="00671141"/>
    <w:rsid w:val="00671B25"/>
    <w:rsid w:val="00671BE3"/>
    <w:rsid w:val="00671F2C"/>
    <w:rsid w:val="00672118"/>
    <w:rsid w:val="00672327"/>
    <w:rsid w:val="00672367"/>
    <w:rsid w:val="006736DA"/>
    <w:rsid w:val="006738A6"/>
    <w:rsid w:val="006757D0"/>
    <w:rsid w:val="00675B07"/>
    <w:rsid w:val="00675EA5"/>
    <w:rsid w:val="0067620A"/>
    <w:rsid w:val="006804DC"/>
    <w:rsid w:val="00681647"/>
    <w:rsid w:val="00681CF5"/>
    <w:rsid w:val="006833EE"/>
    <w:rsid w:val="006848D3"/>
    <w:rsid w:val="0068553C"/>
    <w:rsid w:val="006856DF"/>
    <w:rsid w:val="00685E19"/>
    <w:rsid w:val="00685E47"/>
    <w:rsid w:val="00686315"/>
    <w:rsid w:val="0069138A"/>
    <w:rsid w:val="00691400"/>
    <w:rsid w:val="0069145A"/>
    <w:rsid w:val="00692097"/>
    <w:rsid w:val="00692E63"/>
    <w:rsid w:val="00693853"/>
    <w:rsid w:val="0069449B"/>
    <w:rsid w:val="00696254"/>
    <w:rsid w:val="0069767E"/>
    <w:rsid w:val="00697774"/>
    <w:rsid w:val="006A05CA"/>
    <w:rsid w:val="006A1AC6"/>
    <w:rsid w:val="006A21F1"/>
    <w:rsid w:val="006A27AB"/>
    <w:rsid w:val="006A29D9"/>
    <w:rsid w:val="006A3614"/>
    <w:rsid w:val="006A371A"/>
    <w:rsid w:val="006A3E7C"/>
    <w:rsid w:val="006A43DF"/>
    <w:rsid w:val="006A452E"/>
    <w:rsid w:val="006A4DF0"/>
    <w:rsid w:val="006A4E4A"/>
    <w:rsid w:val="006A4FA6"/>
    <w:rsid w:val="006A5D77"/>
    <w:rsid w:val="006A5FB1"/>
    <w:rsid w:val="006A63BA"/>
    <w:rsid w:val="006A6CD9"/>
    <w:rsid w:val="006A6EFC"/>
    <w:rsid w:val="006A7118"/>
    <w:rsid w:val="006A781F"/>
    <w:rsid w:val="006A7B6D"/>
    <w:rsid w:val="006A7CD0"/>
    <w:rsid w:val="006B0529"/>
    <w:rsid w:val="006B0B19"/>
    <w:rsid w:val="006B159E"/>
    <w:rsid w:val="006B21E0"/>
    <w:rsid w:val="006B30BB"/>
    <w:rsid w:val="006B328F"/>
    <w:rsid w:val="006B4433"/>
    <w:rsid w:val="006B5272"/>
    <w:rsid w:val="006B5296"/>
    <w:rsid w:val="006B5A53"/>
    <w:rsid w:val="006B5C75"/>
    <w:rsid w:val="006C1DAB"/>
    <w:rsid w:val="006C2D98"/>
    <w:rsid w:val="006C3338"/>
    <w:rsid w:val="006C486B"/>
    <w:rsid w:val="006C4ADA"/>
    <w:rsid w:val="006C5315"/>
    <w:rsid w:val="006C586E"/>
    <w:rsid w:val="006C65D2"/>
    <w:rsid w:val="006C6A2B"/>
    <w:rsid w:val="006C6ACC"/>
    <w:rsid w:val="006C76B4"/>
    <w:rsid w:val="006C7784"/>
    <w:rsid w:val="006D24EB"/>
    <w:rsid w:val="006D25AC"/>
    <w:rsid w:val="006D319B"/>
    <w:rsid w:val="006D3556"/>
    <w:rsid w:val="006D3C00"/>
    <w:rsid w:val="006D47AC"/>
    <w:rsid w:val="006D4F02"/>
    <w:rsid w:val="006D4F8E"/>
    <w:rsid w:val="006D55F5"/>
    <w:rsid w:val="006D5650"/>
    <w:rsid w:val="006D7857"/>
    <w:rsid w:val="006E0B72"/>
    <w:rsid w:val="006E1295"/>
    <w:rsid w:val="006E223A"/>
    <w:rsid w:val="006E2D40"/>
    <w:rsid w:val="006E39A6"/>
    <w:rsid w:val="006E4D90"/>
    <w:rsid w:val="006E5257"/>
    <w:rsid w:val="006E6ACB"/>
    <w:rsid w:val="006E6EAD"/>
    <w:rsid w:val="006F03B0"/>
    <w:rsid w:val="006F276F"/>
    <w:rsid w:val="006F2A64"/>
    <w:rsid w:val="006F2C21"/>
    <w:rsid w:val="006F396A"/>
    <w:rsid w:val="006F3D97"/>
    <w:rsid w:val="006F3ECD"/>
    <w:rsid w:val="006F4F5E"/>
    <w:rsid w:val="006F5151"/>
    <w:rsid w:val="006F59A0"/>
    <w:rsid w:val="006F5C22"/>
    <w:rsid w:val="006F6BD4"/>
    <w:rsid w:val="006F6D21"/>
    <w:rsid w:val="006F7B2E"/>
    <w:rsid w:val="007000C5"/>
    <w:rsid w:val="007007D1"/>
    <w:rsid w:val="00701236"/>
    <w:rsid w:val="00702E46"/>
    <w:rsid w:val="007034D8"/>
    <w:rsid w:val="00703687"/>
    <w:rsid w:val="00704D59"/>
    <w:rsid w:val="00705322"/>
    <w:rsid w:val="0070591E"/>
    <w:rsid w:val="00705A1A"/>
    <w:rsid w:val="00707A65"/>
    <w:rsid w:val="00710184"/>
    <w:rsid w:val="00710CBE"/>
    <w:rsid w:val="00711BEF"/>
    <w:rsid w:val="00711C8B"/>
    <w:rsid w:val="00715BE8"/>
    <w:rsid w:val="00716039"/>
    <w:rsid w:val="007160A5"/>
    <w:rsid w:val="0071626B"/>
    <w:rsid w:val="00716A51"/>
    <w:rsid w:val="00716B28"/>
    <w:rsid w:val="0072105D"/>
    <w:rsid w:val="007218B6"/>
    <w:rsid w:val="007246C2"/>
    <w:rsid w:val="007251A4"/>
    <w:rsid w:val="00726E2C"/>
    <w:rsid w:val="00727D1B"/>
    <w:rsid w:val="00727DEA"/>
    <w:rsid w:val="00727F18"/>
    <w:rsid w:val="00730AD7"/>
    <w:rsid w:val="00730F1E"/>
    <w:rsid w:val="00731008"/>
    <w:rsid w:val="007319A6"/>
    <w:rsid w:val="00732109"/>
    <w:rsid w:val="007334A2"/>
    <w:rsid w:val="007338C8"/>
    <w:rsid w:val="0073400D"/>
    <w:rsid w:val="007343ED"/>
    <w:rsid w:val="0073445C"/>
    <w:rsid w:val="00734559"/>
    <w:rsid w:val="00734C6D"/>
    <w:rsid w:val="0073505C"/>
    <w:rsid w:val="00735E96"/>
    <w:rsid w:val="0073629E"/>
    <w:rsid w:val="00736427"/>
    <w:rsid w:val="00736C71"/>
    <w:rsid w:val="0074050A"/>
    <w:rsid w:val="00741CE4"/>
    <w:rsid w:val="007448AF"/>
    <w:rsid w:val="007449FE"/>
    <w:rsid w:val="00745382"/>
    <w:rsid w:val="00745827"/>
    <w:rsid w:val="0075096F"/>
    <w:rsid w:val="00750B01"/>
    <w:rsid w:val="007516E5"/>
    <w:rsid w:val="00752625"/>
    <w:rsid w:val="00753DB6"/>
    <w:rsid w:val="00754CF3"/>
    <w:rsid w:val="007566B8"/>
    <w:rsid w:val="00756D49"/>
    <w:rsid w:val="007574DD"/>
    <w:rsid w:val="00757AB2"/>
    <w:rsid w:val="00760902"/>
    <w:rsid w:val="007611EF"/>
    <w:rsid w:val="007612E5"/>
    <w:rsid w:val="00761A46"/>
    <w:rsid w:val="00761B31"/>
    <w:rsid w:val="007622D9"/>
    <w:rsid w:val="0076283B"/>
    <w:rsid w:val="0076289E"/>
    <w:rsid w:val="007632B0"/>
    <w:rsid w:val="00763918"/>
    <w:rsid w:val="00764786"/>
    <w:rsid w:val="0076484B"/>
    <w:rsid w:val="00764F1E"/>
    <w:rsid w:val="0076516C"/>
    <w:rsid w:val="0076670B"/>
    <w:rsid w:val="007670B3"/>
    <w:rsid w:val="007672D1"/>
    <w:rsid w:val="00770835"/>
    <w:rsid w:val="00771DA8"/>
    <w:rsid w:val="00771F3E"/>
    <w:rsid w:val="00772312"/>
    <w:rsid w:val="007723BD"/>
    <w:rsid w:val="00772995"/>
    <w:rsid w:val="00772CBE"/>
    <w:rsid w:val="00772D96"/>
    <w:rsid w:val="007734E4"/>
    <w:rsid w:val="00773756"/>
    <w:rsid w:val="00774E8A"/>
    <w:rsid w:val="00774FE4"/>
    <w:rsid w:val="0077580D"/>
    <w:rsid w:val="00776D1E"/>
    <w:rsid w:val="00776F73"/>
    <w:rsid w:val="00777215"/>
    <w:rsid w:val="00777362"/>
    <w:rsid w:val="007775BC"/>
    <w:rsid w:val="00777BA3"/>
    <w:rsid w:val="0078074F"/>
    <w:rsid w:val="00780DB0"/>
    <w:rsid w:val="00780EAD"/>
    <w:rsid w:val="0078111B"/>
    <w:rsid w:val="00781464"/>
    <w:rsid w:val="0078257E"/>
    <w:rsid w:val="00782E3F"/>
    <w:rsid w:val="00783369"/>
    <w:rsid w:val="00785E15"/>
    <w:rsid w:val="0078602D"/>
    <w:rsid w:val="007876C3"/>
    <w:rsid w:val="007904E5"/>
    <w:rsid w:val="0079124E"/>
    <w:rsid w:val="00791917"/>
    <w:rsid w:val="00791BFD"/>
    <w:rsid w:val="00793350"/>
    <w:rsid w:val="00793BD4"/>
    <w:rsid w:val="00795184"/>
    <w:rsid w:val="0079542C"/>
    <w:rsid w:val="00795BBC"/>
    <w:rsid w:val="00795CA6"/>
    <w:rsid w:val="00795EED"/>
    <w:rsid w:val="00796599"/>
    <w:rsid w:val="00796C0C"/>
    <w:rsid w:val="00796C34"/>
    <w:rsid w:val="00796DF0"/>
    <w:rsid w:val="007979DE"/>
    <w:rsid w:val="00797B7A"/>
    <w:rsid w:val="00797F97"/>
    <w:rsid w:val="007A2854"/>
    <w:rsid w:val="007A309A"/>
    <w:rsid w:val="007A410D"/>
    <w:rsid w:val="007A427F"/>
    <w:rsid w:val="007A4429"/>
    <w:rsid w:val="007A49A0"/>
    <w:rsid w:val="007A64CF"/>
    <w:rsid w:val="007A6783"/>
    <w:rsid w:val="007A78BE"/>
    <w:rsid w:val="007A7D86"/>
    <w:rsid w:val="007B0F9C"/>
    <w:rsid w:val="007B1C52"/>
    <w:rsid w:val="007B1F9C"/>
    <w:rsid w:val="007B31E6"/>
    <w:rsid w:val="007B3523"/>
    <w:rsid w:val="007B497B"/>
    <w:rsid w:val="007B61BC"/>
    <w:rsid w:val="007C3F38"/>
    <w:rsid w:val="007C4157"/>
    <w:rsid w:val="007C4715"/>
    <w:rsid w:val="007C4EBB"/>
    <w:rsid w:val="007C5040"/>
    <w:rsid w:val="007C54AB"/>
    <w:rsid w:val="007C5D1E"/>
    <w:rsid w:val="007C7681"/>
    <w:rsid w:val="007D0186"/>
    <w:rsid w:val="007D1ECB"/>
    <w:rsid w:val="007D368B"/>
    <w:rsid w:val="007D3DDF"/>
    <w:rsid w:val="007D4708"/>
    <w:rsid w:val="007D505F"/>
    <w:rsid w:val="007D5808"/>
    <w:rsid w:val="007D7505"/>
    <w:rsid w:val="007D7B5E"/>
    <w:rsid w:val="007D7DC3"/>
    <w:rsid w:val="007E0655"/>
    <w:rsid w:val="007E304A"/>
    <w:rsid w:val="007E35F9"/>
    <w:rsid w:val="007E36B2"/>
    <w:rsid w:val="007E4765"/>
    <w:rsid w:val="007E4DBC"/>
    <w:rsid w:val="007E5C59"/>
    <w:rsid w:val="007E6E02"/>
    <w:rsid w:val="007E7A7D"/>
    <w:rsid w:val="007F125C"/>
    <w:rsid w:val="007F161A"/>
    <w:rsid w:val="007F2399"/>
    <w:rsid w:val="007F2FBA"/>
    <w:rsid w:val="007F2FF5"/>
    <w:rsid w:val="007F37BD"/>
    <w:rsid w:val="007F3D66"/>
    <w:rsid w:val="007F4258"/>
    <w:rsid w:val="007F57A9"/>
    <w:rsid w:val="007F74F6"/>
    <w:rsid w:val="008000C8"/>
    <w:rsid w:val="00802649"/>
    <w:rsid w:val="008038AD"/>
    <w:rsid w:val="008042B5"/>
    <w:rsid w:val="00804F70"/>
    <w:rsid w:val="00805351"/>
    <w:rsid w:val="008059B3"/>
    <w:rsid w:val="008059BB"/>
    <w:rsid w:val="00806823"/>
    <w:rsid w:val="00806C62"/>
    <w:rsid w:val="00807DE7"/>
    <w:rsid w:val="008120C6"/>
    <w:rsid w:val="0081229A"/>
    <w:rsid w:val="00813764"/>
    <w:rsid w:val="008148E6"/>
    <w:rsid w:val="0081534F"/>
    <w:rsid w:val="00815512"/>
    <w:rsid w:val="00815EF2"/>
    <w:rsid w:val="008160D0"/>
    <w:rsid w:val="00816BAB"/>
    <w:rsid w:val="008172E1"/>
    <w:rsid w:val="00817729"/>
    <w:rsid w:val="00820CB4"/>
    <w:rsid w:val="00821402"/>
    <w:rsid w:val="00822617"/>
    <w:rsid w:val="00822679"/>
    <w:rsid w:val="00823894"/>
    <w:rsid w:val="00823BF9"/>
    <w:rsid w:val="00825116"/>
    <w:rsid w:val="008263C6"/>
    <w:rsid w:val="00827387"/>
    <w:rsid w:val="00827990"/>
    <w:rsid w:val="00830A85"/>
    <w:rsid w:val="00830CBD"/>
    <w:rsid w:val="0083107A"/>
    <w:rsid w:val="0083136F"/>
    <w:rsid w:val="00832FAD"/>
    <w:rsid w:val="0083346C"/>
    <w:rsid w:val="00834AB1"/>
    <w:rsid w:val="00834C91"/>
    <w:rsid w:val="00834E4A"/>
    <w:rsid w:val="00836C19"/>
    <w:rsid w:val="0083785A"/>
    <w:rsid w:val="00841FE6"/>
    <w:rsid w:val="00843DD5"/>
    <w:rsid w:val="00844F62"/>
    <w:rsid w:val="00845224"/>
    <w:rsid w:val="00845B00"/>
    <w:rsid w:val="00845DE1"/>
    <w:rsid w:val="00846F1A"/>
    <w:rsid w:val="00847697"/>
    <w:rsid w:val="00847E98"/>
    <w:rsid w:val="00851C1C"/>
    <w:rsid w:val="008531D0"/>
    <w:rsid w:val="00853297"/>
    <w:rsid w:val="008533A3"/>
    <w:rsid w:val="00853618"/>
    <w:rsid w:val="00854B18"/>
    <w:rsid w:val="00855F0D"/>
    <w:rsid w:val="00856437"/>
    <w:rsid w:val="0086095A"/>
    <w:rsid w:val="00860C6F"/>
    <w:rsid w:val="00862A39"/>
    <w:rsid w:val="00862D0E"/>
    <w:rsid w:val="00863430"/>
    <w:rsid w:val="008642CB"/>
    <w:rsid w:val="00865346"/>
    <w:rsid w:val="00865C16"/>
    <w:rsid w:val="00866EA6"/>
    <w:rsid w:val="00872D04"/>
    <w:rsid w:val="0087545E"/>
    <w:rsid w:val="008755F7"/>
    <w:rsid w:val="0087578A"/>
    <w:rsid w:val="00876C95"/>
    <w:rsid w:val="0088137E"/>
    <w:rsid w:val="00881428"/>
    <w:rsid w:val="0088287D"/>
    <w:rsid w:val="00882E24"/>
    <w:rsid w:val="00883B2E"/>
    <w:rsid w:val="00883D13"/>
    <w:rsid w:val="008840FF"/>
    <w:rsid w:val="0088594A"/>
    <w:rsid w:val="00885BDA"/>
    <w:rsid w:val="00885D23"/>
    <w:rsid w:val="0088727B"/>
    <w:rsid w:val="0088731C"/>
    <w:rsid w:val="00887F51"/>
    <w:rsid w:val="008902AB"/>
    <w:rsid w:val="008907DF"/>
    <w:rsid w:val="0089169A"/>
    <w:rsid w:val="00891A21"/>
    <w:rsid w:val="00891C75"/>
    <w:rsid w:val="008949FE"/>
    <w:rsid w:val="0089527E"/>
    <w:rsid w:val="008957E2"/>
    <w:rsid w:val="008A1099"/>
    <w:rsid w:val="008A17E1"/>
    <w:rsid w:val="008A2489"/>
    <w:rsid w:val="008A265C"/>
    <w:rsid w:val="008A2E70"/>
    <w:rsid w:val="008A39FC"/>
    <w:rsid w:val="008A3C74"/>
    <w:rsid w:val="008A4895"/>
    <w:rsid w:val="008A4E7A"/>
    <w:rsid w:val="008A5CEE"/>
    <w:rsid w:val="008A645E"/>
    <w:rsid w:val="008A6FBA"/>
    <w:rsid w:val="008A71C7"/>
    <w:rsid w:val="008A77EE"/>
    <w:rsid w:val="008B0B77"/>
    <w:rsid w:val="008B1751"/>
    <w:rsid w:val="008B1FE2"/>
    <w:rsid w:val="008B2009"/>
    <w:rsid w:val="008B24FD"/>
    <w:rsid w:val="008B2BA2"/>
    <w:rsid w:val="008B3C24"/>
    <w:rsid w:val="008B7245"/>
    <w:rsid w:val="008B7693"/>
    <w:rsid w:val="008B7F77"/>
    <w:rsid w:val="008B7FC5"/>
    <w:rsid w:val="008C1219"/>
    <w:rsid w:val="008C195B"/>
    <w:rsid w:val="008C22C8"/>
    <w:rsid w:val="008C2508"/>
    <w:rsid w:val="008C2EF9"/>
    <w:rsid w:val="008C4501"/>
    <w:rsid w:val="008C4DAC"/>
    <w:rsid w:val="008C4DB3"/>
    <w:rsid w:val="008C5167"/>
    <w:rsid w:val="008C5DE4"/>
    <w:rsid w:val="008C69AC"/>
    <w:rsid w:val="008C79D2"/>
    <w:rsid w:val="008D02CA"/>
    <w:rsid w:val="008D044F"/>
    <w:rsid w:val="008D0636"/>
    <w:rsid w:val="008D1267"/>
    <w:rsid w:val="008D41C6"/>
    <w:rsid w:val="008D4EE1"/>
    <w:rsid w:val="008D64BD"/>
    <w:rsid w:val="008D6694"/>
    <w:rsid w:val="008D714F"/>
    <w:rsid w:val="008E0189"/>
    <w:rsid w:val="008E16AF"/>
    <w:rsid w:val="008E1921"/>
    <w:rsid w:val="008E278B"/>
    <w:rsid w:val="008E2CD8"/>
    <w:rsid w:val="008E2E7E"/>
    <w:rsid w:val="008E484E"/>
    <w:rsid w:val="008E5109"/>
    <w:rsid w:val="008E5C87"/>
    <w:rsid w:val="008E7491"/>
    <w:rsid w:val="008F0C2C"/>
    <w:rsid w:val="008F13CC"/>
    <w:rsid w:val="008F1934"/>
    <w:rsid w:val="008F22EE"/>
    <w:rsid w:val="008F2D67"/>
    <w:rsid w:val="008F32EC"/>
    <w:rsid w:val="008F5547"/>
    <w:rsid w:val="008F5F50"/>
    <w:rsid w:val="008F703C"/>
    <w:rsid w:val="00900576"/>
    <w:rsid w:val="009006A2"/>
    <w:rsid w:val="00901C59"/>
    <w:rsid w:val="009030CA"/>
    <w:rsid w:val="00904B53"/>
    <w:rsid w:val="00905DF4"/>
    <w:rsid w:val="00905E8D"/>
    <w:rsid w:val="00906166"/>
    <w:rsid w:val="0090626C"/>
    <w:rsid w:val="009065CE"/>
    <w:rsid w:val="00906D35"/>
    <w:rsid w:val="00906F21"/>
    <w:rsid w:val="009078DF"/>
    <w:rsid w:val="00910BFE"/>
    <w:rsid w:val="00911344"/>
    <w:rsid w:val="00912528"/>
    <w:rsid w:val="00912C73"/>
    <w:rsid w:val="00914759"/>
    <w:rsid w:val="0091681A"/>
    <w:rsid w:val="00917927"/>
    <w:rsid w:val="00917AE1"/>
    <w:rsid w:val="00920AEF"/>
    <w:rsid w:val="00921AF7"/>
    <w:rsid w:val="009223BC"/>
    <w:rsid w:val="009227A3"/>
    <w:rsid w:val="009238A9"/>
    <w:rsid w:val="009249C6"/>
    <w:rsid w:val="00925863"/>
    <w:rsid w:val="00925AB0"/>
    <w:rsid w:val="00927177"/>
    <w:rsid w:val="009276BB"/>
    <w:rsid w:val="009279E4"/>
    <w:rsid w:val="00931B43"/>
    <w:rsid w:val="00932513"/>
    <w:rsid w:val="00933DCE"/>
    <w:rsid w:val="00934552"/>
    <w:rsid w:val="00934715"/>
    <w:rsid w:val="0093527A"/>
    <w:rsid w:val="009367D6"/>
    <w:rsid w:val="00936805"/>
    <w:rsid w:val="00937936"/>
    <w:rsid w:val="009401DD"/>
    <w:rsid w:val="00943505"/>
    <w:rsid w:val="00943D8F"/>
    <w:rsid w:val="00944958"/>
    <w:rsid w:val="00945B79"/>
    <w:rsid w:val="00946832"/>
    <w:rsid w:val="009475CD"/>
    <w:rsid w:val="00947E4F"/>
    <w:rsid w:val="00950062"/>
    <w:rsid w:val="00950415"/>
    <w:rsid w:val="009506DA"/>
    <w:rsid w:val="00951C09"/>
    <w:rsid w:val="00951CDE"/>
    <w:rsid w:val="00952156"/>
    <w:rsid w:val="00952A16"/>
    <w:rsid w:val="00952CBE"/>
    <w:rsid w:val="00953C00"/>
    <w:rsid w:val="009543D4"/>
    <w:rsid w:val="009549AD"/>
    <w:rsid w:val="00954C7D"/>
    <w:rsid w:val="00954D09"/>
    <w:rsid w:val="009569B3"/>
    <w:rsid w:val="00962586"/>
    <w:rsid w:val="00962F70"/>
    <w:rsid w:val="00962F87"/>
    <w:rsid w:val="0096376E"/>
    <w:rsid w:val="00965FDF"/>
    <w:rsid w:val="0096702C"/>
    <w:rsid w:val="009675A1"/>
    <w:rsid w:val="00970E5C"/>
    <w:rsid w:val="0097143A"/>
    <w:rsid w:val="0097174A"/>
    <w:rsid w:val="00971895"/>
    <w:rsid w:val="009733B6"/>
    <w:rsid w:val="0097384B"/>
    <w:rsid w:val="0097769F"/>
    <w:rsid w:val="00977924"/>
    <w:rsid w:val="009801D9"/>
    <w:rsid w:val="00980D78"/>
    <w:rsid w:val="009812CE"/>
    <w:rsid w:val="00981DF8"/>
    <w:rsid w:val="00981FA2"/>
    <w:rsid w:val="0098229D"/>
    <w:rsid w:val="009835C6"/>
    <w:rsid w:val="009849B9"/>
    <w:rsid w:val="009862F7"/>
    <w:rsid w:val="00986EFE"/>
    <w:rsid w:val="00987C14"/>
    <w:rsid w:val="00987D67"/>
    <w:rsid w:val="009907F8"/>
    <w:rsid w:val="0099095E"/>
    <w:rsid w:val="00990AD5"/>
    <w:rsid w:val="00990EDB"/>
    <w:rsid w:val="009917AC"/>
    <w:rsid w:val="009922A9"/>
    <w:rsid w:val="009922AD"/>
    <w:rsid w:val="00992FB8"/>
    <w:rsid w:val="0099350D"/>
    <w:rsid w:val="009953B8"/>
    <w:rsid w:val="00996890"/>
    <w:rsid w:val="009968B7"/>
    <w:rsid w:val="00997392"/>
    <w:rsid w:val="00997B01"/>
    <w:rsid w:val="009A0A44"/>
    <w:rsid w:val="009A0C09"/>
    <w:rsid w:val="009A0FF4"/>
    <w:rsid w:val="009A161F"/>
    <w:rsid w:val="009A28FD"/>
    <w:rsid w:val="009A4364"/>
    <w:rsid w:val="009A49A2"/>
    <w:rsid w:val="009A527C"/>
    <w:rsid w:val="009A5F02"/>
    <w:rsid w:val="009A6AF0"/>
    <w:rsid w:val="009A70BB"/>
    <w:rsid w:val="009B06FF"/>
    <w:rsid w:val="009B146D"/>
    <w:rsid w:val="009B2A73"/>
    <w:rsid w:val="009B5101"/>
    <w:rsid w:val="009B5DEF"/>
    <w:rsid w:val="009B6752"/>
    <w:rsid w:val="009B690E"/>
    <w:rsid w:val="009B6D83"/>
    <w:rsid w:val="009B76F7"/>
    <w:rsid w:val="009B7A28"/>
    <w:rsid w:val="009C3B3D"/>
    <w:rsid w:val="009C4BC0"/>
    <w:rsid w:val="009C4F6C"/>
    <w:rsid w:val="009C5776"/>
    <w:rsid w:val="009C59C7"/>
    <w:rsid w:val="009C612D"/>
    <w:rsid w:val="009C7064"/>
    <w:rsid w:val="009C72E5"/>
    <w:rsid w:val="009C76EE"/>
    <w:rsid w:val="009C7DE1"/>
    <w:rsid w:val="009D1730"/>
    <w:rsid w:val="009D1B05"/>
    <w:rsid w:val="009D1D01"/>
    <w:rsid w:val="009D205B"/>
    <w:rsid w:val="009D224B"/>
    <w:rsid w:val="009D2B78"/>
    <w:rsid w:val="009D2C46"/>
    <w:rsid w:val="009D2CB1"/>
    <w:rsid w:val="009D314C"/>
    <w:rsid w:val="009D3999"/>
    <w:rsid w:val="009D3E4E"/>
    <w:rsid w:val="009D434E"/>
    <w:rsid w:val="009D569F"/>
    <w:rsid w:val="009D5A18"/>
    <w:rsid w:val="009D612B"/>
    <w:rsid w:val="009D6D4A"/>
    <w:rsid w:val="009E00EC"/>
    <w:rsid w:val="009E190E"/>
    <w:rsid w:val="009E1D8D"/>
    <w:rsid w:val="009E20C9"/>
    <w:rsid w:val="009E3295"/>
    <w:rsid w:val="009E49A0"/>
    <w:rsid w:val="009E53BB"/>
    <w:rsid w:val="009E65B4"/>
    <w:rsid w:val="009E7E15"/>
    <w:rsid w:val="009F0583"/>
    <w:rsid w:val="009F1015"/>
    <w:rsid w:val="009F1155"/>
    <w:rsid w:val="009F1954"/>
    <w:rsid w:val="009F3B27"/>
    <w:rsid w:val="009F3DDF"/>
    <w:rsid w:val="009F4636"/>
    <w:rsid w:val="009F468A"/>
    <w:rsid w:val="009F4833"/>
    <w:rsid w:val="009F4955"/>
    <w:rsid w:val="009F5F8C"/>
    <w:rsid w:val="009F606E"/>
    <w:rsid w:val="009F6B15"/>
    <w:rsid w:val="009F6F8A"/>
    <w:rsid w:val="00A017AD"/>
    <w:rsid w:val="00A0215E"/>
    <w:rsid w:val="00A02F4D"/>
    <w:rsid w:val="00A0392A"/>
    <w:rsid w:val="00A03B94"/>
    <w:rsid w:val="00A04A1F"/>
    <w:rsid w:val="00A0502D"/>
    <w:rsid w:val="00A069A9"/>
    <w:rsid w:val="00A111A2"/>
    <w:rsid w:val="00A11761"/>
    <w:rsid w:val="00A11869"/>
    <w:rsid w:val="00A11877"/>
    <w:rsid w:val="00A12162"/>
    <w:rsid w:val="00A12AF3"/>
    <w:rsid w:val="00A13914"/>
    <w:rsid w:val="00A150F6"/>
    <w:rsid w:val="00A167D0"/>
    <w:rsid w:val="00A16A75"/>
    <w:rsid w:val="00A16C10"/>
    <w:rsid w:val="00A179FF"/>
    <w:rsid w:val="00A17EDD"/>
    <w:rsid w:val="00A20377"/>
    <w:rsid w:val="00A2079C"/>
    <w:rsid w:val="00A20A44"/>
    <w:rsid w:val="00A20F19"/>
    <w:rsid w:val="00A21161"/>
    <w:rsid w:val="00A217D3"/>
    <w:rsid w:val="00A2264B"/>
    <w:rsid w:val="00A255B5"/>
    <w:rsid w:val="00A26562"/>
    <w:rsid w:val="00A27E16"/>
    <w:rsid w:val="00A312EF"/>
    <w:rsid w:val="00A3203A"/>
    <w:rsid w:val="00A3258A"/>
    <w:rsid w:val="00A33A2D"/>
    <w:rsid w:val="00A34522"/>
    <w:rsid w:val="00A34638"/>
    <w:rsid w:val="00A35490"/>
    <w:rsid w:val="00A363C6"/>
    <w:rsid w:val="00A3690B"/>
    <w:rsid w:val="00A37D57"/>
    <w:rsid w:val="00A4045F"/>
    <w:rsid w:val="00A40FD9"/>
    <w:rsid w:val="00A413BA"/>
    <w:rsid w:val="00A41636"/>
    <w:rsid w:val="00A41B3C"/>
    <w:rsid w:val="00A44E47"/>
    <w:rsid w:val="00A45F91"/>
    <w:rsid w:val="00A467FD"/>
    <w:rsid w:val="00A47463"/>
    <w:rsid w:val="00A522BE"/>
    <w:rsid w:val="00A52555"/>
    <w:rsid w:val="00A5296C"/>
    <w:rsid w:val="00A532E1"/>
    <w:rsid w:val="00A53CA0"/>
    <w:rsid w:val="00A541B0"/>
    <w:rsid w:val="00A54381"/>
    <w:rsid w:val="00A54395"/>
    <w:rsid w:val="00A5531B"/>
    <w:rsid w:val="00A55452"/>
    <w:rsid w:val="00A559C6"/>
    <w:rsid w:val="00A568CF"/>
    <w:rsid w:val="00A56C2A"/>
    <w:rsid w:val="00A56C8B"/>
    <w:rsid w:val="00A573B6"/>
    <w:rsid w:val="00A574DE"/>
    <w:rsid w:val="00A61E47"/>
    <w:rsid w:val="00A624D6"/>
    <w:rsid w:val="00A62B57"/>
    <w:rsid w:val="00A634EC"/>
    <w:rsid w:val="00A64DF8"/>
    <w:rsid w:val="00A658F5"/>
    <w:rsid w:val="00A65C16"/>
    <w:rsid w:val="00A66A07"/>
    <w:rsid w:val="00A66FB1"/>
    <w:rsid w:val="00A67EED"/>
    <w:rsid w:val="00A704D6"/>
    <w:rsid w:val="00A70661"/>
    <w:rsid w:val="00A713C7"/>
    <w:rsid w:val="00A716CB"/>
    <w:rsid w:val="00A72517"/>
    <w:rsid w:val="00A73626"/>
    <w:rsid w:val="00A73F0D"/>
    <w:rsid w:val="00A74449"/>
    <w:rsid w:val="00A747D5"/>
    <w:rsid w:val="00A75ABE"/>
    <w:rsid w:val="00A75E07"/>
    <w:rsid w:val="00A76C0B"/>
    <w:rsid w:val="00A778F7"/>
    <w:rsid w:val="00A81271"/>
    <w:rsid w:val="00A82886"/>
    <w:rsid w:val="00A83F44"/>
    <w:rsid w:val="00A84D13"/>
    <w:rsid w:val="00A84DF8"/>
    <w:rsid w:val="00A860B3"/>
    <w:rsid w:val="00A870CC"/>
    <w:rsid w:val="00A90FAC"/>
    <w:rsid w:val="00A92F02"/>
    <w:rsid w:val="00A94676"/>
    <w:rsid w:val="00A9540F"/>
    <w:rsid w:val="00A95849"/>
    <w:rsid w:val="00A95CCB"/>
    <w:rsid w:val="00A968A2"/>
    <w:rsid w:val="00A96BFF"/>
    <w:rsid w:val="00AA1682"/>
    <w:rsid w:val="00AA16F8"/>
    <w:rsid w:val="00AA17BB"/>
    <w:rsid w:val="00AA2589"/>
    <w:rsid w:val="00AA31A3"/>
    <w:rsid w:val="00AA333F"/>
    <w:rsid w:val="00AA343F"/>
    <w:rsid w:val="00AA4577"/>
    <w:rsid w:val="00AA4DB7"/>
    <w:rsid w:val="00AA512F"/>
    <w:rsid w:val="00AA52A2"/>
    <w:rsid w:val="00AA5FD1"/>
    <w:rsid w:val="00AA65CC"/>
    <w:rsid w:val="00AB0C0A"/>
    <w:rsid w:val="00AB0DC1"/>
    <w:rsid w:val="00AB229A"/>
    <w:rsid w:val="00AB2C36"/>
    <w:rsid w:val="00AB4118"/>
    <w:rsid w:val="00AB6F1E"/>
    <w:rsid w:val="00AB709C"/>
    <w:rsid w:val="00AB7C06"/>
    <w:rsid w:val="00AC0074"/>
    <w:rsid w:val="00AC163A"/>
    <w:rsid w:val="00AC22D6"/>
    <w:rsid w:val="00AC292C"/>
    <w:rsid w:val="00AC2EF8"/>
    <w:rsid w:val="00AC3A69"/>
    <w:rsid w:val="00AC3B64"/>
    <w:rsid w:val="00AC4D78"/>
    <w:rsid w:val="00AC5B9F"/>
    <w:rsid w:val="00AC6CAD"/>
    <w:rsid w:val="00AC6FFE"/>
    <w:rsid w:val="00AC7479"/>
    <w:rsid w:val="00AD031C"/>
    <w:rsid w:val="00AD04FC"/>
    <w:rsid w:val="00AD0DDF"/>
    <w:rsid w:val="00AD1170"/>
    <w:rsid w:val="00AD4344"/>
    <w:rsid w:val="00AD4AE9"/>
    <w:rsid w:val="00AD4DFD"/>
    <w:rsid w:val="00AD72F7"/>
    <w:rsid w:val="00AD7DC7"/>
    <w:rsid w:val="00AE0244"/>
    <w:rsid w:val="00AE1D65"/>
    <w:rsid w:val="00AE2530"/>
    <w:rsid w:val="00AE450B"/>
    <w:rsid w:val="00AE461B"/>
    <w:rsid w:val="00AE5D6A"/>
    <w:rsid w:val="00AE6E1C"/>
    <w:rsid w:val="00AE7408"/>
    <w:rsid w:val="00AF1078"/>
    <w:rsid w:val="00AF12AF"/>
    <w:rsid w:val="00AF12E5"/>
    <w:rsid w:val="00AF16B2"/>
    <w:rsid w:val="00AF2211"/>
    <w:rsid w:val="00AF323B"/>
    <w:rsid w:val="00AF479C"/>
    <w:rsid w:val="00AF4CCC"/>
    <w:rsid w:val="00AF5601"/>
    <w:rsid w:val="00AF5ACF"/>
    <w:rsid w:val="00AF6516"/>
    <w:rsid w:val="00AF74DD"/>
    <w:rsid w:val="00B00742"/>
    <w:rsid w:val="00B0091F"/>
    <w:rsid w:val="00B010A2"/>
    <w:rsid w:val="00B02B79"/>
    <w:rsid w:val="00B03879"/>
    <w:rsid w:val="00B03DCC"/>
    <w:rsid w:val="00B041BF"/>
    <w:rsid w:val="00B04274"/>
    <w:rsid w:val="00B048D9"/>
    <w:rsid w:val="00B0593C"/>
    <w:rsid w:val="00B0634F"/>
    <w:rsid w:val="00B06548"/>
    <w:rsid w:val="00B06AC0"/>
    <w:rsid w:val="00B06C31"/>
    <w:rsid w:val="00B06DB2"/>
    <w:rsid w:val="00B070B5"/>
    <w:rsid w:val="00B105D1"/>
    <w:rsid w:val="00B1070F"/>
    <w:rsid w:val="00B111CB"/>
    <w:rsid w:val="00B113E5"/>
    <w:rsid w:val="00B11E3C"/>
    <w:rsid w:val="00B126D0"/>
    <w:rsid w:val="00B12E8A"/>
    <w:rsid w:val="00B12F3E"/>
    <w:rsid w:val="00B13399"/>
    <w:rsid w:val="00B1342B"/>
    <w:rsid w:val="00B14533"/>
    <w:rsid w:val="00B147DF"/>
    <w:rsid w:val="00B15275"/>
    <w:rsid w:val="00B156BE"/>
    <w:rsid w:val="00B16D02"/>
    <w:rsid w:val="00B16F74"/>
    <w:rsid w:val="00B170CE"/>
    <w:rsid w:val="00B178D1"/>
    <w:rsid w:val="00B2081F"/>
    <w:rsid w:val="00B20EEF"/>
    <w:rsid w:val="00B2152C"/>
    <w:rsid w:val="00B22886"/>
    <w:rsid w:val="00B238A7"/>
    <w:rsid w:val="00B23DA9"/>
    <w:rsid w:val="00B23F88"/>
    <w:rsid w:val="00B25FC1"/>
    <w:rsid w:val="00B3013E"/>
    <w:rsid w:val="00B30595"/>
    <w:rsid w:val="00B30BB5"/>
    <w:rsid w:val="00B30C96"/>
    <w:rsid w:val="00B316C9"/>
    <w:rsid w:val="00B31F5F"/>
    <w:rsid w:val="00B322BA"/>
    <w:rsid w:val="00B33DC4"/>
    <w:rsid w:val="00B35498"/>
    <w:rsid w:val="00B35E4C"/>
    <w:rsid w:val="00B375DF"/>
    <w:rsid w:val="00B41F8D"/>
    <w:rsid w:val="00B439AE"/>
    <w:rsid w:val="00B43E02"/>
    <w:rsid w:val="00B45448"/>
    <w:rsid w:val="00B45AFE"/>
    <w:rsid w:val="00B46954"/>
    <w:rsid w:val="00B513A2"/>
    <w:rsid w:val="00B519CC"/>
    <w:rsid w:val="00B51C72"/>
    <w:rsid w:val="00B52157"/>
    <w:rsid w:val="00B5329D"/>
    <w:rsid w:val="00B53DFC"/>
    <w:rsid w:val="00B54DB8"/>
    <w:rsid w:val="00B55DF9"/>
    <w:rsid w:val="00B60FB4"/>
    <w:rsid w:val="00B615CD"/>
    <w:rsid w:val="00B61BE9"/>
    <w:rsid w:val="00B62546"/>
    <w:rsid w:val="00B62689"/>
    <w:rsid w:val="00B62890"/>
    <w:rsid w:val="00B6333B"/>
    <w:rsid w:val="00B6481E"/>
    <w:rsid w:val="00B7117B"/>
    <w:rsid w:val="00B713DE"/>
    <w:rsid w:val="00B71486"/>
    <w:rsid w:val="00B721AF"/>
    <w:rsid w:val="00B727A8"/>
    <w:rsid w:val="00B72908"/>
    <w:rsid w:val="00B72BAE"/>
    <w:rsid w:val="00B7353E"/>
    <w:rsid w:val="00B75592"/>
    <w:rsid w:val="00B75622"/>
    <w:rsid w:val="00B75DCB"/>
    <w:rsid w:val="00B7762F"/>
    <w:rsid w:val="00B77B51"/>
    <w:rsid w:val="00B77CFF"/>
    <w:rsid w:val="00B80F11"/>
    <w:rsid w:val="00B815A6"/>
    <w:rsid w:val="00B81C5F"/>
    <w:rsid w:val="00B823B3"/>
    <w:rsid w:val="00B82759"/>
    <w:rsid w:val="00B8314B"/>
    <w:rsid w:val="00B83502"/>
    <w:rsid w:val="00B83E69"/>
    <w:rsid w:val="00B846D4"/>
    <w:rsid w:val="00B855CE"/>
    <w:rsid w:val="00B87321"/>
    <w:rsid w:val="00B874AE"/>
    <w:rsid w:val="00B87751"/>
    <w:rsid w:val="00B9068A"/>
    <w:rsid w:val="00B90A51"/>
    <w:rsid w:val="00B91B88"/>
    <w:rsid w:val="00B92191"/>
    <w:rsid w:val="00B922C9"/>
    <w:rsid w:val="00B92995"/>
    <w:rsid w:val="00B92E64"/>
    <w:rsid w:val="00B92F31"/>
    <w:rsid w:val="00B9623F"/>
    <w:rsid w:val="00B966AC"/>
    <w:rsid w:val="00B96E8B"/>
    <w:rsid w:val="00B970FC"/>
    <w:rsid w:val="00B970FE"/>
    <w:rsid w:val="00B97377"/>
    <w:rsid w:val="00B97CD9"/>
    <w:rsid w:val="00BA00E5"/>
    <w:rsid w:val="00BA0873"/>
    <w:rsid w:val="00BA096D"/>
    <w:rsid w:val="00BA0C31"/>
    <w:rsid w:val="00BA1226"/>
    <w:rsid w:val="00BA18E0"/>
    <w:rsid w:val="00BA1D1B"/>
    <w:rsid w:val="00BA21B7"/>
    <w:rsid w:val="00BA27DB"/>
    <w:rsid w:val="00BA2BAB"/>
    <w:rsid w:val="00BA33F8"/>
    <w:rsid w:val="00BA459F"/>
    <w:rsid w:val="00BA564E"/>
    <w:rsid w:val="00BA6D9F"/>
    <w:rsid w:val="00BB0814"/>
    <w:rsid w:val="00BB1A3C"/>
    <w:rsid w:val="00BB3B2C"/>
    <w:rsid w:val="00BB3B89"/>
    <w:rsid w:val="00BB42D6"/>
    <w:rsid w:val="00BB4DF6"/>
    <w:rsid w:val="00BB51A1"/>
    <w:rsid w:val="00BB79DC"/>
    <w:rsid w:val="00BC0BBB"/>
    <w:rsid w:val="00BC20C5"/>
    <w:rsid w:val="00BC2D55"/>
    <w:rsid w:val="00BC51B4"/>
    <w:rsid w:val="00BC5AE7"/>
    <w:rsid w:val="00BC6DDB"/>
    <w:rsid w:val="00BC74BD"/>
    <w:rsid w:val="00BD2003"/>
    <w:rsid w:val="00BD2B39"/>
    <w:rsid w:val="00BD2BE1"/>
    <w:rsid w:val="00BD324D"/>
    <w:rsid w:val="00BD455B"/>
    <w:rsid w:val="00BD48A5"/>
    <w:rsid w:val="00BD4E22"/>
    <w:rsid w:val="00BD57D6"/>
    <w:rsid w:val="00BD5DF7"/>
    <w:rsid w:val="00BD5E57"/>
    <w:rsid w:val="00BD6BDA"/>
    <w:rsid w:val="00BD77C0"/>
    <w:rsid w:val="00BD7C37"/>
    <w:rsid w:val="00BE0CFC"/>
    <w:rsid w:val="00BE1A4E"/>
    <w:rsid w:val="00BE2452"/>
    <w:rsid w:val="00BE2714"/>
    <w:rsid w:val="00BE2928"/>
    <w:rsid w:val="00BE5741"/>
    <w:rsid w:val="00BE5F8A"/>
    <w:rsid w:val="00BE7536"/>
    <w:rsid w:val="00BF0B8A"/>
    <w:rsid w:val="00BF205B"/>
    <w:rsid w:val="00BF292D"/>
    <w:rsid w:val="00BF2F45"/>
    <w:rsid w:val="00BF39C6"/>
    <w:rsid w:val="00BF442F"/>
    <w:rsid w:val="00BF48BF"/>
    <w:rsid w:val="00BF649A"/>
    <w:rsid w:val="00BF6C30"/>
    <w:rsid w:val="00BF6FC2"/>
    <w:rsid w:val="00C00F76"/>
    <w:rsid w:val="00C03742"/>
    <w:rsid w:val="00C057AA"/>
    <w:rsid w:val="00C05B21"/>
    <w:rsid w:val="00C0631A"/>
    <w:rsid w:val="00C06A4B"/>
    <w:rsid w:val="00C06E7B"/>
    <w:rsid w:val="00C07FEF"/>
    <w:rsid w:val="00C10FDD"/>
    <w:rsid w:val="00C117E5"/>
    <w:rsid w:val="00C12B9B"/>
    <w:rsid w:val="00C135FF"/>
    <w:rsid w:val="00C13DC5"/>
    <w:rsid w:val="00C14B25"/>
    <w:rsid w:val="00C154F6"/>
    <w:rsid w:val="00C15A00"/>
    <w:rsid w:val="00C16547"/>
    <w:rsid w:val="00C16FF0"/>
    <w:rsid w:val="00C17A25"/>
    <w:rsid w:val="00C203DC"/>
    <w:rsid w:val="00C20527"/>
    <w:rsid w:val="00C20F60"/>
    <w:rsid w:val="00C21ACD"/>
    <w:rsid w:val="00C22124"/>
    <w:rsid w:val="00C22AAF"/>
    <w:rsid w:val="00C23828"/>
    <w:rsid w:val="00C23A3F"/>
    <w:rsid w:val="00C24F76"/>
    <w:rsid w:val="00C256F2"/>
    <w:rsid w:val="00C27A05"/>
    <w:rsid w:val="00C27A73"/>
    <w:rsid w:val="00C30537"/>
    <w:rsid w:val="00C314E8"/>
    <w:rsid w:val="00C32DF2"/>
    <w:rsid w:val="00C33301"/>
    <w:rsid w:val="00C33A1E"/>
    <w:rsid w:val="00C33FF5"/>
    <w:rsid w:val="00C347BB"/>
    <w:rsid w:val="00C34E8B"/>
    <w:rsid w:val="00C36866"/>
    <w:rsid w:val="00C4070B"/>
    <w:rsid w:val="00C409BA"/>
    <w:rsid w:val="00C413BD"/>
    <w:rsid w:val="00C41596"/>
    <w:rsid w:val="00C41C24"/>
    <w:rsid w:val="00C42C34"/>
    <w:rsid w:val="00C43421"/>
    <w:rsid w:val="00C437C4"/>
    <w:rsid w:val="00C440B2"/>
    <w:rsid w:val="00C448BF"/>
    <w:rsid w:val="00C45AA7"/>
    <w:rsid w:val="00C45D15"/>
    <w:rsid w:val="00C4631E"/>
    <w:rsid w:val="00C463AD"/>
    <w:rsid w:val="00C46C5C"/>
    <w:rsid w:val="00C47C2B"/>
    <w:rsid w:val="00C47D71"/>
    <w:rsid w:val="00C51B51"/>
    <w:rsid w:val="00C53A05"/>
    <w:rsid w:val="00C53E01"/>
    <w:rsid w:val="00C54441"/>
    <w:rsid w:val="00C55D3E"/>
    <w:rsid w:val="00C56A33"/>
    <w:rsid w:val="00C56CAA"/>
    <w:rsid w:val="00C5738A"/>
    <w:rsid w:val="00C5773A"/>
    <w:rsid w:val="00C60304"/>
    <w:rsid w:val="00C60D60"/>
    <w:rsid w:val="00C60F46"/>
    <w:rsid w:val="00C658FF"/>
    <w:rsid w:val="00C6719A"/>
    <w:rsid w:val="00C67652"/>
    <w:rsid w:val="00C67E80"/>
    <w:rsid w:val="00C705AA"/>
    <w:rsid w:val="00C718A2"/>
    <w:rsid w:val="00C72A45"/>
    <w:rsid w:val="00C72D8B"/>
    <w:rsid w:val="00C73385"/>
    <w:rsid w:val="00C75E63"/>
    <w:rsid w:val="00C7707D"/>
    <w:rsid w:val="00C776D8"/>
    <w:rsid w:val="00C77F43"/>
    <w:rsid w:val="00C80590"/>
    <w:rsid w:val="00C80755"/>
    <w:rsid w:val="00C808FE"/>
    <w:rsid w:val="00C8157D"/>
    <w:rsid w:val="00C8179E"/>
    <w:rsid w:val="00C81B09"/>
    <w:rsid w:val="00C82323"/>
    <w:rsid w:val="00C82800"/>
    <w:rsid w:val="00C84BC3"/>
    <w:rsid w:val="00C876F9"/>
    <w:rsid w:val="00C9014E"/>
    <w:rsid w:val="00C91439"/>
    <w:rsid w:val="00C92B31"/>
    <w:rsid w:val="00C9320A"/>
    <w:rsid w:val="00C95574"/>
    <w:rsid w:val="00C96146"/>
    <w:rsid w:val="00C96766"/>
    <w:rsid w:val="00C96DAA"/>
    <w:rsid w:val="00CA1713"/>
    <w:rsid w:val="00CA2356"/>
    <w:rsid w:val="00CA24C6"/>
    <w:rsid w:val="00CA29FB"/>
    <w:rsid w:val="00CA301A"/>
    <w:rsid w:val="00CA370B"/>
    <w:rsid w:val="00CA39DD"/>
    <w:rsid w:val="00CA3CC2"/>
    <w:rsid w:val="00CA6485"/>
    <w:rsid w:val="00CA739E"/>
    <w:rsid w:val="00CA7813"/>
    <w:rsid w:val="00CA7985"/>
    <w:rsid w:val="00CB02B2"/>
    <w:rsid w:val="00CB08F1"/>
    <w:rsid w:val="00CB12E8"/>
    <w:rsid w:val="00CB23AF"/>
    <w:rsid w:val="00CB3471"/>
    <w:rsid w:val="00CB41EC"/>
    <w:rsid w:val="00CB496D"/>
    <w:rsid w:val="00CB4AED"/>
    <w:rsid w:val="00CB55F8"/>
    <w:rsid w:val="00CB7A83"/>
    <w:rsid w:val="00CC023D"/>
    <w:rsid w:val="00CC0B1C"/>
    <w:rsid w:val="00CC0F8F"/>
    <w:rsid w:val="00CC1A43"/>
    <w:rsid w:val="00CC1E81"/>
    <w:rsid w:val="00CC23FD"/>
    <w:rsid w:val="00CC3221"/>
    <w:rsid w:val="00CC327C"/>
    <w:rsid w:val="00CC3C12"/>
    <w:rsid w:val="00CC417A"/>
    <w:rsid w:val="00CC5E9B"/>
    <w:rsid w:val="00CC67C2"/>
    <w:rsid w:val="00CC7771"/>
    <w:rsid w:val="00CD104B"/>
    <w:rsid w:val="00CD2E55"/>
    <w:rsid w:val="00CD32BB"/>
    <w:rsid w:val="00CD35B9"/>
    <w:rsid w:val="00CD582F"/>
    <w:rsid w:val="00CD6D84"/>
    <w:rsid w:val="00CD72D7"/>
    <w:rsid w:val="00CD75B1"/>
    <w:rsid w:val="00CD77FF"/>
    <w:rsid w:val="00CE0DB6"/>
    <w:rsid w:val="00CE104E"/>
    <w:rsid w:val="00CE16C4"/>
    <w:rsid w:val="00CE1703"/>
    <w:rsid w:val="00CE317F"/>
    <w:rsid w:val="00CE4072"/>
    <w:rsid w:val="00CE4555"/>
    <w:rsid w:val="00CE4BD1"/>
    <w:rsid w:val="00CE558B"/>
    <w:rsid w:val="00CE583A"/>
    <w:rsid w:val="00CE591B"/>
    <w:rsid w:val="00CE5D53"/>
    <w:rsid w:val="00CE635D"/>
    <w:rsid w:val="00CE6426"/>
    <w:rsid w:val="00CE658B"/>
    <w:rsid w:val="00CE72A6"/>
    <w:rsid w:val="00CF0141"/>
    <w:rsid w:val="00CF0C63"/>
    <w:rsid w:val="00CF14B2"/>
    <w:rsid w:val="00CF2552"/>
    <w:rsid w:val="00CF2EE6"/>
    <w:rsid w:val="00CF3607"/>
    <w:rsid w:val="00CF3EEB"/>
    <w:rsid w:val="00CF4143"/>
    <w:rsid w:val="00CF4217"/>
    <w:rsid w:val="00CF4277"/>
    <w:rsid w:val="00CF4E37"/>
    <w:rsid w:val="00CF5C9A"/>
    <w:rsid w:val="00CF61E0"/>
    <w:rsid w:val="00CF6A1A"/>
    <w:rsid w:val="00CF79C8"/>
    <w:rsid w:val="00D00CAC"/>
    <w:rsid w:val="00D00D0C"/>
    <w:rsid w:val="00D01711"/>
    <w:rsid w:val="00D01984"/>
    <w:rsid w:val="00D0204E"/>
    <w:rsid w:val="00D021F5"/>
    <w:rsid w:val="00D03B08"/>
    <w:rsid w:val="00D03FA4"/>
    <w:rsid w:val="00D04B0F"/>
    <w:rsid w:val="00D04B2E"/>
    <w:rsid w:val="00D0589E"/>
    <w:rsid w:val="00D05DD5"/>
    <w:rsid w:val="00D06C62"/>
    <w:rsid w:val="00D106F1"/>
    <w:rsid w:val="00D1088F"/>
    <w:rsid w:val="00D10ED2"/>
    <w:rsid w:val="00D117D7"/>
    <w:rsid w:val="00D13BE6"/>
    <w:rsid w:val="00D13BFD"/>
    <w:rsid w:val="00D13E3F"/>
    <w:rsid w:val="00D14587"/>
    <w:rsid w:val="00D14675"/>
    <w:rsid w:val="00D14914"/>
    <w:rsid w:val="00D14CEB"/>
    <w:rsid w:val="00D154BE"/>
    <w:rsid w:val="00D15CE4"/>
    <w:rsid w:val="00D16BB3"/>
    <w:rsid w:val="00D16C46"/>
    <w:rsid w:val="00D17448"/>
    <w:rsid w:val="00D216F4"/>
    <w:rsid w:val="00D22EA2"/>
    <w:rsid w:val="00D231DB"/>
    <w:rsid w:val="00D234D2"/>
    <w:rsid w:val="00D23577"/>
    <w:rsid w:val="00D2389F"/>
    <w:rsid w:val="00D24D8A"/>
    <w:rsid w:val="00D24F62"/>
    <w:rsid w:val="00D27960"/>
    <w:rsid w:val="00D302ED"/>
    <w:rsid w:val="00D30815"/>
    <w:rsid w:val="00D30EAD"/>
    <w:rsid w:val="00D324C0"/>
    <w:rsid w:val="00D327D9"/>
    <w:rsid w:val="00D3291D"/>
    <w:rsid w:val="00D3306D"/>
    <w:rsid w:val="00D33978"/>
    <w:rsid w:val="00D34542"/>
    <w:rsid w:val="00D34E06"/>
    <w:rsid w:val="00D3557F"/>
    <w:rsid w:val="00D35F96"/>
    <w:rsid w:val="00D36288"/>
    <w:rsid w:val="00D36F64"/>
    <w:rsid w:val="00D37BD6"/>
    <w:rsid w:val="00D40B13"/>
    <w:rsid w:val="00D41417"/>
    <w:rsid w:val="00D42A20"/>
    <w:rsid w:val="00D43678"/>
    <w:rsid w:val="00D437A3"/>
    <w:rsid w:val="00D43969"/>
    <w:rsid w:val="00D44CF1"/>
    <w:rsid w:val="00D45851"/>
    <w:rsid w:val="00D4604F"/>
    <w:rsid w:val="00D46140"/>
    <w:rsid w:val="00D461FE"/>
    <w:rsid w:val="00D47DAF"/>
    <w:rsid w:val="00D5047D"/>
    <w:rsid w:val="00D506B2"/>
    <w:rsid w:val="00D523CE"/>
    <w:rsid w:val="00D5427B"/>
    <w:rsid w:val="00D547F0"/>
    <w:rsid w:val="00D57586"/>
    <w:rsid w:val="00D60C76"/>
    <w:rsid w:val="00D612A5"/>
    <w:rsid w:val="00D629DD"/>
    <w:rsid w:val="00D6315B"/>
    <w:rsid w:val="00D63DE0"/>
    <w:rsid w:val="00D64AD7"/>
    <w:rsid w:val="00D64AFD"/>
    <w:rsid w:val="00D652DC"/>
    <w:rsid w:val="00D65EBE"/>
    <w:rsid w:val="00D65FD5"/>
    <w:rsid w:val="00D6648D"/>
    <w:rsid w:val="00D6650F"/>
    <w:rsid w:val="00D6672E"/>
    <w:rsid w:val="00D67662"/>
    <w:rsid w:val="00D7046C"/>
    <w:rsid w:val="00D70A23"/>
    <w:rsid w:val="00D71B4E"/>
    <w:rsid w:val="00D720DC"/>
    <w:rsid w:val="00D72D3A"/>
    <w:rsid w:val="00D73A04"/>
    <w:rsid w:val="00D74A4B"/>
    <w:rsid w:val="00D74D68"/>
    <w:rsid w:val="00D75212"/>
    <w:rsid w:val="00D75320"/>
    <w:rsid w:val="00D7540B"/>
    <w:rsid w:val="00D75BE4"/>
    <w:rsid w:val="00D75F9F"/>
    <w:rsid w:val="00D7654D"/>
    <w:rsid w:val="00D76764"/>
    <w:rsid w:val="00D77194"/>
    <w:rsid w:val="00D77713"/>
    <w:rsid w:val="00D81894"/>
    <w:rsid w:val="00D81ADE"/>
    <w:rsid w:val="00D8352B"/>
    <w:rsid w:val="00D84291"/>
    <w:rsid w:val="00D851A5"/>
    <w:rsid w:val="00D85683"/>
    <w:rsid w:val="00D868FB"/>
    <w:rsid w:val="00D869AC"/>
    <w:rsid w:val="00D87A3E"/>
    <w:rsid w:val="00D92836"/>
    <w:rsid w:val="00D95C3F"/>
    <w:rsid w:val="00DA005D"/>
    <w:rsid w:val="00DA08F4"/>
    <w:rsid w:val="00DA0C61"/>
    <w:rsid w:val="00DA1A65"/>
    <w:rsid w:val="00DA2C8A"/>
    <w:rsid w:val="00DA36A1"/>
    <w:rsid w:val="00DA36F8"/>
    <w:rsid w:val="00DA3848"/>
    <w:rsid w:val="00DA4B2D"/>
    <w:rsid w:val="00DA5D56"/>
    <w:rsid w:val="00DA5EDD"/>
    <w:rsid w:val="00DA678D"/>
    <w:rsid w:val="00DB1D16"/>
    <w:rsid w:val="00DB1FF6"/>
    <w:rsid w:val="00DB3F38"/>
    <w:rsid w:val="00DB4F03"/>
    <w:rsid w:val="00DB5118"/>
    <w:rsid w:val="00DB6461"/>
    <w:rsid w:val="00DB64EB"/>
    <w:rsid w:val="00DB6E46"/>
    <w:rsid w:val="00DB7B98"/>
    <w:rsid w:val="00DC0010"/>
    <w:rsid w:val="00DC16D9"/>
    <w:rsid w:val="00DC377C"/>
    <w:rsid w:val="00DC5038"/>
    <w:rsid w:val="00DC5B02"/>
    <w:rsid w:val="00DC5B05"/>
    <w:rsid w:val="00DC67E9"/>
    <w:rsid w:val="00DC7351"/>
    <w:rsid w:val="00DC75E6"/>
    <w:rsid w:val="00DD081D"/>
    <w:rsid w:val="00DD1E22"/>
    <w:rsid w:val="00DD1FF6"/>
    <w:rsid w:val="00DD26BB"/>
    <w:rsid w:val="00DD4BE4"/>
    <w:rsid w:val="00DD4F26"/>
    <w:rsid w:val="00DD62E9"/>
    <w:rsid w:val="00DD6733"/>
    <w:rsid w:val="00DD79A9"/>
    <w:rsid w:val="00DD7D31"/>
    <w:rsid w:val="00DE02D4"/>
    <w:rsid w:val="00DE1525"/>
    <w:rsid w:val="00DE2268"/>
    <w:rsid w:val="00DE2385"/>
    <w:rsid w:val="00DE23D8"/>
    <w:rsid w:val="00DE2B9F"/>
    <w:rsid w:val="00DE39E7"/>
    <w:rsid w:val="00DE4147"/>
    <w:rsid w:val="00DE4F31"/>
    <w:rsid w:val="00DE519D"/>
    <w:rsid w:val="00DE56D1"/>
    <w:rsid w:val="00DE5F4A"/>
    <w:rsid w:val="00DE6A10"/>
    <w:rsid w:val="00DE7132"/>
    <w:rsid w:val="00DF118E"/>
    <w:rsid w:val="00DF12FD"/>
    <w:rsid w:val="00DF1E36"/>
    <w:rsid w:val="00DF29BF"/>
    <w:rsid w:val="00DF2EB2"/>
    <w:rsid w:val="00DF3541"/>
    <w:rsid w:val="00DF3872"/>
    <w:rsid w:val="00DF3F84"/>
    <w:rsid w:val="00DF4366"/>
    <w:rsid w:val="00DF47B1"/>
    <w:rsid w:val="00DF5895"/>
    <w:rsid w:val="00DF6206"/>
    <w:rsid w:val="00DF6E4E"/>
    <w:rsid w:val="00DF74AD"/>
    <w:rsid w:val="00E001CE"/>
    <w:rsid w:val="00E00C66"/>
    <w:rsid w:val="00E03CD9"/>
    <w:rsid w:val="00E0495D"/>
    <w:rsid w:val="00E056F4"/>
    <w:rsid w:val="00E057C7"/>
    <w:rsid w:val="00E05E3E"/>
    <w:rsid w:val="00E064E3"/>
    <w:rsid w:val="00E0670B"/>
    <w:rsid w:val="00E07B11"/>
    <w:rsid w:val="00E10321"/>
    <w:rsid w:val="00E10405"/>
    <w:rsid w:val="00E10945"/>
    <w:rsid w:val="00E12129"/>
    <w:rsid w:val="00E122D7"/>
    <w:rsid w:val="00E13A33"/>
    <w:rsid w:val="00E14D49"/>
    <w:rsid w:val="00E154F5"/>
    <w:rsid w:val="00E15E97"/>
    <w:rsid w:val="00E17D7C"/>
    <w:rsid w:val="00E2044C"/>
    <w:rsid w:val="00E20A36"/>
    <w:rsid w:val="00E20E99"/>
    <w:rsid w:val="00E215A4"/>
    <w:rsid w:val="00E22311"/>
    <w:rsid w:val="00E2355E"/>
    <w:rsid w:val="00E23A82"/>
    <w:rsid w:val="00E2516A"/>
    <w:rsid w:val="00E26BBF"/>
    <w:rsid w:val="00E27FEA"/>
    <w:rsid w:val="00E314BA"/>
    <w:rsid w:val="00E3162F"/>
    <w:rsid w:val="00E31EC2"/>
    <w:rsid w:val="00E3345E"/>
    <w:rsid w:val="00E339F5"/>
    <w:rsid w:val="00E35212"/>
    <w:rsid w:val="00E35CB3"/>
    <w:rsid w:val="00E36237"/>
    <w:rsid w:val="00E3674F"/>
    <w:rsid w:val="00E369AD"/>
    <w:rsid w:val="00E371F8"/>
    <w:rsid w:val="00E377CA"/>
    <w:rsid w:val="00E37A6C"/>
    <w:rsid w:val="00E37DD8"/>
    <w:rsid w:val="00E407AB"/>
    <w:rsid w:val="00E411B8"/>
    <w:rsid w:val="00E41E07"/>
    <w:rsid w:val="00E41FF9"/>
    <w:rsid w:val="00E42654"/>
    <w:rsid w:val="00E43128"/>
    <w:rsid w:val="00E434CC"/>
    <w:rsid w:val="00E434FB"/>
    <w:rsid w:val="00E438E3"/>
    <w:rsid w:val="00E43A21"/>
    <w:rsid w:val="00E44A6E"/>
    <w:rsid w:val="00E45FAE"/>
    <w:rsid w:val="00E46816"/>
    <w:rsid w:val="00E46B0A"/>
    <w:rsid w:val="00E4767A"/>
    <w:rsid w:val="00E50498"/>
    <w:rsid w:val="00E50652"/>
    <w:rsid w:val="00E509F5"/>
    <w:rsid w:val="00E51CB4"/>
    <w:rsid w:val="00E522CC"/>
    <w:rsid w:val="00E53934"/>
    <w:rsid w:val="00E54F0B"/>
    <w:rsid w:val="00E55119"/>
    <w:rsid w:val="00E5521A"/>
    <w:rsid w:val="00E55BE9"/>
    <w:rsid w:val="00E56771"/>
    <w:rsid w:val="00E6248A"/>
    <w:rsid w:val="00E62493"/>
    <w:rsid w:val="00E62A82"/>
    <w:rsid w:val="00E63868"/>
    <w:rsid w:val="00E64034"/>
    <w:rsid w:val="00E656F5"/>
    <w:rsid w:val="00E65ACA"/>
    <w:rsid w:val="00E7039E"/>
    <w:rsid w:val="00E703B6"/>
    <w:rsid w:val="00E703DB"/>
    <w:rsid w:val="00E707FE"/>
    <w:rsid w:val="00E7088E"/>
    <w:rsid w:val="00E709AB"/>
    <w:rsid w:val="00E70C6A"/>
    <w:rsid w:val="00E71168"/>
    <w:rsid w:val="00E71D37"/>
    <w:rsid w:val="00E745BA"/>
    <w:rsid w:val="00E7482F"/>
    <w:rsid w:val="00E77DBD"/>
    <w:rsid w:val="00E8152B"/>
    <w:rsid w:val="00E83F67"/>
    <w:rsid w:val="00E8597B"/>
    <w:rsid w:val="00E86525"/>
    <w:rsid w:val="00E87110"/>
    <w:rsid w:val="00E904D6"/>
    <w:rsid w:val="00E92EDB"/>
    <w:rsid w:val="00E93285"/>
    <w:rsid w:val="00E93FDB"/>
    <w:rsid w:val="00E94A55"/>
    <w:rsid w:val="00E94EDE"/>
    <w:rsid w:val="00E96187"/>
    <w:rsid w:val="00E969F3"/>
    <w:rsid w:val="00E972CF"/>
    <w:rsid w:val="00E975F0"/>
    <w:rsid w:val="00E97E72"/>
    <w:rsid w:val="00EA0544"/>
    <w:rsid w:val="00EA0C50"/>
    <w:rsid w:val="00EA11B7"/>
    <w:rsid w:val="00EA1DE7"/>
    <w:rsid w:val="00EA21C5"/>
    <w:rsid w:val="00EA2B0B"/>
    <w:rsid w:val="00EA352C"/>
    <w:rsid w:val="00EA4933"/>
    <w:rsid w:val="00EA4A10"/>
    <w:rsid w:val="00EA4FC0"/>
    <w:rsid w:val="00EA6ABA"/>
    <w:rsid w:val="00EA7C35"/>
    <w:rsid w:val="00EB0B29"/>
    <w:rsid w:val="00EB1A80"/>
    <w:rsid w:val="00EB218D"/>
    <w:rsid w:val="00EB2415"/>
    <w:rsid w:val="00EB3C04"/>
    <w:rsid w:val="00EB46BD"/>
    <w:rsid w:val="00EB5151"/>
    <w:rsid w:val="00EB5800"/>
    <w:rsid w:val="00EB582C"/>
    <w:rsid w:val="00EB5FEB"/>
    <w:rsid w:val="00EB62DE"/>
    <w:rsid w:val="00EB665B"/>
    <w:rsid w:val="00EB6AA7"/>
    <w:rsid w:val="00EB7326"/>
    <w:rsid w:val="00EB7A73"/>
    <w:rsid w:val="00EB7BE5"/>
    <w:rsid w:val="00EB7FC3"/>
    <w:rsid w:val="00EC00EB"/>
    <w:rsid w:val="00EC0AAD"/>
    <w:rsid w:val="00EC2196"/>
    <w:rsid w:val="00EC2C4F"/>
    <w:rsid w:val="00EC38F7"/>
    <w:rsid w:val="00EC4E95"/>
    <w:rsid w:val="00EC53B7"/>
    <w:rsid w:val="00EC5E53"/>
    <w:rsid w:val="00EC7469"/>
    <w:rsid w:val="00EC78F5"/>
    <w:rsid w:val="00EC7BEF"/>
    <w:rsid w:val="00ED120F"/>
    <w:rsid w:val="00ED1282"/>
    <w:rsid w:val="00ED18E2"/>
    <w:rsid w:val="00ED24E9"/>
    <w:rsid w:val="00ED25C5"/>
    <w:rsid w:val="00ED25EE"/>
    <w:rsid w:val="00ED26B3"/>
    <w:rsid w:val="00ED30FE"/>
    <w:rsid w:val="00ED4661"/>
    <w:rsid w:val="00ED496D"/>
    <w:rsid w:val="00ED4BEB"/>
    <w:rsid w:val="00ED504B"/>
    <w:rsid w:val="00ED528F"/>
    <w:rsid w:val="00ED7483"/>
    <w:rsid w:val="00EE0A8D"/>
    <w:rsid w:val="00EE11D3"/>
    <w:rsid w:val="00EE2A73"/>
    <w:rsid w:val="00EE371E"/>
    <w:rsid w:val="00EE419D"/>
    <w:rsid w:val="00EE4903"/>
    <w:rsid w:val="00EE59FC"/>
    <w:rsid w:val="00EE6496"/>
    <w:rsid w:val="00EE6888"/>
    <w:rsid w:val="00EE6DCD"/>
    <w:rsid w:val="00EE7B65"/>
    <w:rsid w:val="00EF07D2"/>
    <w:rsid w:val="00EF0D4C"/>
    <w:rsid w:val="00EF126F"/>
    <w:rsid w:val="00EF15F0"/>
    <w:rsid w:val="00EF16FC"/>
    <w:rsid w:val="00EF1E55"/>
    <w:rsid w:val="00EF27B4"/>
    <w:rsid w:val="00EF2E4B"/>
    <w:rsid w:val="00EF331C"/>
    <w:rsid w:val="00EF4D63"/>
    <w:rsid w:val="00EF4F28"/>
    <w:rsid w:val="00EF570B"/>
    <w:rsid w:val="00EF620A"/>
    <w:rsid w:val="00EF7BD3"/>
    <w:rsid w:val="00F011E9"/>
    <w:rsid w:val="00F02E74"/>
    <w:rsid w:val="00F040DE"/>
    <w:rsid w:val="00F0456F"/>
    <w:rsid w:val="00F04A2B"/>
    <w:rsid w:val="00F06D0E"/>
    <w:rsid w:val="00F06F7D"/>
    <w:rsid w:val="00F121CD"/>
    <w:rsid w:val="00F12403"/>
    <w:rsid w:val="00F12D26"/>
    <w:rsid w:val="00F1336A"/>
    <w:rsid w:val="00F1351D"/>
    <w:rsid w:val="00F1439E"/>
    <w:rsid w:val="00F14D9B"/>
    <w:rsid w:val="00F157D6"/>
    <w:rsid w:val="00F15D8C"/>
    <w:rsid w:val="00F15DF5"/>
    <w:rsid w:val="00F1633D"/>
    <w:rsid w:val="00F1686D"/>
    <w:rsid w:val="00F174DC"/>
    <w:rsid w:val="00F17CD9"/>
    <w:rsid w:val="00F17D09"/>
    <w:rsid w:val="00F211B8"/>
    <w:rsid w:val="00F21D86"/>
    <w:rsid w:val="00F22AAC"/>
    <w:rsid w:val="00F22BCB"/>
    <w:rsid w:val="00F22DFB"/>
    <w:rsid w:val="00F245C8"/>
    <w:rsid w:val="00F2559A"/>
    <w:rsid w:val="00F25920"/>
    <w:rsid w:val="00F26656"/>
    <w:rsid w:val="00F27D64"/>
    <w:rsid w:val="00F330CD"/>
    <w:rsid w:val="00F333C5"/>
    <w:rsid w:val="00F335EC"/>
    <w:rsid w:val="00F33768"/>
    <w:rsid w:val="00F33850"/>
    <w:rsid w:val="00F340C4"/>
    <w:rsid w:val="00F349CE"/>
    <w:rsid w:val="00F35283"/>
    <w:rsid w:val="00F3551D"/>
    <w:rsid w:val="00F35DBC"/>
    <w:rsid w:val="00F3633F"/>
    <w:rsid w:val="00F37604"/>
    <w:rsid w:val="00F37673"/>
    <w:rsid w:val="00F37F3B"/>
    <w:rsid w:val="00F37F90"/>
    <w:rsid w:val="00F40823"/>
    <w:rsid w:val="00F40D1A"/>
    <w:rsid w:val="00F41786"/>
    <w:rsid w:val="00F427BC"/>
    <w:rsid w:val="00F428CD"/>
    <w:rsid w:val="00F43B1C"/>
    <w:rsid w:val="00F43FA8"/>
    <w:rsid w:val="00F45447"/>
    <w:rsid w:val="00F45860"/>
    <w:rsid w:val="00F4602B"/>
    <w:rsid w:val="00F46A9C"/>
    <w:rsid w:val="00F46D2E"/>
    <w:rsid w:val="00F47C7E"/>
    <w:rsid w:val="00F51243"/>
    <w:rsid w:val="00F51740"/>
    <w:rsid w:val="00F51F6D"/>
    <w:rsid w:val="00F53164"/>
    <w:rsid w:val="00F556B4"/>
    <w:rsid w:val="00F57B67"/>
    <w:rsid w:val="00F605EA"/>
    <w:rsid w:val="00F612DB"/>
    <w:rsid w:val="00F62084"/>
    <w:rsid w:val="00F623A4"/>
    <w:rsid w:val="00F6583E"/>
    <w:rsid w:val="00F7112B"/>
    <w:rsid w:val="00F72CC2"/>
    <w:rsid w:val="00F7636E"/>
    <w:rsid w:val="00F77292"/>
    <w:rsid w:val="00F77A29"/>
    <w:rsid w:val="00F82162"/>
    <w:rsid w:val="00F8219F"/>
    <w:rsid w:val="00F82B15"/>
    <w:rsid w:val="00F82E32"/>
    <w:rsid w:val="00F832A2"/>
    <w:rsid w:val="00F83D5A"/>
    <w:rsid w:val="00F84367"/>
    <w:rsid w:val="00F84378"/>
    <w:rsid w:val="00F84EB1"/>
    <w:rsid w:val="00F85655"/>
    <w:rsid w:val="00F85BD6"/>
    <w:rsid w:val="00F85C87"/>
    <w:rsid w:val="00F85F4A"/>
    <w:rsid w:val="00F873F0"/>
    <w:rsid w:val="00F87A2D"/>
    <w:rsid w:val="00F917E6"/>
    <w:rsid w:val="00F94A40"/>
    <w:rsid w:val="00F961FC"/>
    <w:rsid w:val="00F964E5"/>
    <w:rsid w:val="00F9695E"/>
    <w:rsid w:val="00F96E44"/>
    <w:rsid w:val="00FA2357"/>
    <w:rsid w:val="00FA2CC4"/>
    <w:rsid w:val="00FA2FDD"/>
    <w:rsid w:val="00FA5667"/>
    <w:rsid w:val="00FA6608"/>
    <w:rsid w:val="00FA7636"/>
    <w:rsid w:val="00FB13AB"/>
    <w:rsid w:val="00FB14D6"/>
    <w:rsid w:val="00FB31B9"/>
    <w:rsid w:val="00FB531C"/>
    <w:rsid w:val="00FB6AB1"/>
    <w:rsid w:val="00FB7CFC"/>
    <w:rsid w:val="00FC0908"/>
    <w:rsid w:val="00FC1040"/>
    <w:rsid w:val="00FC188F"/>
    <w:rsid w:val="00FC2078"/>
    <w:rsid w:val="00FC21B6"/>
    <w:rsid w:val="00FC2602"/>
    <w:rsid w:val="00FC3460"/>
    <w:rsid w:val="00FC3D0A"/>
    <w:rsid w:val="00FC51D7"/>
    <w:rsid w:val="00FC5AA5"/>
    <w:rsid w:val="00FC5CAC"/>
    <w:rsid w:val="00FC690C"/>
    <w:rsid w:val="00FC6F74"/>
    <w:rsid w:val="00FD0A33"/>
    <w:rsid w:val="00FD0C08"/>
    <w:rsid w:val="00FD0D06"/>
    <w:rsid w:val="00FD116A"/>
    <w:rsid w:val="00FD14B2"/>
    <w:rsid w:val="00FD1B7C"/>
    <w:rsid w:val="00FD328E"/>
    <w:rsid w:val="00FD3D81"/>
    <w:rsid w:val="00FD45B4"/>
    <w:rsid w:val="00FD7F72"/>
    <w:rsid w:val="00FE11D6"/>
    <w:rsid w:val="00FE1328"/>
    <w:rsid w:val="00FE17ED"/>
    <w:rsid w:val="00FE1B32"/>
    <w:rsid w:val="00FE26F8"/>
    <w:rsid w:val="00FE424E"/>
    <w:rsid w:val="00FE4253"/>
    <w:rsid w:val="00FE4B71"/>
    <w:rsid w:val="00FF0907"/>
    <w:rsid w:val="00FF211D"/>
    <w:rsid w:val="00FF2D02"/>
    <w:rsid w:val="00FF2ED0"/>
    <w:rsid w:val="00FF3AF8"/>
    <w:rsid w:val="00FF4A3B"/>
    <w:rsid w:val="00FF5D1F"/>
    <w:rsid w:val="00FF60F3"/>
    <w:rsid w:val="00FF719E"/>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487FB"/>
  <w15:docId w15:val="{BD7A2D7A-10A4-444D-AC8D-1204C223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AF7"/>
    <w:pPr>
      <w:spacing w:line="360" w:lineRule="auto"/>
      <w:ind w:firstLine="1440"/>
    </w:pPr>
    <w:rPr>
      <w:sz w:val="24"/>
      <w:szCs w:val="24"/>
    </w:rPr>
  </w:style>
  <w:style w:type="paragraph" w:styleId="Heading1">
    <w:name w:val="heading 1"/>
    <w:basedOn w:val="Normal"/>
    <w:next w:val="BodyText2"/>
    <w:uiPriority w:val="9"/>
    <w:qFormat/>
    <w:rsid w:val="00921AF7"/>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qFormat/>
    <w:rsid w:val="00921A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1AF7"/>
    <w:pPr>
      <w:keepNext/>
      <w:spacing w:before="240" w:after="60"/>
      <w:outlineLvl w:val="2"/>
    </w:pPr>
    <w:rPr>
      <w:rFonts w:ascii="Arial" w:hAnsi="Arial" w:cs="Arial"/>
      <w:b/>
      <w:bCs/>
      <w:sz w:val="26"/>
      <w:szCs w:val="26"/>
    </w:rPr>
  </w:style>
  <w:style w:type="paragraph" w:styleId="Heading4">
    <w:name w:val="heading 4"/>
    <w:basedOn w:val="Normal"/>
    <w:qFormat/>
    <w:rsid w:val="00921AF7"/>
    <w:pPr>
      <w:spacing w:before="100" w:beforeAutospacing="1" w:after="100" w:afterAutospacing="1"/>
      <w:outlineLvl w:val="3"/>
    </w:pPr>
    <w:rPr>
      <w:b/>
      <w:bCs/>
    </w:rPr>
  </w:style>
  <w:style w:type="paragraph" w:styleId="Heading5">
    <w:name w:val="heading 5"/>
    <w:basedOn w:val="Normal"/>
    <w:next w:val="BodyText2"/>
    <w:qFormat/>
    <w:rsid w:val="00921AF7"/>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qFormat/>
    <w:rsid w:val="00921AF7"/>
    <w:pPr>
      <w:widowControl w:val="0"/>
      <w:tabs>
        <w:tab w:val="num" w:pos="0"/>
      </w:tabs>
      <w:spacing w:after="240"/>
      <w:ind w:left="4306" w:hanging="720"/>
      <w:outlineLvl w:val="5"/>
    </w:pPr>
    <w:rPr>
      <w:bCs/>
      <w:snapToGrid w:val="0"/>
      <w:szCs w:val="22"/>
    </w:rPr>
  </w:style>
  <w:style w:type="paragraph" w:styleId="Heading7">
    <w:name w:val="heading 7"/>
    <w:basedOn w:val="Normal"/>
    <w:next w:val="BodyText2"/>
    <w:qFormat/>
    <w:rsid w:val="00921AF7"/>
    <w:pPr>
      <w:widowControl w:val="0"/>
      <w:tabs>
        <w:tab w:val="num" w:pos="0"/>
      </w:tabs>
      <w:spacing w:after="240"/>
      <w:ind w:left="5026" w:hanging="720"/>
      <w:outlineLvl w:val="6"/>
    </w:pPr>
    <w:rPr>
      <w:snapToGrid w:val="0"/>
    </w:rPr>
  </w:style>
  <w:style w:type="paragraph" w:styleId="Heading8">
    <w:name w:val="heading 8"/>
    <w:basedOn w:val="Normal"/>
    <w:next w:val="BodyText2"/>
    <w:link w:val="Heading8Char"/>
    <w:qFormat/>
    <w:rsid w:val="00921AF7"/>
    <w:pPr>
      <w:widowControl w:val="0"/>
      <w:tabs>
        <w:tab w:val="num" w:pos="0"/>
      </w:tabs>
      <w:spacing w:after="240"/>
      <w:ind w:left="5746" w:hanging="720"/>
      <w:outlineLvl w:val="7"/>
    </w:pPr>
    <w:rPr>
      <w:iCs/>
      <w:snapToGrid w:val="0"/>
    </w:rPr>
  </w:style>
  <w:style w:type="paragraph" w:styleId="Heading9">
    <w:name w:val="heading 9"/>
    <w:basedOn w:val="Normal"/>
    <w:next w:val="BodyText2"/>
    <w:qFormat/>
    <w:rsid w:val="00921AF7"/>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1AF7"/>
    <w:pPr>
      <w:spacing w:before="100" w:beforeAutospacing="1" w:after="100" w:afterAutospacing="1"/>
    </w:pPr>
  </w:style>
  <w:style w:type="paragraph" w:styleId="FootnoteText">
    <w:name w:val="footnote text"/>
    <w:aliases w:val="Footnote Text Char2,Footnote Text Char Char,Footnote Text Char1 Char Char,Footnote Text Char Char Char Char,Footnote Text Char1 Char1,Footnote Text Char Char1 Char,Footnote Text Char1,Footnote Text Char Char1,ft,fn,Footnote Text Char1 Char"/>
    <w:basedOn w:val="Normal"/>
    <w:link w:val="FootnoteTextChar"/>
    <w:uiPriority w:val="99"/>
    <w:qFormat/>
    <w:rsid w:val="00921AF7"/>
    <w:rPr>
      <w:sz w:val="20"/>
      <w:szCs w:val="20"/>
    </w:rPr>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Styl"/>
    <w:basedOn w:val="DefaultParagraphFont"/>
    <w:uiPriority w:val="99"/>
    <w:qFormat/>
    <w:rsid w:val="00921AF7"/>
    <w:rPr>
      <w:vertAlign w:val="superscript"/>
    </w:rPr>
  </w:style>
  <w:style w:type="paragraph" w:styleId="Footer">
    <w:name w:val="footer"/>
    <w:basedOn w:val="Normal"/>
    <w:rsid w:val="00921AF7"/>
    <w:pPr>
      <w:tabs>
        <w:tab w:val="center" w:pos="4320"/>
        <w:tab w:val="right" w:pos="8640"/>
      </w:tabs>
    </w:pPr>
  </w:style>
  <w:style w:type="character" w:styleId="PageNumber">
    <w:name w:val="page number"/>
    <w:basedOn w:val="DefaultParagraphFont"/>
    <w:rsid w:val="00921AF7"/>
  </w:style>
  <w:style w:type="paragraph" w:styleId="BodyText2">
    <w:name w:val="Body Text 2"/>
    <w:basedOn w:val="Normal"/>
    <w:rsid w:val="00921AF7"/>
    <w:pPr>
      <w:spacing w:after="120" w:line="480" w:lineRule="auto"/>
    </w:pPr>
  </w:style>
  <w:style w:type="paragraph" w:styleId="BodyText">
    <w:name w:val="Body Text"/>
    <w:basedOn w:val="Normal"/>
    <w:rsid w:val="00921AF7"/>
    <w:rPr>
      <w:rFonts w:ascii="Times New (W1)" w:hAnsi="Times New (W1)" w:cs="Times New (W1)"/>
      <w:color w:val="000000"/>
      <w:sz w:val="26"/>
    </w:rPr>
  </w:style>
  <w:style w:type="paragraph" w:styleId="ListNumber">
    <w:name w:val="List Number"/>
    <w:basedOn w:val="Normal"/>
    <w:rsid w:val="00921AF7"/>
    <w:pPr>
      <w:numPr>
        <w:numId w:val="2"/>
      </w:numPr>
      <w:tabs>
        <w:tab w:val="clear" w:pos="360"/>
      </w:tabs>
      <w:spacing w:line="480" w:lineRule="auto"/>
      <w:ind w:left="0" w:firstLine="720"/>
    </w:pPr>
  </w:style>
  <w:style w:type="character" w:customStyle="1" w:styleId="CharChar">
    <w:name w:val="Char Char"/>
    <w:basedOn w:val="DefaultParagraphFont"/>
    <w:rsid w:val="00921AF7"/>
    <w:rPr>
      <w:rFonts w:ascii="Arial" w:hAnsi="Arial" w:cs="Arial"/>
      <w:b/>
      <w:bCs/>
      <w:sz w:val="26"/>
      <w:szCs w:val="26"/>
      <w:lang w:val="en-US" w:eastAsia="en-US" w:bidi="ar-SA"/>
    </w:rPr>
  </w:style>
  <w:style w:type="paragraph" w:styleId="z-TopofForm">
    <w:name w:val="HTML Top of Form"/>
    <w:basedOn w:val="Normal"/>
    <w:next w:val="Normal"/>
    <w:link w:val="z-TopofFormChar"/>
    <w:hidden/>
    <w:rsid w:val="000953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953EF"/>
    <w:rPr>
      <w:rFonts w:ascii="Arial" w:hAnsi="Arial" w:cs="Arial"/>
      <w:vanish/>
      <w:sz w:val="16"/>
      <w:szCs w:val="16"/>
    </w:rPr>
  </w:style>
  <w:style w:type="paragraph" w:styleId="ListParagraph">
    <w:name w:val="List Paragraph"/>
    <w:basedOn w:val="Normal"/>
    <w:uiPriority w:val="34"/>
    <w:qFormat/>
    <w:rsid w:val="00CE591B"/>
    <w:pPr>
      <w:ind w:left="720"/>
    </w:pPr>
  </w:style>
  <w:style w:type="character" w:styleId="Emphasis">
    <w:name w:val="Emphasis"/>
    <w:basedOn w:val="DefaultParagraphFont"/>
    <w:qFormat/>
    <w:rsid w:val="00E434CC"/>
    <w:rPr>
      <w:i/>
      <w:iCs/>
    </w:rPr>
  </w:style>
  <w:style w:type="character" w:customStyle="1" w:styleId="FootnoteTextChar">
    <w:name w:val="Footnote Text Char"/>
    <w:aliases w:val="Footnote Text Char2 Char,Footnote Text Char Char Char,Footnote Text Char1 Char Char Char,Footnote Text Char Char Char Char Char,Footnote Text Char1 Char1 Char,Footnote Text Char Char1 Char Char,Footnote Text Char1 Char2,ft Char"/>
    <w:basedOn w:val="DefaultParagraphFont"/>
    <w:link w:val="FootnoteText"/>
    <w:uiPriority w:val="99"/>
    <w:qFormat/>
    <w:rsid w:val="00DA3848"/>
  </w:style>
  <w:style w:type="paragraph" w:styleId="BalloonText">
    <w:name w:val="Balloon Text"/>
    <w:basedOn w:val="Normal"/>
    <w:link w:val="BalloonTextChar"/>
    <w:rsid w:val="001604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0408"/>
    <w:rPr>
      <w:rFonts w:ascii="Tahoma" w:hAnsi="Tahoma" w:cs="Tahoma"/>
      <w:sz w:val="16"/>
      <w:szCs w:val="16"/>
    </w:rPr>
  </w:style>
  <w:style w:type="paragraph" w:styleId="Header">
    <w:name w:val="header"/>
    <w:basedOn w:val="Normal"/>
    <w:link w:val="HeaderChar"/>
    <w:rsid w:val="003E6607"/>
    <w:pPr>
      <w:tabs>
        <w:tab w:val="center" w:pos="4680"/>
        <w:tab w:val="right" w:pos="9360"/>
      </w:tabs>
      <w:spacing w:line="240" w:lineRule="auto"/>
    </w:pPr>
  </w:style>
  <w:style w:type="character" w:customStyle="1" w:styleId="HeaderChar">
    <w:name w:val="Header Char"/>
    <w:basedOn w:val="DefaultParagraphFont"/>
    <w:link w:val="Header"/>
    <w:rsid w:val="003E6607"/>
    <w:rPr>
      <w:sz w:val="24"/>
      <w:szCs w:val="24"/>
    </w:rPr>
  </w:style>
  <w:style w:type="table" w:styleId="TableGrid">
    <w:name w:val="Table Grid"/>
    <w:basedOn w:val="TableNormal"/>
    <w:rsid w:val="0085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266C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1F77AE"/>
    <w:rPr>
      <w:sz w:val="16"/>
      <w:szCs w:val="16"/>
    </w:rPr>
  </w:style>
  <w:style w:type="paragraph" w:styleId="CommentText">
    <w:name w:val="annotation text"/>
    <w:basedOn w:val="Normal"/>
    <w:link w:val="CommentTextChar"/>
    <w:rsid w:val="001F77AE"/>
    <w:pPr>
      <w:spacing w:line="240" w:lineRule="auto"/>
    </w:pPr>
    <w:rPr>
      <w:sz w:val="20"/>
      <w:szCs w:val="20"/>
    </w:rPr>
  </w:style>
  <w:style w:type="character" w:customStyle="1" w:styleId="CommentTextChar">
    <w:name w:val="Comment Text Char"/>
    <w:basedOn w:val="DefaultParagraphFont"/>
    <w:link w:val="CommentText"/>
    <w:rsid w:val="001F77AE"/>
  </w:style>
  <w:style w:type="paragraph" w:styleId="CommentSubject">
    <w:name w:val="annotation subject"/>
    <w:basedOn w:val="CommentText"/>
    <w:next w:val="CommentText"/>
    <w:link w:val="CommentSubjectChar"/>
    <w:rsid w:val="001F77AE"/>
    <w:rPr>
      <w:b/>
      <w:bCs/>
    </w:rPr>
  </w:style>
  <w:style w:type="character" w:customStyle="1" w:styleId="CommentSubjectChar">
    <w:name w:val="Comment Subject Char"/>
    <w:basedOn w:val="CommentTextChar"/>
    <w:link w:val="CommentSubject"/>
    <w:rsid w:val="001F77AE"/>
    <w:rPr>
      <w:b/>
      <w:bCs/>
    </w:rPr>
  </w:style>
  <w:style w:type="paragraph" w:styleId="Revision">
    <w:name w:val="Revision"/>
    <w:hidden/>
    <w:uiPriority w:val="99"/>
    <w:semiHidden/>
    <w:rsid w:val="001F77AE"/>
    <w:rPr>
      <w:sz w:val="24"/>
      <w:szCs w:val="24"/>
    </w:rPr>
  </w:style>
  <w:style w:type="table" w:customStyle="1" w:styleId="TableGrid2">
    <w:name w:val="Table Grid2"/>
    <w:basedOn w:val="TableNormal"/>
    <w:next w:val="TableGrid"/>
    <w:uiPriority w:val="59"/>
    <w:rsid w:val="008C2EF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438E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Tab1">
    <w:name w:val="ParaTab 1"/>
    <w:rsid w:val="0078257E"/>
    <w:pPr>
      <w:tabs>
        <w:tab w:val="left" w:pos="-720"/>
      </w:tabs>
      <w:suppressAutoHyphens/>
      <w:autoSpaceDE w:val="0"/>
      <w:autoSpaceDN w:val="0"/>
      <w:ind w:firstLine="1440"/>
    </w:pPr>
    <w:rPr>
      <w:rFonts w:ascii="CG Times" w:hAnsi="CG Times" w:cs="CG Times"/>
      <w:sz w:val="24"/>
      <w:szCs w:val="24"/>
    </w:rPr>
  </w:style>
  <w:style w:type="paragraph" w:styleId="NoSpacing">
    <w:name w:val="No Spacing"/>
    <w:uiPriority w:val="1"/>
    <w:qFormat/>
    <w:rsid w:val="00085685"/>
    <w:rPr>
      <w:rFonts w:eastAsia="Calibri"/>
      <w:sz w:val="24"/>
      <w:szCs w:val="22"/>
    </w:rPr>
  </w:style>
  <w:style w:type="paragraph" w:customStyle="1" w:styleId="Style">
    <w:name w:val="Style"/>
    <w:rsid w:val="00A66FB1"/>
    <w:pPr>
      <w:widowControl w:val="0"/>
      <w:autoSpaceDE w:val="0"/>
      <w:autoSpaceDN w:val="0"/>
      <w:adjustRightInd w:val="0"/>
    </w:pPr>
    <w:rPr>
      <w:sz w:val="24"/>
      <w:szCs w:val="24"/>
    </w:rPr>
  </w:style>
  <w:style w:type="character" w:customStyle="1" w:styleId="Heading8Char">
    <w:name w:val="Heading 8 Char"/>
    <w:basedOn w:val="DefaultParagraphFont"/>
    <w:link w:val="Heading8"/>
    <w:rsid w:val="00622772"/>
    <w:rPr>
      <w:iCs/>
      <w:snapToGrid w:val="0"/>
      <w:sz w:val="24"/>
      <w:szCs w:val="24"/>
    </w:rPr>
  </w:style>
  <w:style w:type="paragraph" w:customStyle="1" w:styleId="p3">
    <w:name w:val="p3"/>
    <w:basedOn w:val="Normal"/>
    <w:rsid w:val="00731008"/>
    <w:pPr>
      <w:widowControl w:val="0"/>
      <w:tabs>
        <w:tab w:val="left" w:pos="204"/>
      </w:tabs>
      <w:spacing w:line="240" w:lineRule="auto"/>
      <w:ind w:firstLine="0"/>
    </w:pPr>
  </w:style>
  <w:style w:type="paragraph" w:customStyle="1" w:styleId="OutlineL1">
    <w:name w:val="Outline_L1"/>
    <w:basedOn w:val="Normal"/>
    <w:next w:val="FootnoteText"/>
    <w:rsid w:val="000069A8"/>
    <w:pPr>
      <w:keepNext/>
      <w:numPr>
        <w:numId w:val="18"/>
      </w:numPr>
      <w:spacing w:after="240" w:line="240" w:lineRule="auto"/>
      <w:jc w:val="center"/>
      <w:outlineLvl w:val="0"/>
    </w:pPr>
    <w:rPr>
      <w:rFonts w:ascii="Times New Roman Bold" w:hAnsi="Times New Roman Bold"/>
      <w:b/>
      <w:caps/>
      <w:szCs w:val="20"/>
    </w:rPr>
  </w:style>
  <w:style w:type="paragraph" w:customStyle="1" w:styleId="OutlineL2">
    <w:name w:val="Outline_L2"/>
    <w:basedOn w:val="OutlineL1"/>
    <w:rsid w:val="000069A8"/>
    <w:pPr>
      <w:keepNext w:val="0"/>
      <w:numPr>
        <w:ilvl w:val="1"/>
      </w:numPr>
      <w:spacing w:line="480" w:lineRule="auto"/>
      <w:jc w:val="left"/>
      <w:outlineLvl w:val="1"/>
    </w:pPr>
    <w:rPr>
      <w:rFonts w:ascii="Times New Roman" w:hAnsi="Times New Roman"/>
      <w:b w:val="0"/>
      <w:caps w:val="0"/>
    </w:rPr>
  </w:style>
  <w:style w:type="paragraph" w:customStyle="1" w:styleId="OutlineL3">
    <w:name w:val="Outline_L3"/>
    <w:basedOn w:val="OutlineL2"/>
    <w:rsid w:val="000069A8"/>
    <w:pPr>
      <w:numPr>
        <w:ilvl w:val="2"/>
      </w:numPr>
      <w:spacing w:after="120"/>
      <w:outlineLvl w:val="2"/>
    </w:pPr>
  </w:style>
  <w:style w:type="paragraph" w:customStyle="1" w:styleId="OutlineL4">
    <w:name w:val="Outline_L4"/>
    <w:basedOn w:val="OutlineL3"/>
    <w:rsid w:val="000069A8"/>
    <w:pPr>
      <w:numPr>
        <w:ilvl w:val="3"/>
      </w:numPr>
      <w:outlineLvl w:val="3"/>
    </w:pPr>
  </w:style>
  <w:style w:type="paragraph" w:customStyle="1" w:styleId="OutlineL5">
    <w:name w:val="Outline_L5"/>
    <w:basedOn w:val="OutlineL4"/>
    <w:rsid w:val="000069A8"/>
    <w:pPr>
      <w:numPr>
        <w:ilvl w:val="4"/>
      </w:numPr>
      <w:spacing w:line="240" w:lineRule="auto"/>
      <w:outlineLvl w:val="4"/>
    </w:pPr>
  </w:style>
  <w:style w:type="paragraph" w:customStyle="1" w:styleId="OutlineL6">
    <w:name w:val="Outline_L6"/>
    <w:basedOn w:val="OutlineL5"/>
    <w:rsid w:val="000069A8"/>
    <w:pPr>
      <w:numPr>
        <w:ilvl w:val="5"/>
      </w:numPr>
      <w:spacing w:after="240"/>
      <w:outlineLvl w:val="5"/>
    </w:pPr>
    <w:rPr>
      <w:szCs w:val="24"/>
    </w:rPr>
  </w:style>
  <w:style w:type="paragraph" w:customStyle="1" w:styleId="OutlineL7">
    <w:name w:val="Outline_L7"/>
    <w:basedOn w:val="OutlineL6"/>
    <w:rsid w:val="000069A8"/>
    <w:pPr>
      <w:numPr>
        <w:ilvl w:val="6"/>
      </w:numPr>
      <w:outlineLvl w:val="6"/>
    </w:pPr>
    <w:rPr>
      <w:rFonts w:ascii="Times New Roman Bold" w:hAnsi="Times New Roman Bold"/>
      <w:b/>
    </w:rPr>
  </w:style>
  <w:style w:type="paragraph" w:customStyle="1" w:styleId="OutlineL8">
    <w:name w:val="Outline_L8"/>
    <w:basedOn w:val="OutlineL7"/>
    <w:rsid w:val="000069A8"/>
    <w:pPr>
      <w:numPr>
        <w:ilvl w:val="7"/>
      </w:numPr>
      <w:outlineLvl w:val="7"/>
    </w:pPr>
  </w:style>
  <w:style w:type="paragraph" w:customStyle="1" w:styleId="OutlineL9">
    <w:name w:val="Outline_L9"/>
    <w:basedOn w:val="OutlineL8"/>
    <w:rsid w:val="000069A8"/>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8297">
      <w:bodyDiv w:val="1"/>
      <w:marLeft w:val="0"/>
      <w:marRight w:val="0"/>
      <w:marTop w:val="0"/>
      <w:marBottom w:val="0"/>
      <w:divBdr>
        <w:top w:val="none" w:sz="0" w:space="0" w:color="auto"/>
        <w:left w:val="none" w:sz="0" w:space="0" w:color="auto"/>
        <w:bottom w:val="none" w:sz="0" w:space="0" w:color="auto"/>
        <w:right w:val="none" w:sz="0" w:space="0" w:color="auto"/>
      </w:divBdr>
      <w:divsChild>
        <w:div w:id="55516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tfarrar\Local%20Settings\Temporary%20Internet%20Files\Content.Outlook\Local%20Settings\Temporary%20Internet%20Files\Content.Outlook\Local%20Settings\Temporary%20Internet%20Files\Content.Outlook\Local%20Settings\research\buttonTFLi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Documents%20and%20Settings\tfarrar\Local%20Settings\Temporary%20Internet%20Files\Content.Outlook\Local%20Settings\Temporary%20Internet%20Files\Content.Outlook\Local%20Settings\Temporary%20Internet%20Files\Content.Outlook\Local%20Settings\research\buttonTF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4D78C-F44C-4BB1-A0F0-52B8F865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5514</Words>
  <Characters>30744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Draft Order WPP Petition</vt:lpstr>
    </vt:vector>
  </TitlesOfParts>
  <Company>PA Public Utility Commission</Company>
  <LinksUpToDate>false</LinksUpToDate>
  <CharactersWithSpaces>36186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Order WPP Petition</dc:title>
  <dc:subject>Interlocutory Review and Answer to Material Question</dc:subject>
  <dc:creator>T Maher</dc:creator>
  <cp:lastModifiedBy>Reynolds, Doris</cp:lastModifiedBy>
  <cp:revision>2</cp:revision>
  <cp:lastPrinted>2017-02-09T19:24:00Z</cp:lastPrinted>
  <dcterms:created xsi:type="dcterms:W3CDTF">2021-04-15T16:27:00Z</dcterms:created>
  <dcterms:modified xsi:type="dcterms:W3CDTF">2021-04-15T16:27:00Z</dcterms:modified>
</cp:coreProperties>
</file>