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87"/>
        <w:gridCol w:w="1440"/>
      </w:tblGrid>
      <w:tr w:rsidR="00C74A51" w14:paraId="0DBB0E2B" w14:textId="77777777">
        <w:trPr>
          <w:trHeight w:val="990"/>
        </w:trPr>
        <w:tc>
          <w:tcPr>
            <w:tcW w:w="1363" w:type="dxa"/>
          </w:tcPr>
          <w:p w14:paraId="4AB10307" w14:textId="77777777" w:rsidR="00C74A51" w:rsidRDefault="00FF2297">
            <w:pPr>
              <w:rPr>
                <w:sz w:val="24"/>
              </w:rPr>
            </w:pPr>
            <w:r>
              <w:rPr>
                <w:noProof/>
                <w:spacing w:val="-2"/>
              </w:rPr>
              <w:drawing>
                <wp:inline distT="0" distB="0" distL="0" distR="0" wp14:anchorId="17B74690" wp14:editId="6D1AB21D">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03CDFB96" w14:textId="77777777" w:rsidR="00C74A51" w:rsidRDefault="00C74A51">
            <w:pPr>
              <w:suppressAutoHyphens/>
              <w:spacing w:line="204" w:lineRule="auto"/>
              <w:jc w:val="center"/>
              <w:rPr>
                <w:rFonts w:ascii="Arial" w:hAnsi="Arial"/>
                <w:color w:val="000080"/>
                <w:spacing w:val="-3"/>
                <w:sz w:val="26"/>
              </w:rPr>
            </w:pPr>
          </w:p>
          <w:p w14:paraId="10396D61"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625EB72"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96F7761" w14:textId="26CEE724" w:rsidR="00DF660B" w:rsidRDefault="00DF660B">
            <w:pPr>
              <w:jc w:val="center"/>
              <w:rPr>
                <w:rFonts w:ascii="Arial" w:hAnsi="Arial"/>
                <w:color w:val="000080"/>
                <w:spacing w:val="-3"/>
                <w:sz w:val="26"/>
              </w:rPr>
            </w:pPr>
            <w:r>
              <w:rPr>
                <w:rFonts w:ascii="Arial" w:hAnsi="Arial"/>
                <w:color w:val="000080"/>
                <w:spacing w:val="-3"/>
                <w:sz w:val="26"/>
              </w:rPr>
              <w:t>400 NORTH STREET</w:t>
            </w:r>
          </w:p>
          <w:p w14:paraId="77C639A5" w14:textId="6A861FBA" w:rsidR="00C74A51" w:rsidRDefault="00C74A51">
            <w:pPr>
              <w:jc w:val="center"/>
              <w:rPr>
                <w:rFonts w:ascii="Arial" w:hAnsi="Arial"/>
                <w:sz w:val="12"/>
              </w:rPr>
            </w:pPr>
            <w:r>
              <w:rPr>
                <w:rFonts w:ascii="Arial" w:hAnsi="Arial"/>
                <w:color w:val="000080"/>
                <w:spacing w:val="-3"/>
                <w:sz w:val="26"/>
              </w:rPr>
              <w:t>HARRISBURG, PA 17105-3265</w:t>
            </w:r>
          </w:p>
        </w:tc>
        <w:tc>
          <w:tcPr>
            <w:tcW w:w="1440" w:type="dxa"/>
          </w:tcPr>
          <w:p w14:paraId="0A9E68DA" w14:textId="77777777" w:rsidR="00C74A51" w:rsidRDefault="00C74A51">
            <w:pPr>
              <w:rPr>
                <w:rFonts w:ascii="Arial" w:hAnsi="Arial"/>
                <w:sz w:val="12"/>
              </w:rPr>
            </w:pPr>
          </w:p>
          <w:p w14:paraId="7A293B0C" w14:textId="77777777" w:rsidR="00C74A51" w:rsidRDefault="00C74A51">
            <w:pPr>
              <w:rPr>
                <w:rFonts w:ascii="Arial" w:hAnsi="Arial"/>
                <w:sz w:val="12"/>
              </w:rPr>
            </w:pPr>
          </w:p>
          <w:p w14:paraId="1ACB42FB" w14:textId="77777777" w:rsidR="00FF2297" w:rsidRDefault="00FF2297">
            <w:pPr>
              <w:jc w:val="right"/>
              <w:rPr>
                <w:rFonts w:ascii="Arial" w:hAnsi="Arial"/>
                <w:b/>
                <w:spacing w:val="-1"/>
                <w:sz w:val="12"/>
              </w:rPr>
            </w:pPr>
          </w:p>
          <w:p w14:paraId="02D56856" w14:textId="77777777" w:rsidR="00FF2297" w:rsidRDefault="00FF2297">
            <w:pPr>
              <w:jc w:val="right"/>
              <w:rPr>
                <w:rFonts w:ascii="Arial" w:hAnsi="Arial"/>
                <w:b/>
                <w:spacing w:val="-1"/>
                <w:sz w:val="12"/>
              </w:rPr>
            </w:pPr>
          </w:p>
          <w:p w14:paraId="501053DA" w14:textId="77777777" w:rsidR="00FF2297" w:rsidRDefault="00FF2297">
            <w:pPr>
              <w:jc w:val="right"/>
              <w:rPr>
                <w:rFonts w:ascii="Arial" w:hAnsi="Arial"/>
                <w:b/>
                <w:spacing w:val="-1"/>
                <w:sz w:val="12"/>
              </w:rPr>
            </w:pPr>
          </w:p>
          <w:p w14:paraId="1D6DBD46" w14:textId="77777777" w:rsidR="00FF2297" w:rsidRDefault="00FF2297">
            <w:pPr>
              <w:jc w:val="right"/>
              <w:rPr>
                <w:rFonts w:ascii="Arial" w:hAnsi="Arial"/>
                <w:b/>
                <w:spacing w:val="-1"/>
                <w:sz w:val="12"/>
              </w:rPr>
            </w:pPr>
          </w:p>
          <w:p w14:paraId="1602E034"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075FE018" w14:textId="77777777" w:rsidR="00FF2297" w:rsidRDefault="00FF2297">
            <w:pPr>
              <w:jc w:val="right"/>
              <w:rPr>
                <w:rFonts w:ascii="Arial" w:hAnsi="Arial"/>
                <w:b/>
                <w:spacing w:val="-1"/>
                <w:sz w:val="12"/>
              </w:rPr>
            </w:pPr>
          </w:p>
          <w:p w14:paraId="0424AADA" w14:textId="4AD6B7EC" w:rsidR="003569E8" w:rsidRPr="00FF2297" w:rsidRDefault="00FF2297" w:rsidP="00FF2297">
            <w:pPr>
              <w:jc w:val="right"/>
              <w:rPr>
                <w:rFonts w:ascii="Arial" w:hAnsi="Arial"/>
                <w:sz w:val="16"/>
                <w:szCs w:val="16"/>
              </w:rPr>
            </w:pPr>
            <w:r w:rsidRPr="00FF2297">
              <w:rPr>
                <w:rFonts w:ascii="Arial" w:hAnsi="Arial"/>
                <w:sz w:val="16"/>
                <w:szCs w:val="16"/>
              </w:rPr>
              <w:t>M-20</w:t>
            </w:r>
            <w:r w:rsidR="00806C37">
              <w:rPr>
                <w:rFonts w:ascii="Arial" w:hAnsi="Arial"/>
                <w:sz w:val="16"/>
                <w:szCs w:val="16"/>
              </w:rPr>
              <w:t>20</w:t>
            </w:r>
            <w:r w:rsidRPr="00FF2297">
              <w:rPr>
                <w:rFonts w:ascii="Arial" w:hAnsi="Arial"/>
                <w:sz w:val="16"/>
                <w:szCs w:val="16"/>
              </w:rPr>
              <w:t>-</w:t>
            </w:r>
            <w:r w:rsidR="00806C37">
              <w:rPr>
                <w:rFonts w:ascii="Arial" w:hAnsi="Arial"/>
                <w:sz w:val="16"/>
                <w:szCs w:val="16"/>
              </w:rPr>
              <w:t>3022877</w:t>
            </w:r>
          </w:p>
        </w:tc>
      </w:tr>
    </w:tbl>
    <w:p w14:paraId="5C1B3819" w14:textId="77777777" w:rsidR="00C74A51" w:rsidRDefault="00C74A51">
      <w:pPr>
        <w:rPr>
          <w:sz w:val="24"/>
        </w:rPr>
        <w:sectPr w:rsidR="00C74A51" w:rsidSect="009E40EC">
          <w:footerReference w:type="even" r:id="rId9"/>
          <w:footerReference w:type="default" r:id="rId10"/>
          <w:pgSz w:w="12240" w:h="15840"/>
          <w:pgMar w:top="504" w:right="1440" w:bottom="1440" w:left="1440" w:header="720" w:footer="720" w:gutter="0"/>
          <w:cols w:space="720"/>
          <w:titlePg/>
        </w:sectPr>
      </w:pPr>
    </w:p>
    <w:p w14:paraId="1B7DDCE1" w14:textId="1678E481" w:rsidR="00BF1CC3" w:rsidRDefault="006273E6" w:rsidP="00FA0E37">
      <w:pPr>
        <w:jc w:val="center"/>
        <w:rPr>
          <w:b/>
          <w:sz w:val="26"/>
          <w:szCs w:val="26"/>
        </w:rPr>
      </w:pPr>
      <w:r>
        <w:rPr>
          <w:b/>
          <w:sz w:val="26"/>
          <w:szCs w:val="26"/>
        </w:rPr>
        <w:t>September 14, 2021</w:t>
      </w:r>
    </w:p>
    <w:p w14:paraId="468F62FA" w14:textId="77777777" w:rsidR="00BF1CC3" w:rsidRPr="00F27DA8" w:rsidRDefault="00BF1CC3" w:rsidP="00FA0E37">
      <w:pPr>
        <w:jc w:val="center"/>
        <w:rPr>
          <w:b/>
          <w:sz w:val="24"/>
          <w:szCs w:val="24"/>
        </w:rPr>
      </w:pPr>
    </w:p>
    <w:p w14:paraId="624ACDF2" w14:textId="607E2489" w:rsidR="00A276C5" w:rsidRPr="00F27DA8" w:rsidRDefault="00A276C5" w:rsidP="00A276C5">
      <w:pPr>
        <w:pStyle w:val="Default"/>
        <w:tabs>
          <w:tab w:val="left" w:pos="4680"/>
        </w:tabs>
        <w:rPr>
          <w:caps/>
        </w:rPr>
      </w:pPr>
      <w:r w:rsidRPr="00F27DA8">
        <w:rPr>
          <w:caps/>
        </w:rPr>
        <w:t>Devin McDougall</w:t>
      </w:r>
      <w:r w:rsidRPr="00F27DA8">
        <w:rPr>
          <w:caps/>
        </w:rPr>
        <w:tab/>
      </w:r>
    </w:p>
    <w:p w14:paraId="6056DE59" w14:textId="4167010D" w:rsidR="00A276C5" w:rsidRPr="00F27DA8" w:rsidRDefault="00A276C5" w:rsidP="00A276C5">
      <w:pPr>
        <w:pStyle w:val="Default"/>
        <w:tabs>
          <w:tab w:val="left" w:pos="4680"/>
        </w:tabs>
        <w:rPr>
          <w:caps/>
        </w:rPr>
      </w:pPr>
      <w:r w:rsidRPr="00F27DA8">
        <w:rPr>
          <w:caps/>
        </w:rPr>
        <w:t>Senior Attorney</w:t>
      </w:r>
      <w:r w:rsidRPr="00F27DA8">
        <w:tab/>
      </w:r>
      <w:r w:rsidRPr="00F27DA8">
        <w:rPr>
          <w:caps/>
        </w:rPr>
        <w:t xml:space="preserve"> </w:t>
      </w:r>
    </w:p>
    <w:p w14:paraId="7F9CEB72" w14:textId="03E35E1F" w:rsidR="00A276C5" w:rsidRPr="00F27DA8" w:rsidRDefault="00A276C5" w:rsidP="00A276C5">
      <w:pPr>
        <w:pStyle w:val="Default"/>
        <w:tabs>
          <w:tab w:val="left" w:pos="4680"/>
        </w:tabs>
        <w:rPr>
          <w:caps/>
        </w:rPr>
      </w:pPr>
      <w:r w:rsidRPr="00F27DA8">
        <w:rPr>
          <w:caps/>
        </w:rPr>
        <w:t>Earthjustice</w:t>
      </w:r>
      <w:r w:rsidRPr="00F27DA8">
        <w:rPr>
          <w:caps/>
        </w:rPr>
        <w:tab/>
        <w:t xml:space="preserve"> </w:t>
      </w:r>
    </w:p>
    <w:p w14:paraId="420182EE" w14:textId="01CB4B67" w:rsidR="00A276C5" w:rsidRPr="00F27DA8" w:rsidRDefault="00A276C5" w:rsidP="00A276C5">
      <w:pPr>
        <w:pStyle w:val="Default"/>
        <w:tabs>
          <w:tab w:val="left" w:pos="4680"/>
        </w:tabs>
        <w:rPr>
          <w:caps/>
        </w:rPr>
      </w:pPr>
      <w:r w:rsidRPr="00F27DA8">
        <w:rPr>
          <w:caps/>
        </w:rPr>
        <w:t>1617 John F. Kennedy Blvd., Suite 1130</w:t>
      </w:r>
      <w:r w:rsidRPr="00F27DA8">
        <w:rPr>
          <w:caps/>
        </w:rPr>
        <w:tab/>
        <w:t xml:space="preserve"> </w:t>
      </w:r>
    </w:p>
    <w:p w14:paraId="4F08AA85" w14:textId="34A6D9E9" w:rsidR="00A276C5" w:rsidRPr="00F27DA8" w:rsidRDefault="00A276C5" w:rsidP="00A276C5">
      <w:pPr>
        <w:pStyle w:val="Default"/>
        <w:tabs>
          <w:tab w:val="left" w:pos="4680"/>
        </w:tabs>
      </w:pPr>
      <w:r w:rsidRPr="00F27DA8">
        <w:rPr>
          <w:caps/>
        </w:rPr>
        <w:t>Philadelphia, PA 19103</w:t>
      </w:r>
      <w:r w:rsidRPr="00F27DA8">
        <w:rPr>
          <w:caps/>
        </w:rPr>
        <w:tab/>
      </w:r>
      <w:r w:rsidRPr="00F27DA8">
        <w:t xml:space="preserve"> </w:t>
      </w:r>
    </w:p>
    <w:p w14:paraId="2AA8AA44" w14:textId="61264D53" w:rsidR="00A276C5" w:rsidRPr="00F27DA8" w:rsidRDefault="006273E6" w:rsidP="00A276C5">
      <w:pPr>
        <w:pStyle w:val="Default"/>
        <w:tabs>
          <w:tab w:val="left" w:pos="4680"/>
        </w:tabs>
      </w:pPr>
      <w:hyperlink r:id="rId11" w:history="1">
        <w:r w:rsidR="00A276C5" w:rsidRPr="00F27DA8">
          <w:rPr>
            <w:rStyle w:val="Hyperlink"/>
          </w:rPr>
          <w:t>dmcdougall@earthjustice.org</w:t>
        </w:r>
      </w:hyperlink>
      <w:r w:rsidR="00A276C5" w:rsidRPr="00F27DA8">
        <w:t xml:space="preserve">  </w:t>
      </w:r>
      <w:r w:rsidR="00A276C5" w:rsidRPr="00F27DA8">
        <w:tab/>
        <w:t xml:space="preserve"> </w:t>
      </w:r>
    </w:p>
    <w:p w14:paraId="2B2EA900" w14:textId="3816279D" w:rsidR="00B1152C" w:rsidRPr="00F27DA8" w:rsidRDefault="00B1152C" w:rsidP="00A276C5">
      <w:pPr>
        <w:pStyle w:val="Default"/>
        <w:tabs>
          <w:tab w:val="left" w:pos="4680"/>
        </w:tabs>
      </w:pPr>
    </w:p>
    <w:p w14:paraId="44FA77DE" w14:textId="57D56493" w:rsidR="00B1152C" w:rsidRPr="00F27DA8" w:rsidRDefault="00B1152C" w:rsidP="00A276C5">
      <w:pPr>
        <w:pStyle w:val="Default"/>
        <w:tabs>
          <w:tab w:val="left" w:pos="4680"/>
        </w:tabs>
        <w:rPr>
          <w:caps/>
        </w:rPr>
      </w:pPr>
      <w:r w:rsidRPr="00F27DA8">
        <w:rPr>
          <w:caps/>
        </w:rPr>
        <w:t>mARK sZYBIST</w:t>
      </w:r>
    </w:p>
    <w:p w14:paraId="2F3F1783" w14:textId="449E7512" w:rsidR="00FF2297" w:rsidRPr="00F27DA8" w:rsidRDefault="00B1152C" w:rsidP="00A276C5">
      <w:pPr>
        <w:tabs>
          <w:tab w:val="left" w:pos="5040"/>
        </w:tabs>
        <w:rPr>
          <w:caps/>
          <w:sz w:val="24"/>
          <w:szCs w:val="24"/>
        </w:rPr>
      </w:pPr>
      <w:r w:rsidRPr="00F27DA8">
        <w:rPr>
          <w:caps/>
          <w:sz w:val="24"/>
          <w:szCs w:val="24"/>
        </w:rPr>
        <w:t>Senior Attorney &amp; Advocate</w:t>
      </w:r>
    </w:p>
    <w:p w14:paraId="685F3C5F" w14:textId="77777777" w:rsidR="00B1152C" w:rsidRPr="00F27DA8" w:rsidRDefault="00B1152C" w:rsidP="00B1152C">
      <w:pPr>
        <w:pStyle w:val="Default"/>
        <w:tabs>
          <w:tab w:val="left" w:pos="4680"/>
        </w:tabs>
        <w:rPr>
          <w:caps/>
        </w:rPr>
      </w:pPr>
      <w:r w:rsidRPr="00F27DA8">
        <w:rPr>
          <w:caps/>
        </w:rPr>
        <w:t xml:space="preserve">Natural Resources Defense Council </w:t>
      </w:r>
    </w:p>
    <w:p w14:paraId="6F185F0B" w14:textId="77777777" w:rsidR="00B1152C" w:rsidRPr="00F27DA8" w:rsidRDefault="00B1152C" w:rsidP="00B1152C">
      <w:pPr>
        <w:pStyle w:val="Default"/>
        <w:tabs>
          <w:tab w:val="left" w:pos="4680"/>
        </w:tabs>
        <w:rPr>
          <w:caps/>
        </w:rPr>
      </w:pPr>
      <w:r w:rsidRPr="00F27DA8">
        <w:rPr>
          <w:caps/>
        </w:rPr>
        <w:t xml:space="preserve">1152 15th Street NW, Suite 300 </w:t>
      </w:r>
    </w:p>
    <w:p w14:paraId="0DFE1B05" w14:textId="15715C3F" w:rsidR="00B1152C" w:rsidRPr="00F27DA8" w:rsidRDefault="00B1152C" w:rsidP="00A276C5">
      <w:pPr>
        <w:tabs>
          <w:tab w:val="left" w:pos="5040"/>
        </w:tabs>
        <w:rPr>
          <w:caps/>
          <w:sz w:val="24"/>
          <w:szCs w:val="24"/>
        </w:rPr>
      </w:pPr>
      <w:r w:rsidRPr="00F27DA8">
        <w:rPr>
          <w:caps/>
          <w:sz w:val="24"/>
          <w:szCs w:val="24"/>
        </w:rPr>
        <w:t>Washington, DC 20005</w:t>
      </w:r>
    </w:p>
    <w:p w14:paraId="38EC905D" w14:textId="666B1174" w:rsidR="00B1152C" w:rsidRPr="00F27DA8" w:rsidRDefault="006273E6" w:rsidP="00A276C5">
      <w:pPr>
        <w:tabs>
          <w:tab w:val="left" w:pos="5040"/>
        </w:tabs>
        <w:rPr>
          <w:sz w:val="24"/>
          <w:szCs w:val="24"/>
        </w:rPr>
      </w:pPr>
      <w:hyperlink r:id="rId12" w:history="1">
        <w:r w:rsidR="00B1152C" w:rsidRPr="00F27DA8">
          <w:rPr>
            <w:rStyle w:val="Hyperlink"/>
            <w:sz w:val="24"/>
            <w:szCs w:val="24"/>
          </w:rPr>
          <w:t>mszybist@nrdc.org</w:t>
        </w:r>
      </w:hyperlink>
    </w:p>
    <w:p w14:paraId="1B690C22" w14:textId="77777777" w:rsidR="000C360C" w:rsidRPr="00F27DA8" w:rsidRDefault="000C360C" w:rsidP="00FF2297">
      <w:pPr>
        <w:jc w:val="center"/>
        <w:rPr>
          <w:b/>
          <w:sz w:val="24"/>
          <w:szCs w:val="24"/>
        </w:rPr>
      </w:pPr>
    </w:p>
    <w:p w14:paraId="77250C9B" w14:textId="50B15688" w:rsidR="00806C37" w:rsidRPr="00F27DA8" w:rsidRDefault="00806C37" w:rsidP="00806C37">
      <w:pPr>
        <w:tabs>
          <w:tab w:val="left" w:pos="720"/>
          <w:tab w:val="left" w:pos="1440"/>
          <w:tab w:val="left" w:pos="2160"/>
          <w:tab w:val="left" w:pos="4680"/>
        </w:tabs>
        <w:rPr>
          <w:sz w:val="24"/>
          <w:szCs w:val="24"/>
        </w:rPr>
      </w:pPr>
      <w:r w:rsidRPr="00F27DA8">
        <w:rPr>
          <w:bCs/>
          <w:sz w:val="24"/>
          <w:szCs w:val="24"/>
        </w:rPr>
        <w:tab/>
      </w:r>
      <w:r w:rsidR="00FF2297" w:rsidRPr="00F27DA8">
        <w:rPr>
          <w:bCs/>
          <w:sz w:val="24"/>
          <w:szCs w:val="24"/>
        </w:rPr>
        <w:t>RE:</w:t>
      </w:r>
      <w:r w:rsidR="00FF2297" w:rsidRPr="00F27DA8">
        <w:rPr>
          <w:b/>
          <w:sz w:val="24"/>
          <w:szCs w:val="24"/>
        </w:rPr>
        <w:tab/>
      </w:r>
      <w:r w:rsidRPr="00F27DA8">
        <w:rPr>
          <w:sz w:val="24"/>
          <w:szCs w:val="24"/>
        </w:rPr>
        <w:t xml:space="preserve">Policy Proceeding—Utilization of Storage Resources </w:t>
      </w:r>
    </w:p>
    <w:p w14:paraId="63618520" w14:textId="3E518BD4" w:rsidR="00806C37" w:rsidRPr="00F27DA8" w:rsidRDefault="00806C37" w:rsidP="00806C37">
      <w:pPr>
        <w:tabs>
          <w:tab w:val="left" w:pos="720"/>
          <w:tab w:val="left" w:pos="1440"/>
          <w:tab w:val="left" w:pos="2160"/>
          <w:tab w:val="left" w:pos="4680"/>
        </w:tabs>
        <w:rPr>
          <w:sz w:val="24"/>
          <w:szCs w:val="24"/>
        </w:rPr>
      </w:pPr>
      <w:r w:rsidRPr="00F27DA8">
        <w:rPr>
          <w:sz w:val="24"/>
          <w:szCs w:val="24"/>
        </w:rPr>
        <w:tab/>
      </w:r>
      <w:r w:rsidRPr="00F27DA8">
        <w:rPr>
          <w:sz w:val="24"/>
          <w:szCs w:val="24"/>
        </w:rPr>
        <w:tab/>
        <w:t>as Electric Distribution Assets Additional Questions</w:t>
      </w:r>
    </w:p>
    <w:p w14:paraId="2F3D0F57" w14:textId="596E177C" w:rsidR="00806C37" w:rsidRPr="00F27DA8" w:rsidRDefault="00806C37" w:rsidP="00806C37">
      <w:pPr>
        <w:tabs>
          <w:tab w:val="left" w:pos="720"/>
          <w:tab w:val="left" w:pos="1440"/>
          <w:tab w:val="left" w:pos="2160"/>
          <w:tab w:val="left" w:pos="4680"/>
        </w:tabs>
        <w:rPr>
          <w:sz w:val="24"/>
          <w:szCs w:val="24"/>
        </w:rPr>
      </w:pPr>
      <w:r w:rsidRPr="00F27DA8">
        <w:rPr>
          <w:sz w:val="24"/>
          <w:szCs w:val="24"/>
        </w:rPr>
        <w:tab/>
      </w:r>
      <w:r w:rsidRPr="00F27DA8">
        <w:rPr>
          <w:sz w:val="24"/>
          <w:szCs w:val="24"/>
        </w:rPr>
        <w:tab/>
        <w:t>Docket No.  M-2020-3022877</w:t>
      </w:r>
    </w:p>
    <w:p w14:paraId="19351F3D" w14:textId="0ABB2569" w:rsidR="00FF2297" w:rsidRPr="00F27DA8" w:rsidRDefault="00806C37" w:rsidP="00806C37">
      <w:pPr>
        <w:tabs>
          <w:tab w:val="left" w:pos="1440"/>
          <w:tab w:val="left" w:pos="2160"/>
          <w:tab w:val="left" w:pos="4680"/>
        </w:tabs>
        <w:ind w:left="1440" w:hanging="720"/>
        <w:rPr>
          <w:sz w:val="24"/>
          <w:szCs w:val="24"/>
        </w:rPr>
      </w:pPr>
      <w:r w:rsidRPr="00F27DA8">
        <w:rPr>
          <w:sz w:val="24"/>
          <w:szCs w:val="24"/>
        </w:rPr>
        <w:tab/>
      </w:r>
      <w:r w:rsidR="00FF2297" w:rsidRPr="00F27DA8">
        <w:rPr>
          <w:sz w:val="24"/>
          <w:szCs w:val="24"/>
        </w:rPr>
        <w:t xml:space="preserve">Request for Extension of Time to File Comments to </w:t>
      </w:r>
      <w:r w:rsidR="002A0724" w:rsidRPr="00F27DA8">
        <w:rPr>
          <w:sz w:val="24"/>
          <w:szCs w:val="24"/>
        </w:rPr>
        <w:t>November 2</w:t>
      </w:r>
      <w:r w:rsidR="00FF2297" w:rsidRPr="00F27DA8">
        <w:rPr>
          <w:sz w:val="24"/>
          <w:szCs w:val="24"/>
        </w:rPr>
        <w:t>6, 20</w:t>
      </w:r>
      <w:r w:rsidR="002A0724" w:rsidRPr="00F27DA8">
        <w:rPr>
          <w:sz w:val="24"/>
          <w:szCs w:val="24"/>
        </w:rPr>
        <w:t>2</w:t>
      </w:r>
      <w:r w:rsidR="00FF2297" w:rsidRPr="00F27DA8">
        <w:rPr>
          <w:sz w:val="24"/>
          <w:szCs w:val="24"/>
        </w:rPr>
        <w:t xml:space="preserve">1 </w:t>
      </w:r>
    </w:p>
    <w:p w14:paraId="52B95AD8" w14:textId="1C6CFCA0" w:rsidR="00FF2297" w:rsidRPr="00F27DA8" w:rsidRDefault="00FF2297" w:rsidP="00FF2297">
      <w:pPr>
        <w:rPr>
          <w:b/>
          <w:sz w:val="24"/>
          <w:szCs w:val="24"/>
        </w:rPr>
      </w:pPr>
    </w:p>
    <w:p w14:paraId="1C2443DF" w14:textId="77777777" w:rsidR="00D90293" w:rsidRPr="00F27DA8" w:rsidRDefault="00D90293" w:rsidP="00FF2297">
      <w:pPr>
        <w:rPr>
          <w:b/>
          <w:sz w:val="24"/>
          <w:szCs w:val="24"/>
        </w:rPr>
      </w:pPr>
    </w:p>
    <w:p w14:paraId="2BDEF446" w14:textId="4D5AA05B" w:rsidR="00FF2297" w:rsidRPr="00F27DA8" w:rsidRDefault="00FF2297" w:rsidP="00FF2297">
      <w:pPr>
        <w:rPr>
          <w:sz w:val="24"/>
          <w:szCs w:val="24"/>
        </w:rPr>
      </w:pPr>
      <w:r w:rsidRPr="00F27DA8">
        <w:rPr>
          <w:sz w:val="24"/>
          <w:szCs w:val="24"/>
        </w:rPr>
        <w:tab/>
        <w:t xml:space="preserve">On </w:t>
      </w:r>
      <w:r w:rsidR="002A0724" w:rsidRPr="00F27DA8">
        <w:rPr>
          <w:sz w:val="24"/>
          <w:szCs w:val="24"/>
        </w:rPr>
        <w:t xml:space="preserve">August </w:t>
      </w:r>
      <w:r w:rsidR="00D21ADA" w:rsidRPr="00F27DA8">
        <w:rPr>
          <w:sz w:val="24"/>
          <w:szCs w:val="24"/>
        </w:rPr>
        <w:t>12</w:t>
      </w:r>
      <w:r w:rsidRPr="00F27DA8">
        <w:rPr>
          <w:sz w:val="24"/>
          <w:szCs w:val="24"/>
        </w:rPr>
        <w:t>, 20</w:t>
      </w:r>
      <w:r w:rsidR="002A0724" w:rsidRPr="00F27DA8">
        <w:rPr>
          <w:sz w:val="24"/>
          <w:szCs w:val="24"/>
        </w:rPr>
        <w:t>2</w:t>
      </w:r>
      <w:r w:rsidRPr="00F27DA8">
        <w:rPr>
          <w:sz w:val="24"/>
          <w:szCs w:val="24"/>
        </w:rPr>
        <w:t xml:space="preserve">1, the Pennsylvania Public Utility Commission (PUC) </w:t>
      </w:r>
      <w:r w:rsidR="00D21ADA" w:rsidRPr="00F27DA8">
        <w:rPr>
          <w:sz w:val="24"/>
          <w:szCs w:val="24"/>
        </w:rPr>
        <w:t xml:space="preserve">issued a Secretarial Letter </w:t>
      </w:r>
      <w:r w:rsidR="00C806A3" w:rsidRPr="00F27DA8">
        <w:rPr>
          <w:sz w:val="24"/>
          <w:szCs w:val="24"/>
        </w:rPr>
        <w:t>at the above referenced docket</w:t>
      </w:r>
      <w:r w:rsidR="00D21ADA" w:rsidRPr="00F27DA8">
        <w:rPr>
          <w:sz w:val="24"/>
          <w:szCs w:val="24"/>
        </w:rPr>
        <w:t xml:space="preserve"> (Aug</w:t>
      </w:r>
      <w:r w:rsidR="00496417" w:rsidRPr="00F27DA8">
        <w:rPr>
          <w:sz w:val="24"/>
          <w:szCs w:val="24"/>
        </w:rPr>
        <w:t>ust</w:t>
      </w:r>
      <w:r w:rsidR="00D21ADA" w:rsidRPr="00F27DA8">
        <w:rPr>
          <w:sz w:val="24"/>
          <w:szCs w:val="24"/>
        </w:rPr>
        <w:t xml:space="preserve"> 12 </w:t>
      </w:r>
      <w:r w:rsidR="00496417" w:rsidRPr="00F27DA8">
        <w:rPr>
          <w:sz w:val="24"/>
          <w:szCs w:val="24"/>
        </w:rPr>
        <w:t xml:space="preserve">Secretarial </w:t>
      </w:r>
      <w:r w:rsidR="00D21ADA" w:rsidRPr="00F27DA8">
        <w:rPr>
          <w:sz w:val="24"/>
          <w:szCs w:val="24"/>
        </w:rPr>
        <w:t>L</w:t>
      </w:r>
      <w:r w:rsidR="00496417" w:rsidRPr="00F27DA8">
        <w:rPr>
          <w:sz w:val="24"/>
          <w:szCs w:val="24"/>
        </w:rPr>
        <w:t>etter</w:t>
      </w:r>
      <w:r w:rsidR="00D21ADA" w:rsidRPr="00F27DA8">
        <w:rPr>
          <w:sz w:val="24"/>
          <w:szCs w:val="24"/>
        </w:rPr>
        <w:t>).  The Aug</w:t>
      </w:r>
      <w:r w:rsidR="00496417" w:rsidRPr="00F27DA8">
        <w:rPr>
          <w:sz w:val="24"/>
          <w:szCs w:val="24"/>
        </w:rPr>
        <w:t>ust</w:t>
      </w:r>
      <w:r w:rsidR="00D21ADA" w:rsidRPr="00F27DA8">
        <w:rPr>
          <w:sz w:val="24"/>
          <w:szCs w:val="24"/>
        </w:rPr>
        <w:t xml:space="preserve"> 12 </w:t>
      </w:r>
      <w:r w:rsidR="00496417" w:rsidRPr="00F27DA8">
        <w:rPr>
          <w:sz w:val="24"/>
          <w:szCs w:val="24"/>
        </w:rPr>
        <w:t xml:space="preserve">Secretarial Letter </w:t>
      </w:r>
      <w:r w:rsidR="00D21ADA" w:rsidRPr="00F27DA8">
        <w:rPr>
          <w:sz w:val="24"/>
          <w:szCs w:val="24"/>
        </w:rPr>
        <w:t>sought responses to directed questions and established a thirty (30) day response period that began upon the Aug</w:t>
      </w:r>
      <w:r w:rsidR="00496417" w:rsidRPr="00F27DA8">
        <w:rPr>
          <w:sz w:val="24"/>
          <w:szCs w:val="24"/>
        </w:rPr>
        <w:t>ust</w:t>
      </w:r>
      <w:r w:rsidR="00D21ADA" w:rsidRPr="00F27DA8">
        <w:rPr>
          <w:sz w:val="24"/>
          <w:szCs w:val="24"/>
        </w:rPr>
        <w:t xml:space="preserve"> 12 </w:t>
      </w:r>
      <w:r w:rsidR="00496417" w:rsidRPr="00F27DA8">
        <w:rPr>
          <w:sz w:val="24"/>
          <w:szCs w:val="24"/>
        </w:rPr>
        <w:t xml:space="preserve">Secretarial Letter </w:t>
      </w:r>
      <w:r w:rsidR="00D21ADA" w:rsidRPr="00F27DA8">
        <w:rPr>
          <w:sz w:val="24"/>
          <w:szCs w:val="24"/>
        </w:rPr>
        <w:t xml:space="preserve">being published in the </w:t>
      </w:r>
      <w:r w:rsidR="00D21ADA" w:rsidRPr="00F27DA8">
        <w:rPr>
          <w:i/>
          <w:iCs/>
          <w:sz w:val="24"/>
          <w:szCs w:val="24"/>
        </w:rPr>
        <w:t>Pennsylvania Bulletin</w:t>
      </w:r>
      <w:r w:rsidR="00C41496" w:rsidRPr="00F27DA8">
        <w:rPr>
          <w:i/>
          <w:iCs/>
          <w:sz w:val="24"/>
          <w:szCs w:val="24"/>
        </w:rPr>
        <w:t xml:space="preserve"> </w:t>
      </w:r>
      <w:r w:rsidR="00C41496" w:rsidRPr="00F27DA8">
        <w:rPr>
          <w:sz w:val="24"/>
          <w:szCs w:val="24"/>
        </w:rPr>
        <w:t>(Pa.B.)</w:t>
      </w:r>
      <w:r w:rsidR="00D21ADA" w:rsidRPr="00F27DA8">
        <w:rPr>
          <w:sz w:val="24"/>
          <w:szCs w:val="24"/>
        </w:rPr>
        <w:t>.  The Aug</w:t>
      </w:r>
      <w:r w:rsidR="00496417" w:rsidRPr="00F27DA8">
        <w:rPr>
          <w:sz w:val="24"/>
          <w:szCs w:val="24"/>
        </w:rPr>
        <w:t>ust</w:t>
      </w:r>
      <w:r w:rsidR="00D21ADA" w:rsidRPr="00F27DA8">
        <w:rPr>
          <w:sz w:val="24"/>
          <w:szCs w:val="24"/>
        </w:rPr>
        <w:t xml:space="preserve"> 12 </w:t>
      </w:r>
      <w:r w:rsidR="00496417" w:rsidRPr="00F27DA8">
        <w:rPr>
          <w:sz w:val="24"/>
          <w:szCs w:val="24"/>
        </w:rPr>
        <w:t xml:space="preserve">Secretarial Letter </w:t>
      </w:r>
      <w:r w:rsidR="00D21ADA" w:rsidRPr="00F27DA8">
        <w:rPr>
          <w:sz w:val="24"/>
          <w:szCs w:val="24"/>
        </w:rPr>
        <w:t xml:space="preserve">was published in the </w:t>
      </w:r>
      <w:r w:rsidR="00C41496" w:rsidRPr="00F27DA8">
        <w:rPr>
          <w:sz w:val="24"/>
          <w:szCs w:val="24"/>
        </w:rPr>
        <w:t xml:space="preserve">August 28, 2021 Pa.B. and thereby any responses were due no later than September 27, 2021.   </w:t>
      </w:r>
    </w:p>
    <w:p w14:paraId="234DF92C" w14:textId="77777777" w:rsidR="00FF2297" w:rsidRPr="00F27DA8" w:rsidRDefault="00FF2297" w:rsidP="00FF2297">
      <w:pPr>
        <w:rPr>
          <w:sz w:val="24"/>
          <w:szCs w:val="24"/>
        </w:rPr>
      </w:pPr>
    </w:p>
    <w:p w14:paraId="015CDB5D" w14:textId="49DF732E" w:rsidR="00FF2297" w:rsidRPr="00F27DA8" w:rsidRDefault="00FF2297" w:rsidP="00013582">
      <w:pPr>
        <w:rPr>
          <w:sz w:val="24"/>
          <w:szCs w:val="24"/>
        </w:rPr>
      </w:pPr>
      <w:r w:rsidRPr="00F27DA8">
        <w:rPr>
          <w:sz w:val="24"/>
          <w:szCs w:val="24"/>
        </w:rPr>
        <w:tab/>
        <w:t>On</w:t>
      </w:r>
      <w:r w:rsidR="002A0724" w:rsidRPr="00F27DA8">
        <w:rPr>
          <w:sz w:val="24"/>
          <w:szCs w:val="24"/>
        </w:rPr>
        <w:t xml:space="preserve"> September 1</w:t>
      </w:r>
      <w:r w:rsidRPr="00F27DA8">
        <w:rPr>
          <w:sz w:val="24"/>
          <w:szCs w:val="24"/>
        </w:rPr>
        <w:t>, 20</w:t>
      </w:r>
      <w:r w:rsidR="002A0724" w:rsidRPr="00F27DA8">
        <w:rPr>
          <w:sz w:val="24"/>
          <w:szCs w:val="24"/>
        </w:rPr>
        <w:t>2</w:t>
      </w:r>
      <w:r w:rsidRPr="00F27DA8">
        <w:rPr>
          <w:sz w:val="24"/>
          <w:szCs w:val="24"/>
        </w:rPr>
        <w:t xml:space="preserve">1, pursuant to Section 1.15 </w:t>
      </w:r>
      <w:r w:rsidR="002A0724" w:rsidRPr="00F27DA8">
        <w:rPr>
          <w:sz w:val="24"/>
          <w:szCs w:val="24"/>
        </w:rPr>
        <w:t xml:space="preserve">and 5.103 </w:t>
      </w:r>
      <w:r w:rsidRPr="00F27DA8">
        <w:rPr>
          <w:sz w:val="24"/>
          <w:szCs w:val="24"/>
        </w:rPr>
        <w:t>of Chapter 52 of the Pennsylvania Code (52 Pa. Code § 1.15</w:t>
      </w:r>
      <w:r w:rsidR="002A0724" w:rsidRPr="00F27DA8">
        <w:rPr>
          <w:sz w:val="24"/>
          <w:szCs w:val="24"/>
        </w:rPr>
        <w:t xml:space="preserve"> and § 5.103</w:t>
      </w:r>
      <w:r w:rsidRPr="00F27DA8">
        <w:rPr>
          <w:sz w:val="24"/>
          <w:szCs w:val="24"/>
        </w:rPr>
        <w:t xml:space="preserve">), the </w:t>
      </w:r>
      <w:r w:rsidR="002A0724" w:rsidRPr="00F27DA8">
        <w:rPr>
          <w:sz w:val="24"/>
          <w:szCs w:val="24"/>
        </w:rPr>
        <w:t>Clean Air Council, Philadelphia Solar Energy Association</w:t>
      </w:r>
      <w:r w:rsidR="00DF058E" w:rsidRPr="00F27DA8">
        <w:rPr>
          <w:sz w:val="24"/>
          <w:szCs w:val="24"/>
        </w:rPr>
        <w:t>, POWER Interfaith, the Union of Concerned Scientists, and the Natural Resources Defense Council (Movants)</w:t>
      </w:r>
      <w:r w:rsidRPr="00F27DA8">
        <w:rPr>
          <w:sz w:val="24"/>
          <w:szCs w:val="24"/>
        </w:rPr>
        <w:t xml:space="preserve"> </w:t>
      </w:r>
      <w:r w:rsidR="00C41496" w:rsidRPr="00F27DA8">
        <w:rPr>
          <w:sz w:val="24"/>
          <w:szCs w:val="24"/>
        </w:rPr>
        <w:t xml:space="preserve">filed a Motion of Extension requesting the Commission extend the response deadline by sixty (60) days until </w:t>
      </w:r>
      <w:r w:rsidR="00DF058E" w:rsidRPr="00F27DA8">
        <w:rPr>
          <w:sz w:val="24"/>
          <w:szCs w:val="24"/>
        </w:rPr>
        <w:t>November 26</w:t>
      </w:r>
      <w:r w:rsidRPr="00F27DA8">
        <w:rPr>
          <w:sz w:val="24"/>
          <w:szCs w:val="24"/>
        </w:rPr>
        <w:t>, 20</w:t>
      </w:r>
      <w:r w:rsidR="00DF058E" w:rsidRPr="00F27DA8">
        <w:rPr>
          <w:sz w:val="24"/>
          <w:szCs w:val="24"/>
        </w:rPr>
        <w:t>2</w:t>
      </w:r>
      <w:r w:rsidRPr="00F27DA8">
        <w:rPr>
          <w:sz w:val="24"/>
          <w:szCs w:val="24"/>
        </w:rPr>
        <w:t>1</w:t>
      </w:r>
      <w:r w:rsidR="003A3453" w:rsidRPr="00F27DA8">
        <w:rPr>
          <w:sz w:val="24"/>
          <w:szCs w:val="24"/>
        </w:rPr>
        <w:t>.</w:t>
      </w:r>
      <w:r w:rsidRPr="00F27DA8">
        <w:rPr>
          <w:sz w:val="24"/>
          <w:szCs w:val="24"/>
        </w:rPr>
        <w:t xml:space="preserve"> </w:t>
      </w:r>
      <w:r w:rsidR="003A3453" w:rsidRPr="00F27DA8">
        <w:rPr>
          <w:sz w:val="24"/>
          <w:szCs w:val="24"/>
        </w:rPr>
        <w:t xml:space="preserve"> </w:t>
      </w:r>
      <w:r w:rsidR="00013582" w:rsidRPr="00F27DA8">
        <w:rPr>
          <w:sz w:val="24"/>
          <w:szCs w:val="24"/>
        </w:rPr>
        <w:t>The Movants noted that the September 27, 2021 deadline is one day before the inaugural meeting of the Pennsylvania Energy Storage Consortium, which the Movants intend to participate in, and the Movants believe th</w:t>
      </w:r>
      <w:r w:rsidR="00C806A3" w:rsidRPr="00F27DA8">
        <w:rPr>
          <w:sz w:val="24"/>
          <w:szCs w:val="24"/>
        </w:rPr>
        <w:t>e</w:t>
      </w:r>
      <w:r w:rsidR="00013582" w:rsidRPr="00F27DA8">
        <w:rPr>
          <w:sz w:val="24"/>
          <w:szCs w:val="24"/>
        </w:rPr>
        <w:t xml:space="preserve"> consortium will generate technical data and other valuable information that the Movants will need time to review and to incorporate into their comments in response to the Aug</w:t>
      </w:r>
      <w:r w:rsidR="00496417" w:rsidRPr="00F27DA8">
        <w:rPr>
          <w:sz w:val="24"/>
          <w:szCs w:val="24"/>
        </w:rPr>
        <w:t>ust</w:t>
      </w:r>
      <w:r w:rsidR="00013582" w:rsidRPr="00F27DA8">
        <w:rPr>
          <w:sz w:val="24"/>
          <w:szCs w:val="24"/>
        </w:rPr>
        <w:t xml:space="preserve"> 12 </w:t>
      </w:r>
      <w:r w:rsidR="00496417" w:rsidRPr="00F27DA8">
        <w:rPr>
          <w:sz w:val="24"/>
          <w:szCs w:val="24"/>
        </w:rPr>
        <w:t>Secretarial Letter</w:t>
      </w:r>
      <w:r w:rsidR="00013582" w:rsidRPr="00F27DA8">
        <w:rPr>
          <w:sz w:val="24"/>
          <w:szCs w:val="24"/>
        </w:rPr>
        <w:t xml:space="preserve">.  </w:t>
      </w:r>
      <w:r w:rsidR="00B33BD1" w:rsidRPr="00F27DA8">
        <w:rPr>
          <w:sz w:val="24"/>
          <w:szCs w:val="24"/>
        </w:rPr>
        <w:t>As of the date of this letter, n</w:t>
      </w:r>
      <w:r w:rsidR="003311F8" w:rsidRPr="00F27DA8">
        <w:rPr>
          <w:sz w:val="24"/>
          <w:szCs w:val="24"/>
        </w:rPr>
        <w:t>o objections to the Mo</w:t>
      </w:r>
      <w:r w:rsidR="003B6B77" w:rsidRPr="00F27DA8">
        <w:rPr>
          <w:sz w:val="24"/>
          <w:szCs w:val="24"/>
        </w:rPr>
        <w:t>tion of Extension have been filed</w:t>
      </w:r>
      <w:r w:rsidR="00D065ED" w:rsidRPr="00F27DA8">
        <w:rPr>
          <w:sz w:val="24"/>
          <w:szCs w:val="24"/>
        </w:rPr>
        <w:t>.</w:t>
      </w:r>
    </w:p>
    <w:p w14:paraId="6258321C" w14:textId="77777777" w:rsidR="00FF2297" w:rsidRPr="00F27DA8" w:rsidRDefault="00FF2297" w:rsidP="00FF2297">
      <w:pPr>
        <w:rPr>
          <w:sz w:val="24"/>
          <w:szCs w:val="24"/>
        </w:rPr>
      </w:pPr>
    </w:p>
    <w:p w14:paraId="6C874645" w14:textId="2AA2B682" w:rsidR="00FF2297" w:rsidRPr="00F27DA8" w:rsidRDefault="00FF2297" w:rsidP="00FF2297">
      <w:pPr>
        <w:rPr>
          <w:sz w:val="24"/>
          <w:szCs w:val="24"/>
        </w:rPr>
      </w:pPr>
      <w:r w:rsidRPr="00F27DA8">
        <w:rPr>
          <w:sz w:val="24"/>
          <w:szCs w:val="24"/>
        </w:rPr>
        <w:tab/>
      </w:r>
      <w:r w:rsidR="00013582" w:rsidRPr="00F27DA8">
        <w:rPr>
          <w:sz w:val="24"/>
          <w:szCs w:val="24"/>
        </w:rPr>
        <w:t xml:space="preserve">The Commission finds the Movants’ reasoning for the extension request compelling and hereby grants their Motion for Extension.  </w:t>
      </w:r>
      <w:r w:rsidR="00C806A3" w:rsidRPr="00F27DA8">
        <w:rPr>
          <w:sz w:val="24"/>
          <w:szCs w:val="24"/>
        </w:rPr>
        <w:t xml:space="preserve">However, the requested deadline date of November 26, </w:t>
      </w:r>
      <w:proofErr w:type="gramStart"/>
      <w:r w:rsidR="00C806A3" w:rsidRPr="00F27DA8">
        <w:rPr>
          <w:sz w:val="24"/>
          <w:szCs w:val="24"/>
        </w:rPr>
        <w:t>2021</w:t>
      </w:r>
      <w:proofErr w:type="gramEnd"/>
      <w:r w:rsidR="00C806A3" w:rsidRPr="00F27DA8">
        <w:rPr>
          <w:sz w:val="24"/>
          <w:szCs w:val="24"/>
        </w:rPr>
        <w:t xml:space="preserve"> is a state holiday</w:t>
      </w:r>
      <w:r w:rsidR="00BD7FB2" w:rsidRPr="00F27DA8">
        <w:rPr>
          <w:sz w:val="24"/>
          <w:szCs w:val="24"/>
        </w:rPr>
        <w:t xml:space="preserve"> and the PUC offices will be closed, so we shall extend the </w:t>
      </w:r>
      <w:r w:rsidRPr="00F27DA8">
        <w:rPr>
          <w:sz w:val="24"/>
          <w:szCs w:val="24"/>
        </w:rPr>
        <w:t>deadlin</w:t>
      </w:r>
      <w:r w:rsidR="00013582" w:rsidRPr="00F27DA8">
        <w:rPr>
          <w:sz w:val="24"/>
          <w:szCs w:val="24"/>
        </w:rPr>
        <w:t xml:space="preserve">e for </w:t>
      </w:r>
      <w:r w:rsidR="00C806A3" w:rsidRPr="00F27DA8">
        <w:rPr>
          <w:sz w:val="24"/>
          <w:szCs w:val="24"/>
        </w:rPr>
        <w:lastRenderedPageBreak/>
        <w:t>responses to the directed questions in the Aug</w:t>
      </w:r>
      <w:r w:rsidR="00496417" w:rsidRPr="00F27DA8">
        <w:rPr>
          <w:sz w:val="24"/>
          <w:szCs w:val="24"/>
        </w:rPr>
        <w:t>ust</w:t>
      </w:r>
      <w:r w:rsidR="00C806A3" w:rsidRPr="00F27DA8">
        <w:rPr>
          <w:sz w:val="24"/>
          <w:szCs w:val="24"/>
        </w:rPr>
        <w:t xml:space="preserve"> 12 </w:t>
      </w:r>
      <w:r w:rsidR="00496417" w:rsidRPr="00F27DA8">
        <w:rPr>
          <w:sz w:val="24"/>
          <w:szCs w:val="24"/>
        </w:rPr>
        <w:t xml:space="preserve">Secretarial Letter </w:t>
      </w:r>
      <w:r w:rsidR="00C806A3" w:rsidRPr="00F27DA8">
        <w:rPr>
          <w:sz w:val="24"/>
          <w:szCs w:val="24"/>
        </w:rPr>
        <w:t xml:space="preserve">to </w:t>
      </w:r>
      <w:r w:rsidR="003A3453" w:rsidRPr="00F27DA8">
        <w:rPr>
          <w:sz w:val="24"/>
          <w:szCs w:val="24"/>
        </w:rPr>
        <w:t>November 2</w:t>
      </w:r>
      <w:r w:rsidR="00BD7FB2" w:rsidRPr="00F27DA8">
        <w:rPr>
          <w:sz w:val="24"/>
          <w:szCs w:val="24"/>
        </w:rPr>
        <w:t>9</w:t>
      </w:r>
      <w:r w:rsidR="003A3453" w:rsidRPr="00F27DA8">
        <w:rPr>
          <w:sz w:val="24"/>
          <w:szCs w:val="24"/>
        </w:rPr>
        <w:t>, 2021</w:t>
      </w:r>
      <w:r w:rsidRPr="00F27DA8">
        <w:rPr>
          <w:sz w:val="24"/>
          <w:szCs w:val="24"/>
        </w:rPr>
        <w:t>.</w:t>
      </w:r>
      <w:r w:rsidR="00BD7FB2" w:rsidRPr="00F27DA8">
        <w:rPr>
          <w:sz w:val="24"/>
          <w:szCs w:val="24"/>
        </w:rPr>
        <w:t xml:space="preserve">  Any questions on this matter may be directed to David Edinger in the Bureau of Technical Utility Services at </w:t>
      </w:r>
      <w:hyperlink r:id="rId13" w:history="1">
        <w:r w:rsidR="00BD7FB2" w:rsidRPr="00F27DA8">
          <w:rPr>
            <w:rStyle w:val="Hyperlink"/>
            <w:sz w:val="24"/>
            <w:szCs w:val="24"/>
          </w:rPr>
          <w:t>dedinger@pa.gov</w:t>
        </w:r>
      </w:hyperlink>
      <w:r w:rsidR="00BD7FB2" w:rsidRPr="00F27DA8">
        <w:rPr>
          <w:sz w:val="24"/>
          <w:szCs w:val="24"/>
        </w:rPr>
        <w:t xml:space="preserve">.  </w:t>
      </w:r>
    </w:p>
    <w:p w14:paraId="1C9FB22A" w14:textId="72770DC2" w:rsidR="00FF2297" w:rsidRPr="00F27DA8" w:rsidRDefault="00FF2297" w:rsidP="00FF2297">
      <w:pPr>
        <w:rPr>
          <w:sz w:val="24"/>
          <w:szCs w:val="24"/>
        </w:rPr>
      </w:pPr>
    </w:p>
    <w:p w14:paraId="6D92A228" w14:textId="04FC82BE" w:rsidR="00BD7FB2" w:rsidRPr="00F27DA8" w:rsidRDefault="00BD7FB2" w:rsidP="00FF2297">
      <w:pPr>
        <w:rPr>
          <w:sz w:val="24"/>
          <w:szCs w:val="24"/>
        </w:rPr>
      </w:pPr>
    </w:p>
    <w:p w14:paraId="3582BAB8" w14:textId="6630629A" w:rsidR="00FF2297" w:rsidRPr="00F27DA8" w:rsidRDefault="006273E6" w:rsidP="00FF2297">
      <w:pPr>
        <w:rPr>
          <w:sz w:val="24"/>
          <w:szCs w:val="24"/>
        </w:rPr>
      </w:pPr>
      <w:r>
        <w:rPr>
          <w:noProof/>
        </w:rPr>
        <w:drawing>
          <wp:anchor distT="0" distB="0" distL="114300" distR="114300" simplePos="0" relativeHeight="251659264" behindDoc="1" locked="0" layoutInCell="1" allowOverlap="1" wp14:anchorId="38092470" wp14:editId="02D6E95A">
            <wp:simplePos x="0" y="0"/>
            <wp:positionH relativeFrom="column">
              <wp:posOffset>3181350</wp:posOffset>
            </wp:positionH>
            <wp:positionV relativeFrom="paragraph">
              <wp:posOffset>24130</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F2297" w:rsidRPr="00F27DA8">
        <w:rPr>
          <w:sz w:val="24"/>
          <w:szCs w:val="24"/>
        </w:rPr>
        <w:tab/>
      </w:r>
      <w:r w:rsidR="00FF2297" w:rsidRPr="00F27DA8">
        <w:rPr>
          <w:sz w:val="24"/>
          <w:szCs w:val="24"/>
        </w:rPr>
        <w:tab/>
      </w:r>
      <w:r w:rsidR="00FF2297" w:rsidRPr="00F27DA8">
        <w:rPr>
          <w:sz w:val="24"/>
          <w:szCs w:val="24"/>
        </w:rPr>
        <w:tab/>
      </w:r>
      <w:r w:rsidR="00FF2297" w:rsidRPr="00F27DA8">
        <w:rPr>
          <w:sz w:val="24"/>
          <w:szCs w:val="24"/>
        </w:rPr>
        <w:tab/>
      </w:r>
      <w:r w:rsidR="00FF2297" w:rsidRPr="00F27DA8">
        <w:rPr>
          <w:sz w:val="24"/>
          <w:szCs w:val="24"/>
        </w:rPr>
        <w:tab/>
      </w:r>
      <w:r w:rsidR="00FF2297" w:rsidRPr="00F27DA8">
        <w:rPr>
          <w:sz w:val="24"/>
          <w:szCs w:val="24"/>
        </w:rPr>
        <w:tab/>
      </w:r>
      <w:r w:rsidR="00FF2297" w:rsidRPr="00F27DA8">
        <w:rPr>
          <w:sz w:val="24"/>
          <w:szCs w:val="24"/>
        </w:rPr>
        <w:tab/>
        <w:t>Sincerely,</w:t>
      </w:r>
    </w:p>
    <w:p w14:paraId="7341E6ED" w14:textId="77777777" w:rsidR="00FF2297" w:rsidRPr="00F27DA8" w:rsidRDefault="00FF2297" w:rsidP="00FF2297">
      <w:pPr>
        <w:rPr>
          <w:sz w:val="24"/>
          <w:szCs w:val="24"/>
        </w:rPr>
      </w:pPr>
    </w:p>
    <w:p w14:paraId="42451A3E" w14:textId="77777777" w:rsidR="00FF2297" w:rsidRPr="00F27DA8" w:rsidRDefault="00FF2297" w:rsidP="00FF2297">
      <w:pPr>
        <w:rPr>
          <w:sz w:val="24"/>
          <w:szCs w:val="24"/>
        </w:rPr>
      </w:pPr>
    </w:p>
    <w:p w14:paraId="700C9802" w14:textId="77777777" w:rsidR="00FF2297" w:rsidRPr="00F27DA8" w:rsidRDefault="00FF2297" w:rsidP="00FF2297">
      <w:pPr>
        <w:rPr>
          <w:sz w:val="24"/>
          <w:szCs w:val="24"/>
        </w:rPr>
      </w:pPr>
    </w:p>
    <w:p w14:paraId="2E307C9D" w14:textId="77777777" w:rsidR="00FF2297" w:rsidRPr="00F27DA8" w:rsidRDefault="00FF2297" w:rsidP="00FF2297">
      <w:pPr>
        <w:rPr>
          <w:sz w:val="24"/>
          <w:szCs w:val="24"/>
        </w:rPr>
      </w:pPr>
      <w:r w:rsidRPr="00F27DA8">
        <w:rPr>
          <w:sz w:val="24"/>
          <w:szCs w:val="24"/>
        </w:rPr>
        <w:tab/>
      </w:r>
      <w:r w:rsidRPr="00F27DA8">
        <w:rPr>
          <w:sz w:val="24"/>
          <w:szCs w:val="24"/>
        </w:rPr>
        <w:tab/>
      </w:r>
      <w:r w:rsidRPr="00F27DA8">
        <w:rPr>
          <w:sz w:val="24"/>
          <w:szCs w:val="24"/>
        </w:rPr>
        <w:tab/>
      </w:r>
      <w:r w:rsidRPr="00F27DA8">
        <w:rPr>
          <w:sz w:val="24"/>
          <w:szCs w:val="24"/>
        </w:rPr>
        <w:tab/>
      </w:r>
      <w:r w:rsidRPr="00F27DA8">
        <w:rPr>
          <w:sz w:val="24"/>
          <w:szCs w:val="24"/>
        </w:rPr>
        <w:tab/>
      </w:r>
      <w:r w:rsidRPr="00F27DA8">
        <w:rPr>
          <w:sz w:val="24"/>
          <w:szCs w:val="24"/>
        </w:rPr>
        <w:tab/>
      </w:r>
      <w:r w:rsidRPr="00F27DA8">
        <w:rPr>
          <w:sz w:val="24"/>
          <w:szCs w:val="24"/>
        </w:rPr>
        <w:tab/>
        <w:t xml:space="preserve">Rosemary Chiavetta </w:t>
      </w:r>
    </w:p>
    <w:p w14:paraId="15295E7E" w14:textId="77777777" w:rsidR="00FF2297" w:rsidRPr="00F27DA8" w:rsidRDefault="00FF2297" w:rsidP="00FF2297">
      <w:pPr>
        <w:rPr>
          <w:sz w:val="24"/>
          <w:szCs w:val="24"/>
        </w:rPr>
      </w:pPr>
      <w:r w:rsidRPr="00F27DA8">
        <w:rPr>
          <w:sz w:val="24"/>
          <w:szCs w:val="24"/>
        </w:rPr>
        <w:tab/>
      </w:r>
      <w:r w:rsidRPr="00F27DA8">
        <w:rPr>
          <w:sz w:val="24"/>
          <w:szCs w:val="24"/>
        </w:rPr>
        <w:tab/>
      </w:r>
      <w:r w:rsidRPr="00F27DA8">
        <w:rPr>
          <w:sz w:val="24"/>
          <w:szCs w:val="24"/>
        </w:rPr>
        <w:tab/>
      </w:r>
      <w:r w:rsidRPr="00F27DA8">
        <w:rPr>
          <w:sz w:val="24"/>
          <w:szCs w:val="24"/>
        </w:rPr>
        <w:tab/>
      </w:r>
      <w:r w:rsidRPr="00F27DA8">
        <w:rPr>
          <w:sz w:val="24"/>
          <w:szCs w:val="24"/>
        </w:rPr>
        <w:tab/>
      </w:r>
      <w:r w:rsidRPr="00F27DA8">
        <w:rPr>
          <w:sz w:val="24"/>
          <w:szCs w:val="24"/>
        </w:rPr>
        <w:tab/>
      </w:r>
      <w:r w:rsidRPr="00F27DA8">
        <w:rPr>
          <w:sz w:val="24"/>
          <w:szCs w:val="24"/>
        </w:rPr>
        <w:tab/>
        <w:t>Secretary</w:t>
      </w:r>
    </w:p>
    <w:p w14:paraId="6F1AB7E0" w14:textId="77777777" w:rsidR="00FF2297" w:rsidRPr="00F27DA8" w:rsidRDefault="00FF2297" w:rsidP="00FF2297">
      <w:pPr>
        <w:rPr>
          <w:sz w:val="24"/>
          <w:szCs w:val="24"/>
        </w:rPr>
      </w:pPr>
    </w:p>
    <w:p w14:paraId="6F0CFDBD" w14:textId="77777777" w:rsidR="00FF2297" w:rsidRPr="00F27DA8" w:rsidRDefault="00FF2297" w:rsidP="00FF2297">
      <w:pPr>
        <w:rPr>
          <w:sz w:val="24"/>
          <w:szCs w:val="24"/>
        </w:rPr>
      </w:pPr>
    </w:p>
    <w:p w14:paraId="606F351E" w14:textId="319D7E25" w:rsidR="00FF2297" w:rsidRPr="00F27DA8" w:rsidRDefault="00FF2297" w:rsidP="00FF2297">
      <w:pPr>
        <w:rPr>
          <w:sz w:val="24"/>
          <w:szCs w:val="24"/>
        </w:rPr>
      </w:pPr>
      <w:r w:rsidRPr="00F27DA8">
        <w:rPr>
          <w:sz w:val="24"/>
          <w:szCs w:val="24"/>
        </w:rPr>
        <w:t>cc:</w:t>
      </w:r>
      <w:r w:rsidRPr="00F27DA8">
        <w:rPr>
          <w:sz w:val="24"/>
          <w:szCs w:val="24"/>
        </w:rPr>
        <w:tab/>
      </w:r>
      <w:r w:rsidR="003A3453" w:rsidRPr="00F27DA8">
        <w:rPr>
          <w:sz w:val="24"/>
          <w:szCs w:val="24"/>
        </w:rPr>
        <w:t>David Edinger</w:t>
      </w:r>
      <w:r w:rsidRPr="00F27DA8">
        <w:rPr>
          <w:sz w:val="24"/>
          <w:szCs w:val="24"/>
        </w:rPr>
        <w:t xml:space="preserve"> (via email) </w:t>
      </w:r>
      <w:hyperlink r:id="rId15" w:history="1">
        <w:r w:rsidR="003A3453" w:rsidRPr="00F27DA8">
          <w:rPr>
            <w:rStyle w:val="Hyperlink"/>
            <w:sz w:val="24"/>
            <w:szCs w:val="24"/>
          </w:rPr>
          <w:t>dedinger@pa.gov</w:t>
        </w:r>
      </w:hyperlink>
      <w:r w:rsidRPr="00F27DA8">
        <w:rPr>
          <w:sz w:val="24"/>
          <w:szCs w:val="24"/>
        </w:rPr>
        <w:t xml:space="preserve"> </w:t>
      </w:r>
    </w:p>
    <w:p w14:paraId="7E280D5E" w14:textId="77777777" w:rsidR="004C6BBD" w:rsidRPr="00F27DA8" w:rsidRDefault="003A3453" w:rsidP="00FF2297">
      <w:pPr>
        <w:ind w:firstLine="720"/>
        <w:rPr>
          <w:rStyle w:val="Hyperlink"/>
          <w:sz w:val="24"/>
          <w:szCs w:val="24"/>
        </w:rPr>
      </w:pPr>
      <w:r w:rsidRPr="00F27DA8">
        <w:rPr>
          <w:sz w:val="24"/>
          <w:szCs w:val="24"/>
        </w:rPr>
        <w:t>Aspas</w:t>
      </w:r>
      <w:r w:rsidR="004C6BBD" w:rsidRPr="00F27DA8">
        <w:rPr>
          <w:sz w:val="24"/>
          <w:szCs w:val="24"/>
        </w:rPr>
        <w:t>sia V. Staevska</w:t>
      </w:r>
      <w:r w:rsidR="00FF2297" w:rsidRPr="00F27DA8">
        <w:rPr>
          <w:sz w:val="24"/>
          <w:szCs w:val="24"/>
        </w:rPr>
        <w:t xml:space="preserve"> (via email) </w:t>
      </w:r>
      <w:hyperlink r:id="rId16" w:history="1">
        <w:r w:rsidR="004C6BBD" w:rsidRPr="00F27DA8">
          <w:rPr>
            <w:rStyle w:val="Hyperlink"/>
            <w:sz w:val="24"/>
            <w:szCs w:val="24"/>
          </w:rPr>
          <w:t>astaevska@pa.gov</w:t>
        </w:r>
      </w:hyperlink>
    </w:p>
    <w:p w14:paraId="2555AAAC" w14:textId="4B271CE8" w:rsidR="00FF2297" w:rsidRPr="00F27DA8" w:rsidRDefault="004C6BBD" w:rsidP="00FF2297">
      <w:pPr>
        <w:ind w:firstLine="720"/>
        <w:rPr>
          <w:sz w:val="24"/>
          <w:szCs w:val="24"/>
        </w:rPr>
      </w:pPr>
      <w:r w:rsidRPr="00F27DA8">
        <w:rPr>
          <w:sz w:val="24"/>
          <w:szCs w:val="24"/>
        </w:rPr>
        <w:t xml:space="preserve">Joe Cardinale (via email) </w:t>
      </w:r>
      <w:hyperlink r:id="rId17" w:history="1">
        <w:r w:rsidRPr="00F27DA8">
          <w:rPr>
            <w:rStyle w:val="Hyperlink"/>
            <w:sz w:val="24"/>
            <w:szCs w:val="24"/>
          </w:rPr>
          <w:t>jcardinale@pa.gov</w:t>
        </w:r>
      </w:hyperlink>
      <w:r w:rsidR="00FF2297" w:rsidRPr="00F27DA8">
        <w:rPr>
          <w:sz w:val="24"/>
          <w:szCs w:val="24"/>
        </w:rPr>
        <w:t xml:space="preserve"> </w:t>
      </w:r>
    </w:p>
    <w:p w14:paraId="62815C1A" w14:textId="721EE89E" w:rsidR="00FF2297" w:rsidRPr="00F27DA8" w:rsidRDefault="00C806A3" w:rsidP="00FF2297">
      <w:pPr>
        <w:ind w:firstLine="720"/>
        <w:rPr>
          <w:sz w:val="24"/>
          <w:szCs w:val="24"/>
        </w:rPr>
      </w:pPr>
      <w:r w:rsidRPr="00F27DA8">
        <w:rPr>
          <w:sz w:val="24"/>
          <w:szCs w:val="24"/>
        </w:rPr>
        <w:t xml:space="preserve">All </w:t>
      </w:r>
      <w:r w:rsidR="00BD7FB2" w:rsidRPr="00F27DA8">
        <w:rPr>
          <w:sz w:val="24"/>
          <w:szCs w:val="24"/>
        </w:rPr>
        <w:t>Parties of Record</w:t>
      </w:r>
      <w:r w:rsidRPr="00F27DA8">
        <w:rPr>
          <w:sz w:val="24"/>
          <w:szCs w:val="24"/>
        </w:rPr>
        <w:t xml:space="preserve"> </w:t>
      </w:r>
      <w:r w:rsidR="00FF2297" w:rsidRPr="00F27DA8">
        <w:rPr>
          <w:sz w:val="24"/>
          <w:szCs w:val="24"/>
        </w:rPr>
        <w:t xml:space="preserve"> </w:t>
      </w:r>
    </w:p>
    <w:sectPr w:rsidR="00FF2297" w:rsidRPr="00F27DA8" w:rsidSect="00D55397">
      <w:footerReference w:type="even" r:id="rId18"/>
      <w:footerReference w:type="default" r:id="rId19"/>
      <w:type w:val="continuous"/>
      <w:pgSz w:w="12240" w:h="15840"/>
      <w:pgMar w:top="1440" w:right="1440" w:bottom="1440" w:left="1440" w:header="115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3049" w14:textId="77777777" w:rsidR="00B86A8C" w:rsidRDefault="00B86A8C">
      <w:r>
        <w:separator/>
      </w:r>
    </w:p>
  </w:endnote>
  <w:endnote w:type="continuationSeparator" w:id="0">
    <w:p w14:paraId="5A896369" w14:textId="77777777" w:rsidR="00B86A8C" w:rsidRDefault="00B8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4AB" w14:textId="77777777" w:rsidR="009E40EC" w:rsidRDefault="00A6186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14:paraId="2668785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B3A" w14:textId="77777777" w:rsidR="009E40EC" w:rsidRDefault="00A6186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14:paraId="1B066233"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9FC5" w14:textId="77777777" w:rsidR="009E40EC" w:rsidRDefault="00A6186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C18E9AF"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394D" w14:textId="77777777" w:rsidR="009E40EC" w:rsidRDefault="009E40EC">
    <w:pPr>
      <w:pStyle w:val="Footer"/>
      <w:framePr w:wrap="around" w:vAnchor="text" w:hAnchor="margin" w:xAlign="center" w:y="1"/>
      <w:rPr>
        <w:rStyle w:val="PageNumber"/>
      </w:rPr>
    </w:pPr>
  </w:p>
  <w:p w14:paraId="209AFE24"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FB67" w14:textId="77777777" w:rsidR="00B86A8C" w:rsidRDefault="00B86A8C">
      <w:r>
        <w:separator/>
      </w:r>
    </w:p>
  </w:footnote>
  <w:footnote w:type="continuationSeparator" w:id="0">
    <w:p w14:paraId="74441AD6" w14:textId="77777777" w:rsidR="00B86A8C" w:rsidRDefault="00B8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7F1C"/>
    <w:rsid w:val="00013582"/>
    <w:rsid w:val="000C360C"/>
    <w:rsid w:val="000F775E"/>
    <w:rsid w:val="001209F1"/>
    <w:rsid w:val="00135D38"/>
    <w:rsid w:val="00173606"/>
    <w:rsid w:val="001E1BF3"/>
    <w:rsid w:val="002229C3"/>
    <w:rsid w:val="0029471C"/>
    <w:rsid w:val="002A0724"/>
    <w:rsid w:val="002B554B"/>
    <w:rsid w:val="002F0138"/>
    <w:rsid w:val="003311F8"/>
    <w:rsid w:val="003569E8"/>
    <w:rsid w:val="00382B1E"/>
    <w:rsid w:val="003A3453"/>
    <w:rsid w:val="003B6B77"/>
    <w:rsid w:val="00496417"/>
    <w:rsid w:val="004C6BBD"/>
    <w:rsid w:val="004D2698"/>
    <w:rsid w:val="0051240F"/>
    <w:rsid w:val="0051639C"/>
    <w:rsid w:val="005E25C5"/>
    <w:rsid w:val="006273E6"/>
    <w:rsid w:val="00673EA6"/>
    <w:rsid w:val="006755C0"/>
    <w:rsid w:val="007553FB"/>
    <w:rsid w:val="007617B1"/>
    <w:rsid w:val="00794EAC"/>
    <w:rsid w:val="00806C37"/>
    <w:rsid w:val="008A206A"/>
    <w:rsid w:val="008C71A0"/>
    <w:rsid w:val="009B23D8"/>
    <w:rsid w:val="009E40EC"/>
    <w:rsid w:val="009F5F66"/>
    <w:rsid w:val="00A276C5"/>
    <w:rsid w:val="00A61864"/>
    <w:rsid w:val="00B1152C"/>
    <w:rsid w:val="00B33BD1"/>
    <w:rsid w:val="00B86A8C"/>
    <w:rsid w:val="00BD7FB2"/>
    <w:rsid w:val="00BE4A72"/>
    <w:rsid w:val="00BE5119"/>
    <w:rsid w:val="00BF1CC3"/>
    <w:rsid w:val="00C41496"/>
    <w:rsid w:val="00C74A51"/>
    <w:rsid w:val="00C77F29"/>
    <w:rsid w:val="00C806A3"/>
    <w:rsid w:val="00C90506"/>
    <w:rsid w:val="00CB5738"/>
    <w:rsid w:val="00CF047C"/>
    <w:rsid w:val="00D0275C"/>
    <w:rsid w:val="00D065ED"/>
    <w:rsid w:val="00D21ADA"/>
    <w:rsid w:val="00D27AAC"/>
    <w:rsid w:val="00D44063"/>
    <w:rsid w:val="00D55397"/>
    <w:rsid w:val="00D90293"/>
    <w:rsid w:val="00DC2F6C"/>
    <w:rsid w:val="00DF058E"/>
    <w:rsid w:val="00DF660B"/>
    <w:rsid w:val="00E349DA"/>
    <w:rsid w:val="00E45A17"/>
    <w:rsid w:val="00F27DA8"/>
    <w:rsid w:val="00F7094C"/>
    <w:rsid w:val="00FA0E37"/>
    <w:rsid w:val="00FF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046A104"/>
  <w15:docId w15:val="{F26EB492-6D77-4CD8-96A2-7785B75B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1A0"/>
  </w:style>
  <w:style w:type="paragraph" w:styleId="Heading1">
    <w:name w:val="heading 1"/>
    <w:basedOn w:val="Normal"/>
    <w:next w:val="Normal"/>
    <w:qFormat/>
    <w:rsid w:val="008C71A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71A0"/>
    <w:pPr>
      <w:ind w:left="360"/>
    </w:pPr>
    <w:rPr>
      <w:sz w:val="24"/>
    </w:rPr>
  </w:style>
  <w:style w:type="paragraph" w:styleId="Header">
    <w:name w:val="header"/>
    <w:basedOn w:val="Normal"/>
    <w:rsid w:val="008C71A0"/>
    <w:pPr>
      <w:tabs>
        <w:tab w:val="center" w:pos="4320"/>
        <w:tab w:val="right" w:pos="8640"/>
      </w:tabs>
    </w:pPr>
  </w:style>
  <w:style w:type="paragraph" w:styleId="Footer">
    <w:name w:val="footer"/>
    <w:basedOn w:val="Normal"/>
    <w:rsid w:val="008C71A0"/>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unhideWhenUsed/>
    <w:rsid w:val="00FF2297"/>
    <w:rPr>
      <w:color w:val="0000FF" w:themeColor="hyperlink"/>
      <w:u w:val="single"/>
    </w:rPr>
  </w:style>
  <w:style w:type="character" w:styleId="CommentReference">
    <w:name w:val="annotation reference"/>
    <w:basedOn w:val="DefaultParagraphFont"/>
    <w:semiHidden/>
    <w:unhideWhenUsed/>
    <w:rsid w:val="002A0724"/>
    <w:rPr>
      <w:sz w:val="16"/>
      <w:szCs w:val="16"/>
    </w:rPr>
  </w:style>
  <w:style w:type="paragraph" w:styleId="CommentText">
    <w:name w:val="annotation text"/>
    <w:basedOn w:val="Normal"/>
    <w:link w:val="CommentTextChar"/>
    <w:semiHidden/>
    <w:unhideWhenUsed/>
    <w:rsid w:val="002A0724"/>
  </w:style>
  <w:style w:type="character" w:customStyle="1" w:styleId="CommentTextChar">
    <w:name w:val="Comment Text Char"/>
    <w:basedOn w:val="DefaultParagraphFont"/>
    <w:link w:val="CommentText"/>
    <w:semiHidden/>
    <w:rsid w:val="002A0724"/>
  </w:style>
  <w:style w:type="paragraph" w:styleId="CommentSubject">
    <w:name w:val="annotation subject"/>
    <w:basedOn w:val="CommentText"/>
    <w:next w:val="CommentText"/>
    <w:link w:val="CommentSubjectChar"/>
    <w:semiHidden/>
    <w:unhideWhenUsed/>
    <w:rsid w:val="002A0724"/>
    <w:rPr>
      <w:b/>
      <w:bCs/>
    </w:rPr>
  </w:style>
  <w:style w:type="character" w:customStyle="1" w:styleId="CommentSubjectChar">
    <w:name w:val="Comment Subject Char"/>
    <w:basedOn w:val="CommentTextChar"/>
    <w:link w:val="CommentSubject"/>
    <w:semiHidden/>
    <w:rsid w:val="002A0724"/>
    <w:rPr>
      <w:b/>
      <w:bCs/>
    </w:rPr>
  </w:style>
  <w:style w:type="character" w:styleId="UnresolvedMention">
    <w:name w:val="Unresolved Mention"/>
    <w:basedOn w:val="DefaultParagraphFont"/>
    <w:uiPriority w:val="99"/>
    <w:semiHidden/>
    <w:unhideWhenUsed/>
    <w:rsid w:val="003A3453"/>
    <w:rPr>
      <w:color w:val="605E5C"/>
      <w:shd w:val="clear" w:color="auto" w:fill="E1DFDD"/>
    </w:rPr>
  </w:style>
  <w:style w:type="paragraph" w:styleId="Revision">
    <w:name w:val="Revision"/>
    <w:hidden/>
    <w:uiPriority w:val="99"/>
    <w:semiHidden/>
    <w:rsid w:val="00C806A3"/>
  </w:style>
  <w:style w:type="paragraph" w:customStyle="1" w:styleId="Default">
    <w:name w:val="Default"/>
    <w:rsid w:val="008A20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dinger@pa.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szybist@nrdc.org" TargetMode="External"/><Relationship Id="rId17" Type="http://schemas.openxmlformats.org/officeDocument/2006/relationships/hyperlink" Target="mailto:jcardinale@pa.gov" TargetMode="External"/><Relationship Id="rId2" Type="http://schemas.openxmlformats.org/officeDocument/2006/relationships/numbering" Target="numbering.xml"/><Relationship Id="rId16" Type="http://schemas.openxmlformats.org/officeDocument/2006/relationships/hyperlink" Target="mailto:astaevska@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cdougall@earthjustice.org" TargetMode="External"/><Relationship Id="rId5" Type="http://schemas.openxmlformats.org/officeDocument/2006/relationships/webSettings" Target="webSettings.xml"/><Relationship Id="rId15" Type="http://schemas.openxmlformats.org/officeDocument/2006/relationships/hyperlink" Target="mailto:dedinger@pa.gov"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A45F-0F71-4090-A8CE-F0CA019F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Wagner, Nathan R</cp:lastModifiedBy>
  <cp:revision>2</cp:revision>
  <cp:lastPrinted>2011-05-17T17:23:00Z</cp:lastPrinted>
  <dcterms:created xsi:type="dcterms:W3CDTF">2021-09-14T18:30:00Z</dcterms:created>
  <dcterms:modified xsi:type="dcterms:W3CDTF">2021-09-14T18:30:00Z</dcterms:modified>
</cp:coreProperties>
</file>