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D850D4" w:rsidRPr="00C0451E" w14:paraId="3C72DB55" w14:textId="77777777">
        <w:tblPrEx>
          <w:tblCellMar>
            <w:top w:w="0" w:type="dxa"/>
            <w:bottom w:w="0" w:type="dxa"/>
          </w:tblCellMar>
        </w:tblPrEx>
        <w:tc>
          <w:tcPr>
            <w:tcW w:w="2448" w:type="dxa"/>
          </w:tcPr>
          <w:p w14:paraId="7306393E" w14:textId="77777777" w:rsidR="00D850D4" w:rsidRPr="00C0451E" w:rsidRDefault="00D850D4" w:rsidP="00092C0A">
            <w:pPr>
              <w:pStyle w:val="Heading3"/>
              <w:rPr>
                <w:rFonts w:ascii="Times New Roman" w:hAnsi="Times New Roman" w:cs="Times New Roman"/>
              </w:rPr>
            </w:pPr>
          </w:p>
        </w:tc>
        <w:tc>
          <w:tcPr>
            <w:tcW w:w="5130" w:type="dxa"/>
          </w:tcPr>
          <w:p w14:paraId="50CEE3BD" w14:textId="77777777" w:rsidR="00D850D4" w:rsidRPr="00C0451E" w:rsidRDefault="00D850D4">
            <w:pPr>
              <w:jc w:val="center"/>
              <w:rPr>
                <w:b/>
                <w:sz w:val="26"/>
                <w:szCs w:val="26"/>
              </w:rPr>
            </w:pPr>
            <w:r w:rsidRPr="00C0451E">
              <w:rPr>
                <w:b/>
                <w:sz w:val="26"/>
                <w:szCs w:val="26"/>
              </w:rPr>
              <w:t>PENNSYLVANIA</w:t>
            </w:r>
          </w:p>
          <w:p w14:paraId="2C03B496" w14:textId="77777777" w:rsidR="00D850D4" w:rsidRPr="00C0451E" w:rsidRDefault="00D850D4">
            <w:pPr>
              <w:jc w:val="center"/>
              <w:rPr>
                <w:b/>
                <w:sz w:val="26"/>
                <w:szCs w:val="26"/>
              </w:rPr>
            </w:pPr>
            <w:r w:rsidRPr="00C0451E">
              <w:rPr>
                <w:b/>
                <w:sz w:val="26"/>
                <w:szCs w:val="26"/>
              </w:rPr>
              <w:t>PUBLIC UTILITY COMMISSION</w:t>
            </w:r>
          </w:p>
          <w:p w14:paraId="253399B0" w14:textId="77777777"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14:paraId="479BBB72" w14:textId="77777777" w:rsidR="00D850D4" w:rsidRPr="00C0451E" w:rsidRDefault="00D850D4">
            <w:pPr>
              <w:rPr>
                <w:sz w:val="26"/>
                <w:szCs w:val="26"/>
              </w:rPr>
            </w:pPr>
          </w:p>
        </w:tc>
      </w:tr>
    </w:tbl>
    <w:p w14:paraId="1D551A55" w14:textId="77777777"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14:paraId="2FA71960" w14:textId="77777777">
        <w:tblPrEx>
          <w:tblCellMar>
            <w:top w:w="0" w:type="dxa"/>
            <w:bottom w:w="0" w:type="dxa"/>
          </w:tblCellMar>
        </w:tblPrEx>
        <w:tc>
          <w:tcPr>
            <w:tcW w:w="5148" w:type="dxa"/>
          </w:tcPr>
          <w:p w14:paraId="64DFE92C" w14:textId="77777777" w:rsidR="00D850D4" w:rsidRPr="00C0451E" w:rsidRDefault="00D850D4">
            <w:pPr>
              <w:rPr>
                <w:sz w:val="26"/>
                <w:szCs w:val="26"/>
              </w:rPr>
            </w:pPr>
          </w:p>
        </w:tc>
        <w:tc>
          <w:tcPr>
            <w:tcW w:w="5148" w:type="dxa"/>
          </w:tcPr>
          <w:p w14:paraId="7D0122F5" w14:textId="77777777" w:rsidR="00D850D4" w:rsidRPr="00C0451E" w:rsidRDefault="00D850D4">
            <w:pPr>
              <w:ind w:firstLine="612"/>
              <w:rPr>
                <w:sz w:val="26"/>
                <w:szCs w:val="26"/>
              </w:rPr>
            </w:pPr>
            <w:r w:rsidRPr="00C0451E">
              <w:rPr>
                <w:sz w:val="26"/>
                <w:szCs w:val="26"/>
              </w:rPr>
              <w:t xml:space="preserve">Public Meeting held </w:t>
            </w:r>
            <w:r w:rsidR="000F0A67">
              <w:rPr>
                <w:sz w:val="26"/>
                <w:szCs w:val="26"/>
              </w:rPr>
              <w:t xml:space="preserve">December </w:t>
            </w:r>
            <w:r w:rsidR="00862C4C">
              <w:rPr>
                <w:sz w:val="26"/>
                <w:szCs w:val="26"/>
              </w:rPr>
              <w:t>16</w:t>
            </w:r>
            <w:r w:rsidR="000F0A67">
              <w:rPr>
                <w:sz w:val="26"/>
                <w:szCs w:val="26"/>
              </w:rPr>
              <w:t>, 2021</w:t>
            </w:r>
          </w:p>
        </w:tc>
      </w:tr>
      <w:tr w:rsidR="00D850D4" w:rsidRPr="00C0451E" w14:paraId="5C0F1FBC" w14:textId="77777777">
        <w:tblPrEx>
          <w:tblCellMar>
            <w:top w:w="0" w:type="dxa"/>
            <w:bottom w:w="0" w:type="dxa"/>
          </w:tblCellMar>
        </w:tblPrEx>
        <w:tc>
          <w:tcPr>
            <w:tcW w:w="5148" w:type="dxa"/>
          </w:tcPr>
          <w:p w14:paraId="388541D4" w14:textId="77777777" w:rsidR="00D850D4" w:rsidRPr="00C0451E" w:rsidRDefault="00D850D4">
            <w:pPr>
              <w:rPr>
                <w:sz w:val="26"/>
                <w:szCs w:val="26"/>
              </w:rPr>
            </w:pPr>
            <w:r w:rsidRPr="00C0451E">
              <w:rPr>
                <w:sz w:val="26"/>
                <w:szCs w:val="26"/>
              </w:rPr>
              <w:t>Commissioners Present:</w:t>
            </w:r>
          </w:p>
        </w:tc>
        <w:tc>
          <w:tcPr>
            <w:tcW w:w="5148" w:type="dxa"/>
          </w:tcPr>
          <w:p w14:paraId="6B3B4691" w14:textId="77777777" w:rsidR="00D850D4" w:rsidRPr="00C0451E" w:rsidRDefault="00D850D4">
            <w:pPr>
              <w:rPr>
                <w:sz w:val="26"/>
                <w:szCs w:val="26"/>
              </w:rPr>
            </w:pPr>
          </w:p>
        </w:tc>
      </w:tr>
    </w:tbl>
    <w:p w14:paraId="4B416143" w14:textId="77777777" w:rsidR="00D850D4" w:rsidRPr="00C0451E" w:rsidRDefault="00D850D4">
      <w:pPr>
        <w:rPr>
          <w:sz w:val="26"/>
          <w:szCs w:val="26"/>
        </w:rPr>
      </w:pPr>
    </w:p>
    <w:tbl>
      <w:tblPr>
        <w:tblW w:w="10296" w:type="dxa"/>
        <w:tblLayout w:type="fixed"/>
        <w:tblLook w:val="0000" w:firstRow="0" w:lastRow="0" w:firstColumn="0" w:lastColumn="0" w:noHBand="0" w:noVBand="0"/>
      </w:tblPr>
      <w:tblGrid>
        <w:gridCol w:w="5958"/>
        <w:gridCol w:w="4320"/>
        <w:gridCol w:w="18"/>
      </w:tblGrid>
      <w:tr w:rsidR="00E72D6C" w:rsidRPr="00C0451E" w14:paraId="13C40127" w14:textId="77777777" w:rsidTr="00075AC0">
        <w:tblPrEx>
          <w:tblCellMar>
            <w:top w:w="0" w:type="dxa"/>
            <w:bottom w:w="0" w:type="dxa"/>
          </w:tblCellMar>
        </w:tblPrEx>
        <w:tc>
          <w:tcPr>
            <w:tcW w:w="10296" w:type="dxa"/>
            <w:gridSpan w:val="3"/>
          </w:tcPr>
          <w:p w14:paraId="263D2BBF" w14:textId="77777777" w:rsidR="00E72D6C" w:rsidRPr="00C0451E" w:rsidRDefault="00E72D6C" w:rsidP="00E72D6C">
            <w:pPr>
              <w:tabs>
                <w:tab w:val="left" w:pos="720"/>
              </w:tabs>
              <w:rPr>
                <w:sz w:val="26"/>
                <w:szCs w:val="26"/>
              </w:rPr>
            </w:pPr>
            <w:r>
              <w:rPr>
                <w:sz w:val="26"/>
                <w:szCs w:val="26"/>
              </w:rPr>
              <w:tab/>
              <w:t>Gladys Brown</w:t>
            </w:r>
            <w:r w:rsidR="007D2A0F">
              <w:rPr>
                <w:sz w:val="26"/>
                <w:szCs w:val="26"/>
              </w:rPr>
              <w:t xml:space="preserve"> </w:t>
            </w:r>
            <w:r w:rsidR="007D2A0F" w:rsidRPr="007D2A0F">
              <w:rPr>
                <w:sz w:val="26"/>
                <w:szCs w:val="26"/>
              </w:rPr>
              <w:t>Dutrieuille</w:t>
            </w:r>
            <w:r>
              <w:rPr>
                <w:sz w:val="26"/>
                <w:szCs w:val="26"/>
              </w:rPr>
              <w:t>, Chairman</w:t>
            </w:r>
          </w:p>
        </w:tc>
      </w:tr>
      <w:tr w:rsidR="00E72D6C" w:rsidRPr="00C0451E" w14:paraId="293CFE17" w14:textId="77777777" w:rsidTr="00075AC0">
        <w:tblPrEx>
          <w:tblCellMar>
            <w:top w:w="0" w:type="dxa"/>
            <w:bottom w:w="0" w:type="dxa"/>
          </w:tblCellMar>
        </w:tblPrEx>
        <w:trPr>
          <w:gridAfter w:val="1"/>
          <w:wAfter w:w="18" w:type="dxa"/>
        </w:trPr>
        <w:tc>
          <w:tcPr>
            <w:tcW w:w="10278" w:type="dxa"/>
            <w:gridSpan w:val="2"/>
          </w:tcPr>
          <w:p w14:paraId="616CE293" w14:textId="77777777" w:rsidR="00E72D6C" w:rsidRPr="00C0451E" w:rsidRDefault="00E72D6C" w:rsidP="00E72D6C">
            <w:pPr>
              <w:tabs>
                <w:tab w:val="left" w:pos="720"/>
              </w:tabs>
              <w:rPr>
                <w:sz w:val="26"/>
                <w:szCs w:val="26"/>
              </w:rPr>
            </w:pPr>
            <w:r>
              <w:rPr>
                <w:sz w:val="26"/>
                <w:szCs w:val="26"/>
              </w:rPr>
              <w:tab/>
            </w:r>
            <w:r w:rsidR="005C2527" w:rsidRPr="005C2527">
              <w:rPr>
                <w:sz w:val="26"/>
                <w:szCs w:val="26"/>
              </w:rPr>
              <w:t>John F. Coleman, Jr.</w:t>
            </w:r>
            <w:r w:rsidR="00E7268A">
              <w:rPr>
                <w:sz w:val="26"/>
                <w:szCs w:val="26"/>
              </w:rPr>
              <w:t>, Vice Chairman</w:t>
            </w:r>
          </w:p>
        </w:tc>
      </w:tr>
      <w:tr w:rsidR="00E72D6C" w:rsidRPr="00C0451E" w14:paraId="43E84E66" w14:textId="77777777" w:rsidTr="00075AC0">
        <w:tblPrEx>
          <w:tblCellMar>
            <w:top w:w="0" w:type="dxa"/>
            <w:bottom w:w="0" w:type="dxa"/>
          </w:tblCellMar>
        </w:tblPrEx>
        <w:trPr>
          <w:gridAfter w:val="1"/>
          <w:wAfter w:w="18" w:type="dxa"/>
        </w:trPr>
        <w:tc>
          <w:tcPr>
            <w:tcW w:w="10278" w:type="dxa"/>
            <w:gridSpan w:val="2"/>
          </w:tcPr>
          <w:p w14:paraId="23EC8648" w14:textId="77777777" w:rsidR="00E72D6C" w:rsidRPr="00C0451E" w:rsidRDefault="00E72D6C" w:rsidP="00E72D6C">
            <w:pPr>
              <w:tabs>
                <w:tab w:val="left" w:pos="720"/>
              </w:tabs>
              <w:rPr>
                <w:sz w:val="26"/>
                <w:szCs w:val="26"/>
              </w:rPr>
            </w:pPr>
            <w:r>
              <w:rPr>
                <w:sz w:val="26"/>
                <w:szCs w:val="26"/>
              </w:rPr>
              <w:tab/>
            </w:r>
            <w:r w:rsidR="005C2527" w:rsidRPr="005C2527">
              <w:rPr>
                <w:sz w:val="26"/>
                <w:szCs w:val="26"/>
              </w:rPr>
              <w:t>Ralph V. Yanora</w:t>
            </w:r>
          </w:p>
        </w:tc>
      </w:tr>
      <w:tr w:rsidR="00350758" w:rsidRPr="00C0451E" w14:paraId="14A403DA" w14:textId="77777777" w:rsidTr="00E72D6C">
        <w:tblPrEx>
          <w:tblCellMar>
            <w:top w:w="0" w:type="dxa"/>
            <w:bottom w:w="0" w:type="dxa"/>
          </w:tblCellMar>
        </w:tblPrEx>
        <w:trPr>
          <w:gridAfter w:val="1"/>
          <w:wAfter w:w="18" w:type="dxa"/>
        </w:trPr>
        <w:tc>
          <w:tcPr>
            <w:tcW w:w="5958" w:type="dxa"/>
          </w:tcPr>
          <w:p w14:paraId="42147B84" w14:textId="77777777" w:rsidR="00350758" w:rsidRDefault="00350758" w:rsidP="00350758">
            <w:pPr>
              <w:ind w:right="342"/>
              <w:rPr>
                <w:sz w:val="26"/>
                <w:szCs w:val="26"/>
              </w:rPr>
            </w:pPr>
          </w:p>
        </w:tc>
        <w:tc>
          <w:tcPr>
            <w:tcW w:w="4320" w:type="dxa"/>
          </w:tcPr>
          <w:p w14:paraId="26D35657" w14:textId="77777777" w:rsidR="00350758" w:rsidRDefault="00350758" w:rsidP="00350758">
            <w:pPr>
              <w:jc w:val="center"/>
              <w:rPr>
                <w:sz w:val="26"/>
                <w:szCs w:val="26"/>
              </w:rPr>
            </w:pPr>
          </w:p>
        </w:tc>
      </w:tr>
      <w:tr w:rsidR="00350758" w:rsidRPr="00C0451E" w14:paraId="60E1EBC1" w14:textId="77777777" w:rsidTr="00E72D6C">
        <w:tblPrEx>
          <w:tblCellMar>
            <w:top w:w="0" w:type="dxa"/>
            <w:bottom w:w="0" w:type="dxa"/>
          </w:tblCellMar>
        </w:tblPrEx>
        <w:trPr>
          <w:gridAfter w:val="1"/>
          <w:wAfter w:w="18" w:type="dxa"/>
        </w:trPr>
        <w:tc>
          <w:tcPr>
            <w:tcW w:w="5958" w:type="dxa"/>
          </w:tcPr>
          <w:p w14:paraId="7334772B" w14:textId="77777777" w:rsidR="00350758" w:rsidRDefault="00ED02C8" w:rsidP="00350758">
            <w:pPr>
              <w:ind w:right="342"/>
              <w:rPr>
                <w:sz w:val="26"/>
                <w:szCs w:val="26"/>
              </w:rPr>
            </w:pPr>
            <w:r>
              <w:rPr>
                <w:sz w:val="26"/>
                <w:szCs w:val="26"/>
              </w:rPr>
              <w:t>Working Group on Medical Certificate</w:t>
            </w:r>
            <w:r w:rsidR="00E7268A">
              <w:rPr>
                <w:sz w:val="26"/>
                <w:szCs w:val="26"/>
              </w:rPr>
              <w:t>s</w:t>
            </w:r>
            <w:r>
              <w:rPr>
                <w:sz w:val="26"/>
                <w:szCs w:val="26"/>
              </w:rPr>
              <w:t>, Other Court Order</w:t>
            </w:r>
            <w:r w:rsidR="00E7268A">
              <w:rPr>
                <w:sz w:val="26"/>
                <w:szCs w:val="26"/>
              </w:rPr>
              <w:t>s,</w:t>
            </w:r>
            <w:r>
              <w:rPr>
                <w:sz w:val="26"/>
                <w:szCs w:val="26"/>
              </w:rPr>
              <w:t xml:space="preserve"> and Privacy Guidelines Relating to the Rulemaking to Amend the Provisions of 52 Pa. Code, Chapter 56 to Comply with the Amended Provisions of 66 Pa.C.S. Chapter 14</w:t>
            </w:r>
          </w:p>
          <w:p w14:paraId="3ECC9692" w14:textId="77777777" w:rsidR="00E86CD4" w:rsidRDefault="00E86CD4" w:rsidP="00350758">
            <w:pPr>
              <w:ind w:right="342"/>
              <w:rPr>
                <w:sz w:val="26"/>
                <w:szCs w:val="26"/>
              </w:rPr>
            </w:pPr>
          </w:p>
        </w:tc>
        <w:tc>
          <w:tcPr>
            <w:tcW w:w="4320" w:type="dxa"/>
          </w:tcPr>
          <w:p w14:paraId="49B932E2" w14:textId="77777777" w:rsidR="00350758" w:rsidRPr="00C0451E" w:rsidRDefault="00ED02C8" w:rsidP="00350758">
            <w:pPr>
              <w:jc w:val="center"/>
              <w:rPr>
                <w:sz w:val="26"/>
                <w:szCs w:val="26"/>
              </w:rPr>
            </w:pPr>
            <w:r>
              <w:rPr>
                <w:sz w:val="26"/>
                <w:szCs w:val="26"/>
              </w:rPr>
              <w:t>L-2015-2508421</w:t>
            </w:r>
          </w:p>
        </w:tc>
      </w:tr>
    </w:tbl>
    <w:p w14:paraId="561E3B48" w14:textId="77777777" w:rsidR="00D850D4" w:rsidRDefault="00D850D4">
      <w:pPr>
        <w:jc w:val="center"/>
        <w:rPr>
          <w:b/>
          <w:sz w:val="26"/>
          <w:szCs w:val="26"/>
        </w:rPr>
      </w:pPr>
    </w:p>
    <w:p w14:paraId="60D50FC6" w14:textId="77777777" w:rsidR="0037498A" w:rsidRDefault="0037498A" w:rsidP="005C637A">
      <w:pPr>
        <w:spacing w:line="360" w:lineRule="auto"/>
        <w:jc w:val="center"/>
        <w:rPr>
          <w:b/>
          <w:sz w:val="26"/>
          <w:szCs w:val="26"/>
        </w:rPr>
      </w:pPr>
      <w:r>
        <w:rPr>
          <w:b/>
          <w:sz w:val="26"/>
          <w:szCs w:val="26"/>
        </w:rPr>
        <w:t>ORDER</w:t>
      </w:r>
    </w:p>
    <w:p w14:paraId="68CAF7DE" w14:textId="77777777" w:rsidR="00E7268A" w:rsidRDefault="00E7268A" w:rsidP="005C637A">
      <w:pPr>
        <w:spacing w:line="360" w:lineRule="auto"/>
        <w:jc w:val="center"/>
        <w:rPr>
          <w:b/>
          <w:sz w:val="26"/>
          <w:szCs w:val="26"/>
        </w:rPr>
      </w:pPr>
    </w:p>
    <w:p w14:paraId="4D93F0CA" w14:textId="77777777" w:rsidR="00E7268A" w:rsidRDefault="00E7268A" w:rsidP="00E7268A">
      <w:pPr>
        <w:spacing w:line="360" w:lineRule="auto"/>
        <w:rPr>
          <w:b/>
          <w:sz w:val="26"/>
          <w:szCs w:val="26"/>
        </w:rPr>
      </w:pPr>
      <w:r w:rsidRPr="00E7268A">
        <w:rPr>
          <w:b/>
          <w:sz w:val="26"/>
          <w:szCs w:val="26"/>
        </w:rPr>
        <w:t>BY THE COMMISSION:</w:t>
      </w:r>
    </w:p>
    <w:p w14:paraId="3F8959DD" w14:textId="77777777" w:rsidR="00AE642B" w:rsidRDefault="00C972AA" w:rsidP="00E86CD4">
      <w:pPr>
        <w:spacing w:line="360" w:lineRule="auto"/>
        <w:ind w:firstLine="720"/>
        <w:rPr>
          <w:sz w:val="26"/>
          <w:szCs w:val="26"/>
        </w:rPr>
      </w:pPr>
      <w:r>
        <w:rPr>
          <w:sz w:val="26"/>
          <w:szCs w:val="26"/>
        </w:rPr>
        <w:t xml:space="preserve">On February 25, 2021, </w:t>
      </w:r>
      <w:r w:rsidR="00EF46F6">
        <w:rPr>
          <w:sz w:val="26"/>
          <w:szCs w:val="26"/>
        </w:rPr>
        <w:t xml:space="preserve">the </w:t>
      </w:r>
      <w:r w:rsidR="007154FE">
        <w:rPr>
          <w:sz w:val="26"/>
          <w:szCs w:val="26"/>
        </w:rPr>
        <w:t xml:space="preserve">Pennsylvania Public Utility </w:t>
      </w:r>
      <w:r w:rsidR="00EF46F6">
        <w:rPr>
          <w:sz w:val="26"/>
          <w:szCs w:val="26"/>
        </w:rPr>
        <w:t>Commission</w:t>
      </w:r>
      <w:r>
        <w:rPr>
          <w:sz w:val="26"/>
          <w:szCs w:val="26"/>
        </w:rPr>
        <w:t xml:space="preserve"> </w:t>
      </w:r>
      <w:r w:rsidR="007154FE">
        <w:rPr>
          <w:sz w:val="26"/>
          <w:szCs w:val="26"/>
        </w:rPr>
        <w:t xml:space="preserve">(Commission) </w:t>
      </w:r>
      <w:r>
        <w:rPr>
          <w:sz w:val="26"/>
          <w:szCs w:val="26"/>
        </w:rPr>
        <w:t>entered a Tentative Order</w:t>
      </w:r>
      <w:r w:rsidR="00A50256">
        <w:rPr>
          <w:sz w:val="26"/>
          <w:szCs w:val="26"/>
        </w:rPr>
        <w:t xml:space="preserve"> affording interested </w:t>
      </w:r>
      <w:r w:rsidR="00EF46F6">
        <w:rPr>
          <w:sz w:val="26"/>
          <w:szCs w:val="26"/>
        </w:rPr>
        <w:t>stakeholders with a</w:t>
      </w:r>
      <w:r w:rsidR="00A50256">
        <w:rPr>
          <w:sz w:val="26"/>
          <w:szCs w:val="26"/>
        </w:rPr>
        <w:t xml:space="preserve"> final </w:t>
      </w:r>
      <w:r>
        <w:rPr>
          <w:sz w:val="26"/>
          <w:szCs w:val="26"/>
        </w:rPr>
        <w:t xml:space="preserve">opportunity to comment on </w:t>
      </w:r>
      <w:r w:rsidR="00EF46F6">
        <w:rPr>
          <w:sz w:val="26"/>
          <w:szCs w:val="26"/>
        </w:rPr>
        <w:t xml:space="preserve">three issues deferred from the Commission’s </w:t>
      </w:r>
      <w:r w:rsidR="00EF46F6" w:rsidRPr="00AE642B">
        <w:rPr>
          <w:sz w:val="26"/>
          <w:szCs w:val="26"/>
        </w:rPr>
        <w:t>February 28, 2019</w:t>
      </w:r>
      <w:r w:rsidR="00EF46F6">
        <w:rPr>
          <w:sz w:val="26"/>
          <w:szCs w:val="26"/>
        </w:rPr>
        <w:t xml:space="preserve"> Final Rulemaking Order </w:t>
      </w:r>
      <w:r w:rsidR="00CE6C7A">
        <w:rPr>
          <w:sz w:val="26"/>
          <w:szCs w:val="26"/>
        </w:rPr>
        <w:t>in</w:t>
      </w:r>
      <w:r w:rsidR="00EF46F6">
        <w:rPr>
          <w:sz w:val="26"/>
          <w:szCs w:val="26"/>
        </w:rPr>
        <w:t xml:space="preserve"> th</w:t>
      </w:r>
      <w:r w:rsidR="00A50256">
        <w:rPr>
          <w:sz w:val="26"/>
          <w:szCs w:val="26"/>
        </w:rPr>
        <w:t>e above-referenced</w:t>
      </w:r>
      <w:r w:rsidR="00EF46F6">
        <w:rPr>
          <w:sz w:val="26"/>
          <w:szCs w:val="26"/>
        </w:rPr>
        <w:t xml:space="preserve"> </w:t>
      </w:r>
      <w:r w:rsidR="00CE6C7A">
        <w:rPr>
          <w:sz w:val="26"/>
          <w:szCs w:val="26"/>
        </w:rPr>
        <w:t>proceeding</w:t>
      </w:r>
      <w:r w:rsidR="00EF46F6">
        <w:rPr>
          <w:sz w:val="26"/>
          <w:szCs w:val="26"/>
        </w:rPr>
        <w:t>.</w:t>
      </w:r>
      <w:r w:rsidR="00A50256">
        <w:rPr>
          <w:sz w:val="26"/>
          <w:szCs w:val="26"/>
        </w:rPr>
        <w:t xml:space="preserve">  </w:t>
      </w:r>
      <w:r w:rsidR="00EF46F6">
        <w:rPr>
          <w:sz w:val="26"/>
          <w:szCs w:val="26"/>
        </w:rPr>
        <w:t xml:space="preserve">The Final Rulemaking Order revised our </w:t>
      </w:r>
      <w:r w:rsidR="00EF46F6" w:rsidRPr="00AE642B">
        <w:rPr>
          <w:sz w:val="26"/>
          <w:szCs w:val="26"/>
        </w:rPr>
        <w:t>regulations</w:t>
      </w:r>
      <w:r w:rsidR="00A50256">
        <w:rPr>
          <w:sz w:val="26"/>
          <w:szCs w:val="26"/>
        </w:rPr>
        <w:t xml:space="preserve"> </w:t>
      </w:r>
      <w:r w:rsidR="0073520A">
        <w:rPr>
          <w:sz w:val="26"/>
          <w:szCs w:val="26"/>
        </w:rPr>
        <w:t xml:space="preserve">at 52 Pa. Code, </w:t>
      </w:r>
      <w:r w:rsidR="0073520A" w:rsidRPr="00CE6C7A">
        <w:t>Chapter</w:t>
      </w:r>
      <w:r w:rsidR="00CE6C7A">
        <w:t> </w:t>
      </w:r>
      <w:r w:rsidR="0073520A" w:rsidRPr="00CE6C7A">
        <w:t>56</w:t>
      </w:r>
      <w:r w:rsidR="0073520A">
        <w:rPr>
          <w:sz w:val="26"/>
          <w:szCs w:val="26"/>
        </w:rPr>
        <w:t>, which</w:t>
      </w:r>
      <w:r w:rsidR="00EF46F6" w:rsidRPr="00AE642B">
        <w:rPr>
          <w:sz w:val="26"/>
          <w:szCs w:val="26"/>
        </w:rPr>
        <w:t xml:space="preserve"> administer and enforce Chapter 14 of the Public Utility Code</w:t>
      </w:r>
      <w:r w:rsidR="00E86CD4">
        <w:rPr>
          <w:sz w:val="26"/>
          <w:szCs w:val="26"/>
        </w:rPr>
        <w:t>, 66</w:t>
      </w:r>
      <w:r w:rsidR="00A50256">
        <w:rPr>
          <w:sz w:val="26"/>
          <w:szCs w:val="26"/>
        </w:rPr>
        <w:t> </w:t>
      </w:r>
      <w:r w:rsidR="00E86CD4">
        <w:rPr>
          <w:sz w:val="26"/>
          <w:szCs w:val="26"/>
        </w:rPr>
        <w:t>Pa.C.S. §§ 1401-1419.</w:t>
      </w:r>
      <w:r w:rsidR="00EF46F6">
        <w:rPr>
          <w:sz w:val="26"/>
          <w:szCs w:val="26"/>
        </w:rPr>
        <w:t xml:space="preserve">  The Tentative Order </w:t>
      </w:r>
      <w:r w:rsidR="00E86CD4">
        <w:rPr>
          <w:sz w:val="26"/>
          <w:szCs w:val="26"/>
        </w:rPr>
        <w:t>allowed stakeholders to provide input and advice on</w:t>
      </w:r>
      <w:r w:rsidR="00E86CD4" w:rsidRPr="00E86CD4">
        <w:rPr>
          <w:sz w:val="26"/>
          <w:szCs w:val="26"/>
        </w:rPr>
        <w:t xml:space="preserve"> issues related to the amendments to 66</w:t>
      </w:r>
      <w:r w:rsidR="00380E98">
        <w:rPr>
          <w:sz w:val="26"/>
          <w:szCs w:val="26"/>
        </w:rPr>
        <w:t> </w:t>
      </w:r>
      <w:r w:rsidR="00E86CD4" w:rsidRPr="00E86CD4">
        <w:rPr>
          <w:sz w:val="26"/>
          <w:szCs w:val="26"/>
        </w:rPr>
        <w:t>Pa.C.S. §§ 1403, 1406, and 1417</w:t>
      </w:r>
      <w:r w:rsidR="00E86CD4">
        <w:rPr>
          <w:sz w:val="26"/>
          <w:szCs w:val="26"/>
        </w:rPr>
        <w:t xml:space="preserve">, involving the form of </w:t>
      </w:r>
      <w:r w:rsidR="00E86CD4" w:rsidRPr="00E86CD4">
        <w:rPr>
          <w:sz w:val="26"/>
          <w:szCs w:val="26"/>
        </w:rPr>
        <w:t>medical certificates,</w:t>
      </w:r>
      <w:r w:rsidR="00E86CD4">
        <w:rPr>
          <w:sz w:val="26"/>
          <w:szCs w:val="26"/>
        </w:rPr>
        <w:t xml:space="preserve"> </w:t>
      </w:r>
      <w:r w:rsidR="00E86CD4" w:rsidRPr="00E86CD4">
        <w:rPr>
          <w:sz w:val="26"/>
          <w:szCs w:val="26"/>
        </w:rPr>
        <w:t>other court orders related to domestic violence, and privacy guidelines</w:t>
      </w:r>
      <w:r w:rsidR="00E86CD4">
        <w:rPr>
          <w:sz w:val="26"/>
          <w:szCs w:val="26"/>
        </w:rPr>
        <w:t xml:space="preserve">, respectively.  </w:t>
      </w:r>
      <w:r w:rsidR="00333E9A">
        <w:rPr>
          <w:sz w:val="26"/>
          <w:szCs w:val="26"/>
        </w:rPr>
        <w:t xml:space="preserve">Upon consideration of </w:t>
      </w:r>
      <w:r w:rsidR="00380E98">
        <w:rPr>
          <w:sz w:val="26"/>
          <w:szCs w:val="26"/>
        </w:rPr>
        <w:t xml:space="preserve">the </w:t>
      </w:r>
      <w:r w:rsidR="00AE642B" w:rsidRPr="00AE642B">
        <w:rPr>
          <w:sz w:val="26"/>
          <w:szCs w:val="26"/>
        </w:rPr>
        <w:t>comments filed</w:t>
      </w:r>
      <w:r w:rsidR="00333E9A">
        <w:rPr>
          <w:sz w:val="26"/>
          <w:szCs w:val="26"/>
        </w:rPr>
        <w:t xml:space="preserve"> </w:t>
      </w:r>
      <w:r>
        <w:rPr>
          <w:sz w:val="26"/>
          <w:szCs w:val="26"/>
        </w:rPr>
        <w:t xml:space="preserve">by stakeholders </w:t>
      </w:r>
      <w:r w:rsidR="00333E9A">
        <w:rPr>
          <w:sz w:val="26"/>
          <w:szCs w:val="26"/>
        </w:rPr>
        <w:t xml:space="preserve">in response to the </w:t>
      </w:r>
      <w:r w:rsidR="00AE642B" w:rsidRPr="00AE642B">
        <w:rPr>
          <w:sz w:val="26"/>
          <w:szCs w:val="26"/>
        </w:rPr>
        <w:t>Tentative Order</w:t>
      </w:r>
      <w:r w:rsidR="00333E9A">
        <w:rPr>
          <w:sz w:val="26"/>
          <w:szCs w:val="26"/>
        </w:rPr>
        <w:t xml:space="preserve">, </w:t>
      </w:r>
      <w:r w:rsidR="00AE642B" w:rsidRPr="00AE642B">
        <w:rPr>
          <w:sz w:val="26"/>
          <w:szCs w:val="26"/>
        </w:rPr>
        <w:t xml:space="preserve">the </w:t>
      </w:r>
      <w:r w:rsidR="00333E9A">
        <w:rPr>
          <w:sz w:val="26"/>
          <w:szCs w:val="26"/>
        </w:rPr>
        <w:t>Commission issues this</w:t>
      </w:r>
      <w:r>
        <w:rPr>
          <w:sz w:val="26"/>
          <w:szCs w:val="26"/>
        </w:rPr>
        <w:t xml:space="preserve"> Order</w:t>
      </w:r>
      <w:r w:rsidR="00E86CD4">
        <w:rPr>
          <w:sz w:val="26"/>
          <w:szCs w:val="26"/>
        </w:rPr>
        <w:t>.</w:t>
      </w:r>
    </w:p>
    <w:p w14:paraId="13493D05" w14:textId="77777777" w:rsidR="00AE642B" w:rsidRDefault="00AE642B" w:rsidP="006A69E1">
      <w:pPr>
        <w:keepNext/>
        <w:keepLines/>
        <w:spacing w:line="360" w:lineRule="auto"/>
        <w:jc w:val="center"/>
        <w:rPr>
          <w:b/>
          <w:bCs/>
          <w:sz w:val="26"/>
          <w:szCs w:val="26"/>
        </w:rPr>
      </w:pPr>
      <w:r w:rsidRPr="005C637A">
        <w:rPr>
          <w:b/>
          <w:bCs/>
          <w:sz w:val="26"/>
          <w:szCs w:val="26"/>
        </w:rPr>
        <w:lastRenderedPageBreak/>
        <w:t>BACKGROUND</w:t>
      </w:r>
    </w:p>
    <w:p w14:paraId="7BB69219" w14:textId="77777777" w:rsidR="00333E9A" w:rsidRDefault="00333E9A" w:rsidP="006A69E1">
      <w:pPr>
        <w:keepNext/>
        <w:keepLines/>
        <w:spacing w:line="360" w:lineRule="auto"/>
        <w:ind w:firstLine="720"/>
        <w:rPr>
          <w:sz w:val="26"/>
          <w:szCs w:val="26"/>
        </w:rPr>
      </w:pPr>
      <w:r w:rsidRPr="00AE642B">
        <w:rPr>
          <w:sz w:val="26"/>
          <w:szCs w:val="26"/>
        </w:rPr>
        <w:t xml:space="preserve">On October 22, 2014, Governor </w:t>
      </w:r>
      <w:r>
        <w:rPr>
          <w:sz w:val="26"/>
          <w:szCs w:val="26"/>
        </w:rPr>
        <w:t xml:space="preserve">Tom </w:t>
      </w:r>
      <w:r w:rsidRPr="00AE642B">
        <w:rPr>
          <w:sz w:val="26"/>
          <w:szCs w:val="26"/>
        </w:rPr>
        <w:t>Corbett signed into law H</w:t>
      </w:r>
      <w:r>
        <w:rPr>
          <w:sz w:val="26"/>
          <w:szCs w:val="26"/>
        </w:rPr>
        <w:t xml:space="preserve">ouse Bill </w:t>
      </w:r>
      <w:r w:rsidRPr="00AE642B">
        <w:rPr>
          <w:sz w:val="26"/>
          <w:szCs w:val="26"/>
        </w:rPr>
        <w:t>939, or Act 155 of 2014</w:t>
      </w:r>
      <w:r>
        <w:rPr>
          <w:sz w:val="26"/>
          <w:szCs w:val="26"/>
        </w:rPr>
        <w:t xml:space="preserve">, which </w:t>
      </w:r>
      <w:r w:rsidRPr="00AE642B">
        <w:rPr>
          <w:sz w:val="26"/>
          <w:szCs w:val="26"/>
        </w:rPr>
        <w:t xml:space="preserve">became effective on December 22, 2014.  Act </w:t>
      </w:r>
      <w:r>
        <w:rPr>
          <w:sz w:val="26"/>
          <w:szCs w:val="26"/>
        </w:rPr>
        <w:t xml:space="preserve">155 </w:t>
      </w:r>
      <w:r w:rsidRPr="00AE642B">
        <w:rPr>
          <w:sz w:val="26"/>
          <w:szCs w:val="26"/>
        </w:rPr>
        <w:t>reauthorized and amended Chapter 14 of the Public Utility Code</w:t>
      </w:r>
      <w:r>
        <w:rPr>
          <w:sz w:val="26"/>
          <w:szCs w:val="26"/>
        </w:rPr>
        <w:t xml:space="preserve">, </w:t>
      </w:r>
      <w:r w:rsidRPr="00AE642B">
        <w:rPr>
          <w:sz w:val="26"/>
          <w:szCs w:val="26"/>
        </w:rPr>
        <w:t>66 Pa.C.S. §§ 1401-1419</w:t>
      </w:r>
      <w:r>
        <w:rPr>
          <w:sz w:val="26"/>
          <w:szCs w:val="26"/>
        </w:rPr>
        <w:t>, addressing responsible utility customer protection</w:t>
      </w:r>
      <w:r w:rsidRPr="00AE642B">
        <w:rPr>
          <w:sz w:val="26"/>
          <w:szCs w:val="26"/>
        </w:rPr>
        <w:t xml:space="preserve">.  Act </w:t>
      </w:r>
      <w:r>
        <w:rPr>
          <w:sz w:val="26"/>
          <w:szCs w:val="26"/>
        </w:rPr>
        <w:t xml:space="preserve">155 </w:t>
      </w:r>
      <w:r w:rsidRPr="00AE642B">
        <w:rPr>
          <w:sz w:val="26"/>
          <w:szCs w:val="26"/>
        </w:rPr>
        <w:t xml:space="preserve">is intended to protect responsible bill paying customers from rate increases attributable to other customers’ delinquencies in payment.  Act </w:t>
      </w:r>
      <w:r>
        <w:rPr>
          <w:sz w:val="26"/>
          <w:szCs w:val="26"/>
        </w:rPr>
        <w:t xml:space="preserve">155 </w:t>
      </w:r>
      <w:r w:rsidRPr="00AE642B">
        <w:rPr>
          <w:sz w:val="26"/>
          <w:szCs w:val="26"/>
        </w:rPr>
        <w:t xml:space="preserve">provides public utilities with collection mechanisms and procedures that promote more timely collections, while protecting vulnerable customers by ensuring that utility service remains available to all customers on reasonable terms and conditions.  </w:t>
      </w:r>
      <w:r>
        <w:rPr>
          <w:sz w:val="26"/>
          <w:szCs w:val="26"/>
        </w:rPr>
        <w:t>Act 155</w:t>
      </w:r>
      <w:r w:rsidRPr="00AE642B">
        <w:rPr>
          <w:sz w:val="26"/>
          <w:szCs w:val="26"/>
        </w:rPr>
        <w:t xml:space="preserve"> is applicable to electric distribution utilities, water distribution utilities, natural gas distribution utilities, steam heat utilities, and wastewater utilities.  </w:t>
      </w:r>
    </w:p>
    <w:p w14:paraId="260FCC82" w14:textId="77777777" w:rsidR="00C972AA" w:rsidRPr="005C637A" w:rsidRDefault="00C972AA" w:rsidP="00333E9A">
      <w:pPr>
        <w:spacing w:line="360" w:lineRule="auto"/>
        <w:ind w:firstLine="720"/>
        <w:rPr>
          <w:b/>
          <w:bCs/>
          <w:sz w:val="26"/>
          <w:szCs w:val="26"/>
        </w:rPr>
      </w:pPr>
    </w:p>
    <w:p w14:paraId="472561C8" w14:textId="77777777" w:rsidR="00AE642B" w:rsidRPr="00AE642B" w:rsidRDefault="00AE642B" w:rsidP="00AE642B">
      <w:pPr>
        <w:spacing w:line="360" w:lineRule="auto"/>
        <w:rPr>
          <w:sz w:val="26"/>
          <w:szCs w:val="26"/>
        </w:rPr>
      </w:pPr>
      <w:r w:rsidRPr="00AE642B">
        <w:rPr>
          <w:sz w:val="26"/>
          <w:szCs w:val="26"/>
        </w:rPr>
        <w:tab/>
      </w:r>
      <w:r w:rsidR="00A50256">
        <w:rPr>
          <w:sz w:val="26"/>
          <w:szCs w:val="26"/>
        </w:rPr>
        <w:t xml:space="preserve">The Commission revised its regulations at </w:t>
      </w:r>
      <w:r w:rsidR="003119A7">
        <w:rPr>
          <w:sz w:val="26"/>
          <w:szCs w:val="26"/>
        </w:rPr>
        <w:t xml:space="preserve">52 Pa. </w:t>
      </w:r>
      <w:r w:rsidR="00A50256">
        <w:rPr>
          <w:sz w:val="26"/>
          <w:szCs w:val="26"/>
        </w:rPr>
        <w:t>Code, Chapter 56</w:t>
      </w:r>
      <w:r w:rsidR="00B555CA">
        <w:rPr>
          <w:sz w:val="26"/>
          <w:szCs w:val="26"/>
        </w:rPr>
        <w:t xml:space="preserve">, </w:t>
      </w:r>
      <w:r w:rsidRPr="00AE642B">
        <w:rPr>
          <w:sz w:val="26"/>
          <w:szCs w:val="26"/>
        </w:rPr>
        <w:t>relating to the</w:t>
      </w:r>
      <w:r w:rsidR="00A50256">
        <w:rPr>
          <w:sz w:val="26"/>
          <w:szCs w:val="26"/>
        </w:rPr>
        <w:t> </w:t>
      </w:r>
      <w:r w:rsidRPr="00AE642B">
        <w:rPr>
          <w:sz w:val="26"/>
          <w:szCs w:val="26"/>
        </w:rPr>
        <w:t>standards and billing practices for residential utility service</w:t>
      </w:r>
      <w:r w:rsidR="00004193">
        <w:rPr>
          <w:sz w:val="26"/>
          <w:szCs w:val="26"/>
        </w:rPr>
        <w:t>,</w:t>
      </w:r>
      <w:r w:rsidRPr="00AE642B">
        <w:rPr>
          <w:sz w:val="26"/>
          <w:szCs w:val="26"/>
        </w:rPr>
        <w:t xml:space="preserve"> because Chapter 14 </w:t>
      </w:r>
      <w:r w:rsidR="00A45FD4">
        <w:rPr>
          <w:sz w:val="26"/>
          <w:szCs w:val="26"/>
        </w:rPr>
        <w:t xml:space="preserve">of the Public Utility Code, as amended, </w:t>
      </w:r>
      <w:r w:rsidRPr="00AE642B">
        <w:rPr>
          <w:sz w:val="26"/>
          <w:szCs w:val="26"/>
        </w:rPr>
        <w:t xml:space="preserve">superseded a number of </w:t>
      </w:r>
      <w:r w:rsidR="003119A7">
        <w:rPr>
          <w:sz w:val="26"/>
          <w:szCs w:val="26"/>
        </w:rPr>
        <w:t xml:space="preserve">Chapter 56 </w:t>
      </w:r>
      <w:r w:rsidRPr="00AE642B">
        <w:rPr>
          <w:sz w:val="26"/>
          <w:szCs w:val="26"/>
        </w:rPr>
        <w:t>regulations</w:t>
      </w:r>
      <w:r w:rsidR="00A45FD4">
        <w:rPr>
          <w:sz w:val="26"/>
          <w:szCs w:val="26"/>
        </w:rPr>
        <w:t>.  The Commission was directed</w:t>
      </w:r>
      <w:r w:rsidRPr="00AE642B">
        <w:rPr>
          <w:sz w:val="26"/>
          <w:szCs w:val="26"/>
        </w:rPr>
        <w:t xml:space="preserve"> to revise Chapter 56 and promulgate regulations </w:t>
      </w:r>
      <w:r w:rsidR="00A45FD4">
        <w:rPr>
          <w:sz w:val="26"/>
          <w:szCs w:val="26"/>
        </w:rPr>
        <w:t>in</w:t>
      </w:r>
      <w:r w:rsidR="003119A7">
        <w:rPr>
          <w:sz w:val="26"/>
          <w:szCs w:val="26"/>
        </w:rPr>
        <w:t xml:space="preserve"> order</w:t>
      </w:r>
      <w:r w:rsidR="00A45FD4">
        <w:rPr>
          <w:sz w:val="26"/>
          <w:szCs w:val="26"/>
        </w:rPr>
        <w:t xml:space="preserve"> </w:t>
      </w:r>
      <w:r w:rsidRPr="00AE642B">
        <w:rPr>
          <w:sz w:val="26"/>
          <w:szCs w:val="26"/>
        </w:rPr>
        <w:t>to administer and enforce Chapter 14</w:t>
      </w:r>
      <w:r w:rsidR="001A7D6E">
        <w:rPr>
          <w:sz w:val="26"/>
          <w:szCs w:val="26"/>
        </w:rPr>
        <w:t xml:space="preserve"> of the Public Utility Code</w:t>
      </w:r>
      <w:r w:rsidRPr="00AE642B">
        <w:rPr>
          <w:sz w:val="26"/>
          <w:szCs w:val="26"/>
        </w:rPr>
        <w:t xml:space="preserve">.  </w:t>
      </w:r>
      <w:r w:rsidR="00A45FD4">
        <w:rPr>
          <w:sz w:val="26"/>
          <w:szCs w:val="26"/>
        </w:rPr>
        <w:t xml:space="preserve">Pursuant to Act 155, the Commission must </w:t>
      </w:r>
      <w:r w:rsidRPr="00AE642B">
        <w:rPr>
          <w:sz w:val="26"/>
          <w:szCs w:val="26"/>
        </w:rPr>
        <w:t>report to the General Assembly regarding the implementation and effectiveness of the amended Act</w:t>
      </w:r>
      <w:r w:rsidR="00A45FD4">
        <w:rPr>
          <w:sz w:val="26"/>
          <w:szCs w:val="26"/>
        </w:rPr>
        <w:t xml:space="preserve"> f</w:t>
      </w:r>
      <w:r w:rsidR="00A45FD4" w:rsidRPr="00AE642B">
        <w:rPr>
          <w:sz w:val="26"/>
          <w:szCs w:val="26"/>
        </w:rPr>
        <w:t>ive years after the effective date</w:t>
      </w:r>
      <w:r w:rsidR="00C47B9C">
        <w:rPr>
          <w:sz w:val="26"/>
          <w:szCs w:val="26"/>
        </w:rPr>
        <w:t xml:space="preserve"> of Chapter 14</w:t>
      </w:r>
      <w:r w:rsidR="00A45FD4" w:rsidRPr="00AE642B">
        <w:rPr>
          <w:sz w:val="26"/>
          <w:szCs w:val="26"/>
        </w:rPr>
        <w:t xml:space="preserve"> and every five years thereafter</w:t>
      </w:r>
      <w:r w:rsidRPr="00AE642B">
        <w:rPr>
          <w:sz w:val="26"/>
          <w:szCs w:val="26"/>
        </w:rPr>
        <w:t xml:space="preserve">. </w:t>
      </w:r>
      <w:r w:rsidR="003119A7">
        <w:rPr>
          <w:sz w:val="26"/>
          <w:szCs w:val="26"/>
        </w:rPr>
        <w:t xml:space="preserve"> </w:t>
      </w:r>
      <w:r w:rsidR="00A45FD4">
        <w:rPr>
          <w:sz w:val="26"/>
          <w:szCs w:val="26"/>
        </w:rPr>
        <w:t>66</w:t>
      </w:r>
      <w:r w:rsidR="00A50256">
        <w:rPr>
          <w:sz w:val="26"/>
          <w:szCs w:val="26"/>
        </w:rPr>
        <w:t> </w:t>
      </w:r>
      <w:r w:rsidR="00A45FD4">
        <w:rPr>
          <w:sz w:val="26"/>
          <w:szCs w:val="26"/>
        </w:rPr>
        <w:t xml:space="preserve">Pa.C.S. § 1415.  </w:t>
      </w:r>
      <w:r w:rsidRPr="00AE642B">
        <w:rPr>
          <w:sz w:val="26"/>
          <w:szCs w:val="26"/>
        </w:rPr>
        <w:t>Chapter 14</w:t>
      </w:r>
      <w:r w:rsidR="00A45FD4">
        <w:rPr>
          <w:sz w:val="26"/>
          <w:szCs w:val="26"/>
        </w:rPr>
        <w:t xml:space="preserve"> </w:t>
      </w:r>
      <w:r w:rsidR="001A7D6E">
        <w:rPr>
          <w:sz w:val="26"/>
          <w:szCs w:val="26"/>
        </w:rPr>
        <w:t xml:space="preserve">of the Public Utility Code </w:t>
      </w:r>
      <w:r w:rsidR="00C47B9C">
        <w:rPr>
          <w:sz w:val="26"/>
          <w:szCs w:val="26"/>
        </w:rPr>
        <w:t xml:space="preserve">will </w:t>
      </w:r>
      <w:r w:rsidRPr="00AE642B">
        <w:rPr>
          <w:sz w:val="26"/>
          <w:szCs w:val="26"/>
        </w:rPr>
        <w:t xml:space="preserve">expire on December 31, 2024, unless reenacted.  </w:t>
      </w:r>
      <w:r w:rsidR="00A45FD4">
        <w:rPr>
          <w:sz w:val="26"/>
          <w:szCs w:val="26"/>
        </w:rPr>
        <w:t xml:space="preserve">66 Pa.C.S. § 1419.  </w:t>
      </w:r>
    </w:p>
    <w:p w14:paraId="0025053C" w14:textId="77777777" w:rsidR="00AE642B" w:rsidRPr="00AE642B" w:rsidRDefault="00AE642B" w:rsidP="00AE642B">
      <w:pPr>
        <w:spacing w:line="360" w:lineRule="auto"/>
        <w:rPr>
          <w:sz w:val="26"/>
          <w:szCs w:val="26"/>
        </w:rPr>
      </w:pPr>
    </w:p>
    <w:p w14:paraId="27467E87" w14:textId="77777777" w:rsidR="00AE642B" w:rsidRPr="00AE642B" w:rsidRDefault="00902723" w:rsidP="005C637A">
      <w:pPr>
        <w:spacing w:line="360" w:lineRule="auto"/>
        <w:ind w:firstLine="720"/>
        <w:rPr>
          <w:sz w:val="26"/>
          <w:szCs w:val="26"/>
        </w:rPr>
      </w:pPr>
      <w:r>
        <w:rPr>
          <w:sz w:val="26"/>
          <w:szCs w:val="26"/>
        </w:rPr>
        <w:t xml:space="preserve">The </w:t>
      </w:r>
      <w:r w:rsidR="00AE642B" w:rsidRPr="00AE642B">
        <w:rPr>
          <w:sz w:val="26"/>
          <w:szCs w:val="26"/>
        </w:rPr>
        <w:t xml:space="preserve">Commission issued a </w:t>
      </w:r>
      <w:r w:rsidR="00960102">
        <w:rPr>
          <w:sz w:val="26"/>
          <w:szCs w:val="26"/>
        </w:rPr>
        <w:t>Final</w:t>
      </w:r>
      <w:r>
        <w:rPr>
          <w:sz w:val="26"/>
          <w:szCs w:val="26"/>
        </w:rPr>
        <w:t xml:space="preserve"> </w:t>
      </w:r>
      <w:r w:rsidR="00AE642B" w:rsidRPr="00AE642B">
        <w:rPr>
          <w:sz w:val="26"/>
          <w:szCs w:val="26"/>
        </w:rPr>
        <w:t>Order</w:t>
      </w:r>
      <w:r>
        <w:rPr>
          <w:sz w:val="26"/>
          <w:szCs w:val="26"/>
        </w:rPr>
        <w:t xml:space="preserve"> regarding the implementation of</w:t>
      </w:r>
      <w:r w:rsidR="00AE642B" w:rsidRPr="00AE642B">
        <w:rPr>
          <w:sz w:val="26"/>
          <w:szCs w:val="26"/>
        </w:rPr>
        <w:t xml:space="preserve"> Chapter </w:t>
      </w:r>
      <w:r>
        <w:rPr>
          <w:sz w:val="26"/>
          <w:szCs w:val="26"/>
        </w:rPr>
        <w:t>14 o</w:t>
      </w:r>
      <w:r w:rsidRPr="00AE642B">
        <w:rPr>
          <w:sz w:val="26"/>
          <w:szCs w:val="26"/>
        </w:rPr>
        <w:t>n July 9, 2015</w:t>
      </w:r>
      <w:r w:rsidR="00AE642B" w:rsidRPr="00AE642B">
        <w:rPr>
          <w:sz w:val="26"/>
          <w:szCs w:val="26"/>
        </w:rPr>
        <w:t xml:space="preserve">. </w:t>
      </w:r>
      <w:r>
        <w:rPr>
          <w:sz w:val="26"/>
          <w:szCs w:val="26"/>
        </w:rPr>
        <w:t xml:space="preserve"> </w:t>
      </w:r>
      <w:r w:rsidRPr="00902723">
        <w:rPr>
          <w:i/>
          <w:iCs/>
          <w:sz w:val="26"/>
          <w:szCs w:val="26"/>
        </w:rPr>
        <w:t>Chapter 14 Implementation</w:t>
      </w:r>
      <w:r>
        <w:rPr>
          <w:sz w:val="26"/>
          <w:szCs w:val="26"/>
        </w:rPr>
        <w:t>, Docket No. M-</w:t>
      </w:r>
      <w:r w:rsidR="00500635">
        <w:rPr>
          <w:sz w:val="26"/>
          <w:szCs w:val="26"/>
        </w:rPr>
        <w:t>2</w:t>
      </w:r>
      <w:r>
        <w:rPr>
          <w:sz w:val="26"/>
          <w:szCs w:val="26"/>
        </w:rPr>
        <w:t xml:space="preserve">014-2448824 (Final Order entered July 9, 2015) (Final Implementation Order).  </w:t>
      </w:r>
      <w:r w:rsidR="00AE642B" w:rsidRPr="00AE642B">
        <w:rPr>
          <w:sz w:val="26"/>
          <w:szCs w:val="26"/>
        </w:rPr>
        <w:t xml:space="preserve">In </w:t>
      </w:r>
      <w:r>
        <w:rPr>
          <w:sz w:val="26"/>
          <w:szCs w:val="26"/>
        </w:rPr>
        <w:t>its</w:t>
      </w:r>
      <w:r w:rsidR="00AE642B" w:rsidRPr="00AE642B">
        <w:rPr>
          <w:sz w:val="26"/>
          <w:szCs w:val="26"/>
        </w:rPr>
        <w:t xml:space="preserve"> Final Implementation Order, the Commission issued guidance as to the form and content of</w:t>
      </w:r>
      <w:r>
        <w:rPr>
          <w:sz w:val="26"/>
          <w:szCs w:val="26"/>
        </w:rPr>
        <w:t xml:space="preserve"> a</w:t>
      </w:r>
      <w:r w:rsidR="00AE642B" w:rsidRPr="00AE642B">
        <w:rPr>
          <w:sz w:val="26"/>
          <w:szCs w:val="26"/>
        </w:rPr>
        <w:t xml:space="preserve"> medical certificate</w:t>
      </w:r>
      <w:r>
        <w:rPr>
          <w:sz w:val="26"/>
          <w:szCs w:val="26"/>
        </w:rPr>
        <w:t>, as defined in 66 Pa.C.S. § 1403</w:t>
      </w:r>
      <w:r w:rsidR="00AE642B" w:rsidRPr="00AE642B">
        <w:rPr>
          <w:sz w:val="26"/>
          <w:szCs w:val="26"/>
        </w:rPr>
        <w:t>.  Additionally, the Commission summarized guidelines for 66 Pa.C.S. § 1410.1(3</w:t>
      </w:r>
      <w:r>
        <w:rPr>
          <w:sz w:val="26"/>
          <w:szCs w:val="26"/>
        </w:rPr>
        <w:t>)</w:t>
      </w:r>
      <w:r w:rsidR="00AE642B" w:rsidRPr="00AE642B">
        <w:rPr>
          <w:sz w:val="26"/>
          <w:szCs w:val="26"/>
        </w:rPr>
        <w:t xml:space="preserve"> regarding reporting requirements for accounts exceeding $10,000 </w:t>
      </w:r>
      <w:r w:rsidR="00AE642B" w:rsidRPr="00AE642B">
        <w:rPr>
          <w:sz w:val="26"/>
          <w:szCs w:val="26"/>
        </w:rPr>
        <w:lastRenderedPageBreak/>
        <w:t>in arrearages</w:t>
      </w:r>
      <w:r w:rsidR="00284C45">
        <w:rPr>
          <w:sz w:val="26"/>
          <w:szCs w:val="26"/>
        </w:rPr>
        <w:t>.  The Commission also</w:t>
      </w:r>
      <w:r w:rsidR="00AE642B" w:rsidRPr="00AE642B">
        <w:rPr>
          <w:sz w:val="26"/>
          <w:szCs w:val="26"/>
        </w:rPr>
        <w:t xml:space="preserve"> summarized guidelines for </w:t>
      </w:r>
      <w:r>
        <w:rPr>
          <w:sz w:val="26"/>
          <w:szCs w:val="26"/>
        </w:rPr>
        <w:t xml:space="preserve">66 Pa.C.S. § </w:t>
      </w:r>
      <w:r w:rsidR="00AE642B" w:rsidRPr="00AE642B">
        <w:rPr>
          <w:sz w:val="26"/>
          <w:szCs w:val="26"/>
        </w:rPr>
        <w:t xml:space="preserve">1410.1(4) regarding reporting requirements for medical certificates.  </w:t>
      </w:r>
    </w:p>
    <w:p w14:paraId="5670CF91" w14:textId="77777777" w:rsidR="00AE642B" w:rsidRPr="00AE642B" w:rsidRDefault="00AE642B" w:rsidP="00AE642B">
      <w:pPr>
        <w:spacing w:line="360" w:lineRule="auto"/>
        <w:rPr>
          <w:sz w:val="26"/>
          <w:szCs w:val="26"/>
        </w:rPr>
      </w:pPr>
    </w:p>
    <w:p w14:paraId="40D7E3B0" w14:textId="77777777" w:rsidR="0054132F" w:rsidRDefault="00AE642B" w:rsidP="0054132F">
      <w:pPr>
        <w:spacing w:line="360" w:lineRule="auto"/>
        <w:rPr>
          <w:sz w:val="26"/>
          <w:szCs w:val="26"/>
        </w:rPr>
      </w:pPr>
      <w:r w:rsidRPr="00AE642B">
        <w:rPr>
          <w:sz w:val="26"/>
          <w:szCs w:val="26"/>
        </w:rPr>
        <w:tab/>
      </w:r>
      <w:r w:rsidR="00284C45">
        <w:rPr>
          <w:sz w:val="26"/>
          <w:szCs w:val="26"/>
        </w:rPr>
        <w:t xml:space="preserve">On July </w:t>
      </w:r>
      <w:r w:rsidR="0054132F">
        <w:rPr>
          <w:sz w:val="26"/>
          <w:szCs w:val="26"/>
        </w:rPr>
        <w:t>21,</w:t>
      </w:r>
      <w:r w:rsidR="00284C45">
        <w:rPr>
          <w:sz w:val="26"/>
          <w:szCs w:val="26"/>
        </w:rPr>
        <w:t xml:space="preserve"> 2016, the Commission adopted a Notice of Proposed Rulemaking (NOPR) Order to solicit comments about amending the provisions of Chapter 56 of the Commission’s regulations to implement Chapter 14 of the Public Utility Code.  </w:t>
      </w:r>
      <w:r w:rsidR="00284C45" w:rsidRPr="00284C45">
        <w:rPr>
          <w:i/>
          <w:iCs/>
          <w:sz w:val="26"/>
          <w:szCs w:val="26"/>
        </w:rPr>
        <w:t>Rulemaking to Amend the Provisions of 52 Pa. Code, Chapter 56 to Comply with the Amended Provisions of 66 Pa.C.S. Chapter 14</w:t>
      </w:r>
      <w:r w:rsidR="00284C45" w:rsidRPr="00AE642B">
        <w:rPr>
          <w:sz w:val="26"/>
          <w:szCs w:val="26"/>
        </w:rPr>
        <w:t>, Docket No. L</w:t>
      </w:r>
      <w:r w:rsidR="00284C45">
        <w:rPr>
          <w:sz w:val="26"/>
          <w:szCs w:val="26"/>
        </w:rPr>
        <w:t>-</w:t>
      </w:r>
      <w:r w:rsidR="00284C45" w:rsidRPr="00AE642B">
        <w:rPr>
          <w:sz w:val="26"/>
          <w:szCs w:val="26"/>
        </w:rPr>
        <w:t>2015-2508421 (</w:t>
      </w:r>
      <w:r w:rsidR="00284C45">
        <w:rPr>
          <w:sz w:val="26"/>
          <w:szCs w:val="26"/>
        </w:rPr>
        <w:t xml:space="preserve">Order entered </w:t>
      </w:r>
      <w:r w:rsidR="0054132F">
        <w:rPr>
          <w:sz w:val="26"/>
          <w:szCs w:val="26"/>
        </w:rPr>
        <w:t>July 21, 2016</w:t>
      </w:r>
      <w:r w:rsidR="00284C45" w:rsidRPr="00AE642B">
        <w:rPr>
          <w:sz w:val="26"/>
          <w:szCs w:val="26"/>
        </w:rPr>
        <w:t>).</w:t>
      </w:r>
      <w:r w:rsidR="00284C45">
        <w:rPr>
          <w:sz w:val="26"/>
          <w:szCs w:val="26"/>
        </w:rPr>
        <w:t xml:space="preserve">  The NOPR Order </w:t>
      </w:r>
      <w:r w:rsidR="00284C45" w:rsidRPr="008239FE">
        <w:rPr>
          <w:sz w:val="26"/>
          <w:szCs w:val="26"/>
        </w:rPr>
        <w:t>addressed numerous issues involving the application of the amended Chapter 14 provisions</w:t>
      </w:r>
      <w:r w:rsidR="00284C45">
        <w:rPr>
          <w:sz w:val="26"/>
          <w:szCs w:val="26"/>
        </w:rPr>
        <w:t xml:space="preserve">.  </w:t>
      </w:r>
      <w:r w:rsidR="0054132F">
        <w:rPr>
          <w:sz w:val="26"/>
          <w:szCs w:val="26"/>
        </w:rPr>
        <w:t xml:space="preserve">On July 12, 2017, the Commission entered an Order seeking additional comments.  </w:t>
      </w:r>
      <w:r w:rsidR="0054132F" w:rsidRPr="00284C45">
        <w:rPr>
          <w:i/>
          <w:iCs/>
          <w:sz w:val="26"/>
          <w:szCs w:val="26"/>
        </w:rPr>
        <w:t>Rulemaking to Amend the Provisions of 52 Pa. Code, Chapter 56 to Comply with the Amended Provisions of 66 Pa.C.S. Chapter 14</w:t>
      </w:r>
      <w:r w:rsidR="0054132F" w:rsidRPr="00AE642B">
        <w:rPr>
          <w:sz w:val="26"/>
          <w:szCs w:val="26"/>
        </w:rPr>
        <w:t>, Docket No. L</w:t>
      </w:r>
      <w:r w:rsidR="0054132F">
        <w:rPr>
          <w:sz w:val="26"/>
          <w:szCs w:val="26"/>
        </w:rPr>
        <w:t>-</w:t>
      </w:r>
      <w:r w:rsidR="0054132F" w:rsidRPr="00AE642B">
        <w:rPr>
          <w:sz w:val="26"/>
          <w:szCs w:val="26"/>
        </w:rPr>
        <w:t>2015-2508421 (</w:t>
      </w:r>
      <w:r w:rsidR="0054132F">
        <w:rPr>
          <w:sz w:val="26"/>
          <w:szCs w:val="26"/>
        </w:rPr>
        <w:t>Order entered July 12, 2017</w:t>
      </w:r>
      <w:r w:rsidR="0054132F" w:rsidRPr="00AE642B">
        <w:rPr>
          <w:sz w:val="26"/>
          <w:szCs w:val="26"/>
        </w:rPr>
        <w:t>).</w:t>
      </w:r>
      <w:r w:rsidR="0054132F">
        <w:rPr>
          <w:sz w:val="26"/>
          <w:szCs w:val="26"/>
        </w:rPr>
        <w:t xml:space="preserve">  </w:t>
      </w:r>
    </w:p>
    <w:p w14:paraId="3546B400" w14:textId="77777777" w:rsidR="0054132F" w:rsidRDefault="0054132F" w:rsidP="0054132F">
      <w:pPr>
        <w:spacing w:line="360" w:lineRule="auto"/>
        <w:rPr>
          <w:sz w:val="26"/>
          <w:szCs w:val="26"/>
        </w:rPr>
      </w:pPr>
    </w:p>
    <w:p w14:paraId="74742E67" w14:textId="77777777" w:rsidR="00AE642B" w:rsidRPr="00AE642B" w:rsidRDefault="00AE642B" w:rsidP="0054132F">
      <w:pPr>
        <w:spacing w:line="360" w:lineRule="auto"/>
        <w:ind w:firstLine="720"/>
        <w:rPr>
          <w:sz w:val="26"/>
          <w:szCs w:val="26"/>
        </w:rPr>
      </w:pPr>
      <w:r w:rsidRPr="00AE642B">
        <w:rPr>
          <w:sz w:val="26"/>
          <w:szCs w:val="26"/>
        </w:rPr>
        <w:t xml:space="preserve">On February 28, 2019, the Commission adopted a Final Rulemaking Order </w:t>
      </w:r>
      <w:bookmarkStart w:id="0" w:name="_Hlk80969091"/>
      <w:r w:rsidRPr="00AE642B">
        <w:rPr>
          <w:sz w:val="26"/>
          <w:szCs w:val="26"/>
        </w:rPr>
        <w:t>revising Chapter 56</w:t>
      </w:r>
      <w:r w:rsidR="00C861EC">
        <w:rPr>
          <w:sz w:val="26"/>
          <w:szCs w:val="26"/>
        </w:rPr>
        <w:t xml:space="preserve"> of its</w:t>
      </w:r>
      <w:r w:rsidRPr="00AE642B">
        <w:rPr>
          <w:sz w:val="26"/>
          <w:szCs w:val="26"/>
        </w:rPr>
        <w:t xml:space="preserve"> regulations</w:t>
      </w:r>
      <w:r w:rsidR="00C861EC">
        <w:rPr>
          <w:sz w:val="26"/>
          <w:szCs w:val="26"/>
        </w:rPr>
        <w:t>, which administer and enforce</w:t>
      </w:r>
      <w:r w:rsidRPr="00AE642B">
        <w:rPr>
          <w:sz w:val="26"/>
          <w:szCs w:val="26"/>
        </w:rPr>
        <w:t xml:space="preserve"> Chapter 14 of the</w:t>
      </w:r>
      <w:r w:rsidR="00C861EC">
        <w:rPr>
          <w:sz w:val="26"/>
          <w:szCs w:val="26"/>
        </w:rPr>
        <w:t> </w:t>
      </w:r>
      <w:r w:rsidRPr="00AE642B">
        <w:rPr>
          <w:sz w:val="26"/>
          <w:szCs w:val="26"/>
        </w:rPr>
        <w:t>Public Utility Code</w:t>
      </w:r>
      <w:bookmarkEnd w:id="0"/>
      <w:r w:rsidRPr="00AE642B">
        <w:rPr>
          <w:sz w:val="26"/>
          <w:szCs w:val="26"/>
        </w:rPr>
        <w:t xml:space="preserve">.  </w:t>
      </w:r>
      <w:r w:rsidRPr="00284C45">
        <w:rPr>
          <w:i/>
          <w:iCs/>
          <w:sz w:val="26"/>
          <w:szCs w:val="26"/>
        </w:rPr>
        <w:t>Rulemaking to Amend the Provisions of 52 Pa. Code, Chapter 56 to Comply with the Amended Provisions of 66</w:t>
      </w:r>
      <w:r w:rsidR="00FD5E5F">
        <w:rPr>
          <w:i/>
          <w:iCs/>
          <w:sz w:val="26"/>
          <w:szCs w:val="26"/>
        </w:rPr>
        <w:t> </w:t>
      </w:r>
      <w:r w:rsidRPr="00284C45">
        <w:rPr>
          <w:i/>
          <w:iCs/>
          <w:sz w:val="26"/>
          <w:szCs w:val="26"/>
        </w:rPr>
        <w:t>Pa.C.S. Chapter 14</w:t>
      </w:r>
      <w:r w:rsidRPr="00AE642B">
        <w:rPr>
          <w:sz w:val="26"/>
          <w:szCs w:val="26"/>
        </w:rPr>
        <w:t xml:space="preserve">, Docket No. </w:t>
      </w:r>
      <w:r w:rsidR="00D13E05">
        <w:rPr>
          <w:sz w:val="26"/>
          <w:szCs w:val="26"/>
        </w:rPr>
        <w:t>L</w:t>
      </w:r>
      <w:r w:rsidR="00D13E05">
        <w:rPr>
          <w:sz w:val="26"/>
          <w:szCs w:val="26"/>
        </w:rPr>
        <w:noBreakHyphen/>
      </w:r>
      <w:r w:rsidRPr="00AE642B">
        <w:rPr>
          <w:sz w:val="26"/>
          <w:szCs w:val="26"/>
        </w:rPr>
        <w:t>2015-2508421 (</w:t>
      </w:r>
      <w:r w:rsidR="00284C45">
        <w:rPr>
          <w:sz w:val="26"/>
          <w:szCs w:val="26"/>
        </w:rPr>
        <w:t xml:space="preserve">Order entered </w:t>
      </w:r>
      <w:r w:rsidRPr="00AE642B">
        <w:rPr>
          <w:sz w:val="26"/>
          <w:szCs w:val="26"/>
        </w:rPr>
        <w:t>February 28, 2019)</w:t>
      </w:r>
      <w:r w:rsidR="0054132F">
        <w:rPr>
          <w:sz w:val="26"/>
          <w:szCs w:val="26"/>
        </w:rPr>
        <w:t xml:space="preserve"> (Final Rulemaking Order)</w:t>
      </w:r>
      <w:r w:rsidRPr="00AE642B">
        <w:rPr>
          <w:sz w:val="26"/>
          <w:szCs w:val="26"/>
        </w:rPr>
        <w:t>.  On June</w:t>
      </w:r>
      <w:r w:rsidR="00C861EC">
        <w:rPr>
          <w:sz w:val="26"/>
          <w:szCs w:val="26"/>
        </w:rPr>
        <w:t> </w:t>
      </w:r>
      <w:r w:rsidRPr="00AE642B">
        <w:rPr>
          <w:sz w:val="26"/>
          <w:szCs w:val="26"/>
        </w:rPr>
        <w:t xml:space="preserve">1, 2019, the final regulations were published in the </w:t>
      </w:r>
      <w:r w:rsidRPr="00284C45">
        <w:rPr>
          <w:i/>
          <w:iCs/>
          <w:sz w:val="26"/>
          <w:szCs w:val="26"/>
        </w:rPr>
        <w:t>Pennsylvania Bulletin</w:t>
      </w:r>
      <w:r w:rsidRPr="00AE642B">
        <w:rPr>
          <w:sz w:val="26"/>
          <w:szCs w:val="26"/>
        </w:rPr>
        <w:t xml:space="preserve"> </w:t>
      </w:r>
      <w:r w:rsidR="005C637A">
        <w:rPr>
          <w:sz w:val="26"/>
          <w:szCs w:val="26"/>
        </w:rPr>
        <w:t xml:space="preserve">at </w:t>
      </w:r>
      <w:r w:rsidR="005C637A" w:rsidRPr="00AE642B">
        <w:rPr>
          <w:sz w:val="26"/>
          <w:szCs w:val="26"/>
        </w:rPr>
        <w:t>49</w:t>
      </w:r>
      <w:r w:rsidR="00FD5E5F">
        <w:rPr>
          <w:sz w:val="26"/>
          <w:szCs w:val="26"/>
        </w:rPr>
        <w:t> </w:t>
      </w:r>
      <w:r w:rsidR="005C637A" w:rsidRPr="00AE642B">
        <w:rPr>
          <w:sz w:val="26"/>
          <w:szCs w:val="26"/>
        </w:rPr>
        <w:t>Pa.B. 2815</w:t>
      </w:r>
      <w:r w:rsidR="00284C45">
        <w:rPr>
          <w:sz w:val="26"/>
          <w:szCs w:val="26"/>
        </w:rPr>
        <w:t>.  The regulations bec</w:t>
      </w:r>
      <w:r w:rsidR="0054132F">
        <w:rPr>
          <w:sz w:val="26"/>
          <w:szCs w:val="26"/>
        </w:rPr>
        <w:t>a</w:t>
      </w:r>
      <w:r w:rsidR="00284C45">
        <w:rPr>
          <w:sz w:val="26"/>
          <w:szCs w:val="26"/>
        </w:rPr>
        <w:t xml:space="preserve">me </w:t>
      </w:r>
      <w:r w:rsidRPr="00AE642B">
        <w:rPr>
          <w:sz w:val="26"/>
          <w:szCs w:val="26"/>
        </w:rPr>
        <w:t xml:space="preserve">effective upon publication.  </w:t>
      </w:r>
    </w:p>
    <w:p w14:paraId="28250D6C" w14:textId="77777777" w:rsidR="00AE642B" w:rsidRPr="00AE642B" w:rsidRDefault="00AE642B" w:rsidP="00AE642B">
      <w:pPr>
        <w:spacing w:line="360" w:lineRule="auto"/>
        <w:rPr>
          <w:sz w:val="26"/>
          <w:szCs w:val="26"/>
        </w:rPr>
      </w:pPr>
    </w:p>
    <w:p w14:paraId="3080A035" w14:textId="77777777" w:rsidR="00D13E05" w:rsidRDefault="00AE642B" w:rsidP="00D13E05">
      <w:pPr>
        <w:spacing w:line="360" w:lineRule="auto"/>
        <w:rPr>
          <w:sz w:val="26"/>
          <w:szCs w:val="26"/>
        </w:rPr>
      </w:pPr>
      <w:r w:rsidRPr="00AE642B">
        <w:rPr>
          <w:sz w:val="26"/>
          <w:szCs w:val="26"/>
        </w:rPr>
        <w:tab/>
        <w:t xml:space="preserve">In the Final Rulemaking Order, </w:t>
      </w:r>
      <w:r w:rsidR="00A035B2">
        <w:rPr>
          <w:sz w:val="26"/>
          <w:szCs w:val="26"/>
        </w:rPr>
        <w:t xml:space="preserve">however, </w:t>
      </w:r>
      <w:r w:rsidRPr="00AE642B">
        <w:rPr>
          <w:sz w:val="26"/>
          <w:szCs w:val="26"/>
        </w:rPr>
        <w:t>the Commission deferred three</w:t>
      </w:r>
      <w:r w:rsidR="005E5264">
        <w:rPr>
          <w:sz w:val="26"/>
          <w:szCs w:val="26"/>
        </w:rPr>
        <w:t xml:space="preserve"> </w:t>
      </w:r>
      <w:r w:rsidRPr="00AE642B">
        <w:rPr>
          <w:sz w:val="26"/>
          <w:szCs w:val="26"/>
        </w:rPr>
        <w:t xml:space="preserve">issues to a working group.  </w:t>
      </w:r>
      <w:r w:rsidR="00CE6C7A" w:rsidRPr="00CE6C7A">
        <w:rPr>
          <w:i/>
          <w:iCs/>
          <w:sz w:val="26"/>
          <w:szCs w:val="26"/>
        </w:rPr>
        <w:t xml:space="preserve">See </w:t>
      </w:r>
      <w:r w:rsidR="00A035B2" w:rsidRPr="00AE642B">
        <w:rPr>
          <w:sz w:val="26"/>
          <w:szCs w:val="26"/>
        </w:rPr>
        <w:t xml:space="preserve">Final Rulemaking Order, Attachment One at 21, 56, 139, 166.  </w:t>
      </w:r>
      <w:r w:rsidRPr="00AE642B">
        <w:rPr>
          <w:sz w:val="26"/>
          <w:szCs w:val="26"/>
        </w:rPr>
        <w:t xml:space="preserve">The three </w:t>
      </w:r>
      <w:r w:rsidR="00CE6C7A">
        <w:rPr>
          <w:sz w:val="26"/>
          <w:szCs w:val="26"/>
        </w:rPr>
        <w:t xml:space="preserve">outstanding </w:t>
      </w:r>
      <w:r w:rsidRPr="00AE642B">
        <w:rPr>
          <w:sz w:val="26"/>
          <w:szCs w:val="26"/>
        </w:rPr>
        <w:t xml:space="preserve">issues relate to amendments to </w:t>
      </w:r>
      <w:r w:rsidR="0054132F">
        <w:rPr>
          <w:sz w:val="26"/>
          <w:szCs w:val="26"/>
        </w:rPr>
        <w:t xml:space="preserve">Sections 1403, 1406, and 1417 of the Public Utility Code, </w:t>
      </w:r>
      <w:r w:rsidRPr="00AE642B">
        <w:rPr>
          <w:sz w:val="26"/>
          <w:szCs w:val="26"/>
        </w:rPr>
        <w:t>66</w:t>
      </w:r>
      <w:r w:rsidR="003D1405">
        <w:rPr>
          <w:sz w:val="26"/>
          <w:szCs w:val="26"/>
        </w:rPr>
        <w:t> </w:t>
      </w:r>
      <w:r w:rsidRPr="00AE642B">
        <w:rPr>
          <w:sz w:val="26"/>
          <w:szCs w:val="26"/>
        </w:rPr>
        <w:t xml:space="preserve">Pa.C.S. §§ 1403, 1406, 1417.  These </w:t>
      </w:r>
      <w:r w:rsidR="00B555CA">
        <w:rPr>
          <w:sz w:val="26"/>
          <w:szCs w:val="26"/>
        </w:rPr>
        <w:t>issues</w:t>
      </w:r>
      <w:r w:rsidRPr="00AE642B">
        <w:rPr>
          <w:sz w:val="26"/>
          <w:szCs w:val="26"/>
        </w:rPr>
        <w:t xml:space="preserve"> include:  </w:t>
      </w:r>
    </w:p>
    <w:p w14:paraId="518EDF07" w14:textId="77777777" w:rsidR="00D13E05" w:rsidRDefault="00D13E05" w:rsidP="00D13E05">
      <w:pPr>
        <w:spacing w:line="360" w:lineRule="auto"/>
        <w:rPr>
          <w:sz w:val="26"/>
          <w:szCs w:val="26"/>
        </w:rPr>
      </w:pPr>
    </w:p>
    <w:p w14:paraId="710EFE36" w14:textId="77777777" w:rsidR="00D13E05" w:rsidRDefault="00D13E05" w:rsidP="00D13E05">
      <w:pPr>
        <w:ind w:left="2160" w:right="1440" w:hanging="720"/>
        <w:rPr>
          <w:sz w:val="26"/>
          <w:szCs w:val="26"/>
        </w:rPr>
      </w:pPr>
      <w:r>
        <w:rPr>
          <w:sz w:val="26"/>
          <w:szCs w:val="26"/>
        </w:rPr>
        <w:t>1.</w:t>
      </w:r>
      <w:r>
        <w:rPr>
          <w:sz w:val="26"/>
          <w:szCs w:val="26"/>
        </w:rPr>
        <w:tab/>
      </w:r>
      <w:r w:rsidR="00AE642B" w:rsidRPr="003D1405">
        <w:rPr>
          <w:sz w:val="26"/>
          <w:szCs w:val="26"/>
        </w:rPr>
        <w:t>Form of medical certificate</w:t>
      </w:r>
      <w:r w:rsidR="00752359">
        <w:rPr>
          <w:sz w:val="26"/>
          <w:szCs w:val="26"/>
        </w:rPr>
        <w:t>s</w:t>
      </w:r>
      <w:r w:rsidR="00AE642B" w:rsidRPr="003D1405">
        <w:rPr>
          <w:sz w:val="26"/>
          <w:szCs w:val="26"/>
        </w:rPr>
        <w:t xml:space="preserve"> </w:t>
      </w:r>
      <w:r w:rsidR="00B555CA" w:rsidRPr="003D1405">
        <w:rPr>
          <w:sz w:val="26"/>
          <w:szCs w:val="26"/>
        </w:rPr>
        <w:t xml:space="preserve">– </w:t>
      </w:r>
      <w:r w:rsidR="00AE642B" w:rsidRPr="003D1405">
        <w:rPr>
          <w:sz w:val="26"/>
          <w:szCs w:val="26"/>
        </w:rPr>
        <w:t>Section 1403 (relating to</w:t>
      </w:r>
      <w:r>
        <w:rPr>
          <w:sz w:val="26"/>
          <w:szCs w:val="26"/>
        </w:rPr>
        <w:t> </w:t>
      </w:r>
      <w:r w:rsidR="00AE642B" w:rsidRPr="003D1405">
        <w:rPr>
          <w:sz w:val="26"/>
          <w:szCs w:val="26"/>
        </w:rPr>
        <w:t>definitions)</w:t>
      </w:r>
      <w:r w:rsidR="00B555CA" w:rsidRPr="003D1405">
        <w:rPr>
          <w:sz w:val="26"/>
          <w:szCs w:val="26"/>
        </w:rPr>
        <w:t>.</w:t>
      </w:r>
      <w:r>
        <w:rPr>
          <w:sz w:val="26"/>
          <w:szCs w:val="26"/>
        </w:rPr>
        <w:t xml:space="preserve">  </w:t>
      </w:r>
      <w:r w:rsidR="00AE642B" w:rsidRPr="003D1405">
        <w:rPr>
          <w:sz w:val="26"/>
          <w:szCs w:val="26"/>
        </w:rPr>
        <w:t>“Medical certificate</w:t>
      </w:r>
      <w:r w:rsidR="00B555CA" w:rsidRPr="003D1405">
        <w:rPr>
          <w:sz w:val="26"/>
          <w:szCs w:val="26"/>
        </w:rPr>
        <w:t>.</w:t>
      </w:r>
      <w:r w:rsidR="003D1405" w:rsidRPr="003D1405">
        <w:rPr>
          <w:sz w:val="26"/>
          <w:szCs w:val="26"/>
        </w:rPr>
        <w:t xml:space="preserve"> </w:t>
      </w:r>
      <w:r w:rsidR="00AE642B" w:rsidRPr="003D1405">
        <w:rPr>
          <w:sz w:val="26"/>
          <w:szCs w:val="26"/>
        </w:rPr>
        <w:t xml:space="preserve">A written </w:t>
      </w:r>
      <w:r w:rsidR="00AE642B" w:rsidRPr="003D1405">
        <w:rPr>
          <w:sz w:val="26"/>
          <w:szCs w:val="26"/>
        </w:rPr>
        <w:lastRenderedPageBreak/>
        <w:t>document, in a form approved by the commission</w:t>
      </w:r>
      <w:r w:rsidR="00B555CA" w:rsidRPr="003D1405">
        <w:rPr>
          <w:sz w:val="26"/>
          <w:szCs w:val="26"/>
        </w:rPr>
        <w:t xml:space="preserve"> . . .</w:t>
      </w:r>
      <w:r w:rsidR="00AE642B" w:rsidRPr="003D1405">
        <w:rPr>
          <w:sz w:val="26"/>
          <w:szCs w:val="26"/>
        </w:rPr>
        <w:t>”</w:t>
      </w:r>
      <w:r w:rsidR="00B555CA" w:rsidRPr="003D1405">
        <w:rPr>
          <w:sz w:val="26"/>
          <w:szCs w:val="26"/>
        </w:rPr>
        <w:t xml:space="preserve"> </w:t>
      </w:r>
      <w:r w:rsidR="00AE642B" w:rsidRPr="003D1405">
        <w:rPr>
          <w:sz w:val="26"/>
          <w:szCs w:val="26"/>
        </w:rPr>
        <w:t>66 Pa.C.S. § 1403.</w:t>
      </w:r>
    </w:p>
    <w:p w14:paraId="673B4252" w14:textId="77777777" w:rsidR="00D13E05" w:rsidRDefault="00D13E05" w:rsidP="00D13E05">
      <w:pPr>
        <w:ind w:left="1440" w:right="1440"/>
        <w:rPr>
          <w:sz w:val="26"/>
          <w:szCs w:val="26"/>
        </w:rPr>
      </w:pPr>
    </w:p>
    <w:p w14:paraId="676C226C" w14:textId="77777777" w:rsidR="00D13E05" w:rsidRDefault="00D13E05" w:rsidP="00D13E05">
      <w:pPr>
        <w:ind w:left="2160" w:right="1440" w:hanging="720"/>
        <w:rPr>
          <w:sz w:val="26"/>
          <w:szCs w:val="26"/>
        </w:rPr>
      </w:pPr>
      <w:r>
        <w:rPr>
          <w:sz w:val="26"/>
          <w:szCs w:val="26"/>
        </w:rPr>
        <w:t>2.</w:t>
      </w:r>
      <w:r>
        <w:rPr>
          <w:sz w:val="26"/>
          <w:szCs w:val="26"/>
        </w:rPr>
        <w:tab/>
      </w:r>
      <w:r w:rsidR="00AE642B" w:rsidRPr="003D1405">
        <w:rPr>
          <w:sz w:val="26"/>
          <w:szCs w:val="26"/>
        </w:rPr>
        <w:t>Other court order</w:t>
      </w:r>
      <w:r w:rsidR="00752359">
        <w:rPr>
          <w:sz w:val="26"/>
          <w:szCs w:val="26"/>
        </w:rPr>
        <w:t>s</w:t>
      </w:r>
      <w:r w:rsidR="00AE642B" w:rsidRPr="003D1405">
        <w:rPr>
          <w:sz w:val="26"/>
          <w:szCs w:val="26"/>
        </w:rPr>
        <w:t xml:space="preserve"> </w:t>
      </w:r>
      <w:r w:rsidR="00B555CA" w:rsidRPr="003D1405">
        <w:rPr>
          <w:sz w:val="26"/>
          <w:szCs w:val="26"/>
        </w:rPr>
        <w:t xml:space="preserve">– </w:t>
      </w:r>
      <w:r w:rsidR="00AE642B" w:rsidRPr="003D1405">
        <w:rPr>
          <w:sz w:val="26"/>
          <w:szCs w:val="26"/>
        </w:rPr>
        <w:t>Section 1417 (relating to nonapplicability)</w:t>
      </w:r>
      <w:r w:rsidR="00B555CA" w:rsidRPr="003D1405">
        <w:rPr>
          <w:sz w:val="26"/>
          <w:szCs w:val="26"/>
        </w:rPr>
        <w:t>.</w:t>
      </w:r>
      <w:r w:rsidR="003D1405">
        <w:rPr>
          <w:sz w:val="26"/>
          <w:szCs w:val="26"/>
        </w:rPr>
        <w:t xml:space="preserve"> </w:t>
      </w:r>
      <w:r w:rsidR="00AE642B" w:rsidRPr="003D1405">
        <w:rPr>
          <w:sz w:val="26"/>
          <w:szCs w:val="26"/>
        </w:rPr>
        <w:t>“This chapter shall not apply to victims under a protection from abuse order as provided by 23</w:t>
      </w:r>
      <w:r w:rsidR="00B555CA" w:rsidRPr="003D1405">
        <w:rPr>
          <w:sz w:val="26"/>
          <w:szCs w:val="26"/>
        </w:rPr>
        <w:t> </w:t>
      </w:r>
      <w:r w:rsidR="00AE642B" w:rsidRPr="003D1405">
        <w:rPr>
          <w:sz w:val="26"/>
          <w:szCs w:val="26"/>
        </w:rPr>
        <w:t>Pa.C.S. Ch. 61 (relating to protection from abuse) or a</w:t>
      </w:r>
      <w:r w:rsidR="003D1405">
        <w:rPr>
          <w:sz w:val="26"/>
          <w:szCs w:val="26"/>
        </w:rPr>
        <w:t xml:space="preserve"> </w:t>
      </w:r>
      <w:r w:rsidR="00AE642B" w:rsidRPr="003D1405">
        <w:rPr>
          <w:sz w:val="26"/>
          <w:szCs w:val="26"/>
        </w:rPr>
        <w:t>court order issued by a court of competent jurisdiction in this commonwealth, which provides clear evidence of domestic violence against the applicant or customer.”  66</w:t>
      </w:r>
      <w:r w:rsidR="003D1405">
        <w:rPr>
          <w:sz w:val="26"/>
          <w:szCs w:val="26"/>
        </w:rPr>
        <w:t> </w:t>
      </w:r>
      <w:r w:rsidR="00AE642B" w:rsidRPr="003D1405">
        <w:rPr>
          <w:sz w:val="26"/>
          <w:szCs w:val="26"/>
        </w:rPr>
        <w:t>Pa.C.S. § 1417.</w:t>
      </w:r>
    </w:p>
    <w:p w14:paraId="3A7172E2" w14:textId="77777777" w:rsidR="00D13E05" w:rsidRDefault="00D13E05" w:rsidP="00D13E05">
      <w:pPr>
        <w:ind w:left="1440" w:right="1440"/>
        <w:rPr>
          <w:sz w:val="26"/>
          <w:szCs w:val="26"/>
        </w:rPr>
      </w:pPr>
    </w:p>
    <w:p w14:paraId="2D51264A" w14:textId="77777777" w:rsidR="00AE642B" w:rsidRPr="003D1405" w:rsidRDefault="00D13E05" w:rsidP="00441B6B">
      <w:pPr>
        <w:ind w:left="2160" w:right="1440" w:hanging="720"/>
        <w:rPr>
          <w:sz w:val="26"/>
          <w:szCs w:val="26"/>
        </w:rPr>
      </w:pPr>
      <w:r>
        <w:rPr>
          <w:sz w:val="26"/>
          <w:szCs w:val="26"/>
        </w:rPr>
        <w:t>3.</w:t>
      </w:r>
      <w:r>
        <w:rPr>
          <w:sz w:val="26"/>
          <w:szCs w:val="26"/>
        </w:rPr>
        <w:tab/>
      </w:r>
      <w:r w:rsidR="00AE642B" w:rsidRPr="003D1405">
        <w:rPr>
          <w:sz w:val="26"/>
          <w:szCs w:val="26"/>
        </w:rPr>
        <w:t xml:space="preserve">Privacy guidelines </w:t>
      </w:r>
      <w:r w:rsidR="00B555CA" w:rsidRPr="003D1405">
        <w:rPr>
          <w:sz w:val="26"/>
          <w:szCs w:val="26"/>
        </w:rPr>
        <w:t xml:space="preserve">– </w:t>
      </w:r>
      <w:r w:rsidR="00AE642B" w:rsidRPr="003D1405">
        <w:rPr>
          <w:sz w:val="26"/>
          <w:szCs w:val="26"/>
        </w:rPr>
        <w:t>Section 1406(b)(1)(ii)(C)</w:t>
      </w:r>
      <w:r w:rsidR="00B555CA" w:rsidRPr="003D1405">
        <w:rPr>
          <w:sz w:val="26"/>
          <w:szCs w:val="26"/>
        </w:rPr>
        <w:t xml:space="preserve"> </w:t>
      </w:r>
      <w:r w:rsidR="00AE642B" w:rsidRPr="003D1405">
        <w:rPr>
          <w:sz w:val="26"/>
          <w:szCs w:val="26"/>
        </w:rPr>
        <w:t>(relating to</w:t>
      </w:r>
      <w:r w:rsidR="003D1405">
        <w:rPr>
          <w:sz w:val="26"/>
          <w:szCs w:val="26"/>
        </w:rPr>
        <w:t> </w:t>
      </w:r>
      <w:r w:rsidR="00AE642B" w:rsidRPr="003D1405">
        <w:rPr>
          <w:sz w:val="26"/>
          <w:szCs w:val="26"/>
        </w:rPr>
        <w:t>notice of termination of service)</w:t>
      </w:r>
      <w:r w:rsidR="00B555CA" w:rsidRPr="003D1405">
        <w:rPr>
          <w:sz w:val="26"/>
          <w:szCs w:val="26"/>
        </w:rPr>
        <w:t>.</w:t>
      </w:r>
      <w:r w:rsidR="00AE642B" w:rsidRPr="003D1405">
        <w:rPr>
          <w:sz w:val="26"/>
          <w:szCs w:val="26"/>
        </w:rPr>
        <w:t xml:space="preserve"> “</w:t>
      </w:r>
      <w:r w:rsidR="00B555CA" w:rsidRPr="003D1405">
        <w:rPr>
          <w:sz w:val="26"/>
          <w:szCs w:val="26"/>
        </w:rPr>
        <w:t xml:space="preserve">. . . </w:t>
      </w:r>
      <w:r w:rsidR="00AE642B" w:rsidRPr="003D1405">
        <w:rPr>
          <w:sz w:val="26"/>
          <w:szCs w:val="26"/>
        </w:rPr>
        <w:t>by email, text message or other electronic messaging format consistent with the commission’s privacy guidelines and approved by commission order.”  66</w:t>
      </w:r>
      <w:r w:rsidR="00DA1B90">
        <w:rPr>
          <w:sz w:val="26"/>
          <w:szCs w:val="26"/>
        </w:rPr>
        <w:t> </w:t>
      </w:r>
      <w:r w:rsidR="00AE642B" w:rsidRPr="003D1405">
        <w:rPr>
          <w:sz w:val="26"/>
          <w:szCs w:val="26"/>
        </w:rPr>
        <w:t>Pa.C.S. § 1406 (b)(1)(ii)(C).</w:t>
      </w:r>
    </w:p>
    <w:p w14:paraId="1D36A4B9" w14:textId="77777777" w:rsidR="00441B6B" w:rsidRDefault="00441B6B" w:rsidP="004D6028">
      <w:pPr>
        <w:ind w:firstLine="720"/>
        <w:rPr>
          <w:sz w:val="26"/>
          <w:szCs w:val="26"/>
        </w:rPr>
      </w:pPr>
    </w:p>
    <w:p w14:paraId="545A1DC1" w14:textId="77777777" w:rsidR="00441B6B" w:rsidRDefault="00441B6B" w:rsidP="004D6028">
      <w:pPr>
        <w:pStyle w:val="NoSpacing"/>
      </w:pPr>
    </w:p>
    <w:p w14:paraId="20345912" w14:textId="77777777" w:rsidR="00E96680" w:rsidRDefault="00AE642B" w:rsidP="00441B6B">
      <w:pPr>
        <w:spacing w:line="360" w:lineRule="auto"/>
        <w:ind w:firstLine="720"/>
        <w:rPr>
          <w:sz w:val="26"/>
          <w:szCs w:val="26"/>
        </w:rPr>
      </w:pPr>
      <w:r w:rsidRPr="00AE642B">
        <w:rPr>
          <w:sz w:val="26"/>
          <w:szCs w:val="26"/>
        </w:rPr>
        <w:t>On August 29, 2019, the Commission issued a Secretarial Letter announcing the establishment of a Chapter 56 working group to address the three remaining issues.  The Commission invited all interested stakeholders to participate, including parties from the Final Rulemaking Order</w:t>
      </w:r>
      <w:r w:rsidR="00874DFD">
        <w:rPr>
          <w:sz w:val="26"/>
          <w:szCs w:val="26"/>
        </w:rPr>
        <w:t>, and directed a collaborative meeting</w:t>
      </w:r>
      <w:r w:rsidR="000917C0">
        <w:rPr>
          <w:sz w:val="26"/>
          <w:szCs w:val="26"/>
        </w:rPr>
        <w:t xml:space="preserve">.  </w:t>
      </w:r>
      <w:r w:rsidR="00874DFD" w:rsidRPr="00874DFD">
        <w:rPr>
          <w:sz w:val="26"/>
          <w:szCs w:val="26"/>
        </w:rPr>
        <w:t>O</w:t>
      </w:r>
      <w:r w:rsidRPr="00874DFD">
        <w:rPr>
          <w:sz w:val="26"/>
          <w:szCs w:val="26"/>
        </w:rPr>
        <w:t xml:space="preserve">n October 4, 2019, </w:t>
      </w:r>
      <w:r w:rsidR="00874DFD">
        <w:rPr>
          <w:sz w:val="26"/>
          <w:szCs w:val="26"/>
        </w:rPr>
        <w:t xml:space="preserve">interested </w:t>
      </w:r>
      <w:r w:rsidR="00874DFD" w:rsidRPr="00874DFD">
        <w:rPr>
          <w:sz w:val="26"/>
          <w:szCs w:val="26"/>
        </w:rPr>
        <w:t>stakeholders filed comments</w:t>
      </w:r>
      <w:r w:rsidR="00874DFD">
        <w:rPr>
          <w:sz w:val="26"/>
          <w:szCs w:val="26"/>
        </w:rPr>
        <w:t xml:space="preserve"> with the Commission and, on</w:t>
      </w:r>
      <w:r w:rsidRPr="00874DFD">
        <w:rPr>
          <w:sz w:val="26"/>
          <w:szCs w:val="26"/>
        </w:rPr>
        <w:t xml:space="preserve"> October 29, 2019, </w:t>
      </w:r>
      <w:r w:rsidR="00874DFD">
        <w:rPr>
          <w:sz w:val="26"/>
          <w:szCs w:val="26"/>
        </w:rPr>
        <w:t>the stakeholders</w:t>
      </w:r>
      <w:r w:rsidRPr="00874DFD">
        <w:rPr>
          <w:sz w:val="26"/>
          <w:szCs w:val="26"/>
        </w:rPr>
        <w:t xml:space="preserve"> </w:t>
      </w:r>
      <w:r w:rsidR="00874DFD">
        <w:rPr>
          <w:sz w:val="26"/>
          <w:szCs w:val="26"/>
        </w:rPr>
        <w:t>participated in</w:t>
      </w:r>
      <w:r w:rsidRPr="00874DFD">
        <w:rPr>
          <w:sz w:val="26"/>
          <w:szCs w:val="26"/>
        </w:rPr>
        <w:t xml:space="preserve"> a collaborative meeting to discuss the issues. </w:t>
      </w:r>
    </w:p>
    <w:p w14:paraId="1349C6DB" w14:textId="77777777" w:rsidR="005C637A" w:rsidRDefault="005C637A" w:rsidP="005C637A">
      <w:pPr>
        <w:spacing w:line="360" w:lineRule="auto"/>
        <w:ind w:firstLine="720"/>
        <w:rPr>
          <w:sz w:val="26"/>
          <w:szCs w:val="26"/>
        </w:rPr>
      </w:pPr>
    </w:p>
    <w:p w14:paraId="105E85B2" w14:textId="77777777" w:rsidR="005C637A" w:rsidRPr="00C0451E" w:rsidRDefault="005C637A" w:rsidP="005C637A">
      <w:pPr>
        <w:spacing w:line="360" w:lineRule="auto"/>
        <w:ind w:firstLine="720"/>
        <w:rPr>
          <w:sz w:val="26"/>
          <w:szCs w:val="26"/>
        </w:rPr>
      </w:pPr>
      <w:r>
        <w:rPr>
          <w:sz w:val="26"/>
          <w:szCs w:val="26"/>
        </w:rPr>
        <w:t>On February 25, 2021, the Commission entered a Tentative Order</w:t>
      </w:r>
      <w:r w:rsidRPr="005C637A">
        <w:rPr>
          <w:sz w:val="26"/>
          <w:szCs w:val="26"/>
        </w:rPr>
        <w:t xml:space="preserve"> providing yet another opportunity for any interested parties to offer input and advise on these matters.  </w:t>
      </w:r>
      <w:r>
        <w:rPr>
          <w:sz w:val="26"/>
          <w:szCs w:val="26"/>
        </w:rPr>
        <w:t>The Tentative Orde</w:t>
      </w:r>
      <w:r w:rsidR="009028C4">
        <w:rPr>
          <w:sz w:val="26"/>
          <w:szCs w:val="26"/>
        </w:rPr>
        <w:t xml:space="preserve">r </w:t>
      </w:r>
      <w:r>
        <w:rPr>
          <w:sz w:val="26"/>
          <w:szCs w:val="26"/>
        </w:rPr>
        <w:t xml:space="preserve">was published in the </w:t>
      </w:r>
      <w:r w:rsidRPr="0087579A">
        <w:rPr>
          <w:i/>
          <w:iCs/>
          <w:sz w:val="26"/>
          <w:szCs w:val="26"/>
        </w:rPr>
        <w:t>Pennsylvania Bulletin</w:t>
      </w:r>
      <w:r>
        <w:rPr>
          <w:sz w:val="26"/>
          <w:szCs w:val="26"/>
        </w:rPr>
        <w:t xml:space="preserve"> at </w:t>
      </w:r>
      <w:r w:rsidR="0087579A" w:rsidRPr="0087579A">
        <w:rPr>
          <w:sz w:val="26"/>
          <w:szCs w:val="26"/>
        </w:rPr>
        <w:t>51 Pa.B. 1762</w:t>
      </w:r>
      <w:r>
        <w:rPr>
          <w:sz w:val="26"/>
          <w:szCs w:val="26"/>
        </w:rPr>
        <w:t xml:space="preserve"> on</w:t>
      </w:r>
      <w:r w:rsidR="0087579A">
        <w:rPr>
          <w:sz w:val="26"/>
          <w:szCs w:val="26"/>
        </w:rPr>
        <w:t xml:space="preserve"> March</w:t>
      </w:r>
      <w:r w:rsidR="009028C4">
        <w:rPr>
          <w:sz w:val="26"/>
          <w:szCs w:val="26"/>
        </w:rPr>
        <w:t> </w:t>
      </w:r>
      <w:r w:rsidR="0087579A">
        <w:rPr>
          <w:sz w:val="26"/>
          <w:szCs w:val="26"/>
        </w:rPr>
        <w:t xml:space="preserve">27, 2021.  </w:t>
      </w:r>
      <w:r>
        <w:rPr>
          <w:sz w:val="26"/>
          <w:szCs w:val="26"/>
        </w:rPr>
        <w:t xml:space="preserve">Comments were due within 45 days of publication.  </w:t>
      </w:r>
      <w:r w:rsidR="00921426">
        <w:rPr>
          <w:sz w:val="26"/>
          <w:szCs w:val="26"/>
        </w:rPr>
        <w:t xml:space="preserve">The </w:t>
      </w:r>
      <w:r w:rsidR="004C1102">
        <w:rPr>
          <w:sz w:val="26"/>
          <w:szCs w:val="26"/>
        </w:rPr>
        <w:t>Commission received comments from the following parties</w:t>
      </w:r>
      <w:r w:rsidR="00921426">
        <w:rPr>
          <w:sz w:val="26"/>
          <w:szCs w:val="26"/>
        </w:rPr>
        <w:t xml:space="preserve">: </w:t>
      </w:r>
      <w:r w:rsidR="00770C96">
        <w:rPr>
          <w:sz w:val="26"/>
          <w:szCs w:val="26"/>
        </w:rPr>
        <w:t>Philadelphia Gas Works (PGW)</w:t>
      </w:r>
      <w:r w:rsidR="00921426">
        <w:rPr>
          <w:sz w:val="26"/>
          <w:szCs w:val="26"/>
        </w:rPr>
        <w:t>;</w:t>
      </w:r>
      <w:r w:rsidR="00770C96">
        <w:rPr>
          <w:sz w:val="26"/>
          <w:szCs w:val="26"/>
        </w:rPr>
        <w:t xml:space="preserve"> the</w:t>
      </w:r>
      <w:r w:rsidR="00762367">
        <w:rPr>
          <w:sz w:val="26"/>
          <w:szCs w:val="26"/>
        </w:rPr>
        <w:t> </w:t>
      </w:r>
      <w:r w:rsidR="00770C96">
        <w:rPr>
          <w:sz w:val="26"/>
          <w:szCs w:val="26"/>
        </w:rPr>
        <w:t>Office of Consumer Advocate (OCA), PECO Energy Company (PECO)</w:t>
      </w:r>
      <w:r w:rsidR="00921426">
        <w:rPr>
          <w:sz w:val="26"/>
          <w:szCs w:val="26"/>
        </w:rPr>
        <w:t>;</w:t>
      </w:r>
      <w:r w:rsidR="00770C96">
        <w:rPr>
          <w:sz w:val="26"/>
          <w:szCs w:val="26"/>
        </w:rPr>
        <w:t xml:space="preserve"> </w:t>
      </w:r>
      <w:r w:rsidR="009028C4">
        <w:rPr>
          <w:sz w:val="26"/>
          <w:szCs w:val="26"/>
        </w:rPr>
        <w:t xml:space="preserve">the </w:t>
      </w:r>
      <w:r w:rsidR="00770C96">
        <w:rPr>
          <w:sz w:val="26"/>
          <w:szCs w:val="26"/>
        </w:rPr>
        <w:t>Energy Association of Pennsylvania (EAP)</w:t>
      </w:r>
      <w:r w:rsidR="00921426">
        <w:rPr>
          <w:sz w:val="26"/>
          <w:szCs w:val="26"/>
        </w:rPr>
        <w:t>;</w:t>
      </w:r>
      <w:r w:rsidR="00770C96">
        <w:rPr>
          <w:sz w:val="26"/>
          <w:szCs w:val="26"/>
        </w:rPr>
        <w:t xml:space="preserve"> PPL Electric Utilities (PPL)</w:t>
      </w:r>
      <w:r w:rsidR="00921426">
        <w:rPr>
          <w:sz w:val="26"/>
          <w:szCs w:val="26"/>
        </w:rPr>
        <w:t>;</w:t>
      </w:r>
      <w:r w:rsidR="00770C96">
        <w:rPr>
          <w:sz w:val="26"/>
          <w:szCs w:val="26"/>
        </w:rPr>
        <w:t xml:space="preserve"> the Joint Coalition for </w:t>
      </w:r>
      <w:r w:rsidR="00921426">
        <w:rPr>
          <w:sz w:val="26"/>
          <w:szCs w:val="26"/>
        </w:rPr>
        <w:t>A</w:t>
      </w:r>
      <w:r w:rsidR="00770C96">
        <w:rPr>
          <w:sz w:val="26"/>
          <w:szCs w:val="26"/>
        </w:rPr>
        <w:t>ffordable Utility Service and Energy Efficiency</w:t>
      </w:r>
      <w:r w:rsidR="00921426">
        <w:rPr>
          <w:sz w:val="26"/>
          <w:szCs w:val="26"/>
        </w:rPr>
        <w:t xml:space="preserve">, the Tenant Union Representative </w:t>
      </w:r>
      <w:r w:rsidR="00921426">
        <w:rPr>
          <w:sz w:val="26"/>
          <w:szCs w:val="26"/>
        </w:rPr>
        <w:lastRenderedPageBreak/>
        <w:t>Network, the Pennsylvania Coalition Against Domestic Violence (collectively, CAUSE</w:t>
      </w:r>
      <w:r w:rsidR="00762367">
        <w:rPr>
          <w:sz w:val="26"/>
          <w:szCs w:val="26"/>
        </w:rPr>
        <w:noBreakHyphen/>
      </w:r>
      <w:r w:rsidR="00921426">
        <w:rPr>
          <w:sz w:val="26"/>
          <w:szCs w:val="26"/>
        </w:rPr>
        <w:t>PA); the Health, Education &amp; Legal Assistance Project: A Medical-Legal Partnership (HELP: MLP); Duquesne Light Company (Duquesne), Metropolitan Edison Company, Pennsylvania Electric Company, Pennsylvania Power Company, and We</w:t>
      </w:r>
      <w:r w:rsidR="002F25FD">
        <w:rPr>
          <w:sz w:val="26"/>
          <w:szCs w:val="26"/>
        </w:rPr>
        <w:t>s</w:t>
      </w:r>
      <w:r w:rsidR="00921426">
        <w:rPr>
          <w:sz w:val="26"/>
          <w:szCs w:val="26"/>
        </w:rPr>
        <w:t xml:space="preserve">t Penn Power Company (collectively, </w:t>
      </w:r>
      <w:r w:rsidR="0075136B">
        <w:rPr>
          <w:sz w:val="26"/>
          <w:szCs w:val="26"/>
        </w:rPr>
        <w:t xml:space="preserve">the </w:t>
      </w:r>
      <w:r w:rsidR="00921426">
        <w:rPr>
          <w:sz w:val="26"/>
          <w:szCs w:val="26"/>
        </w:rPr>
        <w:t>FirstEnergy Companies</w:t>
      </w:r>
      <w:r w:rsidR="009028C4">
        <w:rPr>
          <w:sz w:val="26"/>
          <w:szCs w:val="26"/>
        </w:rPr>
        <w:t>), and Columbia Gas of Pennsylvania, Inc. (Columbia)</w:t>
      </w:r>
      <w:r w:rsidR="004C1102">
        <w:rPr>
          <w:sz w:val="26"/>
          <w:szCs w:val="26"/>
        </w:rPr>
        <w:t>.</w:t>
      </w:r>
      <w:r w:rsidR="009028C4">
        <w:rPr>
          <w:rStyle w:val="FootnoteReference"/>
          <w:sz w:val="26"/>
          <w:szCs w:val="26"/>
        </w:rPr>
        <w:footnoteReference w:id="1"/>
      </w:r>
      <w:r w:rsidR="00921426">
        <w:rPr>
          <w:sz w:val="26"/>
          <w:szCs w:val="26"/>
        </w:rPr>
        <w:t xml:space="preserve">  </w:t>
      </w:r>
      <w:r w:rsidR="004C1102">
        <w:rPr>
          <w:sz w:val="26"/>
          <w:szCs w:val="26"/>
        </w:rPr>
        <w:t xml:space="preserve">These comments are discussed below.  </w:t>
      </w:r>
      <w:r w:rsidR="00951E5C">
        <w:rPr>
          <w:sz w:val="26"/>
          <w:szCs w:val="26"/>
        </w:rPr>
        <w:t>U</w:t>
      </w:r>
      <w:r w:rsidRPr="005C637A">
        <w:rPr>
          <w:sz w:val="26"/>
          <w:szCs w:val="26"/>
        </w:rPr>
        <w:t xml:space="preserve">pon </w:t>
      </w:r>
      <w:r w:rsidR="00A107A4">
        <w:rPr>
          <w:sz w:val="26"/>
          <w:szCs w:val="26"/>
        </w:rPr>
        <w:t>review</w:t>
      </w:r>
      <w:r w:rsidR="00AA0D3C">
        <w:rPr>
          <w:sz w:val="26"/>
          <w:szCs w:val="26"/>
        </w:rPr>
        <w:t xml:space="preserve"> </w:t>
      </w:r>
      <w:r w:rsidRPr="005C637A">
        <w:rPr>
          <w:sz w:val="26"/>
          <w:szCs w:val="26"/>
        </w:rPr>
        <w:t xml:space="preserve">of </w:t>
      </w:r>
      <w:r w:rsidR="004C1102">
        <w:rPr>
          <w:sz w:val="26"/>
          <w:szCs w:val="26"/>
        </w:rPr>
        <w:t>the</w:t>
      </w:r>
      <w:r w:rsidRPr="005C637A">
        <w:rPr>
          <w:sz w:val="26"/>
          <w:szCs w:val="26"/>
        </w:rPr>
        <w:t xml:space="preserve"> comments, </w:t>
      </w:r>
      <w:r>
        <w:rPr>
          <w:sz w:val="26"/>
          <w:szCs w:val="26"/>
        </w:rPr>
        <w:t>we issue</w:t>
      </w:r>
      <w:r w:rsidRPr="005C637A">
        <w:rPr>
          <w:sz w:val="26"/>
          <w:szCs w:val="26"/>
        </w:rPr>
        <w:t xml:space="preserve"> </w:t>
      </w:r>
      <w:r w:rsidR="00951E5C">
        <w:rPr>
          <w:sz w:val="26"/>
          <w:szCs w:val="26"/>
        </w:rPr>
        <w:t xml:space="preserve">this </w:t>
      </w:r>
      <w:r w:rsidRPr="005C637A">
        <w:rPr>
          <w:sz w:val="26"/>
          <w:szCs w:val="26"/>
        </w:rPr>
        <w:t xml:space="preserve">Order on </w:t>
      </w:r>
      <w:r w:rsidR="004C1102">
        <w:rPr>
          <w:sz w:val="26"/>
          <w:szCs w:val="26"/>
        </w:rPr>
        <w:t xml:space="preserve">the form of </w:t>
      </w:r>
      <w:r w:rsidRPr="005C637A">
        <w:rPr>
          <w:sz w:val="26"/>
          <w:szCs w:val="26"/>
        </w:rPr>
        <w:t>medical certificates, other court orders</w:t>
      </w:r>
      <w:r w:rsidR="004C1102">
        <w:rPr>
          <w:sz w:val="26"/>
          <w:szCs w:val="26"/>
        </w:rPr>
        <w:t xml:space="preserve"> related to domestic violence</w:t>
      </w:r>
      <w:r w:rsidRPr="005C637A">
        <w:rPr>
          <w:sz w:val="26"/>
          <w:szCs w:val="26"/>
        </w:rPr>
        <w:t>, and privacy guidelines.</w:t>
      </w:r>
    </w:p>
    <w:p w14:paraId="153BB1BE" w14:textId="77777777" w:rsidR="005C637A" w:rsidRDefault="005C637A" w:rsidP="005C637A">
      <w:pPr>
        <w:spacing w:line="360" w:lineRule="auto"/>
        <w:rPr>
          <w:b/>
          <w:bCs/>
          <w:sz w:val="26"/>
          <w:szCs w:val="26"/>
        </w:rPr>
      </w:pPr>
    </w:p>
    <w:p w14:paraId="2E1E82B7" w14:textId="77777777" w:rsidR="005C637A" w:rsidRDefault="005C637A" w:rsidP="00951E5C">
      <w:pPr>
        <w:spacing w:line="360" w:lineRule="auto"/>
        <w:jc w:val="center"/>
        <w:rPr>
          <w:b/>
          <w:bCs/>
          <w:sz w:val="26"/>
          <w:szCs w:val="26"/>
        </w:rPr>
      </w:pPr>
      <w:r>
        <w:rPr>
          <w:b/>
          <w:bCs/>
          <w:sz w:val="26"/>
          <w:szCs w:val="26"/>
        </w:rPr>
        <w:t>DISCUSSION</w:t>
      </w:r>
    </w:p>
    <w:p w14:paraId="63898543" w14:textId="77777777" w:rsidR="005C637A" w:rsidRDefault="005C637A" w:rsidP="005C637A">
      <w:pPr>
        <w:spacing w:line="360" w:lineRule="auto"/>
        <w:ind w:firstLine="720"/>
        <w:rPr>
          <w:sz w:val="26"/>
          <w:szCs w:val="26"/>
        </w:rPr>
      </w:pPr>
      <w:r w:rsidRPr="00BC3993">
        <w:rPr>
          <w:sz w:val="26"/>
          <w:szCs w:val="26"/>
        </w:rPr>
        <w:t xml:space="preserve">We note that any issues we do not specifically address herein have been duly considered and </w:t>
      </w:r>
      <w:r>
        <w:rPr>
          <w:sz w:val="26"/>
          <w:szCs w:val="26"/>
        </w:rPr>
        <w:t>are</w:t>
      </w:r>
      <w:r w:rsidRPr="00BC3993">
        <w:rPr>
          <w:sz w:val="26"/>
          <w:szCs w:val="26"/>
        </w:rPr>
        <w:t xml:space="preserve"> denied without further discussion.  It is well settled that the Commission is not required to consider expressly or at length each contention or argument raised by the parties.  </w:t>
      </w:r>
      <w:r w:rsidRPr="00BC3993">
        <w:rPr>
          <w:i/>
          <w:iCs/>
          <w:sz w:val="26"/>
          <w:szCs w:val="26"/>
        </w:rPr>
        <w:t>Consolidated Rail Corp</w:t>
      </w:r>
      <w:r>
        <w:rPr>
          <w:i/>
          <w:iCs/>
          <w:sz w:val="26"/>
          <w:szCs w:val="26"/>
        </w:rPr>
        <w:t>.</w:t>
      </w:r>
      <w:r w:rsidRPr="00BC3993">
        <w:rPr>
          <w:i/>
          <w:iCs/>
          <w:sz w:val="26"/>
          <w:szCs w:val="26"/>
        </w:rPr>
        <w:t xml:space="preserve"> v. Pa. </w:t>
      </w:r>
      <w:r>
        <w:rPr>
          <w:i/>
          <w:iCs/>
          <w:sz w:val="26"/>
          <w:szCs w:val="26"/>
        </w:rPr>
        <w:t>Pub.</w:t>
      </w:r>
      <w:r w:rsidRPr="00BC3993">
        <w:rPr>
          <w:i/>
          <w:iCs/>
          <w:sz w:val="26"/>
          <w:szCs w:val="26"/>
        </w:rPr>
        <w:t xml:space="preserve"> Util</w:t>
      </w:r>
      <w:r>
        <w:rPr>
          <w:i/>
          <w:iCs/>
          <w:sz w:val="26"/>
          <w:szCs w:val="26"/>
        </w:rPr>
        <w:t>.</w:t>
      </w:r>
      <w:r w:rsidRPr="00BC3993">
        <w:rPr>
          <w:i/>
          <w:iCs/>
          <w:sz w:val="26"/>
          <w:szCs w:val="26"/>
        </w:rPr>
        <w:t xml:space="preserve"> Comm</w:t>
      </w:r>
      <w:r>
        <w:rPr>
          <w:i/>
          <w:iCs/>
          <w:sz w:val="26"/>
          <w:szCs w:val="26"/>
        </w:rPr>
        <w:t>’</w:t>
      </w:r>
      <w:r w:rsidRPr="00BC3993">
        <w:rPr>
          <w:i/>
          <w:iCs/>
          <w:sz w:val="26"/>
          <w:szCs w:val="26"/>
        </w:rPr>
        <w:t>n</w:t>
      </w:r>
      <w:r>
        <w:rPr>
          <w:i/>
          <w:iCs/>
          <w:sz w:val="26"/>
          <w:szCs w:val="26"/>
        </w:rPr>
        <w:t>.</w:t>
      </w:r>
      <w:r w:rsidRPr="00BC3993">
        <w:rPr>
          <w:sz w:val="26"/>
          <w:szCs w:val="26"/>
        </w:rPr>
        <w:t>, 625</w:t>
      </w:r>
      <w:r>
        <w:rPr>
          <w:sz w:val="26"/>
          <w:szCs w:val="26"/>
        </w:rPr>
        <w:t> </w:t>
      </w:r>
      <w:r w:rsidRPr="00BC3993">
        <w:rPr>
          <w:sz w:val="26"/>
          <w:szCs w:val="26"/>
        </w:rPr>
        <w:t xml:space="preserve">A.2d 741 (Pa. Cmwlth. 1993); </w:t>
      </w:r>
      <w:r w:rsidRPr="00BC3993">
        <w:rPr>
          <w:i/>
          <w:iCs/>
          <w:sz w:val="26"/>
          <w:szCs w:val="26"/>
        </w:rPr>
        <w:t>see also, generally, Univ</w:t>
      </w:r>
      <w:r>
        <w:rPr>
          <w:i/>
          <w:iCs/>
          <w:sz w:val="26"/>
          <w:szCs w:val="26"/>
        </w:rPr>
        <w:t>ersity</w:t>
      </w:r>
      <w:r w:rsidRPr="00BC3993">
        <w:rPr>
          <w:i/>
          <w:iCs/>
          <w:sz w:val="26"/>
          <w:szCs w:val="26"/>
        </w:rPr>
        <w:t xml:space="preserve"> of Pennsylvania v. Pa.</w:t>
      </w:r>
      <w:r>
        <w:rPr>
          <w:i/>
          <w:iCs/>
          <w:sz w:val="26"/>
          <w:szCs w:val="26"/>
        </w:rPr>
        <w:t> </w:t>
      </w:r>
      <w:r w:rsidRPr="00BC3993">
        <w:rPr>
          <w:i/>
          <w:iCs/>
          <w:sz w:val="26"/>
          <w:szCs w:val="26"/>
        </w:rPr>
        <w:t>Pub</w:t>
      </w:r>
      <w:r>
        <w:rPr>
          <w:i/>
          <w:iCs/>
          <w:sz w:val="26"/>
          <w:szCs w:val="26"/>
        </w:rPr>
        <w:t>.</w:t>
      </w:r>
      <w:r w:rsidRPr="00BC3993">
        <w:rPr>
          <w:i/>
          <w:iCs/>
          <w:sz w:val="26"/>
          <w:szCs w:val="26"/>
        </w:rPr>
        <w:t xml:space="preserve"> Util</w:t>
      </w:r>
      <w:r>
        <w:rPr>
          <w:i/>
          <w:iCs/>
          <w:sz w:val="26"/>
          <w:szCs w:val="26"/>
        </w:rPr>
        <w:t>.</w:t>
      </w:r>
      <w:r w:rsidRPr="00BC3993">
        <w:rPr>
          <w:i/>
          <w:iCs/>
          <w:sz w:val="26"/>
          <w:szCs w:val="26"/>
        </w:rPr>
        <w:t xml:space="preserve"> Comm</w:t>
      </w:r>
      <w:r>
        <w:rPr>
          <w:i/>
          <w:iCs/>
          <w:sz w:val="26"/>
          <w:szCs w:val="26"/>
        </w:rPr>
        <w:t>’</w:t>
      </w:r>
      <w:r w:rsidRPr="00BC3993">
        <w:rPr>
          <w:i/>
          <w:iCs/>
          <w:sz w:val="26"/>
          <w:szCs w:val="26"/>
        </w:rPr>
        <w:t>n</w:t>
      </w:r>
      <w:r>
        <w:rPr>
          <w:i/>
          <w:iCs/>
          <w:sz w:val="26"/>
          <w:szCs w:val="26"/>
        </w:rPr>
        <w:t>.</w:t>
      </w:r>
      <w:r w:rsidRPr="00BC3993">
        <w:rPr>
          <w:sz w:val="26"/>
          <w:szCs w:val="26"/>
        </w:rPr>
        <w:t>, 485 A.2d 1217 (Pa. Cmwlth. 1984).</w:t>
      </w:r>
    </w:p>
    <w:p w14:paraId="2DCA52ED" w14:textId="77777777" w:rsidR="00BE396C" w:rsidRDefault="00BE396C" w:rsidP="005C637A">
      <w:pPr>
        <w:spacing w:line="360" w:lineRule="auto"/>
        <w:rPr>
          <w:b/>
          <w:bCs/>
          <w:sz w:val="26"/>
          <w:szCs w:val="26"/>
        </w:rPr>
      </w:pPr>
    </w:p>
    <w:p w14:paraId="45DC240A" w14:textId="77777777" w:rsidR="00545256" w:rsidRDefault="00FF43E5" w:rsidP="005C637A">
      <w:pPr>
        <w:spacing w:line="360" w:lineRule="auto"/>
        <w:rPr>
          <w:b/>
          <w:bCs/>
          <w:sz w:val="26"/>
          <w:szCs w:val="26"/>
        </w:rPr>
      </w:pPr>
      <w:r>
        <w:rPr>
          <w:b/>
          <w:bCs/>
          <w:sz w:val="26"/>
          <w:szCs w:val="26"/>
        </w:rPr>
        <w:t>I.</w:t>
      </w:r>
      <w:r>
        <w:rPr>
          <w:b/>
          <w:bCs/>
          <w:sz w:val="26"/>
          <w:szCs w:val="26"/>
        </w:rPr>
        <w:tab/>
      </w:r>
      <w:r w:rsidR="004F6C61">
        <w:rPr>
          <w:b/>
          <w:bCs/>
          <w:sz w:val="26"/>
          <w:szCs w:val="26"/>
        </w:rPr>
        <w:t>Form of Medical Certificate</w:t>
      </w:r>
      <w:r w:rsidR="002C69EC">
        <w:rPr>
          <w:b/>
          <w:bCs/>
          <w:sz w:val="26"/>
          <w:szCs w:val="26"/>
        </w:rPr>
        <w:t>s</w:t>
      </w:r>
    </w:p>
    <w:p w14:paraId="295F7A96" w14:textId="77777777" w:rsidR="00480356" w:rsidRDefault="00FF43E5" w:rsidP="00480356">
      <w:pPr>
        <w:spacing w:line="360" w:lineRule="auto"/>
        <w:rPr>
          <w:sz w:val="26"/>
          <w:szCs w:val="26"/>
        </w:rPr>
      </w:pPr>
      <w:r>
        <w:rPr>
          <w:b/>
          <w:bCs/>
          <w:sz w:val="26"/>
          <w:szCs w:val="26"/>
        </w:rPr>
        <w:tab/>
      </w:r>
      <w:r w:rsidRPr="00A85964">
        <w:rPr>
          <w:sz w:val="26"/>
          <w:szCs w:val="26"/>
        </w:rPr>
        <w:t xml:space="preserve">In the Tentative Order, </w:t>
      </w:r>
      <w:r w:rsidR="00A85964">
        <w:rPr>
          <w:sz w:val="26"/>
          <w:szCs w:val="26"/>
        </w:rPr>
        <w:t xml:space="preserve">we proposed </w:t>
      </w:r>
      <w:r w:rsidR="007D3DD7">
        <w:rPr>
          <w:sz w:val="26"/>
          <w:szCs w:val="26"/>
        </w:rPr>
        <w:t>the use of a</w:t>
      </w:r>
      <w:r w:rsidR="00A85964">
        <w:rPr>
          <w:sz w:val="26"/>
          <w:szCs w:val="26"/>
        </w:rPr>
        <w:t xml:space="preserve"> standard medical certificate form</w:t>
      </w:r>
      <w:r w:rsidR="007D3DD7">
        <w:rPr>
          <w:sz w:val="26"/>
          <w:szCs w:val="26"/>
        </w:rPr>
        <w:t xml:space="preserve">.  </w:t>
      </w:r>
      <w:r w:rsidR="00A85964">
        <w:rPr>
          <w:sz w:val="26"/>
          <w:szCs w:val="26"/>
        </w:rPr>
        <w:t>The proposed form include</w:t>
      </w:r>
      <w:r w:rsidR="00034715">
        <w:rPr>
          <w:sz w:val="26"/>
          <w:szCs w:val="26"/>
        </w:rPr>
        <w:t>s</w:t>
      </w:r>
      <w:r w:rsidR="00A85964">
        <w:rPr>
          <w:sz w:val="26"/>
          <w:szCs w:val="26"/>
        </w:rPr>
        <w:t xml:space="preserve"> the five elements necessary for a valid medical certificate pursuant to the Commission’s regulations.  It d</w:t>
      </w:r>
      <w:r w:rsidR="00034715">
        <w:rPr>
          <w:sz w:val="26"/>
          <w:szCs w:val="26"/>
        </w:rPr>
        <w:t>oes</w:t>
      </w:r>
      <w:r w:rsidR="00A85964">
        <w:rPr>
          <w:sz w:val="26"/>
          <w:szCs w:val="26"/>
        </w:rPr>
        <w:t xml:space="preserve"> not include the medical professional’s license number.  In addition, </w:t>
      </w:r>
      <w:r w:rsidR="00034715">
        <w:rPr>
          <w:sz w:val="26"/>
          <w:szCs w:val="26"/>
        </w:rPr>
        <w:t>we</w:t>
      </w:r>
      <w:r w:rsidR="00A85964">
        <w:rPr>
          <w:sz w:val="26"/>
          <w:szCs w:val="26"/>
        </w:rPr>
        <w:t xml:space="preserve"> </w:t>
      </w:r>
      <w:r w:rsidRPr="00A85964">
        <w:rPr>
          <w:sz w:val="26"/>
          <w:szCs w:val="26"/>
        </w:rPr>
        <w:t xml:space="preserve">proposed </w:t>
      </w:r>
      <w:r w:rsidR="00A85964">
        <w:rPr>
          <w:sz w:val="26"/>
          <w:szCs w:val="26"/>
        </w:rPr>
        <w:t>medical certificate guidance for consumers and medical professionals</w:t>
      </w:r>
      <w:r w:rsidRPr="00A85964">
        <w:rPr>
          <w:sz w:val="26"/>
          <w:szCs w:val="26"/>
        </w:rPr>
        <w:t>.</w:t>
      </w:r>
      <w:r w:rsidR="00A85964">
        <w:rPr>
          <w:sz w:val="26"/>
          <w:szCs w:val="26"/>
        </w:rPr>
        <w:t xml:space="preserve">  </w:t>
      </w:r>
      <w:r w:rsidR="00034715">
        <w:rPr>
          <w:sz w:val="26"/>
          <w:szCs w:val="26"/>
        </w:rPr>
        <w:t>The</w:t>
      </w:r>
      <w:r w:rsidR="00A85964">
        <w:rPr>
          <w:sz w:val="26"/>
          <w:szCs w:val="26"/>
        </w:rPr>
        <w:t xml:space="preserve"> guidance </w:t>
      </w:r>
      <w:r w:rsidR="00034715">
        <w:rPr>
          <w:sz w:val="26"/>
          <w:szCs w:val="26"/>
        </w:rPr>
        <w:t xml:space="preserve">is intended to </w:t>
      </w:r>
      <w:r w:rsidR="00A85964">
        <w:rPr>
          <w:sz w:val="26"/>
          <w:szCs w:val="26"/>
        </w:rPr>
        <w:t xml:space="preserve">assist in educating all parties about the medical certificate process.  </w:t>
      </w:r>
      <w:r w:rsidR="00034715">
        <w:rPr>
          <w:sz w:val="26"/>
          <w:szCs w:val="26"/>
        </w:rPr>
        <w:t>We</w:t>
      </w:r>
      <w:r w:rsidR="00A85964">
        <w:rPr>
          <w:sz w:val="26"/>
          <w:szCs w:val="26"/>
        </w:rPr>
        <w:t xml:space="preserve"> proposed to </w:t>
      </w:r>
      <w:r w:rsidR="0048593C">
        <w:rPr>
          <w:sz w:val="26"/>
          <w:szCs w:val="26"/>
        </w:rPr>
        <w:t>add</w:t>
      </w:r>
      <w:r w:rsidR="00011138">
        <w:rPr>
          <w:sz w:val="26"/>
          <w:szCs w:val="26"/>
        </w:rPr>
        <w:t xml:space="preserve"> the</w:t>
      </w:r>
      <w:r w:rsidR="00A85964">
        <w:rPr>
          <w:sz w:val="26"/>
          <w:szCs w:val="26"/>
        </w:rPr>
        <w:t xml:space="preserve"> </w:t>
      </w:r>
      <w:r w:rsidR="00034715">
        <w:rPr>
          <w:sz w:val="26"/>
          <w:szCs w:val="26"/>
        </w:rPr>
        <w:t xml:space="preserve">standard medical certificate form </w:t>
      </w:r>
      <w:r w:rsidR="00011138">
        <w:rPr>
          <w:sz w:val="26"/>
          <w:szCs w:val="26"/>
        </w:rPr>
        <w:t>and the</w:t>
      </w:r>
      <w:r w:rsidR="00034715">
        <w:rPr>
          <w:sz w:val="26"/>
          <w:szCs w:val="26"/>
        </w:rPr>
        <w:t xml:space="preserve"> </w:t>
      </w:r>
      <w:r w:rsidR="007D3DD7">
        <w:rPr>
          <w:sz w:val="26"/>
          <w:szCs w:val="26"/>
        </w:rPr>
        <w:t xml:space="preserve">medical certificate </w:t>
      </w:r>
      <w:r w:rsidR="00A85964">
        <w:rPr>
          <w:sz w:val="26"/>
          <w:szCs w:val="26"/>
        </w:rPr>
        <w:t xml:space="preserve">guidance </w:t>
      </w:r>
      <w:r w:rsidR="0048593C">
        <w:rPr>
          <w:sz w:val="26"/>
          <w:szCs w:val="26"/>
        </w:rPr>
        <w:t>to</w:t>
      </w:r>
      <w:r w:rsidR="00A85964">
        <w:rPr>
          <w:sz w:val="26"/>
          <w:szCs w:val="26"/>
        </w:rPr>
        <w:t xml:space="preserve"> </w:t>
      </w:r>
      <w:r w:rsidR="00034715">
        <w:rPr>
          <w:sz w:val="26"/>
          <w:szCs w:val="26"/>
        </w:rPr>
        <w:t>the Commission’s website</w:t>
      </w:r>
      <w:r w:rsidR="00A85964">
        <w:rPr>
          <w:sz w:val="26"/>
          <w:szCs w:val="26"/>
        </w:rPr>
        <w:t xml:space="preserve">.  </w:t>
      </w:r>
      <w:r w:rsidR="007D3DD7">
        <w:rPr>
          <w:sz w:val="26"/>
          <w:szCs w:val="26"/>
        </w:rPr>
        <w:t>We include</w:t>
      </w:r>
      <w:r w:rsidR="00011138">
        <w:rPr>
          <w:sz w:val="26"/>
          <w:szCs w:val="26"/>
        </w:rPr>
        <w:t>d</w:t>
      </w:r>
      <w:r w:rsidR="007D3DD7">
        <w:rPr>
          <w:sz w:val="26"/>
          <w:szCs w:val="26"/>
        </w:rPr>
        <w:t xml:space="preserve"> copies of the form and guidance as Appendices A and B to the Tentative Order, respectively.  </w:t>
      </w:r>
    </w:p>
    <w:p w14:paraId="4EEE95FF" w14:textId="77777777" w:rsidR="00FF43E5" w:rsidRPr="00FF43E5" w:rsidRDefault="007D3DD7" w:rsidP="00480356">
      <w:pPr>
        <w:spacing w:line="360" w:lineRule="auto"/>
        <w:ind w:firstLine="720"/>
        <w:rPr>
          <w:sz w:val="26"/>
          <w:szCs w:val="26"/>
        </w:rPr>
      </w:pPr>
      <w:r>
        <w:br w:type="page"/>
      </w:r>
      <w:r w:rsidR="00480356" w:rsidRPr="00480356">
        <w:rPr>
          <w:b/>
          <w:bCs/>
        </w:rPr>
        <w:lastRenderedPageBreak/>
        <w:t>A.</w:t>
      </w:r>
      <w:r w:rsidR="00480356" w:rsidRPr="00480356">
        <w:rPr>
          <w:b/>
          <w:bCs/>
        </w:rPr>
        <w:tab/>
      </w:r>
      <w:r w:rsidR="00FF43E5" w:rsidRPr="00FF43E5">
        <w:rPr>
          <w:b/>
          <w:bCs/>
          <w:sz w:val="26"/>
          <w:szCs w:val="26"/>
        </w:rPr>
        <w:t>Comments on Form of Medical Certificates</w:t>
      </w:r>
    </w:p>
    <w:p w14:paraId="31FD38BF" w14:textId="77777777" w:rsidR="00510743" w:rsidRDefault="00510743" w:rsidP="00510743">
      <w:pPr>
        <w:spacing w:line="360" w:lineRule="auto"/>
        <w:ind w:firstLine="720"/>
        <w:rPr>
          <w:sz w:val="26"/>
          <w:szCs w:val="26"/>
        </w:rPr>
      </w:pPr>
      <w:r>
        <w:rPr>
          <w:sz w:val="26"/>
          <w:szCs w:val="26"/>
        </w:rPr>
        <w:t xml:space="preserve">PGW supports the use of a standard medical certificate form and written guidance regarding medical certificates available on the Commission’s website.  PGW </w:t>
      </w:r>
      <w:r w:rsidR="00322034">
        <w:rPr>
          <w:sz w:val="26"/>
          <w:szCs w:val="26"/>
        </w:rPr>
        <w:t>suggests</w:t>
      </w:r>
      <w:r w:rsidR="000326CC">
        <w:rPr>
          <w:sz w:val="26"/>
          <w:szCs w:val="26"/>
        </w:rPr>
        <w:t xml:space="preserve">, however, </w:t>
      </w:r>
      <w:r>
        <w:rPr>
          <w:sz w:val="26"/>
          <w:szCs w:val="26"/>
        </w:rPr>
        <w:t>that medical professional</w:t>
      </w:r>
      <w:r w:rsidR="00F45B8B">
        <w:rPr>
          <w:sz w:val="26"/>
          <w:szCs w:val="26"/>
        </w:rPr>
        <w:t>s</w:t>
      </w:r>
      <w:r w:rsidR="00634F81">
        <w:rPr>
          <w:sz w:val="26"/>
          <w:szCs w:val="26"/>
        </w:rPr>
        <w:t xml:space="preserve"> be required</w:t>
      </w:r>
      <w:r>
        <w:rPr>
          <w:sz w:val="26"/>
          <w:szCs w:val="26"/>
        </w:rPr>
        <w:t xml:space="preserve"> to provide their license number</w:t>
      </w:r>
      <w:r w:rsidR="00634F81">
        <w:rPr>
          <w:sz w:val="26"/>
          <w:szCs w:val="26"/>
        </w:rPr>
        <w:t xml:space="preserve"> on the </w:t>
      </w:r>
      <w:r w:rsidR="000326CC">
        <w:rPr>
          <w:sz w:val="26"/>
          <w:szCs w:val="26"/>
        </w:rPr>
        <w:t xml:space="preserve">medical certificate </w:t>
      </w:r>
      <w:r w:rsidR="00634F81">
        <w:rPr>
          <w:sz w:val="26"/>
          <w:szCs w:val="26"/>
        </w:rPr>
        <w:t>form.</w:t>
      </w:r>
      <w:r>
        <w:rPr>
          <w:sz w:val="26"/>
          <w:szCs w:val="26"/>
        </w:rPr>
        <w:t xml:space="preserve"> </w:t>
      </w:r>
      <w:r w:rsidR="00F45B8B">
        <w:rPr>
          <w:sz w:val="26"/>
          <w:szCs w:val="26"/>
        </w:rPr>
        <w:t xml:space="preserve"> PGW argues that the license number is vital </w:t>
      </w:r>
      <w:r w:rsidR="00634F81">
        <w:rPr>
          <w:sz w:val="26"/>
          <w:szCs w:val="26"/>
        </w:rPr>
        <w:t>to the</w:t>
      </w:r>
      <w:r w:rsidR="00F45B8B">
        <w:rPr>
          <w:sz w:val="26"/>
          <w:szCs w:val="26"/>
        </w:rPr>
        <w:t xml:space="preserve"> ability to validate the certificate, prevent fraud, and maintain the integrity of the certification process.  PGW also</w:t>
      </w:r>
      <w:r w:rsidR="00027AC5">
        <w:rPr>
          <w:sz w:val="26"/>
          <w:szCs w:val="26"/>
        </w:rPr>
        <w:t xml:space="preserve"> asserts</w:t>
      </w:r>
      <w:r w:rsidR="00F45B8B">
        <w:rPr>
          <w:sz w:val="26"/>
          <w:szCs w:val="26"/>
        </w:rPr>
        <w:t xml:space="preserve"> that medical professional</w:t>
      </w:r>
      <w:r w:rsidR="002F25FD">
        <w:rPr>
          <w:sz w:val="26"/>
          <w:szCs w:val="26"/>
        </w:rPr>
        <w:t>s</w:t>
      </w:r>
      <w:r w:rsidR="00F45B8B">
        <w:rPr>
          <w:sz w:val="26"/>
          <w:szCs w:val="26"/>
        </w:rPr>
        <w:t xml:space="preserve"> are accustomed to including this information on documentation and that including the license number would not present any impediment to customers.  </w:t>
      </w:r>
      <w:r w:rsidR="008A71FA">
        <w:rPr>
          <w:sz w:val="26"/>
          <w:szCs w:val="26"/>
        </w:rPr>
        <w:t>PGW Comments at 2-3.</w:t>
      </w:r>
    </w:p>
    <w:p w14:paraId="5A76BA72" w14:textId="77777777" w:rsidR="00AB4152" w:rsidRDefault="00AB4152" w:rsidP="00510743">
      <w:pPr>
        <w:spacing w:line="360" w:lineRule="auto"/>
        <w:ind w:firstLine="720"/>
        <w:rPr>
          <w:sz w:val="26"/>
          <w:szCs w:val="26"/>
        </w:rPr>
      </w:pPr>
    </w:p>
    <w:p w14:paraId="17DB970F" w14:textId="77777777" w:rsidR="009735BB" w:rsidRDefault="000326CC" w:rsidP="00451313">
      <w:pPr>
        <w:spacing w:line="360" w:lineRule="auto"/>
        <w:ind w:firstLine="720"/>
        <w:rPr>
          <w:sz w:val="26"/>
          <w:szCs w:val="26"/>
        </w:rPr>
      </w:pPr>
      <w:r>
        <w:rPr>
          <w:sz w:val="26"/>
          <w:szCs w:val="26"/>
        </w:rPr>
        <w:t xml:space="preserve">The </w:t>
      </w:r>
      <w:r w:rsidR="00451313">
        <w:rPr>
          <w:sz w:val="26"/>
          <w:szCs w:val="26"/>
        </w:rPr>
        <w:t>OCA states that</w:t>
      </w:r>
      <w:r>
        <w:rPr>
          <w:sz w:val="26"/>
          <w:szCs w:val="26"/>
        </w:rPr>
        <w:t xml:space="preserve"> a sample medical certification </w:t>
      </w:r>
      <w:r w:rsidR="00451313">
        <w:rPr>
          <w:sz w:val="26"/>
          <w:szCs w:val="26"/>
        </w:rPr>
        <w:t xml:space="preserve">form </w:t>
      </w:r>
      <w:r>
        <w:rPr>
          <w:sz w:val="26"/>
          <w:szCs w:val="26"/>
        </w:rPr>
        <w:t xml:space="preserve">is beneficial </w:t>
      </w:r>
      <w:r w:rsidR="00451313">
        <w:rPr>
          <w:sz w:val="26"/>
          <w:szCs w:val="26"/>
        </w:rPr>
        <w:t xml:space="preserve">and that the form should be </w:t>
      </w:r>
      <w:r w:rsidR="001758B2">
        <w:rPr>
          <w:sz w:val="26"/>
          <w:szCs w:val="26"/>
        </w:rPr>
        <w:t xml:space="preserve">publicly </w:t>
      </w:r>
      <w:r w:rsidR="00451313">
        <w:rPr>
          <w:sz w:val="26"/>
          <w:szCs w:val="26"/>
        </w:rPr>
        <w:t xml:space="preserve">available on the Commission’s website.  While the OCA notes that creating an optional, standard, statewide format will provide consistency, </w:t>
      </w:r>
      <w:r w:rsidR="00D34C55">
        <w:rPr>
          <w:sz w:val="26"/>
          <w:szCs w:val="26"/>
        </w:rPr>
        <w:t>it argues</w:t>
      </w:r>
      <w:r w:rsidR="00451313">
        <w:rPr>
          <w:sz w:val="26"/>
          <w:szCs w:val="26"/>
        </w:rPr>
        <w:t xml:space="preserve"> that a specific standard form</w:t>
      </w:r>
      <w:r w:rsidR="00AB4959">
        <w:rPr>
          <w:sz w:val="26"/>
          <w:szCs w:val="26"/>
        </w:rPr>
        <w:t xml:space="preserve"> should</w:t>
      </w:r>
      <w:r w:rsidR="00451313">
        <w:rPr>
          <w:sz w:val="26"/>
          <w:szCs w:val="26"/>
        </w:rPr>
        <w:t xml:space="preserve"> not be required.  The </w:t>
      </w:r>
      <w:r w:rsidR="00AB4959">
        <w:rPr>
          <w:sz w:val="26"/>
          <w:szCs w:val="26"/>
        </w:rPr>
        <w:t>OCA avers</w:t>
      </w:r>
      <w:r w:rsidR="00451313">
        <w:rPr>
          <w:sz w:val="26"/>
          <w:szCs w:val="26"/>
        </w:rPr>
        <w:t xml:space="preserve"> that flexible requirements w</w:t>
      </w:r>
      <w:r w:rsidR="00A2689D">
        <w:rPr>
          <w:sz w:val="26"/>
          <w:szCs w:val="26"/>
        </w:rPr>
        <w:t>ould</w:t>
      </w:r>
      <w:r w:rsidR="00451313">
        <w:rPr>
          <w:sz w:val="26"/>
          <w:szCs w:val="26"/>
        </w:rPr>
        <w:t xml:space="preserve"> help ensure that medically vulnerable customers can access timely relief.  </w:t>
      </w:r>
      <w:r w:rsidR="001758B2">
        <w:rPr>
          <w:sz w:val="26"/>
          <w:szCs w:val="26"/>
        </w:rPr>
        <w:t>OCA Comments at 5-6.</w:t>
      </w:r>
    </w:p>
    <w:p w14:paraId="5E3EE6A6" w14:textId="77777777" w:rsidR="009735BB" w:rsidRDefault="009735BB" w:rsidP="00451313">
      <w:pPr>
        <w:spacing w:line="360" w:lineRule="auto"/>
        <w:ind w:firstLine="720"/>
        <w:rPr>
          <w:sz w:val="26"/>
          <w:szCs w:val="26"/>
        </w:rPr>
      </w:pPr>
    </w:p>
    <w:p w14:paraId="2E236418" w14:textId="77777777" w:rsidR="000326CC" w:rsidRDefault="00D34C55" w:rsidP="00451313">
      <w:pPr>
        <w:spacing w:line="360" w:lineRule="auto"/>
        <w:ind w:firstLine="720"/>
        <w:rPr>
          <w:sz w:val="26"/>
          <w:szCs w:val="26"/>
        </w:rPr>
      </w:pPr>
      <w:r>
        <w:rPr>
          <w:sz w:val="26"/>
          <w:szCs w:val="26"/>
        </w:rPr>
        <w:t>In addition, t</w:t>
      </w:r>
      <w:r w:rsidR="00451313">
        <w:rPr>
          <w:sz w:val="26"/>
          <w:szCs w:val="26"/>
        </w:rPr>
        <w:t>he</w:t>
      </w:r>
      <w:r w:rsidR="000326CC">
        <w:rPr>
          <w:sz w:val="26"/>
          <w:szCs w:val="26"/>
        </w:rPr>
        <w:t xml:space="preserve"> OCA notes that the Request for Medical Certification form included in the Tentative Order contains a field for the “Account Number.”  The OCA argues that an account number is not required by the Commission’s regulations and</w:t>
      </w:r>
      <w:r w:rsidR="00AB4959">
        <w:rPr>
          <w:sz w:val="26"/>
          <w:szCs w:val="26"/>
        </w:rPr>
        <w:t xml:space="preserve"> that</w:t>
      </w:r>
      <w:r w:rsidR="00451313">
        <w:rPr>
          <w:sz w:val="26"/>
          <w:szCs w:val="26"/>
        </w:rPr>
        <w:t xml:space="preserve"> this</w:t>
      </w:r>
      <w:r w:rsidR="000326CC">
        <w:rPr>
          <w:sz w:val="26"/>
          <w:szCs w:val="26"/>
        </w:rPr>
        <w:t xml:space="preserve"> field should be removed from the form.  The OCA claims that this requirement will result in delays in processing the medical certification form.  The OCA maintains that medical certification procedures should ensure that medical certificates are readily accessible with no unnecessary barriers.  In this regard, the OCA </w:t>
      </w:r>
      <w:r w:rsidR="00451313">
        <w:rPr>
          <w:sz w:val="26"/>
          <w:szCs w:val="26"/>
        </w:rPr>
        <w:t xml:space="preserve">also </w:t>
      </w:r>
      <w:r w:rsidR="000326CC">
        <w:rPr>
          <w:sz w:val="26"/>
          <w:szCs w:val="26"/>
        </w:rPr>
        <w:t xml:space="preserve">states that it supports the Commission’s determination not to require medical professionals to include their license number on the form.  The OCA notes that the Commission has never requested medical license numbers for the submission of a medical certificate and that the absence of this information has not been an issue.  </w:t>
      </w:r>
      <w:r w:rsidR="00451313">
        <w:rPr>
          <w:sz w:val="26"/>
          <w:szCs w:val="26"/>
        </w:rPr>
        <w:t xml:space="preserve">Finally, the OCA states that </w:t>
      </w:r>
      <w:r>
        <w:rPr>
          <w:sz w:val="26"/>
          <w:szCs w:val="26"/>
        </w:rPr>
        <w:t xml:space="preserve">it </w:t>
      </w:r>
      <w:r w:rsidR="00451313">
        <w:rPr>
          <w:sz w:val="26"/>
          <w:szCs w:val="26"/>
        </w:rPr>
        <w:t xml:space="preserve">supports the Commission’s proposed medical certificate guidance.  </w:t>
      </w:r>
      <w:r w:rsidR="000326CC">
        <w:rPr>
          <w:sz w:val="26"/>
          <w:szCs w:val="26"/>
        </w:rPr>
        <w:t xml:space="preserve">OCA Comments at </w:t>
      </w:r>
      <w:r w:rsidR="00451313">
        <w:rPr>
          <w:sz w:val="26"/>
          <w:szCs w:val="26"/>
        </w:rPr>
        <w:t>3</w:t>
      </w:r>
      <w:r w:rsidR="000326CC">
        <w:rPr>
          <w:sz w:val="26"/>
          <w:szCs w:val="26"/>
        </w:rPr>
        <w:t xml:space="preserve">-5.  </w:t>
      </w:r>
    </w:p>
    <w:p w14:paraId="1EC3B4E1" w14:textId="77777777" w:rsidR="002C69EC" w:rsidRDefault="002C69EC" w:rsidP="00510743">
      <w:pPr>
        <w:spacing w:line="360" w:lineRule="auto"/>
        <w:ind w:firstLine="720"/>
        <w:rPr>
          <w:sz w:val="26"/>
          <w:szCs w:val="26"/>
        </w:rPr>
      </w:pPr>
      <w:r>
        <w:rPr>
          <w:sz w:val="26"/>
          <w:szCs w:val="26"/>
        </w:rPr>
        <w:lastRenderedPageBreak/>
        <w:t>PECO</w:t>
      </w:r>
      <w:r w:rsidR="009028C4">
        <w:rPr>
          <w:sz w:val="26"/>
          <w:szCs w:val="26"/>
        </w:rPr>
        <w:t xml:space="preserve"> </w:t>
      </w:r>
      <w:r w:rsidR="00AB4959">
        <w:rPr>
          <w:sz w:val="26"/>
          <w:szCs w:val="26"/>
        </w:rPr>
        <w:t xml:space="preserve">states that it </w:t>
      </w:r>
      <w:r w:rsidR="009028C4">
        <w:rPr>
          <w:sz w:val="26"/>
          <w:szCs w:val="26"/>
        </w:rPr>
        <w:t>agrees with the</w:t>
      </w:r>
      <w:r w:rsidR="00AB4959">
        <w:rPr>
          <w:sz w:val="26"/>
          <w:szCs w:val="26"/>
        </w:rPr>
        <w:t xml:space="preserve"> </w:t>
      </w:r>
      <w:r w:rsidR="009028C4">
        <w:rPr>
          <w:sz w:val="26"/>
          <w:szCs w:val="26"/>
        </w:rPr>
        <w:t>form of standard medical certificate</w:t>
      </w:r>
      <w:r w:rsidR="00AB4959">
        <w:rPr>
          <w:sz w:val="26"/>
          <w:szCs w:val="26"/>
        </w:rPr>
        <w:t xml:space="preserve"> proposed by the Commission</w:t>
      </w:r>
      <w:r w:rsidR="009028C4">
        <w:rPr>
          <w:sz w:val="26"/>
          <w:szCs w:val="26"/>
        </w:rPr>
        <w:t xml:space="preserve"> because </w:t>
      </w:r>
      <w:r w:rsidR="00AB4959">
        <w:rPr>
          <w:sz w:val="26"/>
          <w:szCs w:val="26"/>
        </w:rPr>
        <w:t>the form</w:t>
      </w:r>
      <w:r w:rsidR="009028C4">
        <w:rPr>
          <w:sz w:val="26"/>
          <w:szCs w:val="26"/>
        </w:rPr>
        <w:t xml:space="preserve"> contains the requirements set forth by 52 Pa. Code § 56.113.  PECO</w:t>
      </w:r>
      <w:r w:rsidR="00AB4959">
        <w:rPr>
          <w:sz w:val="26"/>
          <w:szCs w:val="26"/>
        </w:rPr>
        <w:t xml:space="preserve"> also</w:t>
      </w:r>
      <w:r w:rsidR="009028C4">
        <w:rPr>
          <w:sz w:val="26"/>
          <w:szCs w:val="26"/>
        </w:rPr>
        <w:t xml:space="preserve"> notes that </w:t>
      </w:r>
      <w:r w:rsidR="00AB4959">
        <w:rPr>
          <w:sz w:val="26"/>
          <w:szCs w:val="26"/>
        </w:rPr>
        <w:t xml:space="preserve">it supports the view that </w:t>
      </w:r>
      <w:r w:rsidR="009028C4">
        <w:rPr>
          <w:sz w:val="26"/>
          <w:szCs w:val="26"/>
        </w:rPr>
        <w:t>forms should include the license number of the health professional submitting the form.  PECO Comments at 2.</w:t>
      </w:r>
    </w:p>
    <w:p w14:paraId="54FECC24" w14:textId="77777777" w:rsidR="00AB4959" w:rsidRDefault="00AB4959" w:rsidP="00510743">
      <w:pPr>
        <w:spacing w:line="360" w:lineRule="auto"/>
        <w:ind w:firstLine="720"/>
        <w:rPr>
          <w:sz w:val="26"/>
          <w:szCs w:val="26"/>
        </w:rPr>
      </w:pPr>
    </w:p>
    <w:p w14:paraId="4DEA67F4" w14:textId="77777777" w:rsidR="002C69EC" w:rsidRDefault="001369A1" w:rsidP="00510743">
      <w:pPr>
        <w:spacing w:line="360" w:lineRule="auto"/>
        <w:ind w:firstLine="720"/>
        <w:rPr>
          <w:sz w:val="26"/>
          <w:szCs w:val="26"/>
        </w:rPr>
      </w:pPr>
      <w:r>
        <w:rPr>
          <w:sz w:val="26"/>
          <w:szCs w:val="26"/>
        </w:rPr>
        <w:t xml:space="preserve">Like PGW and PECO, EAP supports </w:t>
      </w:r>
      <w:r w:rsidR="00436232">
        <w:rPr>
          <w:sz w:val="26"/>
          <w:szCs w:val="26"/>
        </w:rPr>
        <w:t xml:space="preserve">a </w:t>
      </w:r>
      <w:r>
        <w:rPr>
          <w:sz w:val="26"/>
          <w:szCs w:val="26"/>
        </w:rPr>
        <w:t>requirement for authorized medical professionals to include their license number on any medical certificate form.  EAP argues that this is a prudent and simple requirement that will ensure integrity and protect against fraud.  EAP argues that license numbers are required for a variety of routine matters, including issuing prescriptions.  EAP further argues that utilities have not had any issues within service territories requesting this information.  With regard to the medical certificate guidance</w:t>
      </w:r>
      <w:r w:rsidR="00436232">
        <w:rPr>
          <w:sz w:val="26"/>
          <w:szCs w:val="26"/>
        </w:rPr>
        <w:t xml:space="preserve"> document</w:t>
      </w:r>
      <w:r>
        <w:rPr>
          <w:sz w:val="26"/>
          <w:szCs w:val="26"/>
        </w:rPr>
        <w:t xml:space="preserve">, EAP suggests </w:t>
      </w:r>
      <w:r w:rsidR="0020745F">
        <w:rPr>
          <w:sz w:val="26"/>
          <w:szCs w:val="26"/>
        </w:rPr>
        <w:t>making the</w:t>
      </w:r>
      <w:r>
        <w:rPr>
          <w:sz w:val="26"/>
          <w:szCs w:val="26"/>
        </w:rPr>
        <w:t xml:space="preserve"> following statement bold or otherwise emphasized</w:t>
      </w:r>
      <w:r w:rsidR="0020745F">
        <w:rPr>
          <w:sz w:val="26"/>
          <w:szCs w:val="26"/>
        </w:rPr>
        <w:t xml:space="preserve"> earlier in the document</w:t>
      </w:r>
      <w:r>
        <w:rPr>
          <w:sz w:val="26"/>
          <w:szCs w:val="26"/>
        </w:rPr>
        <w:t>: “</w:t>
      </w:r>
      <w:r w:rsidR="00436232">
        <w:rPr>
          <w:sz w:val="26"/>
          <w:szCs w:val="26"/>
        </w:rPr>
        <w:t>Y</w:t>
      </w:r>
      <w:r>
        <w:rPr>
          <w:sz w:val="26"/>
          <w:szCs w:val="26"/>
        </w:rPr>
        <w:t>ou still have the responsibility to pay your current bills or your budget billing amount during the postponement and any renewal thereof.”  EAP also asked the Commission to state as follows</w:t>
      </w:r>
      <w:r w:rsidR="00436232">
        <w:rPr>
          <w:sz w:val="26"/>
          <w:szCs w:val="26"/>
        </w:rPr>
        <w:t xml:space="preserve"> in the guidance</w:t>
      </w:r>
      <w:r>
        <w:rPr>
          <w:sz w:val="26"/>
          <w:szCs w:val="26"/>
        </w:rPr>
        <w:t xml:space="preserve">: “Should you need further financial assistance beyond what is afforded by a medical certificate and available renewals, the Commission urges you to contact your utility.  Your utility can evaluate your eligibility for additional assistance programs.  Additional financial assistance may also be available through federal or state programs.”  EAP Comments at 3. </w:t>
      </w:r>
    </w:p>
    <w:p w14:paraId="34A2E48B" w14:textId="77777777" w:rsidR="002C69EC" w:rsidRDefault="002C69EC" w:rsidP="00510743">
      <w:pPr>
        <w:spacing w:line="360" w:lineRule="auto"/>
        <w:ind w:firstLine="720"/>
        <w:rPr>
          <w:sz w:val="26"/>
          <w:szCs w:val="26"/>
        </w:rPr>
      </w:pPr>
    </w:p>
    <w:p w14:paraId="6826675C" w14:textId="77777777" w:rsidR="00AB4152" w:rsidRPr="00510743" w:rsidRDefault="00322034" w:rsidP="00510743">
      <w:pPr>
        <w:spacing w:line="360" w:lineRule="auto"/>
        <w:ind w:firstLine="720"/>
        <w:rPr>
          <w:sz w:val="26"/>
          <w:szCs w:val="26"/>
        </w:rPr>
      </w:pPr>
      <w:r>
        <w:rPr>
          <w:sz w:val="26"/>
          <w:szCs w:val="26"/>
        </w:rPr>
        <w:t xml:space="preserve">PPL </w:t>
      </w:r>
      <w:r w:rsidR="0012004F">
        <w:rPr>
          <w:sz w:val="26"/>
          <w:szCs w:val="26"/>
        </w:rPr>
        <w:t>states that it</w:t>
      </w:r>
      <w:r>
        <w:rPr>
          <w:sz w:val="26"/>
          <w:szCs w:val="26"/>
        </w:rPr>
        <w:t xml:space="preserve"> agrees with the use of a standard medical</w:t>
      </w:r>
      <w:r w:rsidR="00D94FD1">
        <w:rPr>
          <w:sz w:val="26"/>
          <w:szCs w:val="26"/>
        </w:rPr>
        <w:t xml:space="preserve"> certificate</w:t>
      </w:r>
      <w:r>
        <w:rPr>
          <w:sz w:val="26"/>
          <w:szCs w:val="26"/>
        </w:rPr>
        <w:t xml:space="preserve"> form and written guidance.  PPL suggests that the form include a check</w:t>
      </w:r>
      <w:r w:rsidR="00CE19F0">
        <w:rPr>
          <w:sz w:val="26"/>
          <w:szCs w:val="26"/>
        </w:rPr>
        <w:t>-</w:t>
      </w:r>
      <w:r>
        <w:rPr>
          <w:sz w:val="26"/>
          <w:szCs w:val="26"/>
        </w:rPr>
        <w:t xml:space="preserve">box to confirm that the physician, physician assistant, or nurse practitioner is licensed in Pennsylvania.  PPL states that this information is required by </w:t>
      </w:r>
      <w:r w:rsidR="008850C6">
        <w:rPr>
          <w:sz w:val="26"/>
          <w:szCs w:val="26"/>
        </w:rPr>
        <w:t xml:space="preserve">52 Pa. Code § </w:t>
      </w:r>
      <w:r>
        <w:rPr>
          <w:sz w:val="26"/>
          <w:szCs w:val="26"/>
        </w:rPr>
        <w:t xml:space="preserve">56.2, and that this approach is a compromise to requiring medical professionals’ license numbers. </w:t>
      </w:r>
      <w:r w:rsidR="008850C6">
        <w:rPr>
          <w:sz w:val="26"/>
          <w:szCs w:val="26"/>
        </w:rPr>
        <w:t xml:space="preserve"> PPL Comments at 3. </w:t>
      </w:r>
    </w:p>
    <w:p w14:paraId="24581D79" w14:textId="77777777" w:rsidR="004F6C61" w:rsidRDefault="004F6C61" w:rsidP="005C637A">
      <w:pPr>
        <w:spacing w:line="360" w:lineRule="auto"/>
        <w:rPr>
          <w:b/>
          <w:bCs/>
          <w:sz w:val="26"/>
          <w:szCs w:val="26"/>
        </w:rPr>
      </w:pPr>
    </w:p>
    <w:p w14:paraId="636F77C2" w14:textId="77777777" w:rsidR="00D94FD1" w:rsidRDefault="002C69EC" w:rsidP="005C637A">
      <w:pPr>
        <w:spacing w:line="360" w:lineRule="auto"/>
        <w:rPr>
          <w:sz w:val="26"/>
          <w:szCs w:val="26"/>
        </w:rPr>
      </w:pPr>
      <w:r>
        <w:rPr>
          <w:b/>
          <w:bCs/>
          <w:sz w:val="26"/>
          <w:szCs w:val="26"/>
        </w:rPr>
        <w:tab/>
      </w:r>
      <w:r w:rsidRPr="00D94FD1">
        <w:rPr>
          <w:sz w:val="26"/>
          <w:szCs w:val="26"/>
        </w:rPr>
        <w:t>CAUSE-PA</w:t>
      </w:r>
      <w:r w:rsidR="00D94FD1">
        <w:rPr>
          <w:sz w:val="26"/>
          <w:szCs w:val="26"/>
        </w:rPr>
        <w:t xml:space="preserve"> states that it is generally supportive of the standardization of the medical certificate form and the written guidance.  However, CAUSE-PA recommends </w:t>
      </w:r>
      <w:r w:rsidR="00D94FD1">
        <w:rPr>
          <w:sz w:val="26"/>
          <w:szCs w:val="26"/>
        </w:rPr>
        <w:lastRenderedPageBreak/>
        <w:t>adjustments to further improve the accessibility of the medical certificate process.  First, CAUSE-PA recommends that the Commission require utilities to link the form and guidance on utilit</w:t>
      </w:r>
      <w:r w:rsidR="00CE19F0">
        <w:rPr>
          <w:sz w:val="26"/>
          <w:szCs w:val="26"/>
        </w:rPr>
        <w:t>ies</w:t>
      </w:r>
      <w:r w:rsidR="00D94FD1">
        <w:rPr>
          <w:sz w:val="26"/>
          <w:szCs w:val="26"/>
        </w:rPr>
        <w:t>’ website</w:t>
      </w:r>
      <w:r w:rsidR="00CE19F0">
        <w:rPr>
          <w:sz w:val="26"/>
          <w:szCs w:val="26"/>
        </w:rPr>
        <w:t>s</w:t>
      </w:r>
      <w:r w:rsidR="00D94FD1">
        <w:rPr>
          <w:sz w:val="26"/>
          <w:szCs w:val="26"/>
        </w:rPr>
        <w:t xml:space="preserve">.  </w:t>
      </w:r>
      <w:r w:rsidR="008E6066">
        <w:rPr>
          <w:sz w:val="26"/>
          <w:szCs w:val="26"/>
        </w:rPr>
        <w:t>CAUSE-PA notes that many customers are unaware of the Commission as a resource and will first look to utilit</w:t>
      </w:r>
      <w:r w:rsidR="00D36337">
        <w:rPr>
          <w:sz w:val="26"/>
          <w:szCs w:val="26"/>
        </w:rPr>
        <w:t>ies</w:t>
      </w:r>
      <w:r w:rsidR="008E6066">
        <w:rPr>
          <w:sz w:val="26"/>
          <w:szCs w:val="26"/>
        </w:rPr>
        <w:t xml:space="preserve">.  </w:t>
      </w:r>
      <w:r w:rsidR="00D94FD1">
        <w:rPr>
          <w:sz w:val="26"/>
          <w:szCs w:val="26"/>
        </w:rPr>
        <w:t>CAUSE-PA also suggests that utilities be required to include clear and simple directions on their website</w:t>
      </w:r>
      <w:r w:rsidR="00D36337">
        <w:rPr>
          <w:sz w:val="26"/>
          <w:szCs w:val="26"/>
        </w:rPr>
        <w:t>s</w:t>
      </w:r>
      <w:r w:rsidR="00D94FD1">
        <w:rPr>
          <w:sz w:val="26"/>
          <w:szCs w:val="26"/>
        </w:rPr>
        <w:t xml:space="preserve"> explaining how to submit a medical certificate form.  In addition, CAUSE-PA requests that the Commission clarify that, in addition to the standard medical certificate form, utilities must accept any other written documents that include the required elements of a medical certificate as set forth in 52 Pa. Code § 56.113.  In this regard, CAUSE-PA argues that the form should not be viewed as the only acceptable means to transmit a medical certificate.  CAUSE-PA Comments at 4-6.</w:t>
      </w:r>
    </w:p>
    <w:p w14:paraId="46522E49" w14:textId="77777777" w:rsidR="00D94FD1" w:rsidRDefault="00D94FD1" w:rsidP="005C637A">
      <w:pPr>
        <w:spacing w:line="360" w:lineRule="auto"/>
        <w:rPr>
          <w:sz w:val="26"/>
          <w:szCs w:val="26"/>
        </w:rPr>
      </w:pPr>
    </w:p>
    <w:p w14:paraId="59C67412" w14:textId="77777777" w:rsidR="00D94FD1" w:rsidRDefault="00D94FD1" w:rsidP="000B1C09">
      <w:pPr>
        <w:spacing w:line="360" w:lineRule="auto"/>
        <w:rPr>
          <w:sz w:val="26"/>
          <w:szCs w:val="26"/>
        </w:rPr>
      </w:pPr>
      <w:r>
        <w:rPr>
          <w:sz w:val="26"/>
          <w:szCs w:val="26"/>
        </w:rPr>
        <w:tab/>
        <w:t xml:space="preserve">CAUSE-PA </w:t>
      </w:r>
      <w:r w:rsidR="008E6066">
        <w:rPr>
          <w:sz w:val="26"/>
          <w:szCs w:val="26"/>
        </w:rPr>
        <w:t>provided</w:t>
      </w:r>
      <w:r w:rsidR="001E7913">
        <w:rPr>
          <w:sz w:val="26"/>
          <w:szCs w:val="26"/>
        </w:rPr>
        <w:t xml:space="preserve"> </w:t>
      </w:r>
      <w:r w:rsidR="008E6066">
        <w:rPr>
          <w:sz w:val="26"/>
          <w:szCs w:val="26"/>
        </w:rPr>
        <w:t xml:space="preserve">recommended amendments to the standard medical certificate form and guidance in Appendices A and B to its Comments.  </w:t>
      </w:r>
      <w:r w:rsidR="001E7913">
        <w:rPr>
          <w:sz w:val="26"/>
          <w:szCs w:val="26"/>
        </w:rPr>
        <w:t xml:space="preserve">CAUSE-PA notes that requesting a license number on the form could have a chilling effect on the ability of medically vulnerable consumers to prevent imminent termination.  </w:t>
      </w:r>
      <w:r w:rsidR="008E6066">
        <w:rPr>
          <w:sz w:val="26"/>
          <w:szCs w:val="26"/>
        </w:rPr>
        <w:t>CAUSE-PA recommends</w:t>
      </w:r>
      <w:r w:rsidR="001E7913">
        <w:rPr>
          <w:sz w:val="26"/>
          <w:szCs w:val="26"/>
        </w:rPr>
        <w:t>, however,</w:t>
      </w:r>
      <w:r w:rsidR="008E6066">
        <w:rPr>
          <w:sz w:val="26"/>
          <w:szCs w:val="26"/>
        </w:rPr>
        <w:t xml:space="preserve"> changing the term “affliction” to “</w:t>
      </w:r>
      <w:r w:rsidR="00EC4A76">
        <w:rPr>
          <w:sz w:val="26"/>
          <w:szCs w:val="26"/>
        </w:rPr>
        <w:t xml:space="preserve">medical </w:t>
      </w:r>
      <w:r w:rsidR="008E6066">
        <w:rPr>
          <w:sz w:val="26"/>
          <w:szCs w:val="26"/>
        </w:rPr>
        <w:t xml:space="preserve">condition” </w:t>
      </w:r>
      <w:r w:rsidR="001E7913">
        <w:rPr>
          <w:sz w:val="26"/>
          <w:szCs w:val="26"/>
        </w:rPr>
        <w:t xml:space="preserve">on the form </w:t>
      </w:r>
      <w:r w:rsidR="008E6066">
        <w:rPr>
          <w:sz w:val="26"/>
          <w:szCs w:val="26"/>
        </w:rPr>
        <w:t xml:space="preserve">and adding the word “utility” in front of the word “account” to clarify that this is not a medical account number.  CAUSE-PA also suggests adding check-boxes </w:t>
      </w:r>
      <w:r w:rsidR="001E7913">
        <w:rPr>
          <w:sz w:val="26"/>
          <w:szCs w:val="26"/>
        </w:rPr>
        <w:t>to indicate whether the length of the medical condition is shorter or longer than 30 days so that the medical professional only provides the estimated duration if it is shorter than 30 days, which is the maximum duration for a medical certificate.  CAUSE-PA further suggests that the Commission add its logo</w:t>
      </w:r>
      <w:r w:rsidR="000B1C09">
        <w:rPr>
          <w:sz w:val="26"/>
          <w:szCs w:val="26"/>
        </w:rPr>
        <w:t xml:space="preserve"> to the form and name it “Medical Certificate.”  </w:t>
      </w:r>
      <w:r w:rsidR="005456CE">
        <w:rPr>
          <w:sz w:val="26"/>
          <w:szCs w:val="26"/>
        </w:rPr>
        <w:t>As for</w:t>
      </w:r>
      <w:r w:rsidR="001E7913">
        <w:rPr>
          <w:sz w:val="26"/>
          <w:szCs w:val="26"/>
        </w:rPr>
        <w:t xml:space="preserve"> the guidance</w:t>
      </w:r>
      <w:r w:rsidR="000B1C09">
        <w:rPr>
          <w:sz w:val="26"/>
          <w:szCs w:val="26"/>
        </w:rPr>
        <w:t xml:space="preserve"> document</w:t>
      </w:r>
      <w:r w:rsidR="001E7913">
        <w:rPr>
          <w:sz w:val="26"/>
          <w:szCs w:val="26"/>
        </w:rPr>
        <w:t xml:space="preserve">, CAUSE-PA suggests describing, </w:t>
      </w:r>
      <w:r w:rsidR="001E7913" w:rsidRPr="001E7913">
        <w:rPr>
          <w:i/>
          <w:iCs/>
          <w:sz w:val="26"/>
          <w:szCs w:val="26"/>
        </w:rPr>
        <w:t>inter alia</w:t>
      </w:r>
      <w:r w:rsidR="001E7913">
        <w:rPr>
          <w:sz w:val="26"/>
          <w:szCs w:val="26"/>
        </w:rPr>
        <w:t>, the process for obtaining and submitting a medical certificate and referenc</w:t>
      </w:r>
      <w:r w:rsidR="005456CE">
        <w:rPr>
          <w:sz w:val="26"/>
          <w:szCs w:val="26"/>
        </w:rPr>
        <w:t>ing</w:t>
      </w:r>
      <w:r w:rsidR="001E7913">
        <w:rPr>
          <w:sz w:val="26"/>
          <w:szCs w:val="26"/>
        </w:rPr>
        <w:t xml:space="preserve"> the new standard fo</w:t>
      </w:r>
      <w:r w:rsidR="00DE0940">
        <w:rPr>
          <w:sz w:val="26"/>
          <w:szCs w:val="26"/>
        </w:rPr>
        <w:t>r</w:t>
      </w:r>
      <w:r w:rsidR="001E7913">
        <w:rPr>
          <w:sz w:val="26"/>
          <w:szCs w:val="26"/>
        </w:rPr>
        <w:t>m</w:t>
      </w:r>
      <w:r w:rsidR="005456CE">
        <w:rPr>
          <w:sz w:val="26"/>
          <w:szCs w:val="26"/>
        </w:rPr>
        <w:t xml:space="preserve"> in the guidance</w:t>
      </w:r>
      <w:r w:rsidR="001E7913">
        <w:rPr>
          <w:sz w:val="26"/>
          <w:szCs w:val="26"/>
        </w:rPr>
        <w:t xml:space="preserve">.  CAUSE-PA also notes that both the the form and guidance should be provided in multiple languages.  CAUSE-PA Comments at </w:t>
      </w:r>
      <w:r w:rsidR="000B1C09">
        <w:rPr>
          <w:sz w:val="26"/>
          <w:szCs w:val="26"/>
        </w:rPr>
        <w:t>6</w:t>
      </w:r>
      <w:r w:rsidR="001E7913">
        <w:rPr>
          <w:sz w:val="26"/>
          <w:szCs w:val="26"/>
        </w:rPr>
        <w:t>-11</w:t>
      </w:r>
      <w:r w:rsidR="000B1C09">
        <w:rPr>
          <w:sz w:val="26"/>
          <w:szCs w:val="26"/>
        </w:rPr>
        <w:t xml:space="preserve">, Appendices A and B. </w:t>
      </w:r>
    </w:p>
    <w:p w14:paraId="2D5FB04E" w14:textId="77777777" w:rsidR="008E6066" w:rsidRDefault="008E6066" w:rsidP="005C637A">
      <w:pPr>
        <w:spacing w:line="360" w:lineRule="auto"/>
        <w:rPr>
          <w:sz w:val="26"/>
          <w:szCs w:val="26"/>
        </w:rPr>
      </w:pPr>
    </w:p>
    <w:p w14:paraId="4AFB6B0A" w14:textId="77777777" w:rsidR="002C69EC" w:rsidRDefault="002C69EC" w:rsidP="005C637A">
      <w:pPr>
        <w:spacing w:line="360" w:lineRule="auto"/>
        <w:rPr>
          <w:sz w:val="26"/>
          <w:szCs w:val="26"/>
        </w:rPr>
      </w:pPr>
      <w:r>
        <w:rPr>
          <w:sz w:val="26"/>
          <w:szCs w:val="26"/>
        </w:rPr>
        <w:lastRenderedPageBreak/>
        <w:tab/>
        <w:t>HELP</w:t>
      </w:r>
      <w:r w:rsidR="003F1FCB">
        <w:rPr>
          <w:sz w:val="26"/>
          <w:szCs w:val="26"/>
        </w:rPr>
        <w:t xml:space="preserve">: </w:t>
      </w:r>
      <w:r>
        <w:rPr>
          <w:sz w:val="26"/>
          <w:szCs w:val="26"/>
        </w:rPr>
        <w:t>MLP</w:t>
      </w:r>
      <w:r w:rsidR="003F1FCB">
        <w:rPr>
          <w:sz w:val="26"/>
          <w:szCs w:val="26"/>
        </w:rPr>
        <w:t xml:space="preserve"> notes that medical professionals often decline medical certificate</w:t>
      </w:r>
      <w:r w:rsidR="00EE28D8">
        <w:rPr>
          <w:sz w:val="26"/>
          <w:szCs w:val="26"/>
        </w:rPr>
        <w:t xml:space="preserve">s </w:t>
      </w:r>
      <w:r w:rsidR="003F1FCB">
        <w:rPr>
          <w:sz w:val="26"/>
          <w:szCs w:val="26"/>
        </w:rPr>
        <w:t xml:space="preserve">due to a misunderstanding of the purpose or the time involved in obtaining and completing the forms.  </w:t>
      </w:r>
      <w:r w:rsidR="00EE28D8">
        <w:rPr>
          <w:sz w:val="26"/>
          <w:szCs w:val="26"/>
        </w:rPr>
        <w:t xml:space="preserve">Thus, </w:t>
      </w:r>
      <w:r w:rsidR="003F1FCB">
        <w:rPr>
          <w:sz w:val="26"/>
          <w:szCs w:val="26"/>
        </w:rPr>
        <w:t xml:space="preserve">HELP: MLP commends the Commission for creating a standard form.  </w:t>
      </w:r>
      <w:r w:rsidR="008E6066">
        <w:rPr>
          <w:sz w:val="26"/>
          <w:szCs w:val="26"/>
        </w:rPr>
        <w:t xml:space="preserve">Like CAUSE-PA, however, </w:t>
      </w:r>
      <w:r w:rsidR="003F1FCB">
        <w:rPr>
          <w:sz w:val="26"/>
          <w:szCs w:val="26"/>
        </w:rPr>
        <w:t>HELP: MLP</w:t>
      </w:r>
      <w:r w:rsidR="00EE28D8">
        <w:rPr>
          <w:sz w:val="26"/>
          <w:szCs w:val="26"/>
        </w:rPr>
        <w:t xml:space="preserve"> </w:t>
      </w:r>
      <w:r w:rsidR="003F1FCB">
        <w:rPr>
          <w:sz w:val="26"/>
          <w:szCs w:val="26"/>
        </w:rPr>
        <w:t xml:space="preserve">requests that the Commission change “affliction” to “condition” </w:t>
      </w:r>
      <w:r w:rsidR="00EE28D8">
        <w:rPr>
          <w:sz w:val="26"/>
          <w:szCs w:val="26"/>
        </w:rPr>
        <w:t xml:space="preserve">on the form </w:t>
      </w:r>
      <w:r w:rsidR="003F1FCB">
        <w:rPr>
          <w:sz w:val="26"/>
          <w:szCs w:val="26"/>
        </w:rPr>
        <w:t xml:space="preserve">because </w:t>
      </w:r>
      <w:r w:rsidR="0044182D">
        <w:rPr>
          <w:sz w:val="26"/>
          <w:szCs w:val="26"/>
        </w:rPr>
        <w:t xml:space="preserve">“condition” is more in line with the statute and </w:t>
      </w:r>
      <w:r w:rsidR="003F1FCB">
        <w:rPr>
          <w:sz w:val="26"/>
          <w:szCs w:val="26"/>
        </w:rPr>
        <w:t>“affliction” implies something more sever</w:t>
      </w:r>
      <w:r w:rsidR="00EE28D8">
        <w:rPr>
          <w:sz w:val="26"/>
          <w:szCs w:val="26"/>
        </w:rPr>
        <w:t>e</w:t>
      </w:r>
      <w:r w:rsidR="003F1FCB">
        <w:rPr>
          <w:sz w:val="26"/>
          <w:szCs w:val="26"/>
        </w:rPr>
        <w:t xml:space="preserve"> than what the statu</w:t>
      </w:r>
      <w:r w:rsidR="003A1D9D">
        <w:rPr>
          <w:sz w:val="26"/>
          <w:szCs w:val="26"/>
        </w:rPr>
        <w:t>te</w:t>
      </w:r>
      <w:r w:rsidR="003F1FCB">
        <w:rPr>
          <w:sz w:val="26"/>
          <w:szCs w:val="26"/>
        </w:rPr>
        <w:t xml:space="preserve"> requires. </w:t>
      </w:r>
      <w:r w:rsidR="00EE28D8">
        <w:rPr>
          <w:sz w:val="26"/>
          <w:szCs w:val="26"/>
        </w:rPr>
        <w:t>HELP: MLP also notes that</w:t>
      </w:r>
      <w:r w:rsidR="0044182D">
        <w:rPr>
          <w:sz w:val="26"/>
          <w:szCs w:val="26"/>
        </w:rPr>
        <w:t xml:space="preserve"> the term</w:t>
      </w:r>
      <w:r w:rsidR="00EE28D8">
        <w:rPr>
          <w:sz w:val="26"/>
          <w:szCs w:val="26"/>
        </w:rPr>
        <w:t xml:space="preserve"> “condition” is more comfortable for medical professionals.  Additionally, </w:t>
      </w:r>
      <w:r w:rsidR="0044182D">
        <w:rPr>
          <w:sz w:val="26"/>
          <w:szCs w:val="26"/>
        </w:rPr>
        <w:t xml:space="preserve">while </w:t>
      </w:r>
      <w:r w:rsidR="003F1FCB">
        <w:rPr>
          <w:sz w:val="26"/>
          <w:szCs w:val="26"/>
        </w:rPr>
        <w:t xml:space="preserve">HELP: MLP agrees that the form should be posted on the Commission’s website, </w:t>
      </w:r>
      <w:r w:rsidR="0044182D">
        <w:rPr>
          <w:sz w:val="26"/>
          <w:szCs w:val="26"/>
        </w:rPr>
        <w:t>it</w:t>
      </w:r>
      <w:r w:rsidR="003F1FCB">
        <w:rPr>
          <w:sz w:val="26"/>
          <w:szCs w:val="26"/>
        </w:rPr>
        <w:t xml:space="preserve"> urges the Commission to make the standard form available on utility websites </w:t>
      </w:r>
      <w:r w:rsidR="0044182D">
        <w:rPr>
          <w:sz w:val="26"/>
          <w:szCs w:val="26"/>
        </w:rPr>
        <w:t>since that</w:t>
      </w:r>
      <w:r w:rsidR="003F1FCB">
        <w:rPr>
          <w:sz w:val="26"/>
          <w:szCs w:val="26"/>
        </w:rPr>
        <w:t xml:space="preserve"> is where customers will naturally look </w:t>
      </w:r>
      <w:r w:rsidR="0044182D">
        <w:rPr>
          <w:sz w:val="26"/>
          <w:szCs w:val="26"/>
        </w:rPr>
        <w:t xml:space="preserve">for the form.  Further, </w:t>
      </w:r>
      <w:r w:rsidR="003F1FCB">
        <w:rPr>
          <w:sz w:val="26"/>
          <w:szCs w:val="26"/>
        </w:rPr>
        <w:t xml:space="preserve">HELP: MLP asks the Commission to make clear that the medical certificate form is not necessary to prevent utility termination.  </w:t>
      </w:r>
      <w:r w:rsidR="00EE28D8">
        <w:rPr>
          <w:sz w:val="26"/>
          <w:szCs w:val="26"/>
        </w:rPr>
        <w:t>HELP: MLP Comments at 2.</w:t>
      </w:r>
    </w:p>
    <w:p w14:paraId="2A463C25" w14:textId="77777777" w:rsidR="00740587" w:rsidRDefault="00740587" w:rsidP="005C637A">
      <w:pPr>
        <w:spacing w:line="360" w:lineRule="auto"/>
        <w:rPr>
          <w:sz w:val="26"/>
          <w:szCs w:val="26"/>
        </w:rPr>
      </w:pPr>
    </w:p>
    <w:p w14:paraId="637E254A" w14:textId="77777777" w:rsidR="002C69EC" w:rsidRDefault="002C69EC" w:rsidP="005C637A">
      <w:pPr>
        <w:spacing w:line="360" w:lineRule="auto"/>
        <w:rPr>
          <w:sz w:val="26"/>
          <w:szCs w:val="26"/>
        </w:rPr>
      </w:pPr>
      <w:r>
        <w:rPr>
          <w:sz w:val="26"/>
          <w:szCs w:val="26"/>
        </w:rPr>
        <w:tab/>
        <w:t>Duquesne</w:t>
      </w:r>
      <w:r w:rsidR="001A1C1B">
        <w:rPr>
          <w:sz w:val="26"/>
          <w:szCs w:val="26"/>
        </w:rPr>
        <w:t xml:space="preserve"> states that it does not oppose the Commission’s proposal to develop a standardized form for medical certificates that includes the five elements required by Chapter 14 of the Public Utility Code.  While Duquense notes that requiring a </w:t>
      </w:r>
      <w:r w:rsidR="008A3C65">
        <w:rPr>
          <w:sz w:val="26"/>
          <w:szCs w:val="26"/>
        </w:rPr>
        <w:t xml:space="preserve">medical </w:t>
      </w:r>
      <w:r w:rsidR="001A1C1B">
        <w:rPr>
          <w:sz w:val="26"/>
          <w:szCs w:val="26"/>
        </w:rPr>
        <w:t>practitioner’s license number may reduce fraudulent certificates, it acknowledges</w:t>
      </w:r>
      <w:r w:rsidR="008A3C65">
        <w:rPr>
          <w:sz w:val="26"/>
          <w:szCs w:val="26"/>
        </w:rPr>
        <w:t xml:space="preserve">, based on comments and the working group, that </w:t>
      </w:r>
      <w:r w:rsidR="001A1C1B">
        <w:rPr>
          <w:sz w:val="26"/>
          <w:szCs w:val="26"/>
        </w:rPr>
        <w:t xml:space="preserve">doctors prefer not to include a license number and that some medical systems prohibit this practice.  </w:t>
      </w:r>
      <w:r w:rsidR="00530F5F">
        <w:rPr>
          <w:sz w:val="26"/>
          <w:szCs w:val="26"/>
        </w:rPr>
        <w:t>Duquesne</w:t>
      </w:r>
      <w:r w:rsidR="001A1C1B">
        <w:rPr>
          <w:sz w:val="26"/>
          <w:szCs w:val="26"/>
        </w:rPr>
        <w:t xml:space="preserve"> states that, if the requirement to include a license number truly presents a barrier to those in need of assistance, </w:t>
      </w:r>
      <w:r w:rsidR="008A3C65">
        <w:rPr>
          <w:sz w:val="26"/>
          <w:szCs w:val="26"/>
        </w:rPr>
        <w:t>it</w:t>
      </w:r>
      <w:r w:rsidR="001A1C1B">
        <w:rPr>
          <w:sz w:val="26"/>
          <w:szCs w:val="26"/>
        </w:rPr>
        <w:t xml:space="preserve"> will not oppose this</w:t>
      </w:r>
      <w:r w:rsidR="008A3C65">
        <w:rPr>
          <w:sz w:val="26"/>
          <w:szCs w:val="26"/>
        </w:rPr>
        <w:t xml:space="preserve"> change.  Duquesne asks that the Commission revisit the issue in the future if utilities begin to see an increased incident in potentially fraudulent use of medical certificates.  Duquesne Comments at 3. </w:t>
      </w:r>
    </w:p>
    <w:p w14:paraId="79697D84" w14:textId="77777777" w:rsidR="008A3C65" w:rsidRDefault="008A3C65" w:rsidP="005C637A">
      <w:pPr>
        <w:spacing w:line="360" w:lineRule="auto"/>
        <w:rPr>
          <w:sz w:val="26"/>
          <w:szCs w:val="26"/>
        </w:rPr>
      </w:pPr>
    </w:p>
    <w:p w14:paraId="5F0137E6" w14:textId="77777777" w:rsidR="008A3C65" w:rsidRDefault="008A3C65" w:rsidP="005C637A">
      <w:pPr>
        <w:spacing w:line="360" w:lineRule="auto"/>
        <w:rPr>
          <w:sz w:val="26"/>
          <w:szCs w:val="26"/>
        </w:rPr>
      </w:pPr>
      <w:r>
        <w:rPr>
          <w:sz w:val="26"/>
          <w:szCs w:val="26"/>
        </w:rPr>
        <w:tab/>
        <w:t xml:space="preserve">Additionally, Duquense requests clarification regarding how medical certificates are to be received.  Duquesne claims that the Tentative Order suggests that medical certificates can be provided to the utility directly by a customer or medical office, while the consumer and medical professional guidance in Appendix B seems to suggest that the medical </w:t>
      </w:r>
      <w:r w:rsidR="00B53FAE">
        <w:rPr>
          <w:sz w:val="26"/>
          <w:szCs w:val="26"/>
        </w:rPr>
        <w:t>professional</w:t>
      </w:r>
      <w:r>
        <w:rPr>
          <w:sz w:val="26"/>
          <w:szCs w:val="26"/>
        </w:rPr>
        <w:t xml:space="preserve"> must contact the utility directly.  Duquesne states that the </w:t>
      </w:r>
      <w:r>
        <w:rPr>
          <w:sz w:val="26"/>
          <w:szCs w:val="26"/>
        </w:rPr>
        <w:lastRenderedPageBreak/>
        <w:t>Commission should allow the customer to receive the certificate and submit it directly to the utility.  Duquesne argues that medical offices are busy and may forget to submit a certificate on time</w:t>
      </w:r>
      <w:r w:rsidR="001154CE">
        <w:rPr>
          <w:sz w:val="26"/>
          <w:szCs w:val="26"/>
        </w:rPr>
        <w:t>,</w:t>
      </w:r>
      <w:r>
        <w:rPr>
          <w:sz w:val="26"/>
          <w:szCs w:val="26"/>
        </w:rPr>
        <w:t xml:space="preserve"> and that allowing a customer to submit the certificate reduces the risk that the customer will lose service.  Further, Duquesne asks the Commission to revise language in Appendix B stating that a medical professional can “call” the utility.  Duquense avers that this langue is misleading since 52 Pa. Code § 56.113 states that medical certifications must be in writing.  Duquesne Comments at 3-4.</w:t>
      </w:r>
    </w:p>
    <w:p w14:paraId="4CCA51A3" w14:textId="77777777" w:rsidR="00133384" w:rsidRDefault="00133384" w:rsidP="005C637A">
      <w:pPr>
        <w:spacing w:line="360" w:lineRule="auto"/>
        <w:rPr>
          <w:sz w:val="26"/>
          <w:szCs w:val="26"/>
        </w:rPr>
      </w:pPr>
    </w:p>
    <w:p w14:paraId="08AAC750" w14:textId="77777777" w:rsidR="002C69EC" w:rsidRDefault="0065173D" w:rsidP="002C69EC">
      <w:pPr>
        <w:spacing w:line="360" w:lineRule="auto"/>
        <w:ind w:firstLine="720"/>
        <w:rPr>
          <w:sz w:val="26"/>
          <w:szCs w:val="26"/>
        </w:rPr>
      </w:pPr>
      <w:r>
        <w:rPr>
          <w:sz w:val="26"/>
          <w:szCs w:val="26"/>
        </w:rPr>
        <w:t xml:space="preserve">The </w:t>
      </w:r>
      <w:r w:rsidR="002C69EC">
        <w:rPr>
          <w:sz w:val="26"/>
          <w:szCs w:val="26"/>
        </w:rPr>
        <w:t>FirstEnergy Companies</w:t>
      </w:r>
      <w:r>
        <w:rPr>
          <w:sz w:val="26"/>
          <w:szCs w:val="26"/>
        </w:rPr>
        <w:t xml:space="preserve"> echo the request</w:t>
      </w:r>
      <w:r w:rsidR="00587491">
        <w:rPr>
          <w:sz w:val="26"/>
          <w:szCs w:val="26"/>
        </w:rPr>
        <w:t>s</w:t>
      </w:r>
      <w:r>
        <w:rPr>
          <w:sz w:val="26"/>
          <w:szCs w:val="26"/>
        </w:rPr>
        <w:t xml:space="preserve"> of PGW, PECO, EAP, and PPL to require medical professionals to provide their license number on the medical certificate form.  The</w:t>
      </w:r>
      <w:r w:rsidR="00587491">
        <w:rPr>
          <w:sz w:val="26"/>
          <w:szCs w:val="26"/>
        </w:rPr>
        <w:t xml:space="preserve"> FirstEnergy Companies explain that their additional recommendations</w:t>
      </w:r>
      <w:r>
        <w:rPr>
          <w:sz w:val="26"/>
          <w:szCs w:val="26"/>
        </w:rPr>
        <w:t xml:space="preserve"> include </w:t>
      </w:r>
      <w:r w:rsidR="00587491">
        <w:rPr>
          <w:sz w:val="26"/>
          <w:szCs w:val="26"/>
        </w:rPr>
        <w:t xml:space="preserve">(1) </w:t>
      </w:r>
      <w:r>
        <w:rPr>
          <w:sz w:val="26"/>
          <w:szCs w:val="26"/>
        </w:rPr>
        <w:t>that medical professionals be allowed to submit medical certificate information on letterhead</w:t>
      </w:r>
      <w:r w:rsidR="00587491">
        <w:rPr>
          <w:sz w:val="26"/>
          <w:szCs w:val="26"/>
        </w:rPr>
        <w:t>,</w:t>
      </w:r>
      <w:r>
        <w:rPr>
          <w:sz w:val="26"/>
          <w:szCs w:val="26"/>
        </w:rPr>
        <w:t xml:space="preserve"> </w:t>
      </w:r>
      <w:r w:rsidR="00587491">
        <w:rPr>
          <w:sz w:val="26"/>
          <w:szCs w:val="26"/>
        </w:rPr>
        <w:t xml:space="preserve">(2) </w:t>
      </w:r>
      <w:r>
        <w:rPr>
          <w:sz w:val="26"/>
          <w:szCs w:val="26"/>
        </w:rPr>
        <w:t xml:space="preserve">that medical certificate forms not be posted online, and </w:t>
      </w:r>
      <w:r w:rsidR="00587491">
        <w:rPr>
          <w:sz w:val="26"/>
          <w:szCs w:val="26"/>
        </w:rPr>
        <w:t xml:space="preserve">(3) </w:t>
      </w:r>
      <w:r>
        <w:rPr>
          <w:sz w:val="26"/>
          <w:szCs w:val="26"/>
        </w:rPr>
        <w:t>that customers be allowed to obtain only a limited number of medical certificates while they continue to have an outstanding balance.  The FirstEnergy Companies note that they have a number of high-balance accounts where customers obtain medical certificates and file informal and formal complain</w:t>
      </w:r>
      <w:r w:rsidR="00587491">
        <w:rPr>
          <w:sz w:val="26"/>
          <w:szCs w:val="26"/>
        </w:rPr>
        <w:t>t</w:t>
      </w:r>
      <w:r>
        <w:rPr>
          <w:sz w:val="26"/>
          <w:szCs w:val="26"/>
        </w:rPr>
        <w:t>s to avoid termination while making few, if any, payments.  The FirstEnergy Companies state that</w:t>
      </w:r>
      <w:r w:rsidR="00587491">
        <w:rPr>
          <w:sz w:val="26"/>
          <w:szCs w:val="26"/>
        </w:rPr>
        <w:t xml:space="preserve">, </w:t>
      </w:r>
      <w:r>
        <w:rPr>
          <w:sz w:val="26"/>
          <w:szCs w:val="26"/>
        </w:rPr>
        <w:t>in some cases, there may not be valid underlying medical conditions.  The FirstEnergy Companies also claim that allowing access to certificates with relative ease reduces the incentive for the customer to engage with the utility to find a long-term solution to an arrearage o</w:t>
      </w:r>
      <w:r w:rsidR="000E0C7D">
        <w:rPr>
          <w:sz w:val="26"/>
          <w:szCs w:val="26"/>
        </w:rPr>
        <w:t>r</w:t>
      </w:r>
      <w:r>
        <w:rPr>
          <w:sz w:val="26"/>
          <w:szCs w:val="26"/>
        </w:rPr>
        <w:t xml:space="preserve"> low</w:t>
      </w:r>
      <w:r w:rsidR="00587491">
        <w:rPr>
          <w:sz w:val="26"/>
          <w:szCs w:val="26"/>
        </w:rPr>
        <w:noBreakHyphen/>
        <w:t>income assistance.  As such, FirstEnergy Companies ask that the Commission adopt their recommendations, although they were not adopted in the Tentative Order.  FirstEnergy Comments at 2.</w:t>
      </w:r>
    </w:p>
    <w:p w14:paraId="1AAD0D86" w14:textId="77777777" w:rsidR="00FF43E5" w:rsidRDefault="00FF43E5" w:rsidP="002C69EC">
      <w:pPr>
        <w:spacing w:line="360" w:lineRule="auto"/>
        <w:ind w:firstLine="720"/>
        <w:rPr>
          <w:sz w:val="26"/>
          <w:szCs w:val="26"/>
        </w:rPr>
      </w:pPr>
    </w:p>
    <w:p w14:paraId="7BEC8FC3" w14:textId="77777777" w:rsidR="00FF43E5" w:rsidRDefault="00480356" w:rsidP="00480356">
      <w:pPr>
        <w:spacing w:line="360" w:lineRule="auto"/>
        <w:ind w:firstLine="720"/>
        <w:rPr>
          <w:b/>
          <w:bCs/>
          <w:sz w:val="26"/>
          <w:szCs w:val="26"/>
        </w:rPr>
      </w:pPr>
      <w:r>
        <w:rPr>
          <w:b/>
          <w:bCs/>
          <w:sz w:val="26"/>
          <w:szCs w:val="26"/>
        </w:rPr>
        <w:t>B.</w:t>
      </w:r>
      <w:r>
        <w:rPr>
          <w:b/>
          <w:bCs/>
          <w:sz w:val="26"/>
          <w:szCs w:val="26"/>
        </w:rPr>
        <w:tab/>
      </w:r>
      <w:r w:rsidR="00FF43E5" w:rsidRPr="0048593C">
        <w:rPr>
          <w:b/>
          <w:bCs/>
          <w:sz w:val="26"/>
          <w:szCs w:val="26"/>
        </w:rPr>
        <w:t>Disposition on Form of Medical Certificates</w:t>
      </w:r>
    </w:p>
    <w:p w14:paraId="3D5433FC" w14:textId="77777777" w:rsidR="00D44028" w:rsidRDefault="00FB2AD3" w:rsidP="00B53FAE">
      <w:pPr>
        <w:spacing w:line="360" w:lineRule="auto"/>
        <w:ind w:firstLine="720"/>
        <w:rPr>
          <w:sz w:val="26"/>
          <w:szCs w:val="26"/>
        </w:rPr>
      </w:pPr>
      <w:r>
        <w:rPr>
          <w:sz w:val="26"/>
          <w:szCs w:val="26"/>
        </w:rPr>
        <w:t xml:space="preserve">First, with regard to the </w:t>
      </w:r>
      <w:r w:rsidR="00E50D8F">
        <w:rPr>
          <w:sz w:val="26"/>
          <w:szCs w:val="26"/>
        </w:rPr>
        <w:t>Standard Medical Certificate Form</w:t>
      </w:r>
      <w:r w:rsidR="00E50D8F">
        <w:rPr>
          <w:rStyle w:val="FootnoteReference"/>
          <w:sz w:val="26"/>
          <w:szCs w:val="26"/>
        </w:rPr>
        <w:footnoteReference w:id="2"/>
      </w:r>
      <w:r w:rsidR="00914D5E">
        <w:rPr>
          <w:sz w:val="26"/>
          <w:szCs w:val="26"/>
        </w:rPr>
        <w:t xml:space="preserve"> (Form), </w:t>
      </w:r>
      <w:r w:rsidR="00E50D8F">
        <w:rPr>
          <w:sz w:val="26"/>
          <w:szCs w:val="26"/>
        </w:rPr>
        <w:t>w</w:t>
      </w:r>
      <w:r w:rsidR="00A135E1">
        <w:rPr>
          <w:sz w:val="26"/>
          <w:szCs w:val="26"/>
        </w:rPr>
        <w:t>e agree with CAUSE-PA</w:t>
      </w:r>
      <w:r w:rsidR="00E50D8F">
        <w:rPr>
          <w:sz w:val="26"/>
          <w:szCs w:val="26"/>
        </w:rPr>
        <w:t xml:space="preserve">’s suggestion to </w:t>
      </w:r>
      <w:r w:rsidR="00A135E1">
        <w:rPr>
          <w:sz w:val="26"/>
          <w:szCs w:val="26"/>
        </w:rPr>
        <w:t>clarify that the</w:t>
      </w:r>
      <w:r w:rsidR="005B584A">
        <w:rPr>
          <w:sz w:val="26"/>
          <w:szCs w:val="26"/>
        </w:rPr>
        <w:t xml:space="preserve"> “</w:t>
      </w:r>
      <w:r w:rsidR="00B53FAE">
        <w:rPr>
          <w:sz w:val="26"/>
          <w:szCs w:val="26"/>
        </w:rPr>
        <w:t>Account Number”</w:t>
      </w:r>
      <w:r w:rsidR="00580E42">
        <w:rPr>
          <w:sz w:val="26"/>
          <w:szCs w:val="26"/>
        </w:rPr>
        <w:t xml:space="preserve"> sought</w:t>
      </w:r>
      <w:r w:rsidR="00A135E1">
        <w:rPr>
          <w:sz w:val="26"/>
          <w:szCs w:val="26"/>
        </w:rPr>
        <w:t xml:space="preserve"> </w:t>
      </w:r>
      <w:r w:rsidR="00E50D8F">
        <w:rPr>
          <w:sz w:val="26"/>
          <w:szCs w:val="26"/>
        </w:rPr>
        <w:t xml:space="preserve">on the Form </w:t>
      </w:r>
      <w:r w:rsidR="00A135E1">
        <w:rPr>
          <w:sz w:val="26"/>
          <w:szCs w:val="26"/>
        </w:rPr>
        <w:t xml:space="preserve">is the </w:t>
      </w:r>
      <w:r w:rsidR="00A135E1">
        <w:rPr>
          <w:sz w:val="26"/>
          <w:szCs w:val="26"/>
        </w:rPr>
        <w:lastRenderedPageBreak/>
        <w:t xml:space="preserve">customer’s </w:t>
      </w:r>
      <w:r w:rsidR="00A05B6F">
        <w:rPr>
          <w:sz w:val="26"/>
          <w:szCs w:val="26"/>
        </w:rPr>
        <w:t>“</w:t>
      </w:r>
      <w:r w:rsidR="00A135E1">
        <w:rPr>
          <w:sz w:val="26"/>
          <w:szCs w:val="26"/>
        </w:rPr>
        <w:t>utility</w:t>
      </w:r>
      <w:r w:rsidR="00A05B6F">
        <w:rPr>
          <w:sz w:val="26"/>
          <w:szCs w:val="26"/>
        </w:rPr>
        <w:t>”</w:t>
      </w:r>
      <w:r w:rsidR="00A135E1">
        <w:rPr>
          <w:sz w:val="26"/>
          <w:szCs w:val="26"/>
        </w:rPr>
        <w:t xml:space="preserve"> account number</w:t>
      </w:r>
      <w:r w:rsidR="00B53FAE">
        <w:rPr>
          <w:sz w:val="26"/>
          <w:szCs w:val="26"/>
        </w:rPr>
        <w:t>.</w:t>
      </w:r>
      <w:r w:rsidR="00914D5E">
        <w:rPr>
          <w:sz w:val="26"/>
          <w:szCs w:val="26"/>
        </w:rPr>
        <w:t xml:space="preserve"> </w:t>
      </w:r>
      <w:r w:rsidR="00B53FAE">
        <w:rPr>
          <w:sz w:val="26"/>
          <w:szCs w:val="26"/>
        </w:rPr>
        <w:t xml:space="preserve"> W</w:t>
      </w:r>
      <w:r w:rsidR="00914D5E">
        <w:rPr>
          <w:sz w:val="26"/>
          <w:szCs w:val="26"/>
        </w:rPr>
        <w:t>e</w:t>
      </w:r>
      <w:r w:rsidR="00A135E1">
        <w:rPr>
          <w:sz w:val="26"/>
          <w:szCs w:val="26"/>
        </w:rPr>
        <w:t xml:space="preserve"> will modify</w:t>
      </w:r>
      <w:r w:rsidR="00A05B6F">
        <w:rPr>
          <w:sz w:val="26"/>
          <w:szCs w:val="26"/>
        </w:rPr>
        <w:t xml:space="preserve"> the </w:t>
      </w:r>
      <w:r w:rsidR="00DD1BE6">
        <w:rPr>
          <w:sz w:val="26"/>
          <w:szCs w:val="26"/>
        </w:rPr>
        <w:t>Fo</w:t>
      </w:r>
      <w:r w:rsidR="00A05B6F">
        <w:rPr>
          <w:sz w:val="26"/>
          <w:szCs w:val="26"/>
        </w:rPr>
        <w:t>rm</w:t>
      </w:r>
      <w:r w:rsidR="00A135E1">
        <w:rPr>
          <w:sz w:val="26"/>
          <w:szCs w:val="26"/>
        </w:rPr>
        <w:t xml:space="preserve"> </w:t>
      </w:r>
      <w:r w:rsidR="00580E42">
        <w:rPr>
          <w:sz w:val="26"/>
          <w:szCs w:val="26"/>
        </w:rPr>
        <w:t>accordingly</w:t>
      </w:r>
      <w:r w:rsidR="00A135E1">
        <w:rPr>
          <w:sz w:val="26"/>
          <w:szCs w:val="26"/>
        </w:rPr>
        <w:t xml:space="preserve">.  </w:t>
      </w:r>
      <w:r w:rsidR="00914D5E">
        <w:rPr>
          <w:sz w:val="26"/>
          <w:szCs w:val="26"/>
        </w:rPr>
        <w:t>W</w:t>
      </w:r>
      <w:r w:rsidR="00DD1BE6">
        <w:rPr>
          <w:sz w:val="26"/>
          <w:szCs w:val="26"/>
        </w:rPr>
        <w:t>e note that the OCA is correct that a</w:t>
      </w:r>
      <w:r w:rsidR="00D44028">
        <w:rPr>
          <w:sz w:val="26"/>
          <w:szCs w:val="26"/>
        </w:rPr>
        <w:t xml:space="preserve"> utility account number is not one of the five </w:t>
      </w:r>
      <w:r w:rsidR="00580E42">
        <w:rPr>
          <w:sz w:val="26"/>
          <w:szCs w:val="26"/>
        </w:rPr>
        <w:t>criteria for a medical certificat</w:t>
      </w:r>
      <w:r w:rsidR="00295E88">
        <w:rPr>
          <w:sz w:val="26"/>
          <w:szCs w:val="26"/>
        </w:rPr>
        <w:t>e</w:t>
      </w:r>
      <w:r w:rsidR="00580E42">
        <w:rPr>
          <w:sz w:val="26"/>
          <w:szCs w:val="26"/>
        </w:rPr>
        <w:t xml:space="preserve"> under</w:t>
      </w:r>
      <w:r w:rsidR="00D44028">
        <w:rPr>
          <w:sz w:val="26"/>
          <w:szCs w:val="26"/>
        </w:rPr>
        <w:t xml:space="preserve"> 52</w:t>
      </w:r>
      <w:r w:rsidR="00A135E1">
        <w:rPr>
          <w:sz w:val="26"/>
          <w:szCs w:val="26"/>
        </w:rPr>
        <w:t> </w:t>
      </w:r>
      <w:r w:rsidR="00D44028">
        <w:rPr>
          <w:sz w:val="26"/>
          <w:szCs w:val="26"/>
        </w:rPr>
        <w:t>Pa. Code § 56.113</w:t>
      </w:r>
      <w:r w:rsidR="00DD1BE6">
        <w:rPr>
          <w:sz w:val="26"/>
          <w:szCs w:val="26"/>
        </w:rPr>
        <w:t>.  Nonetheless, p</w:t>
      </w:r>
      <w:r w:rsidR="00A135E1">
        <w:rPr>
          <w:sz w:val="26"/>
          <w:szCs w:val="26"/>
        </w:rPr>
        <w:t>roviding the</w:t>
      </w:r>
      <w:r w:rsidR="00580E42">
        <w:rPr>
          <w:sz w:val="26"/>
          <w:szCs w:val="26"/>
        </w:rPr>
        <w:t xml:space="preserve"> customer’s</w:t>
      </w:r>
      <w:r w:rsidR="00A135E1">
        <w:rPr>
          <w:sz w:val="26"/>
          <w:szCs w:val="26"/>
        </w:rPr>
        <w:t xml:space="preserve"> utility account number on the </w:t>
      </w:r>
      <w:r w:rsidR="00295E88">
        <w:rPr>
          <w:sz w:val="26"/>
          <w:szCs w:val="26"/>
        </w:rPr>
        <w:t>Form</w:t>
      </w:r>
      <w:r w:rsidR="00DD1BE6">
        <w:rPr>
          <w:sz w:val="26"/>
          <w:szCs w:val="26"/>
        </w:rPr>
        <w:t xml:space="preserve"> </w:t>
      </w:r>
      <w:r w:rsidR="00D44028">
        <w:rPr>
          <w:sz w:val="26"/>
          <w:szCs w:val="26"/>
        </w:rPr>
        <w:t xml:space="preserve">may assist a utility in expediting </w:t>
      </w:r>
      <w:r w:rsidR="00580E42">
        <w:rPr>
          <w:sz w:val="26"/>
          <w:szCs w:val="26"/>
        </w:rPr>
        <w:t xml:space="preserve">the </w:t>
      </w:r>
      <w:r w:rsidR="00D44028">
        <w:rPr>
          <w:sz w:val="26"/>
          <w:szCs w:val="26"/>
        </w:rPr>
        <w:t xml:space="preserve">medical certificate.  </w:t>
      </w:r>
      <w:r w:rsidR="00A135E1">
        <w:rPr>
          <w:sz w:val="26"/>
          <w:szCs w:val="26"/>
        </w:rPr>
        <w:t>As such,</w:t>
      </w:r>
      <w:r w:rsidR="00D44028">
        <w:rPr>
          <w:sz w:val="26"/>
          <w:szCs w:val="26"/>
        </w:rPr>
        <w:t xml:space="preserve"> we find value in </w:t>
      </w:r>
      <w:r w:rsidR="00A135E1">
        <w:rPr>
          <w:sz w:val="26"/>
          <w:szCs w:val="26"/>
        </w:rPr>
        <w:t xml:space="preserve">maintaining </w:t>
      </w:r>
      <w:r w:rsidR="00580E42">
        <w:rPr>
          <w:sz w:val="26"/>
          <w:szCs w:val="26"/>
        </w:rPr>
        <w:t xml:space="preserve">this </w:t>
      </w:r>
      <w:r w:rsidR="00DD1BE6">
        <w:rPr>
          <w:sz w:val="26"/>
          <w:szCs w:val="26"/>
        </w:rPr>
        <w:t>portion of the Form</w:t>
      </w:r>
      <w:r w:rsidR="00D44028">
        <w:rPr>
          <w:sz w:val="26"/>
          <w:szCs w:val="26"/>
        </w:rPr>
        <w:t>.  We agree</w:t>
      </w:r>
      <w:r w:rsidR="00580E42">
        <w:rPr>
          <w:sz w:val="26"/>
          <w:szCs w:val="26"/>
        </w:rPr>
        <w:t xml:space="preserve"> with the OCA</w:t>
      </w:r>
      <w:r w:rsidR="00D44028">
        <w:rPr>
          <w:sz w:val="26"/>
          <w:szCs w:val="26"/>
        </w:rPr>
        <w:t>, however, that a medical professional may not be able to readily obtain a customer’s utility account number</w:t>
      </w:r>
      <w:r w:rsidR="00DD1BE6">
        <w:rPr>
          <w:sz w:val="26"/>
          <w:szCs w:val="26"/>
        </w:rPr>
        <w:t xml:space="preserve"> from the customer or otherwise.  </w:t>
      </w:r>
      <w:r w:rsidR="00A135E1">
        <w:rPr>
          <w:sz w:val="26"/>
          <w:szCs w:val="26"/>
        </w:rPr>
        <w:t>Therefore</w:t>
      </w:r>
      <w:r w:rsidR="00D44028">
        <w:rPr>
          <w:sz w:val="26"/>
          <w:szCs w:val="26"/>
        </w:rPr>
        <w:t xml:space="preserve">, in order to avoid </w:t>
      </w:r>
      <w:r w:rsidR="00A135E1">
        <w:rPr>
          <w:sz w:val="26"/>
          <w:szCs w:val="26"/>
        </w:rPr>
        <w:t>any</w:t>
      </w:r>
      <w:r w:rsidR="00D44028">
        <w:rPr>
          <w:sz w:val="26"/>
          <w:szCs w:val="26"/>
        </w:rPr>
        <w:t xml:space="preserve"> burden to medical professionals in the medical certificate process, we will </w:t>
      </w:r>
      <w:r w:rsidR="00DD1BE6">
        <w:rPr>
          <w:sz w:val="26"/>
          <w:szCs w:val="26"/>
        </w:rPr>
        <w:t>state</w:t>
      </w:r>
      <w:r w:rsidR="00134E51">
        <w:rPr>
          <w:sz w:val="26"/>
          <w:szCs w:val="26"/>
        </w:rPr>
        <w:t xml:space="preserve"> on the </w:t>
      </w:r>
      <w:r w:rsidR="000533F8">
        <w:rPr>
          <w:sz w:val="26"/>
          <w:szCs w:val="26"/>
        </w:rPr>
        <w:t>F</w:t>
      </w:r>
      <w:r w:rsidR="00134E51">
        <w:rPr>
          <w:sz w:val="26"/>
          <w:szCs w:val="26"/>
        </w:rPr>
        <w:t xml:space="preserve">orm that providing </w:t>
      </w:r>
      <w:r w:rsidR="00A135E1">
        <w:rPr>
          <w:sz w:val="26"/>
          <w:szCs w:val="26"/>
        </w:rPr>
        <w:t xml:space="preserve">the </w:t>
      </w:r>
      <w:r w:rsidR="00DD1BE6">
        <w:rPr>
          <w:sz w:val="26"/>
          <w:szCs w:val="26"/>
        </w:rPr>
        <w:t xml:space="preserve">customer’s </w:t>
      </w:r>
      <w:r w:rsidR="00A135E1">
        <w:rPr>
          <w:sz w:val="26"/>
          <w:szCs w:val="26"/>
        </w:rPr>
        <w:t>utility account number</w:t>
      </w:r>
      <w:r w:rsidR="00134E51">
        <w:rPr>
          <w:sz w:val="26"/>
          <w:szCs w:val="26"/>
        </w:rPr>
        <w:t xml:space="preserve"> is optional.  </w:t>
      </w:r>
    </w:p>
    <w:p w14:paraId="625B2608" w14:textId="77777777" w:rsidR="00B21361" w:rsidRDefault="00B21361" w:rsidP="00D44028">
      <w:pPr>
        <w:spacing w:line="360" w:lineRule="auto"/>
        <w:ind w:firstLine="720"/>
        <w:rPr>
          <w:sz w:val="26"/>
          <w:szCs w:val="26"/>
        </w:rPr>
      </w:pPr>
    </w:p>
    <w:p w14:paraId="5DCEF8CA" w14:textId="77777777" w:rsidR="00DD1BE6" w:rsidRDefault="00B53FAE" w:rsidP="00914822">
      <w:pPr>
        <w:spacing w:line="360" w:lineRule="auto"/>
        <w:ind w:firstLine="720"/>
        <w:rPr>
          <w:sz w:val="26"/>
          <w:szCs w:val="26"/>
        </w:rPr>
      </w:pPr>
      <w:r>
        <w:rPr>
          <w:sz w:val="26"/>
          <w:szCs w:val="26"/>
        </w:rPr>
        <w:t>Additionally</w:t>
      </w:r>
      <w:r w:rsidR="00FB2AD3">
        <w:rPr>
          <w:sz w:val="26"/>
          <w:szCs w:val="26"/>
        </w:rPr>
        <w:t>, we</w:t>
      </w:r>
      <w:r w:rsidR="00DD1BE6">
        <w:rPr>
          <w:sz w:val="26"/>
          <w:szCs w:val="26"/>
        </w:rPr>
        <w:t xml:space="preserve"> agree with</w:t>
      </w:r>
      <w:r w:rsidR="00A05B6F">
        <w:rPr>
          <w:sz w:val="26"/>
          <w:szCs w:val="26"/>
        </w:rPr>
        <w:t xml:space="preserve"> CAUSE-PA and HELP: MLP </w:t>
      </w:r>
      <w:r w:rsidR="00FB2AD3">
        <w:rPr>
          <w:sz w:val="26"/>
          <w:szCs w:val="26"/>
        </w:rPr>
        <w:t xml:space="preserve">that the </w:t>
      </w:r>
      <w:r w:rsidR="00DD1BE6">
        <w:rPr>
          <w:sz w:val="26"/>
          <w:szCs w:val="26"/>
        </w:rPr>
        <w:t>Form should be modified with respect to the use of the term “</w:t>
      </w:r>
      <w:r w:rsidR="001F2CB5">
        <w:rPr>
          <w:sz w:val="26"/>
          <w:szCs w:val="26"/>
        </w:rPr>
        <w:t>affliction</w:t>
      </w:r>
      <w:r w:rsidR="001368E5">
        <w:rPr>
          <w:sz w:val="26"/>
          <w:szCs w:val="26"/>
        </w:rPr>
        <w:t>.</w:t>
      </w:r>
      <w:r w:rsidR="00DD1BE6">
        <w:rPr>
          <w:sz w:val="26"/>
          <w:szCs w:val="26"/>
        </w:rPr>
        <w:t xml:space="preserve">”  The Commission’s regulations at 52 Pa. Code § 56.2 refer to a “medical condition” in the definition of medical certificate, while the regulations at 52 Pa. Code § 56.113 refer to an “affliction” in </w:t>
      </w:r>
      <w:r w:rsidR="001368E5">
        <w:rPr>
          <w:sz w:val="26"/>
          <w:szCs w:val="26"/>
        </w:rPr>
        <w:t xml:space="preserve">listing </w:t>
      </w:r>
      <w:r w:rsidR="00DD1BE6">
        <w:rPr>
          <w:sz w:val="26"/>
          <w:szCs w:val="26"/>
        </w:rPr>
        <w:t>the requirements for a medica</w:t>
      </w:r>
      <w:r w:rsidR="001F2CB5">
        <w:rPr>
          <w:sz w:val="26"/>
          <w:szCs w:val="26"/>
        </w:rPr>
        <w:t>l</w:t>
      </w:r>
      <w:r w:rsidR="00DD1BE6">
        <w:rPr>
          <w:sz w:val="26"/>
          <w:szCs w:val="26"/>
        </w:rPr>
        <w:t xml:space="preserve"> certificat</w:t>
      </w:r>
      <w:r w:rsidR="001F2CB5">
        <w:rPr>
          <w:sz w:val="26"/>
          <w:szCs w:val="26"/>
        </w:rPr>
        <w:t>e</w:t>
      </w:r>
      <w:r w:rsidR="00DD1BE6">
        <w:rPr>
          <w:sz w:val="26"/>
          <w:szCs w:val="26"/>
        </w:rPr>
        <w:t xml:space="preserve">.  </w:t>
      </w:r>
      <w:r w:rsidR="00FB2AD3">
        <w:rPr>
          <w:sz w:val="26"/>
          <w:szCs w:val="26"/>
        </w:rPr>
        <w:t>W</w:t>
      </w:r>
      <w:r w:rsidR="00DD1BE6">
        <w:rPr>
          <w:sz w:val="26"/>
          <w:szCs w:val="26"/>
        </w:rPr>
        <w:t xml:space="preserve">e will include both terms on the Form to ensure that the Form </w:t>
      </w:r>
      <w:r w:rsidR="001368E5">
        <w:rPr>
          <w:sz w:val="26"/>
          <w:szCs w:val="26"/>
        </w:rPr>
        <w:t>reflects these</w:t>
      </w:r>
      <w:r w:rsidR="00DD1BE6">
        <w:rPr>
          <w:sz w:val="26"/>
          <w:szCs w:val="26"/>
        </w:rPr>
        <w:t xml:space="preserve"> regulations. </w:t>
      </w:r>
      <w:r w:rsidR="00914822">
        <w:rPr>
          <w:sz w:val="26"/>
          <w:szCs w:val="26"/>
        </w:rPr>
        <w:t xml:space="preserve"> </w:t>
      </w:r>
      <w:r w:rsidR="00C97337">
        <w:rPr>
          <w:sz w:val="26"/>
          <w:szCs w:val="26"/>
        </w:rPr>
        <w:t xml:space="preserve">We will also mirror this change in the Medical Certificate Guidance.  </w:t>
      </w:r>
      <w:r w:rsidR="00914822">
        <w:rPr>
          <w:sz w:val="26"/>
          <w:szCs w:val="26"/>
        </w:rPr>
        <w:t>Moreover, we disagree with CAUSE</w:t>
      </w:r>
      <w:r w:rsidR="001368E5">
        <w:rPr>
          <w:sz w:val="26"/>
          <w:szCs w:val="26"/>
        </w:rPr>
        <w:noBreakHyphen/>
      </w:r>
      <w:r w:rsidR="00914822">
        <w:rPr>
          <w:sz w:val="26"/>
          <w:szCs w:val="26"/>
        </w:rPr>
        <w:t xml:space="preserve">PA that the portion of the Form addressing the duration of the </w:t>
      </w:r>
      <w:r w:rsidR="004A2205">
        <w:rPr>
          <w:sz w:val="26"/>
          <w:szCs w:val="26"/>
        </w:rPr>
        <w:t xml:space="preserve">medical </w:t>
      </w:r>
      <w:r w:rsidR="00914822">
        <w:rPr>
          <w:sz w:val="26"/>
          <w:szCs w:val="26"/>
        </w:rPr>
        <w:t xml:space="preserve">condition or affliction </w:t>
      </w:r>
      <w:r w:rsidR="005469E5">
        <w:rPr>
          <w:sz w:val="26"/>
          <w:szCs w:val="26"/>
        </w:rPr>
        <w:t>should be modified.</w:t>
      </w:r>
      <w:r w:rsidR="00914822">
        <w:rPr>
          <w:sz w:val="26"/>
          <w:szCs w:val="26"/>
        </w:rPr>
        <w:t xml:space="preserve">  The regulations at 52 Pa. Code § 56.113 require </w:t>
      </w:r>
      <w:r w:rsidR="001368E5">
        <w:rPr>
          <w:sz w:val="26"/>
          <w:szCs w:val="26"/>
        </w:rPr>
        <w:t xml:space="preserve">information on </w:t>
      </w:r>
      <w:r w:rsidR="00914822">
        <w:rPr>
          <w:sz w:val="26"/>
          <w:szCs w:val="26"/>
        </w:rPr>
        <w:t xml:space="preserve">the “anticipated length of the </w:t>
      </w:r>
      <w:r w:rsidR="005469E5">
        <w:rPr>
          <w:sz w:val="26"/>
          <w:szCs w:val="26"/>
        </w:rPr>
        <w:t>affliction</w:t>
      </w:r>
      <w:r w:rsidR="00914822">
        <w:rPr>
          <w:sz w:val="26"/>
          <w:szCs w:val="26"/>
        </w:rPr>
        <w:t xml:space="preserve">,” regardless of duration.  </w:t>
      </w:r>
      <w:r w:rsidR="005469E5">
        <w:rPr>
          <w:sz w:val="26"/>
          <w:szCs w:val="26"/>
        </w:rPr>
        <w:t>Contrary to CAUSE-PA’s assertion, th</w:t>
      </w:r>
      <w:r w:rsidR="00914D5E">
        <w:rPr>
          <w:sz w:val="26"/>
          <w:szCs w:val="26"/>
        </w:rPr>
        <w:t>e</w:t>
      </w:r>
      <w:r w:rsidR="005469E5">
        <w:rPr>
          <w:sz w:val="26"/>
          <w:szCs w:val="26"/>
        </w:rPr>
        <w:t xml:space="preserve"> requirement</w:t>
      </w:r>
      <w:r w:rsidR="00914D5E">
        <w:rPr>
          <w:sz w:val="26"/>
          <w:szCs w:val="26"/>
        </w:rPr>
        <w:t xml:space="preserve"> </w:t>
      </w:r>
      <w:r w:rsidR="005469E5">
        <w:rPr>
          <w:sz w:val="26"/>
          <w:szCs w:val="26"/>
        </w:rPr>
        <w:t xml:space="preserve">must be included even when the duration is less than 30 days.  </w:t>
      </w:r>
    </w:p>
    <w:p w14:paraId="682B4F32" w14:textId="77777777" w:rsidR="0048593C" w:rsidRDefault="0048593C" w:rsidP="0048593C">
      <w:pPr>
        <w:spacing w:line="360" w:lineRule="auto"/>
        <w:rPr>
          <w:sz w:val="26"/>
          <w:szCs w:val="26"/>
        </w:rPr>
      </w:pPr>
    </w:p>
    <w:p w14:paraId="608A2DFE" w14:textId="77777777" w:rsidR="005469E5" w:rsidRDefault="00317A27" w:rsidP="005469E5">
      <w:pPr>
        <w:spacing w:line="360" w:lineRule="auto"/>
        <w:ind w:firstLine="720"/>
        <w:rPr>
          <w:sz w:val="26"/>
          <w:szCs w:val="26"/>
        </w:rPr>
      </w:pPr>
      <w:r>
        <w:rPr>
          <w:sz w:val="26"/>
          <w:szCs w:val="26"/>
        </w:rPr>
        <w:t>W</w:t>
      </w:r>
      <w:r w:rsidR="005469E5">
        <w:rPr>
          <w:sz w:val="26"/>
          <w:szCs w:val="26"/>
        </w:rPr>
        <w:t>e</w:t>
      </w:r>
      <w:r>
        <w:rPr>
          <w:sz w:val="26"/>
          <w:szCs w:val="26"/>
        </w:rPr>
        <w:t xml:space="preserve"> also</w:t>
      </w:r>
      <w:r w:rsidR="005469E5">
        <w:rPr>
          <w:sz w:val="26"/>
          <w:szCs w:val="26"/>
        </w:rPr>
        <w:t xml:space="preserve"> disagree with the suggestion to incorporate the Commission’s logo on the </w:t>
      </w:r>
      <w:r>
        <w:rPr>
          <w:sz w:val="26"/>
          <w:szCs w:val="26"/>
        </w:rPr>
        <w:t>Form.</w:t>
      </w:r>
      <w:r w:rsidR="005469E5">
        <w:rPr>
          <w:sz w:val="26"/>
          <w:szCs w:val="26"/>
        </w:rPr>
        <w:t xml:space="preserve">  The Form </w:t>
      </w:r>
      <w:r w:rsidR="00E50D8F">
        <w:rPr>
          <w:sz w:val="26"/>
          <w:szCs w:val="26"/>
        </w:rPr>
        <w:t xml:space="preserve">is intended to </w:t>
      </w:r>
      <w:r w:rsidR="005469E5">
        <w:rPr>
          <w:sz w:val="26"/>
          <w:szCs w:val="26"/>
        </w:rPr>
        <w:t>serve as a resource</w:t>
      </w:r>
      <w:r w:rsidR="001E7CEB">
        <w:rPr>
          <w:sz w:val="26"/>
          <w:szCs w:val="26"/>
        </w:rPr>
        <w:t xml:space="preserve"> and template</w:t>
      </w:r>
      <w:r w:rsidR="005469E5">
        <w:rPr>
          <w:sz w:val="26"/>
          <w:szCs w:val="26"/>
        </w:rPr>
        <w:t xml:space="preserve"> for customers, medical professionals, and utilities</w:t>
      </w:r>
      <w:r w:rsidR="00E50D8F">
        <w:rPr>
          <w:sz w:val="26"/>
          <w:szCs w:val="26"/>
        </w:rPr>
        <w:t xml:space="preserve"> in submitting and processing medical certificates</w:t>
      </w:r>
      <w:r w:rsidR="005469E5">
        <w:rPr>
          <w:sz w:val="26"/>
          <w:szCs w:val="26"/>
        </w:rPr>
        <w:t xml:space="preserve">.  Adding the Commission’s logo </w:t>
      </w:r>
      <w:r w:rsidR="00E50D8F">
        <w:rPr>
          <w:sz w:val="26"/>
          <w:szCs w:val="26"/>
        </w:rPr>
        <w:t xml:space="preserve">to the Form </w:t>
      </w:r>
      <w:r w:rsidR="005469E5">
        <w:rPr>
          <w:sz w:val="26"/>
          <w:szCs w:val="26"/>
        </w:rPr>
        <w:t>may create confusion</w:t>
      </w:r>
      <w:r w:rsidR="00E50D8F">
        <w:rPr>
          <w:sz w:val="26"/>
          <w:szCs w:val="26"/>
        </w:rPr>
        <w:t xml:space="preserve"> by leading</w:t>
      </w:r>
      <w:r w:rsidR="005469E5">
        <w:rPr>
          <w:sz w:val="26"/>
          <w:szCs w:val="26"/>
        </w:rPr>
        <w:t xml:space="preserve"> customers or medical professionals to submit the Form to the Commission, rather than the utility, </w:t>
      </w:r>
      <w:r w:rsidR="00E50D8F">
        <w:rPr>
          <w:sz w:val="26"/>
          <w:szCs w:val="26"/>
        </w:rPr>
        <w:t>which may result in unnecessary</w:t>
      </w:r>
      <w:r w:rsidR="005469E5">
        <w:rPr>
          <w:sz w:val="26"/>
          <w:szCs w:val="26"/>
        </w:rPr>
        <w:t xml:space="preserve"> processing delays.  </w:t>
      </w:r>
    </w:p>
    <w:p w14:paraId="30135AA4" w14:textId="77777777" w:rsidR="005469E5" w:rsidRDefault="005469E5" w:rsidP="0048593C">
      <w:pPr>
        <w:spacing w:line="360" w:lineRule="auto"/>
        <w:rPr>
          <w:sz w:val="26"/>
          <w:szCs w:val="26"/>
        </w:rPr>
      </w:pPr>
    </w:p>
    <w:p w14:paraId="71891899" w14:textId="77777777" w:rsidR="00B53FAE" w:rsidRDefault="00B53FAE" w:rsidP="00B53FAE">
      <w:pPr>
        <w:spacing w:line="360" w:lineRule="auto"/>
        <w:ind w:firstLine="720"/>
        <w:rPr>
          <w:sz w:val="26"/>
          <w:szCs w:val="26"/>
        </w:rPr>
      </w:pPr>
      <w:r>
        <w:rPr>
          <w:sz w:val="26"/>
          <w:szCs w:val="26"/>
        </w:rPr>
        <w:lastRenderedPageBreak/>
        <w:t>Moreover, we agree with PWSA, PECO, EAP, and PPL’s recommendation that a medical professional’s license number should be included on Form.  PPL notes that the definition of “medical certificate” in the Commission’s regulations at 52 Pa. Code § 56.2 provides, in part, that a medical certificate must be “signed by a</w:t>
      </w:r>
      <w:r w:rsidRPr="00FB2AD3">
        <w:rPr>
          <w:i/>
          <w:iCs/>
          <w:sz w:val="26"/>
          <w:szCs w:val="26"/>
        </w:rPr>
        <w:t xml:space="preserve"> licensed</w:t>
      </w:r>
      <w:r>
        <w:rPr>
          <w:sz w:val="26"/>
          <w:szCs w:val="26"/>
        </w:rPr>
        <w:t xml:space="preserve"> physician, nurse practitioner or physician assistant.” (emphasis added).  We note that, in Section 1403 of the Public Utility Code, the General Assembly defined a “medical certificate” as: </w:t>
      </w:r>
    </w:p>
    <w:p w14:paraId="33818950" w14:textId="77777777" w:rsidR="00B53FAE" w:rsidRDefault="00B53FAE" w:rsidP="00B53FAE">
      <w:pPr>
        <w:spacing w:line="360" w:lineRule="auto"/>
        <w:ind w:firstLine="720"/>
        <w:rPr>
          <w:sz w:val="26"/>
          <w:szCs w:val="26"/>
        </w:rPr>
      </w:pPr>
    </w:p>
    <w:p w14:paraId="0B7D92EA" w14:textId="77777777" w:rsidR="00B53FAE" w:rsidRDefault="00B53FAE" w:rsidP="00BB51E8">
      <w:pPr>
        <w:ind w:left="1440" w:right="1440"/>
        <w:rPr>
          <w:sz w:val="26"/>
          <w:szCs w:val="26"/>
        </w:rPr>
      </w:pPr>
      <w:r>
        <w:rPr>
          <w:sz w:val="26"/>
          <w:szCs w:val="26"/>
        </w:rPr>
        <w:t>A written document, in a form approved by the commission:</w:t>
      </w:r>
    </w:p>
    <w:p w14:paraId="6B79CE1B" w14:textId="77777777" w:rsidR="00B53FAE" w:rsidRDefault="00B53FAE" w:rsidP="00B53FAE">
      <w:pPr>
        <w:ind w:left="1440" w:right="1440"/>
        <w:rPr>
          <w:sz w:val="26"/>
          <w:szCs w:val="26"/>
        </w:rPr>
      </w:pPr>
    </w:p>
    <w:p w14:paraId="3AE4DD5E" w14:textId="77777777" w:rsidR="00B53FAE" w:rsidRDefault="00B53FAE" w:rsidP="00BB51E8">
      <w:pPr>
        <w:ind w:left="1440" w:right="1440"/>
        <w:rPr>
          <w:sz w:val="26"/>
          <w:szCs w:val="26"/>
        </w:rPr>
      </w:pPr>
      <w:r>
        <w:rPr>
          <w:sz w:val="26"/>
          <w:szCs w:val="26"/>
        </w:rPr>
        <w:t xml:space="preserve">(1)  certifying that a customer or member of the customer or member of the customer’s household is seriously ill or has been diagnosed with a medical condition which requires the </w:t>
      </w:r>
    </w:p>
    <w:p w14:paraId="790D26DA" w14:textId="77777777" w:rsidR="00B53FAE" w:rsidRDefault="00B53FAE" w:rsidP="00B53FAE">
      <w:pPr>
        <w:ind w:left="1440" w:right="1440"/>
        <w:rPr>
          <w:sz w:val="26"/>
          <w:szCs w:val="26"/>
        </w:rPr>
      </w:pPr>
      <w:r>
        <w:rPr>
          <w:sz w:val="26"/>
          <w:szCs w:val="26"/>
        </w:rPr>
        <w:t>continuation of service to treat the medical condition; and</w:t>
      </w:r>
    </w:p>
    <w:p w14:paraId="089872E2" w14:textId="77777777" w:rsidR="00B53FAE" w:rsidRDefault="00B53FAE" w:rsidP="00BB51E8">
      <w:pPr>
        <w:ind w:left="1440" w:right="1440"/>
        <w:rPr>
          <w:sz w:val="26"/>
          <w:szCs w:val="26"/>
        </w:rPr>
      </w:pPr>
    </w:p>
    <w:p w14:paraId="5B7BFAFA" w14:textId="77777777" w:rsidR="00B53FAE" w:rsidRDefault="00B53FAE" w:rsidP="00BB51E8">
      <w:pPr>
        <w:ind w:left="1440" w:right="1440"/>
        <w:rPr>
          <w:sz w:val="26"/>
          <w:szCs w:val="26"/>
        </w:rPr>
      </w:pPr>
      <w:r>
        <w:rPr>
          <w:sz w:val="26"/>
          <w:szCs w:val="26"/>
        </w:rPr>
        <w:t xml:space="preserve">(2)  signed by a </w:t>
      </w:r>
      <w:r w:rsidRPr="000D7796">
        <w:rPr>
          <w:i/>
          <w:iCs/>
          <w:sz w:val="26"/>
          <w:szCs w:val="26"/>
        </w:rPr>
        <w:t>licensed</w:t>
      </w:r>
      <w:r>
        <w:rPr>
          <w:sz w:val="26"/>
          <w:szCs w:val="26"/>
        </w:rPr>
        <w:t xml:space="preserve"> physician, nurse practitioner or physician’s assistant. </w:t>
      </w:r>
    </w:p>
    <w:p w14:paraId="3E582F79" w14:textId="77777777" w:rsidR="00B53FAE" w:rsidRDefault="00B53FAE" w:rsidP="0048593C">
      <w:pPr>
        <w:spacing w:line="360" w:lineRule="auto"/>
        <w:rPr>
          <w:sz w:val="26"/>
          <w:szCs w:val="26"/>
        </w:rPr>
      </w:pPr>
    </w:p>
    <w:p w14:paraId="582208F3" w14:textId="77777777" w:rsidR="00A878EC" w:rsidRDefault="00B53FAE" w:rsidP="00BB51E8">
      <w:pPr>
        <w:spacing w:line="360" w:lineRule="auto"/>
        <w:rPr>
          <w:sz w:val="26"/>
          <w:szCs w:val="26"/>
        </w:rPr>
      </w:pPr>
      <w:r>
        <w:rPr>
          <w:sz w:val="26"/>
          <w:szCs w:val="26"/>
        </w:rPr>
        <w:t xml:space="preserve">66 Pa.C.S. § 1403 (emphasis added).  This definition includes two main elements for the written document and a signature from a “licensed” medical professional is one of those elements.  We find that including a field for the license number on the Form is a lawful and reasonable way to give effect to all the words of the definition.  </w:t>
      </w:r>
      <w:r w:rsidRPr="002C534C">
        <w:rPr>
          <w:i/>
          <w:iCs/>
          <w:sz w:val="26"/>
          <w:szCs w:val="26"/>
        </w:rPr>
        <w:t>See</w:t>
      </w:r>
      <w:r>
        <w:rPr>
          <w:sz w:val="26"/>
          <w:szCs w:val="26"/>
        </w:rPr>
        <w:t xml:space="preserve"> 1 Pa.C.S. § 1921(a) (every statute shall be construed to give effect to all its provisions).  The inclusion of the license number on the Form will also prevent against fraud and misuse of the medical certificate process and, thereby, advance the General Assembly’s policy goal of protecting the interests of timely paying customers.</w:t>
      </w:r>
      <w:r>
        <w:rPr>
          <w:rStyle w:val="FootnoteReference"/>
          <w:sz w:val="26"/>
          <w:szCs w:val="26"/>
        </w:rPr>
        <w:footnoteReference w:id="3"/>
      </w:r>
      <w:r>
        <w:rPr>
          <w:sz w:val="26"/>
          <w:szCs w:val="26"/>
        </w:rPr>
        <w:t xml:space="preserve">  Thus, we will add a field to the </w:t>
      </w:r>
    </w:p>
    <w:p w14:paraId="2CBE43DF" w14:textId="77777777" w:rsidR="00B53FAE" w:rsidRPr="00F72E9F" w:rsidRDefault="00A878EC" w:rsidP="00BB51E8">
      <w:pPr>
        <w:spacing w:line="360" w:lineRule="auto"/>
        <w:rPr>
          <w:sz w:val="26"/>
          <w:szCs w:val="26"/>
        </w:rPr>
      </w:pPr>
      <w:r>
        <w:br w:type="page"/>
      </w:r>
      <w:r w:rsidR="00B53FAE" w:rsidRPr="00F72E9F">
        <w:rPr>
          <w:sz w:val="26"/>
          <w:szCs w:val="26"/>
        </w:rPr>
        <w:lastRenderedPageBreak/>
        <w:t>Form for the license number of the physician, nurse practitioner, or physician’s assistant.  We will also reflect this change in the Medical Certificate Guidance.</w:t>
      </w:r>
    </w:p>
    <w:p w14:paraId="1A3E8394" w14:textId="77777777" w:rsidR="00B53FAE" w:rsidRDefault="00B53FAE" w:rsidP="00A878EC">
      <w:pPr>
        <w:spacing w:line="360" w:lineRule="auto"/>
        <w:rPr>
          <w:sz w:val="26"/>
          <w:szCs w:val="26"/>
        </w:rPr>
      </w:pPr>
    </w:p>
    <w:p w14:paraId="6B4A75C4" w14:textId="77777777" w:rsidR="00B53FAE" w:rsidRDefault="00317A27" w:rsidP="00B53FAE">
      <w:pPr>
        <w:spacing w:line="360" w:lineRule="auto"/>
        <w:ind w:firstLine="720"/>
        <w:rPr>
          <w:sz w:val="26"/>
          <w:szCs w:val="26"/>
        </w:rPr>
      </w:pPr>
      <w:r>
        <w:rPr>
          <w:sz w:val="26"/>
          <w:szCs w:val="26"/>
        </w:rPr>
        <w:t>Finally, with respect to the Form, we note that, while we strongly encourage use of the Form, it is not required.  Pursuant to the Commission’s regulations at 52 Pa. Code §</w:t>
      </w:r>
      <w:r w:rsidR="00A878EC">
        <w:rPr>
          <w:sz w:val="26"/>
          <w:szCs w:val="26"/>
        </w:rPr>
        <w:t> </w:t>
      </w:r>
      <w:r>
        <w:rPr>
          <w:sz w:val="26"/>
          <w:szCs w:val="26"/>
        </w:rPr>
        <w:t xml:space="preserve">56.113, “[p]ublic utilities may develop a medical certificate form,” but it “may not be mandatory.”  Consistent with the intent of the regulations to afford some flexibility in the medical certificate process, we will not require the use of the Form.  The Form is a tool to help simplify the medical certificate process for customers, medical professionals, and utilities.  </w:t>
      </w:r>
      <w:r w:rsidR="00C63D60">
        <w:rPr>
          <w:sz w:val="26"/>
          <w:szCs w:val="26"/>
        </w:rPr>
        <w:t>Utilities</w:t>
      </w:r>
      <w:r>
        <w:rPr>
          <w:sz w:val="26"/>
          <w:szCs w:val="26"/>
        </w:rPr>
        <w:t xml:space="preserve"> continue to be required to accept medical certifications “in writing” that </w:t>
      </w:r>
      <w:r w:rsidR="00B53FAE">
        <w:rPr>
          <w:sz w:val="26"/>
          <w:szCs w:val="26"/>
        </w:rPr>
        <w:t xml:space="preserve">satisfy the definition of “medical certificate” and </w:t>
      </w:r>
      <w:r>
        <w:rPr>
          <w:sz w:val="26"/>
          <w:szCs w:val="26"/>
        </w:rPr>
        <w:t>include</w:t>
      </w:r>
      <w:r w:rsidR="00C63D60">
        <w:rPr>
          <w:sz w:val="26"/>
          <w:szCs w:val="26"/>
        </w:rPr>
        <w:t xml:space="preserve"> all of the</w:t>
      </w:r>
      <w:r>
        <w:rPr>
          <w:sz w:val="26"/>
          <w:szCs w:val="26"/>
        </w:rPr>
        <w:t xml:space="preserve"> criteria set forth in 52</w:t>
      </w:r>
      <w:r w:rsidR="00B53FAE">
        <w:rPr>
          <w:sz w:val="26"/>
          <w:szCs w:val="26"/>
        </w:rPr>
        <w:t> </w:t>
      </w:r>
      <w:r>
        <w:rPr>
          <w:sz w:val="26"/>
          <w:szCs w:val="26"/>
        </w:rPr>
        <w:t xml:space="preserve">Pa. Code § 56.113. </w:t>
      </w:r>
      <w:r w:rsidR="00B53FAE">
        <w:rPr>
          <w:sz w:val="26"/>
          <w:szCs w:val="26"/>
        </w:rPr>
        <w:t xml:space="preserve"> For example, with respect to the Form being signed by a licensed physician, nurse practitioner, or physician’s assistant, the medical professional may submit a written document containing the required information on their own letterhead and a utility may find that the information is of sufficient detail to establish that the medical professional is licensed or that the communication allows the utility to easily verify that the medical professional is licensed.  In this regard, we remind utilities that they must provide service in an efficient, safe, and reasonable manner in their review of medical certificates.  We also remind utilities that they are expected to exercise sound judgement and utilize their discretion in addressing exigent circumstances affecting the health and safety of their customers.</w:t>
      </w:r>
    </w:p>
    <w:p w14:paraId="2294D877" w14:textId="77777777" w:rsidR="00317A27" w:rsidRPr="0048593C" w:rsidRDefault="00317A27" w:rsidP="00317A27">
      <w:pPr>
        <w:spacing w:line="360" w:lineRule="auto"/>
        <w:ind w:firstLine="720"/>
        <w:rPr>
          <w:sz w:val="26"/>
          <w:szCs w:val="26"/>
        </w:rPr>
      </w:pPr>
    </w:p>
    <w:p w14:paraId="4341153D" w14:textId="77777777" w:rsidR="00284155" w:rsidRDefault="00FB2AD3" w:rsidP="00795734">
      <w:pPr>
        <w:spacing w:line="360" w:lineRule="auto"/>
        <w:ind w:firstLine="720"/>
        <w:rPr>
          <w:sz w:val="26"/>
          <w:szCs w:val="26"/>
        </w:rPr>
      </w:pPr>
      <w:r>
        <w:rPr>
          <w:sz w:val="26"/>
          <w:szCs w:val="26"/>
        </w:rPr>
        <w:t xml:space="preserve">Next, </w:t>
      </w:r>
      <w:r w:rsidR="00284155">
        <w:rPr>
          <w:sz w:val="26"/>
          <w:szCs w:val="26"/>
        </w:rPr>
        <w:t>as it pertains to the Medical Certificate Guidance</w:t>
      </w:r>
      <w:r w:rsidR="00284155">
        <w:rPr>
          <w:rStyle w:val="FootnoteReference"/>
          <w:sz w:val="26"/>
          <w:szCs w:val="26"/>
        </w:rPr>
        <w:footnoteReference w:id="4"/>
      </w:r>
      <w:r w:rsidR="000B1C09">
        <w:rPr>
          <w:sz w:val="26"/>
          <w:szCs w:val="26"/>
        </w:rPr>
        <w:t xml:space="preserve"> (Guidance) for c</w:t>
      </w:r>
      <w:r w:rsidR="00EC4A76">
        <w:rPr>
          <w:sz w:val="26"/>
          <w:szCs w:val="26"/>
        </w:rPr>
        <w:t>onsumers</w:t>
      </w:r>
      <w:r w:rsidR="000B1C09">
        <w:rPr>
          <w:sz w:val="26"/>
          <w:szCs w:val="26"/>
        </w:rPr>
        <w:t xml:space="preserve"> and medical professionals,</w:t>
      </w:r>
      <w:r w:rsidR="00317A27">
        <w:rPr>
          <w:sz w:val="26"/>
          <w:szCs w:val="26"/>
        </w:rPr>
        <w:t xml:space="preserve"> </w:t>
      </w:r>
      <w:r w:rsidR="000B1C09">
        <w:rPr>
          <w:sz w:val="26"/>
          <w:szCs w:val="26"/>
        </w:rPr>
        <w:t xml:space="preserve">we agree with EAP, CAUSE-PA, and Duquesne that including additional information </w:t>
      </w:r>
      <w:r w:rsidR="002B4CB3">
        <w:rPr>
          <w:sz w:val="26"/>
          <w:szCs w:val="26"/>
        </w:rPr>
        <w:t xml:space="preserve">in the Guidance </w:t>
      </w:r>
      <w:r w:rsidR="00795734">
        <w:rPr>
          <w:sz w:val="26"/>
          <w:szCs w:val="26"/>
        </w:rPr>
        <w:t>would be useful.  As EAP suggests, we</w:t>
      </w:r>
      <w:r w:rsidR="000E0C7D">
        <w:rPr>
          <w:sz w:val="26"/>
          <w:szCs w:val="26"/>
        </w:rPr>
        <w:t xml:space="preserve"> will modify the Guidance to </w:t>
      </w:r>
      <w:r w:rsidR="004D56F9">
        <w:rPr>
          <w:sz w:val="26"/>
          <w:szCs w:val="26"/>
        </w:rPr>
        <w:t>emphasize</w:t>
      </w:r>
      <w:r w:rsidR="0020745F">
        <w:rPr>
          <w:sz w:val="26"/>
          <w:szCs w:val="26"/>
        </w:rPr>
        <w:t xml:space="preserve"> </w:t>
      </w:r>
      <w:r w:rsidR="004D56F9">
        <w:rPr>
          <w:sz w:val="26"/>
          <w:szCs w:val="26"/>
        </w:rPr>
        <w:t xml:space="preserve">the </w:t>
      </w:r>
      <w:r w:rsidR="000E0C7D">
        <w:rPr>
          <w:sz w:val="26"/>
          <w:szCs w:val="26"/>
        </w:rPr>
        <w:t>following statement</w:t>
      </w:r>
      <w:r w:rsidR="0020745F">
        <w:rPr>
          <w:sz w:val="26"/>
          <w:szCs w:val="26"/>
        </w:rPr>
        <w:t xml:space="preserve"> earlier in the document</w:t>
      </w:r>
      <w:r w:rsidR="000E0C7D">
        <w:rPr>
          <w:sz w:val="26"/>
          <w:szCs w:val="26"/>
        </w:rPr>
        <w:t xml:space="preserve">: “You still have the responsibility to pay your current bills or your budget billing amount during </w:t>
      </w:r>
      <w:r w:rsidR="000E0C7D">
        <w:rPr>
          <w:sz w:val="26"/>
          <w:szCs w:val="26"/>
        </w:rPr>
        <w:lastRenderedPageBreak/>
        <w:t>the postponement and any renewal thereof</w:t>
      </w:r>
      <w:r w:rsidR="0020745F">
        <w:rPr>
          <w:sz w:val="26"/>
          <w:szCs w:val="26"/>
        </w:rPr>
        <w:t>.</w:t>
      </w:r>
      <w:r w:rsidR="000E0C7D">
        <w:rPr>
          <w:sz w:val="26"/>
          <w:szCs w:val="26"/>
        </w:rPr>
        <w:t xml:space="preserve">” </w:t>
      </w:r>
      <w:r w:rsidR="0020745F">
        <w:rPr>
          <w:sz w:val="26"/>
          <w:szCs w:val="26"/>
        </w:rPr>
        <w:t xml:space="preserve"> </w:t>
      </w:r>
      <w:r w:rsidR="00B8657A">
        <w:rPr>
          <w:sz w:val="26"/>
          <w:szCs w:val="26"/>
        </w:rPr>
        <w:t xml:space="preserve">We also agree with </w:t>
      </w:r>
      <w:r w:rsidR="0020745F">
        <w:rPr>
          <w:sz w:val="26"/>
          <w:szCs w:val="26"/>
        </w:rPr>
        <w:t>EAP</w:t>
      </w:r>
      <w:r w:rsidR="00B8657A">
        <w:rPr>
          <w:sz w:val="26"/>
          <w:szCs w:val="26"/>
        </w:rPr>
        <w:t>’s</w:t>
      </w:r>
      <w:r w:rsidR="0020745F">
        <w:rPr>
          <w:sz w:val="26"/>
          <w:szCs w:val="26"/>
        </w:rPr>
        <w:t xml:space="preserve"> suggest</w:t>
      </w:r>
      <w:r w:rsidR="00B8657A">
        <w:rPr>
          <w:sz w:val="26"/>
          <w:szCs w:val="26"/>
        </w:rPr>
        <w:t>ion to</w:t>
      </w:r>
      <w:r w:rsidR="0020745F">
        <w:rPr>
          <w:sz w:val="26"/>
          <w:szCs w:val="26"/>
        </w:rPr>
        <w:t xml:space="preserve"> add the following statemen</w:t>
      </w:r>
      <w:r w:rsidR="00471E2E">
        <w:rPr>
          <w:sz w:val="26"/>
          <w:szCs w:val="26"/>
        </w:rPr>
        <w:t>t</w:t>
      </w:r>
      <w:r w:rsidR="00B8657A">
        <w:rPr>
          <w:sz w:val="26"/>
          <w:szCs w:val="26"/>
        </w:rPr>
        <w:t xml:space="preserve"> to the Guidance</w:t>
      </w:r>
      <w:r w:rsidR="0020745F">
        <w:rPr>
          <w:sz w:val="26"/>
          <w:szCs w:val="26"/>
        </w:rPr>
        <w:t>:</w:t>
      </w:r>
      <w:r w:rsidR="000E0C7D">
        <w:rPr>
          <w:sz w:val="26"/>
          <w:szCs w:val="26"/>
        </w:rPr>
        <w:t xml:space="preserve"> “</w:t>
      </w:r>
      <w:bookmarkStart w:id="1" w:name="_Hlk86674952"/>
      <w:r w:rsidR="000E0C7D">
        <w:rPr>
          <w:sz w:val="26"/>
          <w:szCs w:val="26"/>
        </w:rPr>
        <w:t>Should you need further financial assistance beyond what is afforded by a medical certificate and available renewals, the Commission urges you to contact your utility.  Your utility can evaluate your eligibility for additional assistance programs.  Additional financial assistance may also be available through federal or state programs</w:t>
      </w:r>
      <w:bookmarkEnd w:id="1"/>
      <w:r w:rsidR="000E0C7D">
        <w:rPr>
          <w:sz w:val="26"/>
          <w:szCs w:val="26"/>
        </w:rPr>
        <w:t xml:space="preserve">.”  </w:t>
      </w:r>
      <w:r w:rsidR="00AC5A0B" w:rsidRPr="00887313">
        <w:rPr>
          <w:sz w:val="26"/>
          <w:szCs w:val="26"/>
        </w:rPr>
        <w:t xml:space="preserve">In addition, we will add language to the Guidance directing customers to call </w:t>
      </w:r>
      <w:r w:rsidR="00AC5A0B" w:rsidRPr="00887313">
        <w:rPr>
          <w:i/>
          <w:iCs/>
          <w:sz w:val="26"/>
          <w:szCs w:val="26"/>
        </w:rPr>
        <w:t>Pennsylvania 211</w:t>
      </w:r>
      <w:r w:rsidR="00AC5A0B" w:rsidRPr="00887313">
        <w:rPr>
          <w:sz w:val="26"/>
          <w:szCs w:val="26"/>
        </w:rPr>
        <w:t xml:space="preserve"> or visit the </w:t>
      </w:r>
      <w:r w:rsidR="00AC5A0B" w:rsidRPr="00887313">
        <w:rPr>
          <w:i/>
          <w:iCs/>
          <w:sz w:val="26"/>
          <w:szCs w:val="26"/>
        </w:rPr>
        <w:t>Pennsylvania 211</w:t>
      </w:r>
      <w:r w:rsidR="00AC5A0B" w:rsidRPr="00887313">
        <w:rPr>
          <w:sz w:val="26"/>
          <w:szCs w:val="26"/>
        </w:rPr>
        <w:t xml:space="preserve"> website for additional assistance.  </w:t>
      </w:r>
      <w:r w:rsidR="00AC5A0B" w:rsidRPr="00887313">
        <w:rPr>
          <w:i/>
          <w:iCs/>
          <w:sz w:val="26"/>
          <w:szCs w:val="26"/>
        </w:rPr>
        <w:t>Pennsylvania 211</w:t>
      </w:r>
      <w:r w:rsidR="00AC5A0B" w:rsidRPr="00887313">
        <w:rPr>
          <w:sz w:val="26"/>
          <w:szCs w:val="26"/>
        </w:rPr>
        <w:t xml:space="preserve"> provides free access to utility assistance, including payment assistance, shut-off suspension programs, payment plan negotiation assistance, and weatherization programs, as well as access to a number of other types of assistance.</w:t>
      </w:r>
      <w:r w:rsidR="00AC5A0B">
        <w:rPr>
          <w:sz w:val="26"/>
          <w:szCs w:val="26"/>
        </w:rPr>
        <w:t xml:space="preserve">  </w:t>
      </w:r>
      <w:r w:rsidR="000E0C7D">
        <w:rPr>
          <w:sz w:val="26"/>
          <w:szCs w:val="26"/>
        </w:rPr>
        <w:t>This language</w:t>
      </w:r>
      <w:r w:rsidR="00823A5D">
        <w:rPr>
          <w:sz w:val="26"/>
          <w:szCs w:val="26"/>
        </w:rPr>
        <w:t xml:space="preserve"> </w:t>
      </w:r>
      <w:r w:rsidR="000E0C7D">
        <w:rPr>
          <w:sz w:val="26"/>
          <w:szCs w:val="26"/>
        </w:rPr>
        <w:t xml:space="preserve">will </w:t>
      </w:r>
      <w:r w:rsidR="00823A5D">
        <w:rPr>
          <w:sz w:val="26"/>
          <w:szCs w:val="26"/>
        </w:rPr>
        <w:t>help resolve</w:t>
      </w:r>
      <w:r w:rsidR="000E0C7D">
        <w:rPr>
          <w:sz w:val="26"/>
          <w:szCs w:val="26"/>
        </w:rPr>
        <w:t xml:space="preserve"> the FirstEnergy Companies’ concerns that the medical certificate process reduces the incentive for customers to engage with utilities to find long-term solutions or low-income assistance. </w:t>
      </w:r>
    </w:p>
    <w:p w14:paraId="32D88DFE" w14:textId="77777777" w:rsidR="000E0C7D" w:rsidRDefault="000E0C7D" w:rsidP="000E0C7D">
      <w:pPr>
        <w:spacing w:line="360" w:lineRule="auto"/>
        <w:ind w:firstLine="720"/>
        <w:rPr>
          <w:sz w:val="26"/>
          <w:szCs w:val="26"/>
        </w:rPr>
      </w:pPr>
    </w:p>
    <w:p w14:paraId="38CC1208" w14:textId="77777777" w:rsidR="000E0C7D" w:rsidRDefault="000E0C7D" w:rsidP="000E0C7D">
      <w:pPr>
        <w:spacing w:line="360" w:lineRule="auto"/>
        <w:ind w:firstLine="720"/>
        <w:rPr>
          <w:sz w:val="26"/>
          <w:szCs w:val="26"/>
        </w:rPr>
      </w:pPr>
      <w:r>
        <w:rPr>
          <w:sz w:val="26"/>
          <w:szCs w:val="26"/>
        </w:rPr>
        <w:t>In addition, we</w:t>
      </w:r>
      <w:r w:rsidR="00823A5D">
        <w:rPr>
          <w:sz w:val="26"/>
          <w:szCs w:val="26"/>
        </w:rPr>
        <w:t xml:space="preserve"> will</w:t>
      </w:r>
      <w:r>
        <w:rPr>
          <w:sz w:val="26"/>
          <w:szCs w:val="26"/>
        </w:rPr>
        <w:t xml:space="preserve"> modify the Guidance to </w:t>
      </w:r>
      <w:r w:rsidR="00B45A16">
        <w:rPr>
          <w:sz w:val="26"/>
          <w:szCs w:val="26"/>
        </w:rPr>
        <w:t>explain the</w:t>
      </w:r>
      <w:r w:rsidR="00823A5D">
        <w:rPr>
          <w:sz w:val="26"/>
          <w:szCs w:val="26"/>
        </w:rPr>
        <w:t xml:space="preserve"> </w:t>
      </w:r>
      <w:r>
        <w:rPr>
          <w:sz w:val="26"/>
          <w:szCs w:val="26"/>
        </w:rPr>
        <w:t>medical certificate proces</w:t>
      </w:r>
      <w:r w:rsidR="00B45A16">
        <w:rPr>
          <w:sz w:val="26"/>
          <w:szCs w:val="26"/>
        </w:rPr>
        <w:t>s generally to customers</w:t>
      </w:r>
      <w:r>
        <w:rPr>
          <w:sz w:val="26"/>
          <w:szCs w:val="26"/>
        </w:rPr>
        <w:t xml:space="preserve">.  CAUSE-PA suggests </w:t>
      </w:r>
      <w:r w:rsidR="008F3FA1">
        <w:rPr>
          <w:sz w:val="26"/>
          <w:szCs w:val="26"/>
        </w:rPr>
        <w:t>that t</w:t>
      </w:r>
      <w:r>
        <w:rPr>
          <w:sz w:val="26"/>
          <w:szCs w:val="26"/>
        </w:rPr>
        <w:t>he following language be added to the Guidance</w:t>
      </w:r>
      <w:r w:rsidR="008F3FA1">
        <w:rPr>
          <w:sz w:val="26"/>
          <w:szCs w:val="26"/>
        </w:rPr>
        <w:t xml:space="preserve"> to address how to use a medical certificate: </w:t>
      </w:r>
    </w:p>
    <w:p w14:paraId="07DC7EB2" w14:textId="77777777" w:rsidR="000E0C7D" w:rsidRDefault="000E0C7D" w:rsidP="008F3FA1">
      <w:pPr>
        <w:ind w:right="1440"/>
        <w:rPr>
          <w:sz w:val="26"/>
          <w:szCs w:val="26"/>
        </w:rPr>
      </w:pPr>
      <w:bookmarkStart w:id="2" w:name="_Hlk86674277"/>
    </w:p>
    <w:p w14:paraId="30F53893" w14:textId="77777777" w:rsidR="000E0C7D" w:rsidRDefault="000E0C7D" w:rsidP="000E0C7D">
      <w:pPr>
        <w:numPr>
          <w:ilvl w:val="0"/>
          <w:numId w:val="6"/>
        </w:numPr>
        <w:ind w:right="1440"/>
        <w:rPr>
          <w:sz w:val="26"/>
          <w:szCs w:val="26"/>
        </w:rPr>
      </w:pPr>
      <w:r>
        <w:rPr>
          <w:sz w:val="26"/>
          <w:szCs w:val="26"/>
        </w:rPr>
        <w:t>Contact the utility and tell them you have a medical emergency, and that you are seeking a medical certificate.</w:t>
      </w:r>
    </w:p>
    <w:p w14:paraId="4A8824EF" w14:textId="77777777" w:rsidR="000E0C7D" w:rsidRDefault="000E0C7D" w:rsidP="000E0C7D">
      <w:pPr>
        <w:ind w:left="2160" w:right="1440"/>
        <w:rPr>
          <w:sz w:val="26"/>
          <w:szCs w:val="26"/>
        </w:rPr>
      </w:pPr>
    </w:p>
    <w:p w14:paraId="63FDD43E" w14:textId="77777777" w:rsidR="000E0C7D" w:rsidRDefault="000E0C7D" w:rsidP="000E0C7D">
      <w:pPr>
        <w:numPr>
          <w:ilvl w:val="0"/>
          <w:numId w:val="6"/>
        </w:numPr>
        <w:ind w:right="1440"/>
        <w:rPr>
          <w:sz w:val="26"/>
          <w:szCs w:val="26"/>
        </w:rPr>
      </w:pPr>
      <w:r>
        <w:rPr>
          <w:sz w:val="26"/>
          <w:szCs w:val="26"/>
        </w:rPr>
        <w:t>Contact your medical provider and ask them to complete the medical certificate form.  You can use the Public Utility Commission’s standard medical certificate form, but it is not required.  You can use a form provided by the utility or your medical provider can simply provide the required information (listed below) in writing.</w:t>
      </w:r>
    </w:p>
    <w:p w14:paraId="1BC42C30" w14:textId="77777777" w:rsidR="000E0C7D" w:rsidRDefault="000E0C7D" w:rsidP="000E0C7D">
      <w:pPr>
        <w:ind w:right="1440"/>
        <w:rPr>
          <w:sz w:val="26"/>
          <w:szCs w:val="26"/>
        </w:rPr>
      </w:pPr>
    </w:p>
    <w:p w14:paraId="4FDFE2DC" w14:textId="77777777" w:rsidR="000E0C7D" w:rsidRDefault="000E0C7D" w:rsidP="00FA49B2">
      <w:pPr>
        <w:numPr>
          <w:ilvl w:val="0"/>
          <w:numId w:val="6"/>
        </w:numPr>
        <w:ind w:right="1440"/>
        <w:rPr>
          <w:sz w:val="26"/>
          <w:szCs w:val="26"/>
        </w:rPr>
      </w:pPr>
      <w:r>
        <w:rPr>
          <w:sz w:val="26"/>
          <w:szCs w:val="26"/>
        </w:rPr>
        <w:t xml:space="preserve">You or your medical provider should fax or e-mail the form directly to the utility. Contact your utility to ask where the form should be sent. </w:t>
      </w:r>
    </w:p>
    <w:p w14:paraId="5B0EFF51" w14:textId="77777777" w:rsidR="00FA49B2" w:rsidRDefault="00FA49B2" w:rsidP="00FA49B2">
      <w:pPr>
        <w:ind w:right="1440"/>
        <w:rPr>
          <w:sz w:val="26"/>
          <w:szCs w:val="26"/>
        </w:rPr>
      </w:pPr>
    </w:p>
    <w:bookmarkEnd w:id="2"/>
    <w:p w14:paraId="6965A7C1" w14:textId="77777777" w:rsidR="000E0C7D" w:rsidRDefault="000E0C7D" w:rsidP="000E0C7D">
      <w:pPr>
        <w:spacing w:line="360" w:lineRule="auto"/>
        <w:rPr>
          <w:sz w:val="26"/>
          <w:szCs w:val="26"/>
        </w:rPr>
      </w:pPr>
      <w:r>
        <w:rPr>
          <w:sz w:val="26"/>
          <w:szCs w:val="26"/>
        </w:rPr>
        <w:lastRenderedPageBreak/>
        <w:t xml:space="preserve">We </w:t>
      </w:r>
      <w:r w:rsidR="00823A5D">
        <w:rPr>
          <w:sz w:val="26"/>
          <w:szCs w:val="26"/>
        </w:rPr>
        <w:t xml:space="preserve">will </w:t>
      </w:r>
      <w:r>
        <w:rPr>
          <w:sz w:val="26"/>
          <w:szCs w:val="26"/>
        </w:rPr>
        <w:t>adopt this language a</w:t>
      </w:r>
      <w:r w:rsidR="00057D40">
        <w:rPr>
          <w:sz w:val="26"/>
          <w:szCs w:val="26"/>
        </w:rPr>
        <w:t xml:space="preserve">nd most of the </w:t>
      </w:r>
      <w:r>
        <w:rPr>
          <w:sz w:val="26"/>
          <w:szCs w:val="26"/>
        </w:rPr>
        <w:t xml:space="preserve">other suggestions </w:t>
      </w:r>
      <w:r w:rsidR="0033217E">
        <w:rPr>
          <w:sz w:val="26"/>
          <w:szCs w:val="26"/>
        </w:rPr>
        <w:t>for changes and additions to the Guidance reflected in Appendix B to CAUSE-PA’s Comments.</w:t>
      </w:r>
      <w:r w:rsidR="00057D40">
        <w:rPr>
          <w:rStyle w:val="FootnoteReference"/>
          <w:sz w:val="26"/>
          <w:szCs w:val="26"/>
        </w:rPr>
        <w:footnoteReference w:id="5"/>
      </w:r>
      <w:r w:rsidR="0033217E">
        <w:rPr>
          <w:sz w:val="26"/>
          <w:szCs w:val="26"/>
        </w:rPr>
        <w:t xml:space="preserve">  We </w:t>
      </w:r>
      <w:r w:rsidR="003212AE">
        <w:rPr>
          <w:sz w:val="26"/>
          <w:szCs w:val="26"/>
        </w:rPr>
        <w:t>believe</w:t>
      </w:r>
      <w:r w:rsidR="0033217E">
        <w:rPr>
          <w:sz w:val="26"/>
          <w:szCs w:val="26"/>
        </w:rPr>
        <w:t xml:space="preserve"> that these changes promote clarity in the Guidance and provide additional, relevant information to customers and medical professionals submitting medical certificates. </w:t>
      </w:r>
    </w:p>
    <w:p w14:paraId="7BE19570" w14:textId="77777777" w:rsidR="000E0C7D" w:rsidRDefault="000E0C7D" w:rsidP="000E0C7D">
      <w:pPr>
        <w:spacing w:line="360" w:lineRule="auto"/>
        <w:rPr>
          <w:sz w:val="26"/>
          <w:szCs w:val="26"/>
        </w:rPr>
      </w:pPr>
    </w:p>
    <w:p w14:paraId="182EF355" w14:textId="77777777" w:rsidR="000E0C7D" w:rsidRDefault="000E0C7D" w:rsidP="000E0C7D">
      <w:pPr>
        <w:spacing w:line="360" w:lineRule="auto"/>
        <w:rPr>
          <w:sz w:val="26"/>
          <w:szCs w:val="26"/>
        </w:rPr>
      </w:pPr>
      <w:r>
        <w:rPr>
          <w:sz w:val="26"/>
          <w:szCs w:val="26"/>
        </w:rPr>
        <w:tab/>
        <w:t xml:space="preserve">Lastly, with respect to the Medical Certificate Guidance, we agree with Duquesne that </w:t>
      </w:r>
      <w:r w:rsidR="00EE7571">
        <w:rPr>
          <w:sz w:val="26"/>
          <w:szCs w:val="26"/>
        </w:rPr>
        <w:t xml:space="preserve">the following statement is </w:t>
      </w:r>
      <w:r w:rsidR="0097465F">
        <w:rPr>
          <w:sz w:val="26"/>
          <w:szCs w:val="26"/>
        </w:rPr>
        <w:t>confusing</w:t>
      </w:r>
      <w:r w:rsidR="00EE7571">
        <w:rPr>
          <w:sz w:val="26"/>
          <w:szCs w:val="26"/>
        </w:rPr>
        <w:t>: “For a medical certificate to be accepted by the public utility, a physician, physician assistance, or nurse practitioner must</w:t>
      </w:r>
      <w:r w:rsidR="00EE7571" w:rsidRPr="00EE7571">
        <w:rPr>
          <w:i/>
          <w:iCs/>
          <w:sz w:val="26"/>
          <w:szCs w:val="26"/>
        </w:rPr>
        <w:t xml:space="preserve"> call</w:t>
      </w:r>
      <w:r w:rsidR="00EE7571">
        <w:rPr>
          <w:sz w:val="26"/>
          <w:szCs w:val="26"/>
        </w:rPr>
        <w:t xml:space="preserve"> or write the public utility . . .”  (emphasis added).  The</w:t>
      </w:r>
      <w:r>
        <w:rPr>
          <w:sz w:val="26"/>
          <w:szCs w:val="26"/>
        </w:rPr>
        <w:t xml:space="preserve"> Commission’s regulations require medical certificates to be in writing.  52 Pa. Code §§ 56.2, 56.113.  </w:t>
      </w:r>
      <w:r w:rsidR="003A5814">
        <w:rPr>
          <w:sz w:val="26"/>
          <w:szCs w:val="26"/>
        </w:rPr>
        <w:t>Accordingly, we</w:t>
      </w:r>
      <w:r w:rsidR="00EE7571">
        <w:rPr>
          <w:sz w:val="26"/>
          <w:szCs w:val="26"/>
        </w:rPr>
        <w:t xml:space="preserve"> </w:t>
      </w:r>
      <w:r w:rsidR="00823A5D">
        <w:rPr>
          <w:sz w:val="26"/>
          <w:szCs w:val="26"/>
        </w:rPr>
        <w:t>will</w:t>
      </w:r>
      <w:r>
        <w:rPr>
          <w:sz w:val="26"/>
          <w:szCs w:val="26"/>
        </w:rPr>
        <w:t xml:space="preserve"> modif</w:t>
      </w:r>
      <w:r w:rsidR="00823A5D">
        <w:rPr>
          <w:sz w:val="26"/>
          <w:szCs w:val="26"/>
        </w:rPr>
        <w:t>y</w:t>
      </w:r>
      <w:r>
        <w:rPr>
          <w:sz w:val="26"/>
          <w:szCs w:val="26"/>
        </w:rPr>
        <w:t xml:space="preserve"> the Guidance to </w:t>
      </w:r>
      <w:r w:rsidR="00EE7571">
        <w:rPr>
          <w:sz w:val="26"/>
          <w:szCs w:val="26"/>
        </w:rPr>
        <w:t>state that a medical professional must provide the requisite information for a medical certificate in writing</w:t>
      </w:r>
      <w:r w:rsidR="00FF5A23">
        <w:rPr>
          <w:sz w:val="26"/>
          <w:szCs w:val="26"/>
        </w:rPr>
        <w:t>.  We</w:t>
      </w:r>
      <w:r w:rsidR="00823A5D">
        <w:rPr>
          <w:sz w:val="26"/>
          <w:szCs w:val="26"/>
        </w:rPr>
        <w:t xml:space="preserve"> will also modify</w:t>
      </w:r>
      <w:r w:rsidR="00FF5A23">
        <w:rPr>
          <w:sz w:val="26"/>
          <w:szCs w:val="26"/>
        </w:rPr>
        <w:t xml:space="preserve"> the Guidance to clarify </w:t>
      </w:r>
      <w:r w:rsidR="00823A5D">
        <w:rPr>
          <w:sz w:val="26"/>
          <w:szCs w:val="26"/>
        </w:rPr>
        <w:t xml:space="preserve">that the medical professional need not </w:t>
      </w:r>
      <w:r w:rsidR="00F37348">
        <w:rPr>
          <w:sz w:val="26"/>
          <w:szCs w:val="26"/>
        </w:rPr>
        <w:t xml:space="preserve">always </w:t>
      </w:r>
      <w:r w:rsidR="00823A5D">
        <w:rPr>
          <w:sz w:val="26"/>
          <w:szCs w:val="26"/>
        </w:rPr>
        <w:t xml:space="preserve">submit the medical certificate </w:t>
      </w:r>
      <w:r w:rsidR="00F37348">
        <w:rPr>
          <w:sz w:val="26"/>
          <w:szCs w:val="26"/>
        </w:rPr>
        <w:t xml:space="preserve">directly </w:t>
      </w:r>
      <w:r w:rsidR="00823A5D">
        <w:rPr>
          <w:sz w:val="26"/>
          <w:szCs w:val="26"/>
        </w:rPr>
        <w:t xml:space="preserve">to the utility. </w:t>
      </w:r>
      <w:r w:rsidR="003212AE">
        <w:rPr>
          <w:sz w:val="26"/>
          <w:szCs w:val="26"/>
        </w:rPr>
        <w:t xml:space="preserve"> </w:t>
      </w:r>
      <w:r w:rsidR="00823A5D">
        <w:rPr>
          <w:sz w:val="26"/>
          <w:szCs w:val="26"/>
        </w:rPr>
        <w:t>M</w:t>
      </w:r>
      <w:r w:rsidR="00FF5A23">
        <w:rPr>
          <w:sz w:val="26"/>
          <w:szCs w:val="26"/>
        </w:rPr>
        <w:t>edical professional</w:t>
      </w:r>
      <w:r w:rsidR="00823A5D">
        <w:rPr>
          <w:sz w:val="26"/>
          <w:szCs w:val="26"/>
        </w:rPr>
        <w:t>s</w:t>
      </w:r>
      <w:r w:rsidR="00FF5A23">
        <w:rPr>
          <w:sz w:val="26"/>
          <w:szCs w:val="26"/>
        </w:rPr>
        <w:t xml:space="preserve"> may provide </w:t>
      </w:r>
      <w:r w:rsidR="00823A5D">
        <w:rPr>
          <w:sz w:val="26"/>
          <w:szCs w:val="26"/>
        </w:rPr>
        <w:t>a medical certificate t</w:t>
      </w:r>
      <w:r w:rsidR="00FF5A23">
        <w:rPr>
          <w:sz w:val="26"/>
          <w:szCs w:val="26"/>
        </w:rPr>
        <w:t xml:space="preserve">o the utility </w:t>
      </w:r>
      <w:r w:rsidR="00823A5D">
        <w:rPr>
          <w:sz w:val="26"/>
          <w:szCs w:val="26"/>
        </w:rPr>
        <w:t xml:space="preserve">directly, </w:t>
      </w:r>
      <w:r w:rsidR="00FF5A23">
        <w:rPr>
          <w:sz w:val="26"/>
          <w:szCs w:val="26"/>
        </w:rPr>
        <w:t xml:space="preserve">or to the customer for </w:t>
      </w:r>
      <w:r w:rsidR="00823A5D">
        <w:rPr>
          <w:sz w:val="26"/>
          <w:szCs w:val="26"/>
        </w:rPr>
        <w:t xml:space="preserve">the customer’s </w:t>
      </w:r>
      <w:r w:rsidR="00FF5A23">
        <w:rPr>
          <w:sz w:val="26"/>
          <w:szCs w:val="26"/>
        </w:rPr>
        <w:t>su</w:t>
      </w:r>
      <w:r w:rsidR="00145882">
        <w:rPr>
          <w:sz w:val="26"/>
          <w:szCs w:val="26"/>
        </w:rPr>
        <w:t>bm</w:t>
      </w:r>
      <w:r w:rsidR="00FF5A23">
        <w:rPr>
          <w:sz w:val="26"/>
          <w:szCs w:val="26"/>
        </w:rPr>
        <w:t xml:space="preserve">ission </w:t>
      </w:r>
      <w:r w:rsidR="00823A5D">
        <w:rPr>
          <w:sz w:val="26"/>
          <w:szCs w:val="26"/>
        </w:rPr>
        <w:t>of the medical certificate t</w:t>
      </w:r>
      <w:r w:rsidR="00FF5A23">
        <w:rPr>
          <w:sz w:val="26"/>
          <w:szCs w:val="26"/>
        </w:rPr>
        <w:t xml:space="preserve">o the utility.  </w:t>
      </w:r>
    </w:p>
    <w:p w14:paraId="5C39D147" w14:textId="77777777" w:rsidR="000E0C7D" w:rsidRDefault="000E0C7D" w:rsidP="000E0C7D">
      <w:pPr>
        <w:spacing w:line="360" w:lineRule="auto"/>
        <w:rPr>
          <w:sz w:val="26"/>
          <w:szCs w:val="26"/>
        </w:rPr>
      </w:pPr>
      <w:r>
        <w:rPr>
          <w:sz w:val="26"/>
          <w:szCs w:val="26"/>
        </w:rPr>
        <w:t xml:space="preserve"> </w:t>
      </w:r>
    </w:p>
    <w:p w14:paraId="311E82FC" w14:textId="77777777" w:rsidR="00194A0F" w:rsidRDefault="00580E42" w:rsidP="00AC5A0B">
      <w:pPr>
        <w:spacing w:line="360" w:lineRule="auto"/>
        <w:ind w:firstLine="720"/>
        <w:rPr>
          <w:sz w:val="26"/>
          <w:szCs w:val="26"/>
        </w:rPr>
      </w:pPr>
      <w:r>
        <w:rPr>
          <w:sz w:val="26"/>
          <w:szCs w:val="26"/>
        </w:rPr>
        <w:t xml:space="preserve">We are </w:t>
      </w:r>
      <w:r w:rsidR="00CE7309">
        <w:rPr>
          <w:sz w:val="26"/>
          <w:szCs w:val="26"/>
        </w:rPr>
        <w:t>including the</w:t>
      </w:r>
      <w:r>
        <w:rPr>
          <w:sz w:val="26"/>
          <w:szCs w:val="26"/>
        </w:rPr>
        <w:t xml:space="preserve"> </w:t>
      </w:r>
      <w:r w:rsidR="00145882">
        <w:rPr>
          <w:sz w:val="26"/>
          <w:szCs w:val="26"/>
        </w:rPr>
        <w:t>updated</w:t>
      </w:r>
      <w:r>
        <w:rPr>
          <w:sz w:val="26"/>
          <w:szCs w:val="26"/>
        </w:rPr>
        <w:t xml:space="preserve"> Standard Medical Certificate Form and </w:t>
      </w:r>
      <w:r w:rsidR="00134E0E">
        <w:rPr>
          <w:sz w:val="26"/>
          <w:szCs w:val="26"/>
        </w:rPr>
        <w:t xml:space="preserve">the </w:t>
      </w:r>
      <w:r>
        <w:rPr>
          <w:sz w:val="26"/>
          <w:szCs w:val="26"/>
        </w:rPr>
        <w:t xml:space="preserve">updated Medical Certificate Guidance </w:t>
      </w:r>
      <w:r w:rsidR="00CC3834">
        <w:rPr>
          <w:sz w:val="26"/>
          <w:szCs w:val="26"/>
        </w:rPr>
        <w:t xml:space="preserve">for </w:t>
      </w:r>
      <w:r w:rsidR="00EC4A76">
        <w:rPr>
          <w:sz w:val="26"/>
          <w:szCs w:val="26"/>
        </w:rPr>
        <w:t>consumers</w:t>
      </w:r>
      <w:r w:rsidR="00CC3834">
        <w:rPr>
          <w:sz w:val="26"/>
          <w:szCs w:val="26"/>
        </w:rPr>
        <w:t xml:space="preserve"> and medical professional</w:t>
      </w:r>
      <w:r w:rsidR="00F37348">
        <w:rPr>
          <w:sz w:val="26"/>
          <w:szCs w:val="26"/>
        </w:rPr>
        <w:t>s</w:t>
      </w:r>
      <w:r>
        <w:rPr>
          <w:sz w:val="26"/>
          <w:szCs w:val="26"/>
        </w:rPr>
        <w:t xml:space="preserve"> </w:t>
      </w:r>
      <w:r w:rsidR="00AD6081">
        <w:rPr>
          <w:sz w:val="26"/>
          <w:szCs w:val="26"/>
        </w:rPr>
        <w:t>in</w:t>
      </w:r>
      <w:r>
        <w:rPr>
          <w:sz w:val="26"/>
          <w:szCs w:val="26"/>
        </w:rPr>
        <w:t xml:space="preserve"> this Order as Appendices A and B, respectively.  These documents will be posted on the Commission’s website at </w:t>
      </w:r>
      <w:hyperlink r:id="rId8" w:history="1">
        <w:r w:rsidR="004342F4" w:rsidRPr="0094185A">
          <w:rPr>
            <w:rStyle w:val="Hyperlink"/>
            <w:sz w:val="26"/>
            <w:szCs w:val="26"/>
          </w:rPr>
          <w:t>www.puc.pa.gov</w:t>
        </w:r>
      </w:hyperlink>
      <w:r w:rsidR="00F37348">
        <w:rPr>
          <w:sz w:val="26"/>
          <w:szCs w:val="26"/>
        </w:rPr>
        <w:t>,</w:t>
      </w:r>
      <w:r w:rsidR="00454B2E">
        <w:rPr>
          <w:sz w:val="26"/>
          <w:szCs w:val="26"/>
        </w:rPr>
        <w:t xml:space="preserve"> on the webpage for </w:t>
      </w:r>
      <w:r w:rsidR="009E53E2">
        <w:rPr>
          <w:sz w:val="26"/>
          <w:szCs w:val="26"/>
        </w:rPr>
        <w:t>“</w:t>
      </w:r>
      <w:r w:rsidR="00454B2E">
        <w:rPr>
          <w:sz w:val="26"/>
          <w:szCs w:val="26"/>
        </w:rPr>
        <w:t>Utility Assistance Programs</w:t>
      </w:r>
      <w:r w:rsidR="004342F4">
        <w:rPr>
          <w:sz w:val="26"/>
          <w:szCs w:val="26"/>
        </w:rPr>
        <w:t>.</w:t>
      </w:r>
      <w:r w:rsidR="009E53E2">
        <w:rPr>
          <w:sz w:val="26"/>
          <w:szCs w:val="26"/>
        </w:rPr>
        <w:t>”</w:t>
      </w:r>
      <w:r w:rsidR="00454B2E">
        <w:rPr>
          <w:sz w:val="26"/>
          <w:szCs w:val="26"/>
        </w:rPr>
        <w:t xml:space="preserve">  </w:t>
      </w:r>
      <w:r w:rsidR="002C2FA6">
        <w:rPr>
          <w:sz w:val="26"/>
          <w:szCs w:val="26"/>
        </w:rPr>
        <w:t xml:space="preserve">Spanish versions of these documents will also be posted on the Commission’s website.  </w:t>
      </w:r>
    </w:p>
    <w:p w14:paraId="7A93D07D" w14:textId="77777777" w:rsidR="00580E42" w:rsidRDefault="00194A0F" w:rsidP="00194A0F">
      <w:pPr>
        <w:spacing w:line="360" w:lineRule="auto"/>
      </w:pPr>
      <w:r>
        <w:br w:type="page"/>
      </w:r>
      <w:r w:rsidR="000E0C7D">
        <w:lastRenderedPageBreak/>
        <w:t>Additionally, the</w:t>
      </w:r>
      <w:r w:rsidR="00580E42">
        <w:t xml:space="preserve"> Commission agrees with CAUSE-PA and HELP: MLP that utilities should </w:t>
      </w:r>
      <w:r w:rsidR="00611651">
        <w:t>make these documents available through</w:t>
      </w:r>
      <w:r w:rsidR="00580E42">
        <w:t xml:space="preserve"> their websites</w:t>
      </w:r>
      <w:r w:rsidR="000E0C7D">
        <w:t xml:space="preserve"> to promote accessibility</w:t>
      </w:r>
      <w:r w:rsidR="00580E42">
        <w:t xml:space="preserve">.  </w:t>
      </w:r>
      <w:r w:rsidR="00F04A74">
        <w:t xml:space="preserve">The Commission </w:t>
      </w:r>
      <w:r w:rsidR="00CE7309">
        <w:t>direct</w:t>
      </w:r>
      <w:r w:rsidR="00F04A74">
        <w:t>s</w:t>
      </w:r>
      <w:r w:rsidR="00CE7309">
        <w:t xml:space="preserve"> all public</w:t>
      </w:r>
      <w:r w:rsidR="00580E42">
        <w:t xml:space="preserve"> utilities to post </w:t>
      </w:r>
      <w:r w:rsidR="00611651">
        <w:t>link</w:t>
      </w:r>
      <w:r w:rsidR="002C2FA6">
        <w:t>s</w:t>
      </w:r>
      <w:r w:rsidR="00611651">
        <w:t xml:space="preserve"> to </w:t>
      </w:r>
      <w:r w:rsidR="00580E42">
        <w:t xml:space="preserve">the Standard Medical Certificate Form and Medical Certificate Guidance on </w:t>
      </w:r>
      <w:r w:rsidR="00611651">
        <w:t>their website.  This link</w:t>
      </w:r>
      <w:r w:rsidR="00307A65">
        <w:t xml:space="preserve"> </w:t>
      </w:r>
      <w:r w:rsidR="00CE7309">
        <w:t>may</w:t>
      </w:r>
      <w:r w:rsidR="00611651">
        <w:t xml:space="preserve"> </w:t>
      </w:r>
      <w:r w:rsidR="002C2FA6">
        <w:t>direct customers</w:t>
      </w:r>
      <w:r w:rsidR="004342F4">
        <w:t xml:space="preserve"> to</w:t>
      </w:r>
      <w:r w:rsidR="00611651">
        <w:t xml:space="preserve"> the Commission’s webpage where the documents are posted</w:t>
      </w:r>
      <w:r w:rsidR="009B5B2C">
        <w:t xml:space="preserve"> or to the </w:t>
      </w:r>
      <w:r w:rsidR="004342F4">
        <w:t>documents</w:t>
      </w:r>
      <w:r w:rsidR="009B5B2C">
        <w:t xml:space="preserve"> directly, as the utility deems appropriate. </w:t>
      </w:r>
    </w:p>
    <w:p w14:paraId="13B24E8A" w14:textId="77777777" w:rsidR="00BC6AC6" w:rsidRDefault="00BC6AC6" w:rsidP="00580E42">
      <w:pPr>
        <w:spacing w:line="360" w:lineRule="auto"/>
        <w:rPr>
          <w:sz w:val="26"/>
          <w:szCs w:val="26"/>
        </w:rPr>
      </w:pPr>
    </w:p>
    <w:p w14:paraId="3A7BB2D0" w14:textId="77777777" w:rsidR="004F6C61" w:rsidRDefault="00FF43E5" w:rsidP="005C637A">
      <w:pPr>
        <w:spacing w:line="360" w:lineRule="auto"/>
        <w:rPr>
          <w:b/>
          <w:bCs/>
          <w:sz w:val="26"/>
          <w:szCs w:val="26"/>
        </w:rPr>
      </w:pPr>
      <w:r>
        <w:rPr>
          <w:b/>
          <w:bCs/>
          <w:sz w:val="26"/>
          <w:szCs w:val="26"/>
        </w:rPr>
        <w:t>II.</w:t>
      </w:r>
      <w:r>
        <w:rPr>
          <w:b/>
          <w:bCs/>
          <w:sz w:val="26"/>
          <w:szCs w:val="26"/>
        </w:rPr>
        <w:tab/>
      </w:r>
      <w:r w:rsidR="004C1102">
        <w:rPr>
          <w:b/>
          <w:bCs/>
          <w:sz w:val="26"/>
          <w:szCs w:val="26"/>
        </w:rPr>
        <w:t xml:space="preserve">Other </w:t>
      </w:r>
      <w:r w:rsidR="004F6C61">
        <w:rPr>
          <w:b/>
          <w:bCs/>
          <w:sz w:val="26"/>
          <w:szCs w:val="26"/>
        </w:rPr>
        <w:t xml:space="preserve">Court Orders </w:t>
      </w:r>
    </w:p>
    <w:p w14:paraId="3687B59F" w14:textId="77777777" w:rsidR="00A61FD0" w:rsidRDefault="00FF43E5" w:rsidP="00FF43E5">
      <w:pPr>
        <w:spacing w:line="360" w:lineRule="auto"/>
        <w:ind w:firstLine="720"/>
        <w:rPr>
          <w:sz w:val="26"/>
          <w:szCs w:val="26"/>
        </w:rPr>
      </w:pPr>
      <w:r w:rsidRPr="007C57CF">
        <w:rPr>
          <w:sz w:val="26"/>
          <w:szCs w:val="26"/>
        </w:rPr>
        <w:t xml:space="preserve">In the Tentative Order, </w:t>
      </w:r>
      <w:r w:rsidR="007C57CF">
        <w:rPr>
          <w:sz w:val="26"/>
          <w:szCs w:val="26"/>
        </w:rPr>
        <w:t>we</w:t>
      </w:r>
      <w:r w:rsidRPr="007C57CF">
        <w:rPr>
          <w:sz w:val="26"/>
          <w:szCs w:val="26"/>
        </w:rPr>
        <w:t xml:space="preserve"> </w:t>
      </w:r>
      <w:r w:rsidR="007C57CF">
        <w:rPr>
          <w:sz w:val="26"/>
          <w:szCs w:val="26"/>
        </w:rPr>
        <w:t>maintain</w:t>
      </w:r>
      <w:r w:rsidR="00A61FD0">
        <w:rPr>
          <w:sz w:val="26"/>
          <w:szCs w:val="26"/>
        </w:rPr>
        <w:t>ed our</w:t>
      </w:r>
      <w:r w:rsidR="007C57CF">
        <w:rPr>
          <w:sz w:val="26"/>
          <w:szCs w:val="26"/>
        </w:rPr>
        <w:t xml:space="preserve"> prior position that, when presented with cases of domestic violence and PFAs, the Commission expects utilities to operate in good faith.  We agreed that </w:t>
      </w:r>
      <w:r w:rsidR="00A61FD0">
        <w:rPr>
          <w:sz w:val="26"/>
          <w:szCs w:val="26"/>
        </w:rPr>
        <w:t xml:space="preserve">both </w:t>
      </w:r>
      <w:r w:rsidR="007C57CF">
        <w:rPr>
          <w:sz w:val="26"/>
          <w:szCs w:val="26"/>
        </w:rPr>
        <w:t xml:space="preserve">utilities and the Commission should defer to groups with expertise in this area and, therefore, we declined to provide specific definitions for terms relevant to domestic violence.  </w:t>
      </w:r>
      <w:r w:rsidR="00A61FD0">
        <w:rPr>
          <w:sz w:val="26"/>
          <w:szCs w:val="26"/>
        </w:rPr>
        <w:t>We noted that the Bureau of Consumer Services (BCS) has coordinated training for utilities with the Pennsylvania Coalition Against Domestic Violence (PCADV) in the past and will continue to do so.  We encouraged utilities to contact their local PCADV</w:t>
      </w:r>
      <w:r w:rsidR="00583391">
        <w:rPr>
          <w:sz w:val="26"/>
          <w:szCs w:val="26"/>
        </w:rPr>
        <w:t xml:space="preserve"> for additional training</w:t>
      </w:r>
      <w:r w:rsidR="00A61FD0">
        <w:rPr>
          <w:sz w:val="26"/>
          <w:szCs w:val="26"/>
        </w:rPr>
        <w:t xml:space="preserve">.  We </w:t>
      </w:r>
      <w:r w:rsidR="00583391">
        <w:rPr>
          <w:sz w:val="26"/>
          <w:szCs w:val="26"/>
        </w:rPr>
        <w:t>also reminded</w:t>
      </w:r>
      <w:r w:rsidR="00A61FD0">
        <w:rPr>
          <w:sz w:val="26"/>
          <w:szCs w:val="26"/>
        </w:rPr>
        <w:t xml:space="preserve"> utilities </w:t>
      </w:r>
      <w:r w:rsidR="00583391">
        <w:rPr>
          <w:sz w:val="26"/>
          <w:szCs w:val="26"/>
        </w:rPr>
        <w:t xml:space="preserve">that they </w:t>
      </w:r>
      <w:r w:rsidR="00A61FD0">
        <w:rPr>
          <w:sz w:val="26"/>
          <w:szCs w:val="26"/>
        </w:rPr>
        <w:t>should consult with their in-house counsel and</w:t>
      </w:r>
      <w:r w:rsidR="007B28AA">
        <w:rPr>
          <w:sz w:val="26"/>
          <w:szCs w:val="26"/>
        </w:rPr>
        <w:t>, if needed, experts</w:t>
      </w:r>
      <w:r w:rsidR="00A61FD0">
        <w:rPr>
          <w:sz w:val="26"/>
          <w:szCs w:val="26"/>
        </w:rPr>
        <w:t>, including PCADV, when presented with cases of domestic violence and PFAs or other court orders.</w:t>
      </w:r>
    </w:p>
    <w:p w14:paraId="0F4F695C" w14:textId="77777777" w:rsidR="00A61FD0" w:rsidRDefault="00A61FD0" w:rsidP="00FF43E5">
      <w:pPr>
        <w:spacing w:line="360" w:lineRule="auto"/>
        <w:ind w:firstLine="720"/>
        <w:rPr>
          <w:sz w:val="26"/>
          <w:szCs w:val="26"/>
        </w:rPr>
      </w:pPr>
    </w:p>
    <w:p w14:paraId="7489A4AB" w14:textId="77777777" w:rsidR="00FF43E5" w:rsidRDefault="00A61FD0" w:rsidP="00FF43E5">
      <w:pPr>
        <w:spacing w:line="360" w:lineRule="auto"/>
        <w:ind w:firstLine="720"/>
        <w:rPr>
          <w:sz w:val="26"/>
          <w:szCs w:val="26"/>
        </w:rPr>
      </w:pPr>
      <w:r>
        <w:rPr>
          <w:sz w:val="26"/>
          <w:szCs w:val="26"/>
        </w:rPr>
        <w:t xml:space="preserve">Additionally, </w:t>
      </w:r>
      <w:r w:rsidR="007C57CF">
        <w:rPr>
          <w:sz w:val="26"/>
          <w:szCs w:val="26"/>
        </w:rPr>
        <w:t>we noted that Section</w:t>
      </w:r>
      <w:r>
        <w:rPr>
          <w:sz w:val="26"/>
          <w:szCs w:val="26"/>
        </w:rPr>
        <w:t xml:space="preserve"> 1417 of the Public Utility Code</w:t>
      </w:r>
      <w:r w:rsidR="007C57CF">
        <w:rPr>
          <w:sz w:val="26"/>
          <w:szCs w:val="26"/>
        </w:rPr>
        <w:t xml:space="preserve"> clearly states that Chapter 14 shall not apply to victims under a PFA.  We agreed that PFAs, including </w:t>
      </w:r>
      <w:r>
        <w:rPr>
          <w:sz w:val="26"/>
          <w:szCs w:val="26"/>
        </w:rPr>
        <w:t>those</w:t>
      </w:r>
      <w:r w:rsidR="007C57CF">
        <w:rPr>
          <w:sz w:val="26"/>
          <w:szCs w:val="26"/>
        </w:rPr>
        <w:t xml:space="preserve"> outside the Commonwealth, are entitled to the protections of the Commission’s regulations at Chapter 56, Subchapters L-V.  We noted that, non-PFA court orders or court order</w:t>
      </w:r>
      <w:r w:rsidR="00C6240D">
        <w:rPr>
          <w:sz w:val="26"/>
          <w:szCs w:val="26"/>
        </w:rPr>
        <w:t>s</w:t>
      </w:r>
      <w:r w:rsidR="007C57CF">
        <w:rPr>
          <w:sz w:val="26"/>
          <w:szCs w:val="26"/>
        </w:rPr>
        <w:t xml:space="preserve"> issued by a court of competent jurisdiction “in this commonwealth” are included in the protections of Subchapters L-V, while non-PFA court orders</w:t>
      </w:r>
      <w:r>
        <w:rPr>
          <w:sz w:val="26"/>
          <w:szCs w:val="26"/>
        </w:rPr>
        <w:t xml:space="preserve"> </w:t>
      </w:r>
      <w:r w:rsidR="007C57CF">
        <w:rPr>
          <w:sz w:val="26"/>
          <w:szCs w:val="26"/>
        </w:rPr>
        <w:t xml:space="preserve">outside the Commonwealth are not included in those protections.  We explained that </w:t>
      </w:r>
      <w:r>
        <w:rPr>
          <w:sz w:val="26"/>
          <w:szCs w:val="26"/>
        </w:rPr>
        <w:t>the amended Chapter 14 statutory section prohibits certain foreign non-PFA order</w:t>
      </w:r>
      <w:r w:rsidR="00142EF1">
        <w:rPr>
          <w:sz w:val="26"/>
          <w:szCs w:val="26"/>
        </w:rPr>
        <w:t>s</w:t>
      </w:r>
      <w:r>
        <w:rPr>
          <w:sz w:val="26"/>
          <w:szCs w:val="26"/>
        </w:rPr>
        <w:t xml:space="preserve"> from being capable of providing the additional customer protections of Subchapters L-V. </w:t>
      </w:r>
    </w:p>
    <w:p w14:paraId="5F7F2171" w14:textId="77777777" w:rsidR="00C72E52" w:rsidRDefault="00C72E52" w:rsidP="00FF43E5">
      <w:pPr>
        <w:spacing w:line="360" w:lineRule="auto"/>
        <w:rPr>
          <w:sz w:val="26"/>
          <w:szCs w:val="26"/>
        </w:rPr>
      </w:pPr>
    </w:p>
    <w:p w14:paraId="2B32C67E" w14:textId="77777777" w:rsidR="00FF43E5" w:rsidRPr="00FF43E5" w:rsidRDefault="00FF43E5" w:rsidP="00FF43E5">
      <w:pPr>
        <w:spacing w:line="360" w:lineRule="auto"/>
        <w:ind w:firstLine="720"/>
        <w:rPr>
          <w:sz w:val="26"/>
          <w:szCs w:val="26"/>
        </w:rPr>
      </w:pPr>
      <w:r>
        <w:rPr>
          <w:b/>
          <w:bCs/>
          <w:sz w:val="26"/>
          <w:szCs w:val="26"/>
        </w:rPr>
        <w:lastRenderedPageBreak/>
        <w:t>A</w:t>
      </w:r>
      <w:r w:rsidRPr="00FF43E5">
        <w:rPr>
          <w:b/>
          <w:bCs/>
          <w:sz w:val="26"/>
          <w:szCs w:val="26"/>
        </w:rPr>
        <w:t>.</w:t>
      </w:r>
      <w:r w:rsidRPr="00FF43E5">
        <w:rPr>
          <w:b/>
          <w:bCs/>
          <w:sz w:val="26"/>
          <w:szCs w:val="26"/>
        </w:rPr>
        <w:tab/>
        <w:t xml:space="preserve">Comments on </w:t>
      </w:r>
      <w:r>
        <w:rPr>
          <w:b/>
          <w:bCs/>
          <w:sz w:val="26"/>
          <w:szCs w:val="26"/>
        </w:rPr>
        <w:t>Other Court Orders</w:t>
      </w:r>
    </w:p>
    <w:p w14:paraId="55F58C77" w14:textId="77777777" w:rsidR="00E96680" w:rsidRDefault="00AD728F" w:rsidP="00AD728F">
      <w:pPr>
        <w:spacing w:line="360" w:lineRule="auto"/>
        <w:ind w:firstLine="720"/>
        <w:rPr>
          <w:sz w:val="26"/>
          <w:szCs w:val="26"/>
        </w:rPr>
      </w:pPr>
      <w:r>
        <w:rPr>
          <w:sz w:val="26"/>
          <w:szCs w:val="26"/>
        </w:rPr>
        <w:t>While PGW offered comments on medical certifications as discussed above</w:t>
      </w:r>
      <w:r w:rsidR="008169A0">
        <w:rPr>
          <w:sz w:val="26"/>
          <w:szCs w:val="26"/>
        </w:rPr>
        <w:t xml:space="preserve"> and </w:t>
      </w:r>
      <w:r>
        <w:rPr>
          <w:sz w:val="26"/>
          <w:szCs w:val="26"/>
        </w:rPr>
        <w:t xml:space="preserve">privacy guidelines as discussed below, </w:t>
      </w:r>
      <w:r w:rsidR="008169A0">
        <w:rPr>
          <w:sz w:val="26"/>
          <w:szCs w:val="26"/>
        </w:rPr>
        <w:t xml:space="preserve">PGW </w:t>
      </w:r>
      <w:r>
        <w:rPr>
          <w:sz w:val="26"/>
          <w:szCs w:val="26"/>
        </w:rPr>
        <w:t xml:space="preserve">did not provide comments on court orders. </w:t>
      </w:r>
      <w:r w:rsidR="008169A0">
        <w:rPr>
          <w:sz w:val="26"/>
          <w:szCs w:val="26"/>
        </w:rPr>
        <w:t xml:space="preserve"> </w:t>
      </w:r>
      <w:r w:rsidR="008169A0" w:rsidRPr="008169A0">
        <w:rPr>
          <w:i/>
          <w:iCs/>
          <w:sz w:val="26"/>
          <w:szCs w:val="26"/>
        </w:rPr>
        <w:t xml:space="preserve">See gen’ly </w:t>
      </w:r>
      <w:r w:rsidR="008169A0">
        <w:rPr>
          <w:sz w:val="26"/>
          <w:szCs w:val="26"/>
        </w:rPr>
        <w:t xml:space="preserve">PGW Comments. </w:t>
      </w:r>
    </w:p>
    <w:p w14:paraId="481A9004" w14:textId="77777777" w:rsidR="006A044D" w:rsidRDefault="006A044D" w:rsidP="00AD728F">
      <w:pPr>
        <w:spacing w:line="360" w:lineRule="auto"/>
        <w:ind w:firstLine="720"/>
        <w:rPr>
          <w:sz w:val="26"/>
          <w:szCs w:val="26"/>
        </w:rPr>
      </w:pPr>
    </w:p>
    <w:p w14:paraId="3E13BAAD" w14:textId="77777777" w:rsidR="006A044D" w:rsidRDefault="001E34A4" w:rsidP="00AD728F">
      <w:pPr>
        <w:spacing w:line="360" w:lineRule="auto"/>
        <w:ind w:firstLine="720"/>
        <w:rPr>
          <w:sz w:val="26"/>
          <w:szCs w:val="26"/>
        </w:rPr>
      </w:pPr>
      <w:r>
        <w:rPr>
          <w:sz w:val="26"/>
          <w:szCs w:val="26"/>
        </w:rPr>
        <w:t>As it pertains to c</w:t>
      </w:r>
      <w:r w:rsidR="006A044D">
        <w:rPr>
          <w:sz w:val="26"/>
          <w:szCs w:val="26"/>
        </w:rPr>
        <w:t xml:space="preserve">ourt orders, PPL claims that relying on outside agencies and </w:t>
      </w:r>
      <w:r w:rsidR="004A58E3">
        <w:rPr>
          <w:sz w:val="26"/>
          <w:szCs w:val="26"/>
        </w:rPr>
        <w:t xml:space="preserve">utilities’ </w:t>
      </w:r>
      <w:r w:rsidR="006A044D">
        <w:rPr>
          <w:sz w:val="26"/>
          <w:szCs w:val="26"/>
        </w:rPr>
        <w:t>in</w:t>
      </w:r>
      <w:r w:rsidR="006A044D">
        <w:rPr>
          <w:sz w:val="26"/>
          <w:szCs w:val="26"/>
        </w:rPr>
        <w:noBreakHyphen/>
        <w:t xml:space="preserve">house legal resources </w:t>
      </w:r>
      <w:r w:rsidR="004A58E3">
        <w:rPr>
          <w:sz w:val="26"/>
          <w:szCs w:val="26"/>
        </w:rPr>
        <w:t xml:space="preserve">to address questions regarding </w:t>
      </w:r>
      <w:r w:rsidR="00DC4096">
        <w:rPr>
          <w:sz w:val="26"/>
          <w:szCs w:val="26"/>
        </w:rPr>
        <w:t>Section 1417 of the Public Utility Code</w:t>
      </w:r>
      <w:r w:rsidR="004A58E3">
        <w:rPr>
          <w:sz w:val="26"/>
          <w:szCs w:val="26"/>
        </w:rPr>
        <w:t xml:space="preserve"> </w:t>
      </w:r>
      <w:r w:rsidR="006A044D">
        <w:rPr>
          <w:sz w:val="26"/>
          <w:szCs w:val="26"/>
        </w:rPr>
        <w:t xml:space="preserve">is not a workable alternative to the Commission providing rules.  </w:t>
      </w:r>
      <w:r w:rsidR="004A58E3">
        <w:rPr>
          <w:sz w:val="26"/>
          <w:szCs w:val="26"/>
        </w:rPr>
        <w:t>PPL</w:t>
      </w:r>
      <w:r w:rsidR="00B95F61">
        <w:rPr>
          <w:sz w:val="26"/>
          <w:szCs w:val="26"/>
        </w:rPr>
        <w:t> </w:t>
      </w:r>
      <w:r w:rsidR="004A58E3">
        <w:rPr>
          <w:sz w:val="26"/>
          <w:szCs w:val="26"/>
        </w:rPr>
        <w:t xml:space="preserve">notes that electric distribution companies (EDCs) could adopt inconsistent policies and practices if requirements are vague.  PPL </w:t>
      </w:r>
      <w:r w:rsidR="00B95F61">
        <w:rPr>
          <w:sz w:val="26"/>
          <w:szCs w:val="26"/>
        </w:rPr>
        <w:t xml:space="preserve">also </w:t>
      </w:r>
      <w:r w:rsidR="004A58E3">
        <w:rPr>
          <w:sz w:val="26"/>
          <w:szCs w:val="26"/>
        </w:rPr>
        <w:t>argues that it is inefficient and resource</w:t>
      </w:r>
      <w:r w:rsidR="00B95F61">
        <w:rPr>
          <w:sz w:val="26"/>
          <w:szCs w:val="26"/>
        </w:rPr>
        <w:noBreakHyphen/>
      </w:r>
      <w:r w:rsidR="004A58E3">
        <w:rPr>
          <w:sz w:val="26"/>
          <w:szCs w:val="26"/>
        </w:rPr>
        <w:t>intensive for every court order to be reviewed by an EDC’s in</w:t>
      </w:r>
      <w:r w:rsidR="008850C6">
        <w:rPr>
          <w:sz w:val="26"/>
          <w:szCs w:val="26"/>
        </w:rPr>
        <w:noBreakHyphen/>
      </w:r>
      <w:r w:rsidR="004A58E3">
        <w:rPr>
          <w:sz w:val="26"/>
          <w:szCs w:val="26"/>
        </w:rPr>
        <w:t>house counsel and that inefficiencies may lea</w:t>
      </w:r>
      <w:r w:rsidR="00964C47">
        <w:rPr>
          <w:sz w:val="26"/>
          <w:szCs w:val="26"/>
        </w:rPr>
        <w:t>d</w:t>
      </w:r>
      <w:r w:rsidR="004A58E3">
        <w:rPr>
          <w:sz w:val="26"/>
          <w:szCs w:val="26"/>
        </w:rPr>
        <w:t xml:space="preserve"> to delays in determining </w:t>
      </w:r>
      <w:r w:rsidR="00DC4096">
        <w:rPr>
          <w:sz w:val="26"/>
          <w:szCs w:val="26"/>
        </w:rPr>
        <w:t>if</w:t>
      </w:r>
      <w:r w:rsidR="004A58E3">
        <w:rPr>
          <w:sz w:val="26"/>
          <w:szCs w:val="26"/>
        </w:rPr>
        <w:t xml:space="preserve"> a customer is entitled to domestic violence victim protection.  </w:t>
      </w:r>
      <w:r w:rsidR="008850C6">
        <w:rPr>
          <w:sz w:val="26"/>
          <w:szCs w:val="26"/>
        </w:rPr>
        <w:t>PPL Comments at 3-4.</w:t>
      </w:r>
    </w:p>
    <w:p w14:paraId="15ED54CB" w14:textId="77777777" w:rsidR="00495558" w:rsidRDefault="00495558" w:rsidP="00AD728F">
      <w:pPr>
        <w:spacing w:line="360" w:lineRule="auto"/>
        <w:ind w:firstLine="720"/>
        <w:rPr>
          <w:sz w:val="26"/>
          <w:szCs w:val="26"/>
        </w:rPr>
      </w:pPr>
    </w:p>
    <w:p w14:paraId="4CDAB055" w14:textId="77777777" w:rsidR="00495558" w:rsidRDefault="00495558" w:rsidP="00AD728F">
      <w:pPr>
        <w:spacing w:line="360" w:lineRule="auto"/>
        <w:ind w:firstLine="720"/>
        <w:rPr>
          <w:sz w:val="26"/>
          <w:szCs w:val="26"/>
        </w:rPr>
      </w:pPr>
      <w:r>
        <w:rPr>
          <w:sz w:val="26"/>
          <w:szCs w:val="26"/>
        </w:rPr>
        <w:t>The OCA</w:t>
      </w:r>
      <w:r w:rsidR="0051466E">
        <w:rPr>
          <w:sz w:val="26"/>
          <w:szCs w:val="26"/>
        </w:rPr>
        <w:t xml:space="preserve"> states that it supports the Commission’s determination that P</w:t>
      </w:r>
      <w:r w:rsidR="00B14B4A">
        <w:rPr>
          <w:sz w:val="26"/>
          <w:szCs w:val="26"/>
        </w:rPr>
        <w:t xml:space="preserve">rotection </w:t>
      </w:r>
      <w:r w:rsidR="0051466E">
        <w:rPr>
          <w:sz w:val="26"/>
          <w:szCs w:val="26"/>
        </w:rPr>
        <w:t>F</w:t>
      </w:r>
      <w:r w:rsidR="00B14B4A">
        <w:rPr>
          <w:sz w:val="26"/>
          <w:szCs w:val="26"/>
        </w:rPr>
        <w:t xml:space="preserve">rom </w:t>
      </w:r>
      <w:r w:rsidR="0051466E">
        <w:rPr>
          <w:sz w:val="26"/>
          <w:szCs w:val="26"/>
        </w:rPr>
        <w:t>A</w:t>
      </w:r>
      <w:r w:rsidR="00B14B4A">
        <w:rPr>
          <w:sz w:val="26"/>
          <w:szCs w:val="26"/>
        </w:rPr>
        <w:t>buse orders (PFAs)</w:t>
      </w:r>
      <w:r w:rsidR="001D6557">
        <w:rPr>
          <w:sz w:val="26"/>
          <w:szCs w:val="26"/>
        </w:rPr>
        <w:t xml:space="preserve"> </w:t>
      </w:r>
      <w:r w:rsidR="0051466E">
        <w:rPr>
          <w:sz w:val="26"/>
          <w:szCs w:val="26"/>
        </w:rPr>
        <w:t>are valid and enforceable and are entitled to the protections of the Commission’s regulations at Chapter 56, Subchapters L-V.  The OCA also notes that it supports the Commission’s determination that PFAs issued outside the Commonwealth are entitled to the same protection.  OCA Comments at 6-7.</w:t>
      </w:r>
    </w:p>
    <w:p w14:paraId="7CAB9CBE" w14:textId="77777777" w:rsidR="00AB4959" w:rsidRDefault="00AB4959" w:rsidP="00AD728F">
      <w:pPr>
        <w:spacing w:line="360" w:lineRule="auto"/>
        <w:ind w:firstLine="720"/>
        <w:rPr>
          <w:sz w:val="26"/>
          <w:szCs w:val="26"/>
        </w:rPr>
      </w:pPr>
    </w:p>
    <w:p w14:paraId="5EA92C7E" w14:textId="77777777" w:rsidR="00AB4959" w:rsidRDefault="00AB4959" w:rsidP="00AD728F">
      <w:pPr>
        <w:spacing w:line="360" w:lineRule="auto"/>
        <w:ind w:firstLine="720"/>
        <w:rPr>
          <w:sz w:val="26"/>
          <w:szCs w:val="26"/>
        </w:rPr>
      </w:pPr>
      <w:r>
        <w:rPr>
          <w:sz w:val="26"/>
          <w:szCs w:val="26"/>
        </w:rPr>
        <w:t xml:space="preserve">PECO proposes to accept a wide range of domestic violence orders and commits to reviewing PFA orders in good faith.  PECO argues that the Commission should have an accelerated review process to allow customers to obtain review in instances where a utility concludes that the customer has not presented clear evidence of domestic violence.  Additionally, PECO </w:t>
      </w:r>
      <w:r w:rsidR="00A25A21">
        <w:rPr>
          <w:sz w:val="26"/>
          <w:szCs w:val="26"/>
        </w:rPr>
        <w:t>states that it supports the</w:t>
      </w:r>
      <w:r>
        <w:rPr>
          <w:sz w:val="26"/>
          <w:szCs w:val="26"/>
        </w:rPr>
        <w:t xml:space="preserve"> Commission’s position that non</w:t>
      </w:r>
      <w:r w:rsidR="00BE396C">
        <w:rPr>
          <w:sz w:val="26"/>
          <w:szCs w:val="26"/>
        </w:rPr>
        <w:noBreakHyphen/>
      </w:r>
      <w:r>
        <w:rPr>
          <w:sz w:val="26"/>
          <w:szCs w:val="26"/>
        </w:rPr>
        <w:t xml:space="preserve">PFA court orders issued outside the Commonwealth are not subject to protections under </w:t>
      </w:r>
      <w:r w:rsidR="00FD4CF3">
        <w:rPr>
          <w:sz w:val="26"/>
          <w:szCs w:val="26"/>
        </w:rPr>
        <w:t xml:space="preserve">the </w:t>
      </w:r>
      <w:r>
        <w:rPr>
          <w:sz w:val="26"/>
          <w:szCs w:val="26"/>
        </w:rPr>
        <w:t xml:space="preserve">regulations at Chapter 56, Subchapters L-V.  </w:t>
      </w:r>
      <w:r w:rsidR="00BE396C">
        <w:rPr>
          <w:sz w:val="26"/>
          <w:szCs w:val="26"/>
        </w:rPr>
        <w:t xml:space="preserve">In this regard, </w:t>
      </w:r>
      <w:r>
        <w:rPr>
          <w:sz w:val="26"/>
          <w:szCs w:val="26"/>
        </w:rPr>
        <w:t>PECO notes that Chapter 14 of the Public Utility Code identifies</w:t>
      </w:r>
      <w:r w:rsidR="00BE396C">
        <w:rPr>
          <w:sz w:val="26"/>
          <w:szCs w:val="26"/>
        </w:rPr>
        <w:t xml:space="preserve"> only</w:t>
      </w:r>
      <w:r>
        <w:rPr>
          <w:sz w:val="26"/>
          <w:szCs w:val="26"/>
        </w:rPr>
        <w:t xml:space="preserve"> two categories of orders for purposes of the </w:t>
      </w:r>
      <w:r>
        <w:rPr>
          <w:sz w:val="26"/>
          <w:szCs w:val="26"/>
        </w:rPr>
        <w:lastRenderedPageBreak/>
        <w:t>domestic violence exemption</w:t>
      </w:r>
      <w:r w:rsidR="0026618A">
        <w:rPr>
          <w:sz w:val="26"/>
          <w:szCs w:val="26"/>
        </w:rPr>
        <w:t>:</w:t>
      </w:r>
      <w:r>
        <w:rPr>
          <w:sz w:val="26"/>
          <w:szCs w:val="26"/>
        </w:rPr>
        <w:t xml:space="preserve"> (1) PFAs, and (2) court order</w:t>
      </w:r>
      <w:r w:rsidR="0026618A">
        <w:rPr>
          <w:sz w:val="26"/>
          <w:szCs w:val="26"/>
        </w:rPr>
        <w:t>s</w:t>
      </w:r>
      <w:r>
        <w:rPr>
          <w:sz w:val="26"/>
          <w:szCs w:val="26"/>
        </w:rPr>
        <w:t xml:space="preserve"> issued by a court of competent jurisdiction in the Commonwealth.  PECO Comments at 3-4.</w:t>
      </w:r>
    </w:p>
    <w:p w14:paraId="1B1CC733" w14:textId="77777777" w:rsidR="00AB4959" w:rsidRDefault="00AB4959" w:rsidP="00AD728F">
      <w:pPr>
        <w:spacing w:line="360" w:lineRule="auto"/>
        <w:ind w:firstLine="720"/>
        <w:rPr>
          <w:sz w:val="26"/>
          <w:szCs w:val="26"/>
        </w:rPr>
      </w:pPr>
    </w:p>
    <w:p w14:paraId="3A12B8CF" w14:textId="77777777" w:rsidR="00AB4959" w:rsidRDefault="00AB4959" w:rsidP="005B268D">
      <w:pPr>
        <w:spacing w:line="360" w:lineRule="auto"/>
        <w:ind w:firstLine="720"/>
        <w:rPr>
          <w:sz w:val="26"/>
          <w:szCs w:val="26"/>
        </w:rPr>
      </w:pPr>
      <w:r>
        <w:rPr>
          <w:sz w:val="26"/>
          <w:szCs w:val="26"/>
        </w:rPr>
        <w:t>EAP</w:t>
      </w:r>
      <w:r w:rsidR="00686DDB">
        <w:rPr>
          <w:sz w:val="26"/>
          <w:szCs w:val="26"/>
        </w:rPr>
        <w:t xml:space="preserve"> states that it supports the Commission’s conclusions in the Tentative Order regarding utilities operating in good faith, PFAs being subject to Subchapters L-V of the Chapter 56 regulations, </w:t>
      </w:r>
      <w:r w:rsidR="00AF5F27">
        <w:rPr>
          <w:sz w:val="26"/>
          <w:szCs w:val="26"/>
        </w:rPr>
        <w:t xml:space="preserve">including </w:t>
      </w:r>
      <w:r w:rsidR="00686DDB">
        <w:rPr>
          <w:sz w:val="26"/>
          <w:szCs w:val="26"/>
        </w:rPr>
        <w:t>non-PFA court orders in the Commonwealth in the protections of Subchapters L-V, and</w:t>
      </w:r>
      <w:r w:rsidR="00AF5F27">
        <w:rPr>
          <w:sz w:val="26"/>
          <w:szCs w:val="26"/>
        </w:rPr>
        <w:t xml:space="preserve"> not including</w:t>
      </w:r>
      <w:r w:rsidR="00686DDB">
        <w:rPr>
          <w:sz w:val="26"/>
          <w:szCs w:val="26"/>
        </w:rPr>
        <w:t xml:space="preserve"> non-PFA court orders outside the Commonwealth in </w:t>
      </w:r>
      <w:r w:rsidR="00AF5F27">
        <w:rPr>
          <w:sz w:val="26"/>
          <w:szCs w:val="26"/>
        </w:rPr>
        <w:t>those protections</w:t>
      </w:r>
      <w:r w:rsidR="00686DDB">
        <w:rPr>
          <w:sz w:val="26"/>
          <w:szCs w:val="26"/>
        </w:rPr>
        <w:t>.  EAP Comments at 4.</w:t>
      </w:r>
    </w:p>
    <w:p w14:paraId="7B48A966" w14:textId="77777777" w:rsidR="00490B58" w:rsidRDefault="00490B58" w:rsidP="005B268D">
      <w:pPr>
        <w:spacing w:line="360" w:lineRule="auto"/>
        <w:ind w:firstLine="720"/>
        <w:rPr>
          <w:sz w:val="26"/>
          <w:szCs w:val="26"/>
        </w:rPr>
      </w:pPr>
    </w:p>
    <w:p w14:paraId="2D97A3D8" w14:textId="77777777" w:rsidR="00133384" w:rsidRDefault="00133384" w:rsidP="008C4103">
      <w:pPr>
        <w:spacing w:line="360" w:lineRule="auto"/>
        <w:ind w:firstLine="720"/>
        <w:rPr>
          <w:sz w:val="26"/>
          <w:szCs w:val="26"/>
        </w:rPr>
      </w:pPr>
      <w:r w:rsidRPr="00DC4096">
        <w:rPr>
          <w:sz w:val="26"/>
          <w:szCs w:val="26"/>
        </w:rPr>
        <w:t>CAUSE-PA</w:t>
      </w:r>
      <w:r w:rsidR="00DC4096">
        <w:rPr>
          <w:sz w:val="26"/>
          <w:szCs w:val="26"/>
        </w:rPr>
        <w:t xml:space="preserve"> notes that the domestic violence exemption is intentionally </w:t>
      </w:r>
      <w:r w:rsidR="001F4B8C">
        <w:rPr>
          <w:sz w:val="26"/>
          <w:szCs w:val="26"/>
        </w:rPr>
        <w:t>broad</w:t>
      </w:r>
      <w:r w:rsidR="00DC4096">
        <w:rPr>
          <w:sz w:val="26"/>
          <w:szCs w:val="26"/>
        </w:rPr>
        <w:t xml:space="preserve"> in recognition of the fact that not all victims of domestic violence are able to obtain a PFA.</w:t>
      </w:r>
      <w:r w:rsidR="00554A61">
        <w:rPr>
          <w:sz w:val="26"/>
          <w:szCs w:val="26"/>
        </w:rPr>
        <w:t xml:space="preserve">  CAUSE-PA</w:t>
      </w:r>
      <w:r>
        <w:rPr>
          <w:sz w:val="26"/>
          <w:szCs w:val="26"/>
        </w:rPr>
        <w:t xml:space="preserve"> </w:t>
      </w:r>
      <w:r w:rsidR="00DC4096">
        <w:rPr>
          <w:sz w:val="26"/>
          <w:szCs w:val="26"/>
        </w:rPr>
        <w:t xml:space="preserve">states that it supports the Commission’s decision not to provide a formal definition of domestic violence and instead to refer utilities to seek technical assistance from experts.  CAUSE-PA argues that utilities should consult with a professional if there are any questions around the dynamics of domestic violence and domestic violence victimization. </w:t>
      </w:r>
      <w:r w:rsidR="008C4103">
        <w:rPr>
          <w:sz w:val="26"/>
          <w:szCs w:val="26"/>
        </w:rPr>
        <w:t xml:space="preserve"> CAUSE-PA also suggests that the definition of domestic violence may not be limited to the definition of “abuse” in the PFA Act because it would inappropriately restrict the applicability of the Chapter 14 exemption to </w:t>
      </w:r>
      <w:r w:rsidR="009847F1">
        <w:rPr>
          <w:sz w:val="26"/>
          <w:szCs w:val="26"/>
        </w:rPr>
        <w:t xml:space="preserve">only </w:t>
      </w:r>
      <w:r w:rsidR="008C4103">
        <w:rPr>
          <w:sz w:val="26"/>
          <w:szCs w:val="26"/>
        </w:rPr>
        <w:t xml:space="preserve">those who are able to obtain a PFA.  </w:t>
      </w:r>
      <w:r w:rsidR="00554A61">
        <w:rPr>
          <w:sz w:val="26"/>
          <w:szCs w:val="26"/>
        </w:rPr>
        <w:t>CAUSE-PA Comments at 12-</w:t>
      </w:r>
      <w:r w:rsidR="008C4103">
        <w:rPr>
          <w:sz w:val="26"/>
          <w:szCs w:val="26"/>
        </w:rPr>
        <w:t>13.</w:t>
      </w:r>
    </w:p>
    <w:p w14:paraId="2D755DA0" w14:textId="77777777" w:rsidR="008C4103" w:rsidRDefault="008C4103" w:rsidP="008C4103">
      <w:pPr>
        <w:spacing w:line="360" w:lineRule="auto"/>
        <w:ind w:firstLine="720"/>
        <w:rPr>
          <w:sz w:val="26"/>
          <w:szCs w:val="26"/>
        </w:rPr>
      </w:pPr>
    </w:p>
    <w:p w14:paraId="0A9599E5" w14:textId="77777777" w:rsidR="008C4103" w:rsidRDefault="008C4103" w:rsidP="008C4103">
      <w:pPr>
        <w:spacing w:line="360" w:lineRule="auto"/>
        <w:ind w:firstLine="720"/>
        <w:rPr>
          <w:sz w:val="26"/>
          <w:szCs w:val="26"/>
        </w:rPr>
      </w:pPr>
      <w:r>
        <w:rPr>
          <w:sz w:val="26"/>
          <w:szCs w:val="26"/>
        </w:rPr>
        <w:t xml:space="preserve">Additionally, CAUSE-PA disagrees that other court orders, aside from PFAs, outside the Commonwealth are excluded from the Chapter 56 protections.  CAUSE-PA notes that PCADV explained that court orders from other states can be authenticated by the Court of Common Pleas and that the PFA Act </w:t>
      </w:r>
      <w:r w:rsidR="006901E4">
        <w:rPr>
          <w:sz w:val="26"/>
          <w:szCs w:val="26"/>
        </w:rPr>
        <w:t>sets forth how to</w:t>
      </w:r>
      <w:r>
        <w:rPr>
          <w:sz w:val="26"/>
          <w:szCs w:val="26"/>
        </w:rPr>
        <w:t xml:space="preserve"> certify a PFA from another state.  CAUSE-PA argues that, if a court order is recognized as effective and enforceable by a court of this Commonwealth, it becomes an order issued by a court of competent jurisdiction in this Commonwealth and is not prohibited from inclusion as an order that provides clear evidence of domestic violence. </w:t>
      </w:r>
      <w:r w:rsidR="00422FEF">
        <w:rPr>
          <w:sz w:val="26"/>
          <w:szCs w:val="26"/>
        </w:rPr>
        <w:t xml:space="preserve"> CAUSE-PA asks the </w:t>
      </w:r>
      <w:r w:rsidR="00422FEF">
        <w:rPr>
          <w:sz w:val="26"/>
          <w:szCs w:val="26"/>
        </w:rPr>
        <w:lastRenderedPageBreak/>
        <w:t>Commission</w:t>
      </w:r>
      <w:r w:rsidR="006901E4">
        <w:rPr>
          <w:sz w:val="26"/>
          <w:szCs w:val="26"/>
        </w:rPr>
        <w:t xml:space="preserve"> to</w:t>
      </w:r>
      <w:r w:rsidR="00422FEF">
        <w:rPr>
          <w:sz w:val="26"/>
          <w:szCs w:val="26"/>
        </w:rPr>
        <w:t xml:space="preserve"> recognize that orders outside the Commonwealth may gain effect through Pennsylvania courts </w:t>
      </w:r>
      <w:r w:rsidR="006901E4">
        <w:rPr>
          <w:sz w:val="26"/>
          <w:szCs w:val="26"/>
        </w:rPr>
        <w:t>and</w:t>
      </w:r>
      <w:r w:rsidR="00422FEF">
        <w:rPr>
          <w:sz w:val="26"/>
          <w:szCs w:val="26"/>
        </w:rPr>
        <w:t xml:space="preserve"> qualify for the exemption.  CAUSE-PA Comments at 13-14. </w:t>
      </w:r>
    </w:p>
    <w:p w14:paraId="283DA6B5" w14:textId="77777777" w:rsidR="006901E4" w:rsidRDefault="006901E4" w:rsidP="008C4103">
      <w:pPr>
        <w:spacing w:line="360" w:lineRule="auto"/>
        <w:ind w:firstLine="720"/>
        <w:rPr>
          <w:sz w:val="26"/>
          <w:szCs w:val="26"/>
        </w:rPr>
      </w:pPr>
    </w:p>
    <w:p w14:paraId="6031304A" w14:textId="77777777" w:rsidR="00554A61" w:rsidRDefault="006901E4" w:rsidP="006901E4">
      <w:pPr>
        <w:spacing w:line="360" w:lineRule="auto"/>
        <w:ind w:firstLine="720"/>
        <w:rPr>
          <w:sz w:val="26"/>
          <w:szCs w:val="26"/>
        </w:rPr>
      </w:pPr>
      <w:r>
        <w:rPr>
          <w:sz w:val="26"/>
          <w:szCs w:val="26"/>
        </w:rPr>
        <w:t xml:space="preserve">CAUSE-PA </w:t>
      </w:r>
      <w:r w:rsidR="00625806">
        <w:rPr>
          <w:sz w:val="26"/>
          <w:szCs w:val="26"/>
        </w:rPr>
        <w:t xml:space="preserve">also </w:t>
      </w:r>
      <w:r>
        <w:rPr>
          <w:sz w:val="26"/>
          <w:szCs w:val="26"/>
        </w:rPr>
        <w:t>requests that the Commission adopt the additional processes identified in CAUSE-PA’s prior comments, although these processes were not adopted in the Tentative Order.  These process</w:t>
      </w:r>
      <w:r w:rsidR="001F4B8C">
        <w:rPr>
          <w:sz w:val="26"/>
          <w:szCs w:val="26"/>
        </w:rPr>
        <w:t>es</w:t>
      </w:r>
      <w:r>
        <w:rPr>
          <w:sz w:val="26"/>
          <w:szCs w:val="26"/>
        </w:rPr>
        <w:t xml:space="preserve"> include screening customers to identify whether they are victim</w:t>
      </w:r>
      <w:r w:rsidR="00F3216A">
        <w:rPr>
          <w:sz w:val="26"/>
          <w:szCs w:val="26"/>
        </w:rPr>
        <w:t>s</w:t>
      </w:r>
      <w:r>
        <w:rPr>
          <w:sz w:val="26"/>
          <w:szCs w:val="26"/>
        </w:rPr>
        <w:t xml:space="preserve"> of domestic violence, transferring victims to a CARES team with the utility that is highly trained on domestic violence issues, and encouraging utilities to invite staff from local domestic violence programs to participate in the utility’s universal service advisory group.  CAUSE-PA indicates that it agrees with the Commission’s suggestion that utilities seek training in domestic violence</w:t>
      </w:r>
      <w:r w:rsidR="00625806">
        <w:rPr>
          <w:sz w:val="26"/>
          <w:szCs w:val="26"/>
        </w:rPr>
        <w:t>, but</w:t>
      </w:r>
      <w:r>
        <w:rPr>
          <w:sz w:val="26"/>
          <w:szCs w:val="26"/>
        </w:rPr>
        <w:t xml:space="preserve"> </w:t>
      </w:r>
      <w:r w:rsidR="00625806">
        <w:rPr>
          <w:sz w:val="26"/>
          <w:szCs w:val="26"/>
        </w:rPr>
        <w:t xml:space="preserve">argues that a single training </w:t>
      </w:r>
      <w:r w:rsidR="003457B1">
        <w:rPr>
          <w:sz w:val="26"/>
          <w:szCs w:val="26"/>
        </w:rPr>
        <w:t>is not</w:t>
      </w:r>
      <w:r w:rsidR="00625806">
        <w:rPr>
          <w:sz w:val="26"/>
          <w:szCs w:val="26"/>
        </w:rPr>
        <w:t xml:space="preserve"> sufficient. </w:t>
      </w:r>
      <w:r>
        <w:rPr>
          <w:sz w:val="26"/>
          <w:szCs w:val="26"/>
        </w:rPr>
        <w:t xml:space="preserve"> </w:t>
      </w:r>
      <w:r w:rsidR="00625806">
        <w:rPr>
          <w:sz w:val="26"/>
          <w:szCs w:val="26"/>
        </w:rPr>
        <w:t>CAUSE-PA suggests that training occur at least annually.  CAUSE-PA also notes that local domestic violence agencies vary and, therefore, suggests that utilities reach out to PCADV as a first step.  CAUSE-PA</w:t>
      </w:r>
      <w:r w:rsidR="009D67D9">
        <w:rPr>
          <w:sz w:val="26"/>
          <w:szCs w:val="26"/>
        </w:rPr>
        <w:t xml:space="preserve"> further</w:t>
      </w:r>
      <w:r w:rsidR="00625806">
        <w:rPr>
          <w:sz w:val="26"/>
          <w:szCs w:val="26"/>
        </w:rPr>
        <w:t xml:space="preserve"> recommends that utilities provide cross-training to local domestic violence programs about programs that could help survivors of domestic violence.  </w:t>
      </w:r>
      <w:r>
        <w:rPr>
          <w:sz w:val="26"/>
          <w:szCs w:val="26"/>
        </w:rPr>
        <w:t>CAUSE-PA Comments at 14-</w:t>
      </w:r>
      <w:r w:rsidR="00625806">
        <w:rPr>
          <w:sz w:val="26"/>
          <w:szCs w:val="26"/>
        </w:rPr>
        <w:t>17.</w:t>
      </w:r>
    </w:p>
    <w:p w14:paraId="5A166C1C" w14:textId="77777777" w:rsidR="00A06DBB" w:rsidRDefault="00A06DBB" w:rsidP="006901E4">
      <w:pPr>
        <w:spacing w:line="360" w:lineRule="auto"/>
        <w:ind w:firstLine="720"/>
        <w:rPr>
          <w:sz w:val="26"/>
          <w:szCs w:val="26"/>
        </w:rPr>
      </w:pPr>
    </w:p>
    <w:p w14:paraId="293E5739" w14:textId="77777777" w:rsidR="00BC1E77" w:rsidRDefault="009D67D9" w:rsidP="006901E4">
      <w:pPr>
        <w:spacing w:line="360" w:lineRule="auto"/>
        <w:ind w:firstLine="720"/>
        <w:rPr>
          <w:sz w:val="26"/>
          <w:szCs w:val="26"/>
        </w:rPr>
      </w:pPr>
      <w:r>
        <w:rPr>
          <w:sz w:val="26"/>
          <w:szCs w:val="26"/>
        </w:rPr>
        <w:t>Moreover,</w:t>
      </w:r>
      <w:r w:rsidR="00BC1E77">
        <w:rPr>
          <w:sz w:val="26"/>
          <w:szCs w:val="26"/>
        </w:rPr>
        <w:t xml:space="preserve"> CAUSE-PA reiterates recommendations from its prior comments regarding the handling and retention of sensitive documentation and information from victims of domestic violence.  CAUSE-PA also</w:t>
      </w:r>
      <w:r w:rsidR="009801DD" w:rsidRPr="009801DD">
        <w:rPr>
          <w:sz w:val="26"/>
          <w:szCs w:val="26"/>
        </w:rPr>
        <w:t xml:space="preserve"> </w:t>
      </w:r>
      <w:r w:rsidR="009801DD">
        <w:rPr>
          <w:sz w:val="26"/>
          <w:szCs w:val="26"/>
        </w:rPr>
        <w:t>notes that the Commission’s current regulations offer significant protection for victims of domestic violence as being exempt from third party liability, including debt accrued by any third party.   CAUSE-PA</w:t>
      </w:r>
      <w:r w:rsidR="00BC1E77">
        <w:rPr>
          <w:sz w:val="26"/>
          <w:szCs w:val="26"/>
        </w:rPr>
        <w:t xml:space="preserve"> recommends that the Commission reinforce the third</w:t>
      </w:r>
      <w:r w:rsidR="00795734">
        <w:rPr>
          <w:sz w:val="26"/>
          <w:szCs w:val="26"/>
        </w:rPr>
        <w:t>-</w:t>
      </w:r>
      <w:r w:rsidR="00BC1E77">
        <w:rPr>
          <w:sz w:val="26"/>
          <w:szCs w:val="26"/>
        </w:rPr>
        <w:t xml:space="preserve">party liability standards that apply to victims. </w:t>
      </w:r>
      <w:r w:rsidR="00795734">
        <w:rPr>
          <w:sz w:val="26"/>
          <w:szCs w:val="26"/>
        </w:rPr>
        <w:t xml:space="preserve"> </w:t>
      </w:r>
      <w:r w:rsidR="00BC1E77">
        <w:rPr>
          <w:sz w:val="26"/>
          <w:szCs w:val="26"/>
        </w:rPr>
        <w:t xml:space="preserve">CAUSE-PA Comments at 17-18. </w:t>
      </w:r>
    </w:p>
    <w:p w14:paraId="57A4F282" w14:textId="77777777" w:rsidR="006901E4" w:rsidRDefault="006901E4" w:rsidP="00554A61">
      <w:pPr>
        <w:spacing w:line="360" w:lineRule="auto"/>
        <w:rPr>
          <w:sz w:val="26"/>
          <w:szCs w:val="26"/>
        </w:rPr>
      </w:pPr>
    </w:p>
    <w:p w14:paraId="6DF84608" w14:textId="77777777" w:rsidR="005B268D" w:rsidRDefault="005B268D" w:rsidP="005B268D">
      <w:pPr>
        <w:spacing w:line="360" w:lineRule="auto"/>
        <w:ind w:firstLine="720"/>
        <w:rPr>
          <w:sz w:val="26"/>
          <w:szCs w:val="26"/>
        </w:rPr>
      </w:pPr>
      <w:r>
        <w:rPr>
          <w:sz w:val="26"/>
          <w:szCs w:val="26"/>
        </w:rPr>
        <w:t xml:space="preserve">While HELP: MLP offered comments on medical certificates as discussed above, it did not provide comments on </w:t>
      </w:r>
      <w:r w:rsidR="00A67D00">
        <w:rPr>
          <w:sz w:val="26"/>
          <w:szCs w:val="26"/>
        </w:rPr>
        <w:t>other court orders</w:t>
      </w:r>
      <w:r>
        <w:rPr>
          <w:sz w:val="26"/>
          <w:szCs w:val="26"/>
        </w:rPr>
        <w:t xml:space="preserve">.  </w:t>
      </w:r>
      <w:r w:rsidRPr="005B268D">
        <w:rPr>
          <w:i/>
          <w:iCs/>
          <w:sz w:val="26"/>
          <w:szCs w:val="26"/>
        </w:rPr>
        <w:t>See gen’ly</w:t>
      </w:r>
      <w:r>
        <w:rPr>
          <w:sz w:val="26"/>
          <w:szCs w:val="26"/>
        </w:rPr>
        <w:t xml:space="preserve"> HELP: MLP Comments.</w:t>
      </w:r>
    </w:p>
    <w:p w14:paraId="68A394D1" w14:textId="77777777" w:rsidR="00133384" w:rsidRDefault="00133384" w:rsidP="005B268D">
      <w:pPr>
        <w:spacing w:line="360" w:lineRule="auto"/>
        <w:ind w:firstLine="720"/>
        <w:rPr>
          <w:sz w:val="26"/>
          <w:szCs w:val="26"/>
        </w:rPr>
      </w:pPr>
    </w:p>
    <w:p w14:paraId="66911620" w14:textId="77777777" w:rsidR="00133384" w:rsidRDefault="00A96AF3" w:rsidP="005B268D">
      <w:pPr>
        <w:spacing w:line="360" w:lineRule="auto"/>
        <w:ind w:firstLine="720"/>
        <w:rPr>
          <w:sz w:val="26"/>
          <w:szCs w:val="26"/>
        </w:rPr>
      </w:pPr>
      <w:r>
        <w:rPr>
          <w:sz w:val="26"/>
          <w:szCs w:val="26"/>
        </w:rPr>
        <w:lastRenderedPageBreak/>
        <w:t xml:space="preserve">Duquesne claims that there is a lack of clarity regarding what </w:t>
      </w:r>
      <w:r w:rsidR="009A1E75">
        <w:rPr>
          <w:sz w:val="26"/>
          <w:szCs w:val="26"/>
        </w:rPr>
        <w:t xml:space="preserve">orders </w:t>
      </w:r>
      <w:r>
        <w:rPr>
          <w:sz w:val="26"/>
          <w:szCs w:val="26"/>
        </w:rPr>
        <w:t xml:space="preserve">constitute “other court orders.”  </w:t>
      </w:r>
      <w:r w:rsidR="009A1E75">
        <w:rPr>
          <w:sz w:val="26"/>
          <w:szCs w:val="26"/>
        </w:rPr>
        <w:t xml:space="preserve">In this regard, </w:t>
      </w:r>
      <w:r>
        <w:rPr>
          <w:sz w:val="26"/>
          <w:szCs w:val="26"/>
        </w:rPr>
        <w:t>Duquesne argues that utilities are not equipped and should not be required to be equipped to make judgements about what constitutes domestic violence or</w:t>
      </w:r>
      <w:r w:rsidR="009A1E75">
        <w:rPr>
          <w:sz w:val="26"/>
          <w:szCs w:val="26"/>
        </w:rPr>
        <w:t xml:space="preserve"> judgments on</w:t>
      </w:r>
      <w:r>
        <w:rPr>
          <w:sz w:val="26"/>
          <w:szCs w:val="26"/>
        </w:rPr>
        <w:t xml:space="preserve"> the validity of other court orders.  Duquense</w:t>
      </w:r>
      <w:r w:rsidR="003C7A9E">
        <w:rPr>
          <w:sz w:val="26"/>
          <w:szCs w:val="26"/>
        </w:rPr>
        <w:t xml:space="preserve"> also</w:t>
      </w:r>
      <w:r>
        <w:rPr>
          <w:sz w:val="26"/>
          <w:szCs w:val="26"/>
        </w:rPr>
        <w:t xml:space="preserve"> argues that utilities’ call center representatives are not qualified to read and interpret legal documents and that examining evidence of domestic violence in court documents is beyond the scope of in-house lawyers</w:t>
      </w:r>
      <w:r w:rsidR="00F44918">
        <w:rPr>
          <w:sz w:val="26"/>
          <w:szCs w:val="26"/>
        </w:rPr>
        <w:t>’</w:t>
      </w:r>
      <w:r>
        <w:rPr>
          <w:sz w:val="26"/>
          <w:szCs w:val="26"/>
        </w:rPr>
        <w:t xml:space="preserve"> knowledge and expertise.  Duquesne asks the Commission </w:t>
      </w:r>
      <w:r w:rsidR="003C7A9E">
        <w:rPr>
          <w:sz w:val="26"/>
          <w:szCs w:val="26"/>
        </w:rPr>
        <w:t>to</w:t>
      </w:r>
      <w:r>
        <w:rPr>
          <w:sz w:val="26"/>
          <w:szCs w:val="26"/>
        </w:rPr>
        <w:t xml:space="preserve"> establish definitions, while also allowing room for utilities to exercise flexibility based on a customer’s unique circumstances. </w:t>
      </w:r>
      <w:r w:rsidR="009A1E75">
        <w:rPr>
          <w:sz w:val="26"/>
          <w:szCs w:val="26"/>
        </w:rPr>
        <w:t xml:space="preserve"> Duquesne Comments at 4-5. </w:t>
      </w:r>
    </w:p>
    <w:p w14:paraId="670AC1A8" w14:textId="77777777" w:rsidR="009335B4" w:rsidRDefault="009335B4" w:rsidP="005B268D">
      <w:pPr>
        <w:spacing w:line="360" w:lineRule="auto"/>
        <w:ind w:firstLine="720"/>
        <w:rPr>
          <w:sz w:val="26"/>
          <w:szCs w:val="26"/>
        </w:rPr>
      </w:pPr>
    </w:p>
    <w:p w14:paraId="22B449C9" w14:textId="77777777" w:rsidR="00133384" w:rsidRDefault="005605C4" w:rsidP="005B268D">
      <w:pPr>
        <w:spacing w:line="360" w:lineRule="auto"/>
        <w:ind w:firstLine="720"/>
        <w:rPr>
          <w:sz w:val="26"/>
          <w:szCs w:val="26"/>
        </w:rPr>
      </w:pPr>
      <w:r>
        <w:rPr>
          <w:sz w:val="26"/>
          <w:szCs w:val="26"/>
        </w:rPr>
        <w:t xml:space="preserve">The </w:t>
      </w:r>
      <w:r w:rsidR="00133384">
        <w:rPr>
          <w:sz w:val="26"/>
          <w:szCs w:val="26"/>
        </w:rPr>
        <w:t>FirstEnergy Companies</w:t>
      </w:r>
      <w:r>
        <w:rPr>
          <w:sz w:val="26"/>
          <w:szCs w:val="26"/>
        </w:rPr>
        <w:t xml:space="preserve"> state that they do not have any proposed changes related to other court orders.  The FirstEnergy Companies note that Chapter 56 provides sufficient explanation regarding the protections that apply to victims of domestic violence.  FirstEnergy Comments at 1. </w:t>
      </w:r>
    </w:p>
    <w:p w14:paraId="797F723E" w14:textId="77777777" w:rsidR="003457B1" w:rsidRDefault="003457B1" w:rsidP="005B268D">
      <w:pPr>
        <w:spacing w:line="360" w:lineRule="auto"/>
        <w:ind w:firstLine="720"/>
        <w:rPr>
          <w:sz w:val="26"/>
          <w:szCs w:val="26"/>
        </w:rPr>
      </w:pPr>
    </w:p>
    <w:p w14:paraId="294EA6A4" w14:textId="77777777" w:rsidR="00FF43E5" w:rsidRDefault="00454B2E" w:rsidP="00454B2E">
      <w:pPr>
        <w:spacing w:line="360" w:lineRule="auto"/>
        <w:ind w:left="720"/>
        <w:rPr>
          <w:b/>
          <w:bCs/>
          <w:sz w:val="26"/>
          <w:szCs w:val="26"/>
        </w:rPr>
      </w:pPr>
      <w:r>
        <w:rPr>
          <w:b/>
          <w:bCs/>
          <w:sz w:val="26"/>
          <w:szCs w:val="26"/>
        </w:rPr>
        <w:t>B.</w:t>
      </w:r>
      <w:r>
        <w:rPr>
          <w:b/>
          <w:bCs/>
          <w:sz w:val="26"/>
          <w:szCs w:val="26"/>
        </w:rPr>
        <w:tab/>
      </w:r>
      <w:r w:rsidR="00FF43E5" w:rsidRPr="00950C6D">
        <w:rPr>
          <w:b/>
          <w:bCs/>
          <w:sz w:val="26"/>
          <w:szCs w:val="26"/>
        </w:rPr>
        <w:t>Disposition on Other Court Orders</w:t>
      </w:r>
    </w:p>
    <w:p w14:paraId="495BADA1" w14:textId="77777777" w:rsidR="00B20F88" w:rsidRDefault="00B20F88" w:rsidP="00B20F88">
      <w:pPr>
        <w:spacing w:line="360" w:lineRule="auto"/>
        <w:ind w:firstLine="720"/>
        <w:rPr>
          <w:sz w:val="26"/>
          <w:szCs w:val="26"/>
        </w:rPr>
      </w:pPr>
      <w:r>
        <w:rPr>
          <w:sz w:val="26"/>
          <w:szCs w:val="26"/>
        </w:rPr>
        <w:t>We note that the parties generally agree that the Commission has appropriately resolved questions regarding which orders are entitled to the protections of Chapter 56, Subchapters L-V</w:t>
      </w:r>
      <w:r w:rsidR="00964C47">
        <w:rPr>
          <w:sz w:val="26"/>
          <w:szCs w:val="26"/>
        </w:rPr>
        <w:t xml:space="preserve"> of the Commission’s regulations</w:t>
      </w:r>
      <w:r>
        <w:rPr>
          <w:sz w:val="26"/>
          <w:szCs w:val="26"/>
        </w:rPr>
        <w:t>.  The majority of the parties support the Commission’s determination that PFAs, including those outside the Commonwealth, and non-PFA court orders or court orders issued by a court of competent jurisdiction “in this commonwealth” are entitled to these protections, while non-PFA court orders outside the Commonwealth are not.  We disagree with CAUSE-PA that the statute somehow encompasses court orders originally issued outside of a court of competent jurisdiction in the Commonwealth.  As PECO notes, Section 1417 of the Public Utility Code provides only two categories for the domestic violence exemption: (1) PFAs, and (2) court orders issued by a court of competent jurisdiction in the Commonwealth.  66 Pa.C.S. § 1417.</w:t>
      </w:r>
    </w:p>
    <w:p w14:paraId="5D20E156" w14:textId="77777777" w:rsidR="00B20F88" w:rsidRDefault="00B20F88" w:rsidP="00B20F88">
      <w:pPr>
        <w:spacing w:line="360" w:lineRule="auto"/>
        <w:ind w:firstLine="720"/>
        <w:rPr>
          <w:sz w:val="26"/>
          <w:szCs w:val="26"/>
        </w:rPr>
      </w:pPr>
    </w:p>
    <w:p w14:paraId="51719701" w14:textId="77777777" w:rsidR="00310479" w:rsidRDefault="00B20F88" w:rsidP="00B20F88">
      <w:pPr>
        <w:spacing w:line="360" w:lineRule="auto"/>
        <w:ind w:firstLine="720"/>
        <w:rPr>
          <w:sz w:val="26"/>
          <w:szCs w:val="26"/>
        </w:rPr>
      </w:pPr>
      <w:r>
        <w:rPr>
          <w:sz w:val="26"/>
          <w:szCs w:val="26"/>
        </w:rPr>
        <w:lastRenderedPageBreak/>
        <w:t>Additionally, we</w:t>
      </w:r>
      <w:r w:rsidR="00905DED">
        <w:rPr>
          <w:sz w:val="26"/>
          <w:szCs w:val="26"/>
        </w:rPr>
        <w:t xml:space="preserve"> recognize that some parties ask the Commission to provide </w:t>
      </w:r>
      <w:r w:rsidR="00BD557E">
        <w:rPr>
          <w:sz w:val="26"/>
          <w:szCs w:val="26"/>
        </w:rPr>
        <w:t xml:space="preserve">specific </w:t>
      </w:r>
      <w:r w:rsidR="00905DED">
        <w:rPr>
          <w:sz w:val="26"/>
          <w:szCs w:val="26"/>
        </w:rPr>
        <w:t xml:space="preserve">definitions related to domestic violence, while other parties </w:t>
      </w:r>
      <w:r w:rsidR="00696B8C">
        <w:rPr>
          <w:sz w:val="26"/>
          <w:szCs w:val="26"/>
        </w:rPr>
        <w:t xml:space="preserve">ask the </w:t>
      </w:r>
      <w:r w:rsidR="00592DD5">
        <w:rPr>
          <w:sz w:val="26"/>
          <w:szCs w:val="26"/>
        </w:rPr>
        <w:t xml:space="preserve">Commission </w:t>
      </w:r>
      <w:r w:rsidR="00696B8C">
        <w:rPr>
          <w:sz w:val="26"/>
          <w:szCs w:val="26"/>
        </w:rPr>
        <w:t>to</w:t>
      </w:r>
      <w:r w:rsidR="00592DD5">
        <w:rPr>
          <w:sz w:val="26"/>
          <w:szCs w:val="26"/>
        </w:rPr>
        <w:t xml:space="preserve"> avoid </w:t>
      </w:r>
      <w:r w:rsidR="00696B8C">
        <w:rPr>
          <w:sz w:val="26"/>
          <w:szCs w:val="26"/>
        </w:rPr>
        <w:t>restrictive</w:t>
      </w:r>
      <w:r w:rsidR="00905DED">
        <w:rPr>
          <w:sz w:val="26"/>
          <w:szCs w:val="26"/>
        </w:rPr>
        <w:t xml:space="preserve"> definitions due to the </w:t>
      </w:r>
      <w:r w:rsidR="00BD557E">
        <w:rPr>
          <w:sz w:val="26"/>
          <w:szCs w:val="26"/>
        </w:rPr>
        <w:t xml:space="preserve">intentionally </w:t>
      </w:r>
      <w:r w:rsidR="00905DED">
        <w:rPr>
          <w:sz w:val="26"/>
          <w:szCs w:val="26"/>
        </w:rPr>
        <w:t xml:space="preserve">broad nature of the domestic violence exemption in </w:t>
      </w:r>
      <w:r w:rsidR="00465E46">
        <w:rPr>
          <w:sz w:val="26"/>
          <w:szCs w:val="26"/>
        </w:rPr>
        <w:t xml:space="preserve">Section 1417 </w:t>
      </w:r>
      <w:r w:rsidR="00BD557E">
        <w:rPr>
          <w:sz w:val="26"/>
          <w:szCs w:val="26"/>
        </w:rPr>
        <w:t>and argue that utilities should be afforded flexibility</w:t>
      </w:r>
      <w:r w:rsidR="006C7B03">
        <w:rPr>
          <w:sz w:val="26"/>
          <w:szCs w:val="26"/>
        </w:rPr>
        <w:t xml:space="preserve"> </w:t>
      </w:r>
      <w:r w:rsidR="00BD557E">
        <w:rPr>
          <w:sz w:val="26"/>
          <w:szCs w:val="26"/>
        </w:rPr>
        <w:t>based on a customer’s unique circumstances.</w:t>
      </w:r>
      <w:r w:rsidR="00465E46">
        <w:rPr>
          <w:sz w:val="26"/>
          <w:szCs w:val="26"/>
        </w:rPr>
        <w:t xml:space="preserve">  Upon</w:t>
      </w:r>
      <w:r w:rsidR="006C7B03">
        <w:rPr>
          <w:sz w:val="26"/>
          <w:szCs w:val="26"/>
        </w:rPr>
        <w:t xml:space="preserve"> consideration of </w:t>
      </w:r>
      <w:r w:rsidR="00310479" w:rsidRPr="009335B4">
        <w:rPr>
          <w:sz w:val="26"/>
          <w:szCs w:val="26"/>
        </w:rPr>
        <w:t xml:space="preserve">the </w:t>
      </w:r>
      <w:r w:rsidR="00310479">
        <w:rPr>
          <w:sz w:val="26"/>
          <w:szCs w:val="26"/>
        </w:rPr>
        <w:t xml:space="preserve">totality of the comments, </w:t>
      </w:r>
      <w:r w:rsidR="00696B8C">
        <w:rPr>
          <w:sz w:val="26"/>
          <w:szCs w:val="26"/>
        </w:rPr>
        <w:t>we</w:t>
      </w:r>
      <w:r w:rsidR="00310479">
        <w:rPr>
          <w:sz w:val="26"/>
          <w:szCs w:val="26"/>
        </w:rPr>
        <w:t xml:space="preserve"> continue to </w:t>
      </w:r>
      <w:r w:rsidR="00DB1D5E">
        <w:rPr>
          <w:sz w:val="26"/>
          <w:szCs w:val="26"/>
        </w:rPr>
        <w:t>provide</w:t>
      </w:r>
      <w:r w:rsidR="00310479">
        <w:rPr>
          <w:sz w:val="26"/>
          <w:szCs w:val="26"/>
        </w:rPr>
        <w:t xml:space="preserve"> that the best </w:t>
      </w:r>
      <w:r w:rsidR="00465E46">
        <w:rPr>
          <w:sz w:val="26"/>
          <w:szCs w:val="26"/>
        </w:rPr>
        <w:t xml:space="preserve">option </w:t>
      </w:r>
      <w:r w:rsidR="00310479">
        <w:rPr>
          <w:sz w:val="26"/>
          <w:szCs w:val="26"/>
        </w:rPr>
        <w:t>for utilities</w:t>
      </w:r>
      <w:r w:rsidR="00AB6895">
        <w:rPr>
          <w:sz w:val="26"/>
          <w:szCs w:val="26"/>
        </w:rPr>
        <w:t>,</w:t>
      </w:r>
      <w:r w:rsidR="00310479">
        <w:rPr>
          <w:sz w:val="26"/>
          <w:szCs w:val="26"/>
        </w:rPr>
        <w:t xml:space="preserve"> with questions regarding domestic violence</w:t>
      </w:r>
      <w:r w:rsidR="00AB6895">
        <w:rPr>
          <w:sz w:val="26"/>
          <w:szCs w:val="26"/>
        </w:rPr>
        <w:t>,</w:t>
      </w:r>
      <w:r w:rsidR="00310479">
        <w:rPr>
          <w:sz w:val="26"/>
          <w:szCs w:val="26"/>
        </w:rPr>
        <w:t xml:space="preserve"> </w:t>
      </w:r>
      <w:r w:rsidR="00465E46">
        <w:rPr>
          <w:sz w:val="26"/>
          <w:szCs w:val="26"/>
        </w:rPr>
        <w:t xml:space="preserve">within the parameters of Section 1417 is to consult with </w:t>
      </w:r>
      <w:r w:rsidR="00310479">
        <w:rPr>
          <w:sz w:val="26"/>
          <w:szCs w:val="26"/>
        </w:rPr>
        <w:t>expert</w:t>
      </w:r>
      <w:r w:rsidR="00D158DE">
        <w:rPr>
          <w:sz w:val="26"/>
          <w:szCs w:val="26"/>
        </w:rPr>
        <w:t>s and expert</w:t>
      </w:r>
      <w:r w:rsidR="00465E46">
        <w:rPr>
          <w:sz w:val="26"/>
          <w:szCs w:val="26"/>
        </w:rPr>
        <w:t xml:space="preserve"> organizations, such as the PCADV</w:t>
      </w:r>
      <w:r w:rsidR="00964C47">
        <w:rPr>
          <w:sz w:val="26"/>
          <w:szCs w:val="26"/>
        </w:rPr>
        <w:t>, for technical assistance</w:t>
      </w:r>
      <w:r w:rsidR="00465E46">
        <w:rPr>
          <w:sz w:val="26"/>
          <w:szCs w:val="26"/>
        </w:rPr>
        <w:t>.</w:t>
      </w:r>
      <w:r w:rsidR="00310479">
        <w:rPr>
          <w:sz w:val="26"/>
          <w:szCs w:val="26"/>
        </w:rPr>
        <w:t xml:space="preserve"> </w:t>
      </w:r>
      <w:r w:rsidR="00465E46">
        <w:rPr>
          <w:sz w:val="26"/>
          <w:szCs w:val="26"/>
        </w:rPr>
        <w:t xml:space="preserve"> </w:t>
      </w:r>
      <w:r w:rsidR="00696B8C">
        <w:rPr>
          <w:sz w:val="26"/>
          <w:szCs w:val="26"/>
        </w:rPr>
        <w:t>We</w:t>
      </w:r>
      <w:r w:rsidR="00465E46">
        <w:rPr>
          <w:sz w:val="26"/>
          <w:szCs w:val="26"/>
        </w:rPr>
        <w:t xml:space="preserve"> </w:t>
      </w:r>
      <w:r w:rsidR="0097500D">
        <w:rPr>
          <w:sz w:val="26"/>
          <w:szCs w:val="26"/>
        </w:rPr>
        <w:t>wish</w:t>
      </w:r>
      <w:r w:rsidR="00465E46">
        <w:rPr>
          <w:sz w:val="26"/>
          <w:szCs w:val="26"/>
        </w:rPr>
        <w:t xml:space="preserve"> to avoid narrow definitions of domestic violence since cases of domestic violence vary and may require consultation with experts.  The Commission </w:t>
      </w:r>
      <w:r w:rsidR="0097500D">
        <w:rPr>
          <w:sz w:val="26"/>
          <w:szCs w:val="26"/>
        </w:rPr>
        <w:t xml:space="preserve">also </w:t>
      </w:r>
      <w:r w:rsidR="00696B8C">
        <w:rPr>
          <w:sz w:val="26"/>
          <w:szCs w:val="26"/>
        </w:rPr>
        <w:t>seeks</w:t>
      </w:r>
      <w:r w:rsidR="00465E46">
        <w:rPr>
          <w:sz w:val="26"/>
          <w:szCs w:val="26"/>
        </w:rPr>
        <w:t xml:space="preserve"> to afford utilities the flexibility necessary to apply the Section 1417 exemption to domestic violence victims</w:t>
      </w:r>
      <w:r w:rsidR="00964C47">
        <w:rPr>
          <w:sz w:val="26"/>
          <w:szCs w:val="26"/>
        </w:rPr>
        <w:t xml:space="preserve"> and to avoid unnecessarily limit</w:t>
      </w:r>
      <w:r w:rsidR="00EA02B9">
        <w:rPr>
          <w:sz w:val="26"/>
          <w:szCs w:val="26"/>
        </w:rPr>
        <w:t>ing application of</w:t>
      </w:r>
      <w:r w:rsidR="00964C47">
        <w:rPr>
          <w:sz w:val="26"/>
          <w:szCs w:val="26"/>
        </w:rPr>
        <w:t xml:space="preserve"> the </w:t>
      </w:r>
      <w:r w:rsidR="00EA02B9">
        <w:rPr>
          <w:sz w:val="26"/>
          <w:szCs w:val="26"/>
        </w:rPr>
        <w:t xml:space="preserve">exemption. </w:t>
      </w:r>
      <w:r w:rsidR="00465E46">
        <w:rPr>
          <w:sz w:val="26"/>
          <w:szCs w:val="26"/>
        </w:rPr>
        <w:t xml:space="preserve"> </w:t>
      </w:r>
    </w:p>
    <w:p w14:paraId="0DBAD762" w14:textId="77777777" w:rsidR="00964C47" w:rsidRPr="009335B4" w:rsidRDefault="00964C47" w:rsidP="00B20F88">
      <w:pPr>
        <w:spacing w:line="360" w:lineRule="auto"/>
        <w:ind w:firstLine="720"/>
        <w:rPr>
          <w:sz w:val="26"/>
          <w:szCs w:val="26"/>
        </w:rPr>
      </w:pPr>
    </w:p>
    <w:p w14:paraId="53E59228" w14:textId="77777777" w:rsidR="00964C47" w:rsidRDefault="00B20F88" w:rsidP="008F69E6">
      <w:pPr>
        <w:spacing w:line="360" w:lineRule="auto"/>
        <w:ind w:firstLine="720"/>
        <w:rPr>
          <w:sz w:val="26"/>
          <w:szCs w:val="26"/>
        </w:rPr>
      </w:pPr>
      <w:r>
        <w:rPr>
          <w:sz w:val="26"/>
          <w:szCs w:val="26"/>
        </w:rPr>
        <w:t xml:space="preserve">We reiterate our expectation </w:t>
      </w:r>
      <w:r w:rsidR="00285B2A">
        <w:rPr>
          <w:sz w:val="26"/>
          <w:szCs w:val="26"/>
        </w:rPr>
        <w:t xml:space="preserve">that </w:t>
      </w:r>
      <w:r>
        <w:rPr>
          <w:sz w:val="26"/>
          <w:szCs w:val="26"/>
        </w:rPr>
        <w:t>utilities will operate in good faith when presented with cases of domestic violence.</w:t>
      </w:r>
      <w:r w:rsidR="008F69E6">
        <w:rPr>
          <w:sz w:val="26"/>
          <w:szCs w:val="26"/>
        </w:rPr>
        <w:t xml:space="preserve">  W</w:t>
      </w:r>
      <w:r>
        <w:rPr>
          <w:sz w:val="26"/>
          <w:szCs w:val="26"/>
        </w:rPr>
        <w:t xml:space="preserve">e continue to emphasize the need for utilities to undertake </w:t>
      </w:r>
      <w:r w:rsidR="00275D46">
        <w:rPr>
          <w:sz w:val="26"/>
          <w:szCs w:val="26"/>
        </w:rPr>
        <w:t xml:space="preserve">regular </w:t>
      </w:r>
      <w:r>
        <w:rPr>
          <w:sz w:val="26"/>
          <w:szCs w:val="26"/>
        </w:rPr>
        <w:t>training regarding domestic violence with local domestic violence agencies and PCADV</w:t>
      </w:r>
      <w:r w:rsidR="009B0A16">
        <w:rPr>
          <w:sz w:val="26"/>
          <w:szCs w:val="26"/>
        </w:rPr>
        <w:t xml:space="preserve">.  </w:t>
      </w:r>
      <w:r w:rsidR="00046A11">
        <w:rPr>
          <w:sz w:val="26"/>
          <w:szCs w:val="26"/>
        </w:rPr>
        <w:t xml:space="preserve">We note that training opportunities are not limited to these organizations.  Other </w:t>
      </w:r>
      <w:r w:rsidR="009B0A16">
        <w:rPr>
          <w:sz w:val="26"/>
          <w:szCs w:val="26"/>
        </w:rPr>
        <w:t xml:space="preserve">organizations, such as the Public Utility Law Project (PULP) </w:t>
      </w:r>
      <w:r w:rsidR="00DB61F5">
        <w:rPr>
          <w:sz w:val="26"/>
          <w:szCs w:val="26"/>
        </w:rPr>
        <w:t xml:space="preserve">or </w:t>
      </w:r>
      <w:r w:rsidR="00046A11">
        <w:rPr>
          <w:sz w:val="26"/>
          <w:szCs w:val="26"/>
        </w:rPr>
        <w:t>the Energy Association of Pennsylvania (</w:t>
      </w:r>
      <w:r w:rsidR="009B0A16">
        <w:rPr>
          <w:sz w:val="26"/>
          <w:szCs w:val="26"/>
        </w:rPr>
        <w:t>EAP</w:t>
      </w:r>
      <w:r w:rsidR="00046A11">
        <w:rPr>
          <w:sz w:val="26"/>
          <w:szCs w:val="26"/>
        </w:rPr>
        <w:t>)</w:t>
      </w:r>
      <w:r w:rsidR="009B0A16">
        <w:rPr>
          <w:sz w:val="26"/>
          <w:szCs w:val="26"/>
        </w:rPr>
        <w:t xml:space="preserve">, may offer </w:t>
      </w:r>
      <w:r w:rsidR="00046A11">
        <w:rPr>
          <w:sz w:val="26"/>
          <w:szCs w:val="26"/>
        </w:rPr>
        <w:t xml:space="preserve">training </w:t>
      </w:r>
      <w:r w:rsidR="009B0A16">
        <w:rPr>
          <w:sz w:val="26"/>
          <w:szCs w:val="26"/>
        </w:rPr>
        <w:t>resources</w:t>
      </w:r>
      <w:r w:rsidR="00046A11">
        <w:rPr>
          <w:sz w:val="26"/>
          <w:szCs w:val="26"/>
        </w:rPr>
        <w:t>.  We</w:t>
      </w:r>
      <w:r w:rsidR="00964C47" w:rsidRPr="00964C47">
        <w:rPr>
          <w:sz w:val="26"/>
          <w:szCs w:val="26"/>
        </w:rPr>
        <w:t xml:space="preserve"> agree with CAUSE-PA’s suggestion that utilities </w:t>
      </w:r>
      <w:r w:rsidR="00275D46">
        <w:rPr>
          <w:sz w:val="26"/>
          <w:szCs w:val="26"/>
        </w:rPr>
        <w:t xml:space="preserve">should also </w:t>
      </w:r>
      <w:r w:rsidR="00964C47" w:rsidRPr="00964C47">
        <w:rPr>
          <w:sz w:val="26"/>
          <w:szCs w:val="26"/>
        </w:rPr>
        <w:t>offer cross</w:t>
      </w:r>
      <w:r w:rsidR="00046A11">
        <w:rPr>
          <w:sz w:val="26"/>
          <w:szCs w:val="26"/>
        </w:rPr>
        <w:noBreakHyphen/>
      </w:r>
      <w:r w:rsidR="00964C47" w:rsidRPr="00964C47">
        <w:rPr>
          <w:sz w:val="26"/>
          <w:szCs w:val="26"/>
        </w:rPr>
        <w:t>training to local domestic violence programs</w:t>
      </w:r>
      <w:r w:rsidR="009B0A16">
        <w:rPr>
          <w:sz w:val="26"/>
          <w:szCs w:val="26"/>
        </w:rPr>
        <w:t>,</w:t>
      </w:r>
      <w:r w:rsidR="00964C47" w:rsidRPr="00964C47">
        <w:rPr>
          <w:sz w:val="26"/>
          <w:szCs w:val="26"/>
        </w:rPr>
        <w:t xml:space="preserve"> </w:t>
      </w:r>
      <w:r w:rsidR="008F69E6">
        <w:rPr>
          <w:sz w:val="26"/>
          <w:szCs w:val="26"/>
        </w:rPr>
        <w:t>PCADV</w:t>
      </w:r>
      <w:r w:rsidR="009B0A16">
        <w:rPr>
          <w:sz w:val="26"/>
          <w:szCs w:val="26"/>
        </w:rPr>
        <w:t>, and other organizations</w:t>
      </w:r>
      <w:r w:rsidR="008F69E6">
        <w:rPr>
          <w:sz w:val="26"/>
          <w:szCs w:val="26"/>
        </w:rPr>
        <w:t xml:space="preserve"> </w:t>
      </w:r>
      <w:r w:rsidR="00964C47" w:rsidRPr="00964C47">
        <w:rPr>
          <w:sz w:val="26"/>
          <w:szCs w:val="26"/>
        </w:rPr>
        <w:t xml:space="preserve">about utility programs that could help survivors of domestic violence.  We encourage </w:t>
      </w:r>
      <w:r w:rsidR="008F69E6" w:rsidRPr="00964C47">
        <w:rPr>
          <w:sz w:val="26"/>
          <w:szCs w:val="26"/>
        </w:rPr>
        <w:t>utilities</w:t>
      </w:r>
      <w:r w:rsidR="00964C47" w:rsidRPr="00964C47">
        <w:rPr>
          <w:sz w:val="26"/>
          <w:szCs w:val="26"/>
        </w:rPr>
        <w:t xml:space="preserve"> to offer such training</w:t>
      </w:r>
      <w:r w:rsidR="008F69E6">
        <w:rPr>
          <w:sz w:val="26"/>
          <w:szCs w:val="26"/>
        </w:rPr>
        <w:t xml:space="preserve">.  </w:t>
      </w:r>
      <w:r w:rsidR="00E77191">
        <w:rPr>
          <w:sz w:val="26"/>
          <w:szCs w:val="26"/>
        </w:rPr>
        <w:t>Consulting with experts on cases of domestic violence</w:t>
      </w:r>
      <w:r w:rsidR="003A168D">
        <w:rPr>
          <w:sz w:val="26"/>
          <w:szCs w:val="26"/>
        </w:rPr>
        <w:t>,</w:t>
      </w:r>
      <w:r w:rsidR="00E77191">
        <w:rPr>
          <w:sz w:val="26"/>
          <w:szCs w:val="26"/>
        </w:rPr>
        <w:t xml:space="preserve"> engaging in </w:t>
      </w:r>
      <w:r w:rsidR="003A168D">
        <w:rPr>
          <w:sz w:val="26"/>
          <w:szCs w:val="26"/>
        </w:rPr>
        <w:t xml:space="preserve">regular </w:t>
      </w:r>
      <w:r w:rsidR="00E77191">
        <w:rPr>
          <w:sz w:val="26"/>
          <w:szCs w:val="26"/>
        </w:rPr>
        <w:t>domestic violence training</w:t>
      </w:r>
      <w:r w:rsidR="003A168D">
        <w:rPr>
          <w:sz w:val="26"/>
          <w:szCs w:val="26"/>
        </w:rPr>
        <w:t>, and developing a relationship with organizations like PCADV</w:t>
      </w:r>
      <w:r w:rsidR="00E77191">
        <w:rPr>
          <w:sz w:val="26"/>
          <w:szCs w:val="26"/>
        </w:rPr>
        <w:t xml:space="preserve"> will </w:t>
      </w:r>
      <w:r w:rsidR="003A168D">
        <w:rPr>
          <w:sz w:val="26"/>
          <w:szCs w:val="26"/>
        </w:rPr>
        <w:t>allow</w:t>
      </w:r>
      <w:r w:rsidR="00E77191">
        <w:rPr>
          <w:sz w:val="26"/>
          <w:szCs w:val="26"/>
        </w:rPr>
        <w:t xml:space="preserve"> utilities to learn from experts and resolve concerns that utilities need more information on the subject</w:t>
      </w:r>
      <w:r w:rsidR="003A168D">
        <w:rPr>
          <w:sz w:val="26"/>
          <w:szCs w:val="26"/>
        </w:rPr>
        <w:t xml:space="preserve"> with respect to the Section 1417 exemption. </w:t>
      </w:r>
    </w:p>
    <w:p w14:paraId="2924F448" w14:textId="77777777" w:rsidR="00490B58" w:rsidRDefault="00490B58">
      <w:pPr>
        <w:spacing w:line="360" w:lineRule="auto"/>
        <w:rPr>
          <w:b/>
          <w:bCs/>
          <w:sz w:val="26"/>
          <w:szCs w:val="26"/>
        </w:rPr>
      </w:pPr>
    </w:p>
    <w:p w14:paraId="09BC2947" w14:textId="77777777" w:rsidR="00634F81" w:rsidRDefault="00FF43E5" w:rsidP="00194A0F">
      <w:pPr>
        <w:keepNext/>
        <w:keepLines/>
        <w:spacing w:line="360" w:lineRule="auto"/>
        <w:rPr>
          <w:b/>
          <w:bCs/>
          <w:sz w:val="26"/>
          <w:szCs w:val="26"/>
        </w:rPr>
      </w:pPr>
      <w:r>
        <w:rPr>
          <w:b/>
          <w:bCs/>
          <w:sz w:val="26"/>
          <w:szCs w:val="26"/>
        </w:rPr>
        <w:lastRenderedPageBreak/>
        <w:t>III.</w:t>
      </w:r>
      <w:r>
        <w:rPr>
          <w:b/>
          <w:bCs/>
          <w:sz w:val="26"/>
          <w:szCs w:val="26"/>
        </w:rPr>
        <w:tab/>
      </w:r>
      <w:r w:rsidR="004F6C61" w:rsidRPr="004F6C61">
        <w:rPr>
          <w:b/>
          <w:bCs/>
          <w:sz w:val="26"/>
          <w:szCs w:val="26"/>
        </w:rPr>
        <w:t>Privacy Guidelines</w:t>
      </w:r>
    </w:p>
    <w:p w14:paraId="12884856" w14:textId="77777777" w:rsidR="00562112" w:rsidRDefault="00FF43E5" w:rsidP="00194A0F">
      <w:pPr>
        <w:keepNext/>
        <w:keepLines/>
        <w:spacing w:line="360" w:lineRule="auto"/>
        <w:ind w:firstLine="720"/>
        <w:rPr>
          <w:sz w:val="26"/>
          <w:szCs w:val="26"/>
        </w:rPr>
      </w:pPr>
      <w:r w:rsidRPr="00562112">
        <w:rPr>
          <w:sz w:val="26"/>
          <w:szCs w:val="26"/>
        </w:rPr>
        <w:t xml:space="preserve">In the Tentative Order, </w:t>
      </w:r>
      <w:r w:rsidR="00562112">
        <w:rPr>
          <w:sz w:val="26"/>
          <w:szCs w:val="26"/>
        </w:rPr>
        <w:t>we</w:t>
      </w:r>
      <w:r w:rsidRPr="00562112">
        <w:rPr>
          <w:sz w:val="26"/>
          <w:szCs w:val="26"/>
        </w:rPr>
        <w:t xml:space="preserve"> </w:t>
      </w:r>
      <w:r w:rsidR="00562112">
        <w:rPr>
          <w:sz w:val="26"/>
          <w:szCs w:val="26"/>
        </w:rPr>
        <w:t xml:space="preserve">explained that privacy guidelines are relevant to the Commission’s regulations at 52 Pa. Code §§ 56.93, 56.333 regarding personal contact.  We noted changes to two of these sections in the </w:t>
      </w:r>
      <w:r w:rsidR="00562112" w:rsidRPr="00562112">
        <w:rPr>
          <w:i/>
          <w:iCs/>
          <w:sz w:val="26"/>
          <w:szCs w:val="26"/>
        </w:rPr>
        <w:t>Final Rulemaking Order</w:t>
      </w:r>
      <w:r w:rsidR="00562112">
        <w:rPr>
          <w:sz w:val="26"/>
          <w:szCs w:val="26"/>
        </w:rPr>
        <w:t xml:space="preserve">.  We further noted that the Commission does not currently allow the release of a customer’s telephone number for any purpose.  We agreed that telephone numbers and e-mail addresses should not be shared with third parties absent express and clearly defined permission from the customer.  </w:t>
      </w:r>
      <w:r w:rsidR="006A5DBC">
        <w:rPr>
          <w:sz w:val="26"/>
          <w:szCs w:val="26"/>
        </w:rPr>
        <w:t>Additionally, we</w:t>
      </w:r>
      <w:r w:rsidR="00562112">
        <w:rPr>
          <w:sz w:val="26"/>
          <w:szCs w:val="26"/>
        </w:rPr>
        <w:t xml:space="preserve"> proposed a separate and distinct notice for customers choosing to enroll in receiving electronic notifications at Sections 56.93 and 56.333.  We </w:t>
      </w:r>
      <w:r w:rsidR="006A5DBC">
        <w:rPr>
          <w:sz w:val="26"/>
          <w:szCs w:val="26"/>
        </w:rPr>
        <w:t>stated that</w:t>
      </w:r>
      <w:r w:rsidR="00562112">
        <w:rPr>
          <w:sz w:val="26"/>
          <w:szCs w:val="26"/>
        </w:rPr>
        <w:t xml:space="preserve"> </w:t>
      </w:r>
      <w:r w:rsidR="00437BFD">
        <w:rPr>
          <w:sz w:val="26"/>
          <w:szCs w:val="26"/>
        </w:rPr>
        <w:t xml:space="preserve">the </w:t>
      </w:r>
      <w:r w:rsidR="00562112">
        <w:rPr>
          <w:sz w:val="26"/>
          <w:szCs w:val="26"/>
        </w:rPr>
        <w:t xml:space="preserve">notice should explain and inform the customer that </w:t>
      </w:r>
      <w:r w:rsidR="006F7E34">
        <w:rPr>
          <w:sz w:val="26"/>
          <w:szCs w:val="26"/>
        </w:rPr>
        <w:t>enrolling</w:t>
      </w:r>
      <w:r w:rsidR="00562112">
        <w:rPr>
          <w:sz w:val="26"/>
          <w:szCs w:val="26"/>
        </w:rPr>
        <w:t xml:space="preserve"> is voluntary and that the purpose is to receive notification of a pending termination electronically</w:t>
      </w:r>
      <w:r w:rsidR="006A5DBC">
        <w:rPr>
          <w:sz w:val="26"/>
          <w:szCs w:val="26"/>
        </w:rPr>
        <w:t xml:space="preserve"> and that consent </w:t>
      </w:r>
      <w:r w:rsidR="00562112">
        <w:rPr>
          <w:sz w:val="26"/>
          <w:szCs w:val="26"/>
        </w:rPr>
        <w:t xml:space="preserve">should not be a check-box.  </w:t>
      </w:r>
      <w:r w:rsidR="006A5DBC">
        <w:rPr>
          <w:sz w:val="26"/>
          <w:szCs w:val="26"/>
        </w:rPr>
        <w:t>We</w:t>
      </w:r>
      <w:r w:rsidR="00562112">
        <w:rPr>
          <w:sz w:val="26"/>
          <w:szCs w:val="26"/>
        </w:rPr>
        <w:t xml:space="preserve"> propose</w:t>
      </w:r>
      <w:r w:rsidR="006A5DBC">
        <w:rPr>
          <w:sz w:val="26"/>
          <w:szCs w:val="26"/>
        </w:rPr>
        <w:t>d</w:t>
      </w:r>
      <w:r w:rsidR="00562112">
        <w:rPr>
          <w:sz w:val="26"/>
          <w:szCs w:val="26"/>
        </w:rPr>
        <w:t xml:space="preserve"> that customers be able to revoke their consent at any time and by any clear means. </w:t>
      </w:r>
      <w:r w:rsidR="006A5DBC">
        <w:rPr>
          <w:sz w:val="26"/>
          <w:szCs w:val="26"/>
        </w:rPr>
        <w:t xml:space="preserve"> We also proposed </w:t>
      </w:r>
      <w:r w:rsidR="00562112">
        <w:rPr>
          <w:sz w:val="26"/>
          <w:szCs w:val="26"/>
        </w:rPr>
        <w:t>that utilities send a notice to all customers</w:t>
      </w:r>
      <w:r w:rsidR="006A5DBC">
        <w:rPr>
          <w:sz w:val="26"/>
          <w:szCs w:val="26"/>
        </w:rPr>
        <w:t xml:space="preserve"> yearly</w:t>
      </w:r>
      <w:r w:rsidR="00562112">
        <w:rPr>
          <w:sz w:val="26"/>
          <w:szCs w:val="26"/>
        </w:rPr>
        <w:t xml:space="preserve"> reminding them to review their account information and </w:t>
      </w:r>
      <w:r w:rsidR="00787B3F">
        <w:rPr>
          <w:sz w:val="26"/>
          <w:szCs w:val="26"/>
        </w:rPr>
        <w:t xml:space="preserve">the </w:t>
      </w:r>
      <w:r w:rsidR="00562112">
        <w:rPr>
          <w:sz w:val="26"/>
          <w:szCs w:val="26"/>
        </w:rPr>
        <w:t xml:space="preserve">other electronic notifications the customer may have signed up to receive.  </w:t>
      </w:r>
    </w:p>
    <w:p w14:paraId="114BBFEC" w14:textId="77777777" w:rsidR="009D561B" w:rsidRDefault="009D561B" w:rsidP="00562112">
      <w:pPr>
        <w:spacing w:line="360" w:lineRule="auto"/>
        <w:ind w:firstLine="720"/>
        <w:rPr>
          <w:b/>
          <w:sz w:val="26"/>
          <w:szCs w:val="26"/>
        </w:rPr>
      </w:pPr>
    </w:p>
    <w:p w14:paraId="220E6873" w14:textId="77777777" w:rsidR="009F4BC8" w:rsidRDefault="009F4BC8" w:rsidP="00454B2E">
      <w:pPr>
        <w:spacing w:line="360" w:lineRule="auto"/>
        <w:rPr>
          <w:b/>
          <w:bCs/>
          <w:sz w:val="26"/>
          <w:szCs w:val="26"/>
        </w:rPr>
      </w:pPr>
      <w:r>
        <w:rPr>
          <w:b/>
          <w:bCs/>
          <w:sz w:val="26"/>
          <w:szCs w:val="26"/>
        </w:rPr>
        <w:tab/>
        <w:t>A.</w:t>
      </w:r>
      <w:r>
        <w:rPr>
          <w:b/>
          <w:bCs/>
          <w:sz w:val="26"/>
          <w:szCs w:val="26"/>
        </w:rPr>
        <w:tab/>
        <w:t>Comments on Privacy Guidelines</w:t>
      </w:r>
    </w:p>
    <w:p w14:paraId="1DC9C198" w14:textId="77777777" w:rsidR="006A27A5" w:rsidRPr="006A27A5" w:rsidRDefault="007835ED" w:rsidP="009F4BC8">
      <w:pPr>
        <w:spacing w:line="360" w:lineRule="auto"/>
        <w:ind w:firstLine="720"/>
        <w:rPr>
          <w:b/>
          <w:bCs/>
          <w:sz w:val="26"/>
          <w:szCs w:val="26"/>
        </w:rPr>
      </w:pPr>
      <w:r w:rsidRPr="007835ED">
        <w:rPr>
          <w:sz w:val="26"/>
          <w:szCs w:val="26"/>
        </w:rPr>
        <w:t>With regard to privacy</w:t>
      </w:r>
      <w:r>
        <w:rPr>
          <w:sz w:val="26"/>
          <w:szCs w:val="26"/>
        </w:rPr>
        <w:t xml:space="preserve"> guidelines</w:t>
      </w:r>
      <w:r w:rsidRPr="007835ED">
        <w:rPr>
          <w:sz w:val="26"/>
          <w:szCs w:val="26"/>
        </w:rPr>
        <w:t>,</w:t>
      </w:r>
      <w:r>
        <w:rPr>
          <w:b/>
          <w:bCs/>
          <w:sz w:val="26"/>
          <w:szCs w:val="26"/>
        </w:rPr>
        <w:t xml:space="preserve"> </w:t>
      </w:r>
      <w:r w:rsidR="004D406A">
        <w:rPr>
          <w:sz w:val="26"/>
          <w:szCs w:val="26"/>
        </w:rPr>
        <w:t xml:space="preserve">PGW agrees that there should be </w:t>
      </w:r>
      <w:r w:rsidR="00634F81">
        <w:rPr>
          <w:sz w:val="26"/>
          <w:szCs w:val="26"/>
        </w:rPr>
        <w:t>a separate notice for customers enrolled in electronic notifications</w:t>
      </w:r>
      <w:r w:rsidR="003D0C42">
        <w:rPr>
          <w:sz w:val="26"/>
          <w:szCs w:val="26"/>
        </w:rPr>
        <w:t xml:space="preserve"> and that </w:t>
      </w:r>
      <w:r w:rsidR="00634F81">
        <w:rPr>
          <w:sz w:val="26"/>
          <w:szCs w:val="26"/>
        </w:rPr>
        <w:t>the notice should explain that enrollment is voluntary and that the purpose is to receive notification of a pending termination electronically.</w:t>
      </w:r>
      <w:r w:rsidR="004D406A">
        <w:rPr>
          <w:sz w:val="26"/>
          <w:szCs w:val="26"/>
        </w:rPr>
        <w:t xml:space="preserve">  PGW encourages the Commission to</w:t>
      </w:r>
      <w:r w:rsidR="006D37C6">
        <w:rPr>
          <w:sz w:val="26"/>
          <w:szCs w:val="26"/>
        </w:rPr>
        <w:t xml:space="preserve"> establish</w:t>
      </w:r>
      <w:r w:rsidR="004D406A">
        <w:rPr>
          <w:sz w:val="26"/>
          <w:szCs w:val="26"/>
        </w:rPr>
        <w:t xml:space="preserve"> guidelines for customers to elect to receive all communications</w:t>
      </w:r>
      <w:r w:rsidR="003D0C42">
        <w:rPr>
          <w:sz w:val="26"/>
          <w:szCs w:val="26"/>
        </w:rPr>
        <w:t xml:space="preserve"> </w:t>
      </w:r>
      <w:r w:rsidR="004D406A">
        <w:rPr>
          <w:sz w:val="26"/>
          <w:szCs w:val="26"/>
        </w:rPr>
        <w:t>electronically.  P</w:t>
      </w:r>
      <w:r w:rsidR="006A27A5">
        <w:rPr>
          <w:sz w:val="26"/>
          <w:szCs w:val="26"/>
        </w:rPr>
        <w:t>GW recommends that customers be enroll</w:t>
      </w:r>
      <w:r w:rsidR="003D0C42">
        <w:rPr>
          <w:sz w:val="26"/>
          <w:szCs w:val="26"/>
        </w:rPr>
        <w:t>ed</w:t>
      </w:r>
      <w:r w:rsidR="006A27A5">
        <w:rPr>
          <w:sz w:val="26"/>
          <w:szCs w:val="26"/>
        </w:rPr>
        <w:t xml:space="preserve"> in electronic notifications online, by mail, or over the telephone.  PGW suggests that online enrollment include a notice regarding voluntary election and </w:t>
      </w:r>
      <w:r>
        <w:rPr>
          <w:sz w:val="26"/>
          <w:szCs w:val="26"/>
        </w:rPr>
        <w:t>revoking</w:t>
      </w:r>
      <w:r w:rsidR="006A27A5">
        <w:rPr>
          <w:sz w:val="26"/>
          <w:szCs w:val="26"/>
        </w:rPr>
        <w:t xml:space="preserve"> consent, while mail and telephone enrollment involve a notice</w:t>
      </w:r>
      <w:r w:rsidR="003D0C42">
        <w:rPr>
          <w:sz w:val="26"/>
          <w:szCs w:val="26"/>
        </w:rPr>
        <w:t xml:space="preserve"> sent</w:t>
      </w:r>
      <w:r w:rsidR="006A27A5">
        <w:rPr>
          <w:sz w:val="26"/>
          <w:szCs w:val="26"/>
        </w:rPr>
        <w:t xml:space="preserve"> by mail or electronically.  PGW agrees that customers should be able to revoke their consent at any time by any clear means.  PGW also agrees that utilities should sen</w:t>
      </w:r>
      <w:r>
        <w:rPr>
          <w:sz w:val="26"/>
          <w:szCs w:val="26"/>
        </w:rPr>
        <w:t>d</w:t>
      </w:r>
      <w:r w:rsidR="006A27A5">
        <w:rPr>
          <w:sz w:val="26"/>
          <w:szCs w:val="26"/>
        </w:rPr>
        <w:t xml:space="preserve"> a yearly notice to all customers asking them to review their account information, including electronic notifications.  PGW suggests using a bill insert or bill </w:t>
      </w:r>
      <w:r w:rsidR="003D0C42">
        <w:rPr>
          <w:sz w:val="26"/>
          <w:szCs w:val="26"/>
        </w:rPr>
        <w:t>message</w:t>
      </w:r>
      <w:r w:rsidR="006A27A5">
        <w:rPr>
          <w:sz w:val="26"/>
          <w:szCs w:val="26"/>
        </w:rPr>
        <w:t>, or electronic</w:t>
      </w:r>
      <w:r w:rsidR="004D406A">
        <w:rPr>
          <w:sz w:val="26"/>
          <w:szCs w:val="26"/>
        </w:rPr>
        <w:t xml:space="preserve"> means</w:t>
      </w:r>
      <w:r w:rsidR="006A27A5">
        <w:rPr>
          <w:sz w:val="26"/>
          <w:szCs w:val="26"/>
        </w:rPr>
        <w:t xml:space="preserve"> if </w:t>
      </w:r>
      <w:r w:rsidR="006A27A5">
        <w:rPr>
          <w:sz w:val="26"/>
          <w:szCs w:val="26"/>
        </w:rPr>
        <w:lastRenderedPageBreak/>
        <w:t>electe</w:t>
      </w:r>
      <w:r>
        <w:rPr>
          <w:sz w:val="26"/>
          <w:szCs w:val="26"/>
        </w:rPr>
        <w:t>d</w:t>
      </w:r>
      <w:r w:rsidR="006A27A5">
        <w:rPr>
          <w:sz w:val="26"/>
          <w:szCs w:val="26"/>
        </w:rPr>
        <w:t>.  Overall, PGW argues that t</w:t>
      </w:r>
      <w:r w:rsidR="006A27A5" w:rsidRPr="006A27A5">
        <w:rPr>
          <w:sz w:val="26"/>
          <w:szCs w:val="26"/>
        </w:rPr>
        <w:t>he guidelines should allow customers to determine how they receive communications, with no preference for mail.</w:t>
      </w:r>
      <w:r w:rsidR="008A71FA">
        <w:rPr>
          <w:sz w:val="26"/>
          <w:szCs w:val="26"/>
        </w:rPr>
        <w:t xml:space="preserve">  PGW Comments at 3.</w:t>
      </w:r>
    </w:p>
    <w:p w14:paraId="6014B870" w14:textId="77777777" w:rsidR="006A27A5" w:rsidRDefault="006A27A5" w:rsidP="006A27A5">
      <w:pPr>
        <w:spacing w:line="360" w:lineRule="auto"/>
        <w:rPr>
          <w:sz w:val="26"/>
          <w:szCs w:val="26"/>
        </w:rPr>
      </w:pPr>
    </w:p>
    <w:p w14:paraId="15F480D3" w14:textId="77777777" w:rsidR="001F71A7" w:rsidRDefault="007835ED" w:rsidP="001F71A7">
      <w:pPr>
        <w:spacing w:line="360" w:lineRule="auto"/>
        <w:rPr>
          <w:sz w:val="26"/>
          <w:szCs w:val="26"/>
        </w:rPr>
      </w:pPr>
      <w:r>
        <w:rPr>
          <w:sz w:val="26"/>
          <w:szCs w:val="26"/>
        </w:rPr>
        <w:tab/>
        <w:t xml:space="preserve">PPL </w:t>
      </w:r>
      <w:r w:rsidR="00C14C4A">
        <w:rPr>
          <w:sz w:val="26"/>
          <w:szCs w:val="26"/>
        </w:rPr>
        <w:t xml:space="preserve">proposes to add a separate option to its existing catalog of customer alerts.  PPL states that customers who expressly consent to these types of notifications will receive electronic messages periodically as desired.  PPL notes that it will also update its electronic communication consent form to inform customers that they are agreeing to receive electronic communications, including electronic termination notices.  When customers consent to electronic communications, </w:t>
      </w:r>
      <w:r w:rsidR="00E4030E">
        <w:rPr>
          <w:sz w:val="26"/>
          <w:szCs w:val="26"/>
        </w:rPr>
        <w:t xml:space="preserve">PPL will use </w:t>
      </w:r>
      <w:r w:rsidR="00C14C4A">
        <w:rPr>
          <w:sz w:val="26"/>
          <w:szCs w:val="26"/>
        </w:rPr>
        <w:t xml:space="preserve">a separate and distinct pop-out box that fully explains that the consent includes electronic termination notices.  </w:t>
      </w:r>
      <w:r w:rsidR="00E4030E">
        <w:rPr>
          <w:sz w:val="26"/>
          <w:szCs w:val="26"/>
        </w:rPr>
        <w:t xml:space="preserve">The text will explain </w:t>
      </w:r>
      <w:r w:rsidR="00C14C4A">
        <w:rPr>
          <w:sz w:val="26"/>
          <w:szCs w:val="26"/>
        </w:rPr>
        <w:t>the purpose of electronic termination notices, that receiving these notices electronically is voluntary, and that the customer can cancel participation at any time.  PPL states that it will provide clear choices to confirm the customer’s decision, such a</w:t>
      </w:r>
      <w:r w:rsidR="00004D7F">
        <w:rPr>
          <w:sz w:val="26"/>
          <w:szCs w:val="26"/>
        </w:rPr>
        <w:t>s,</w:t>
      </w:r>
      <w:r w:rsidR="00C14C4A">
        <w:rPr>
          <w:sz w:val="26"/>
          <w:szCs w:val="26"/>
        </w:rPr>
        <w:t xml:space="preserve"> “I Agree” or “I Disagree.”  PPL also states that it will include a notice once a year in its </w:t>
      </w:r>
      <w:r w:rsidR="00C14C4A" w:rsidRPr="006F7E34">
        <w:rPr>
          <w:i/>
          <w:iCs/>
          <w:sz w:val="26"/>
          <w:szCs w:val="26"/>
        </w:rPr>
        <w:t>Connect</w:t>
      </w:r>
      <w:r w:rsidR="00C14C4A">
        <w:rPr>
          <w:sz w:val="26"/>
          <w:szCs w:val="26"/>
        </w:rPr>
        <w:t xml:space="preserve"> customer newsletter advising all customers to review and confirm their electronic communication choices. </w:t>
      </w:r>
      <w:r w:rsidR="0006035A">
        <w:rPr>
          <w:sz w:val="26"/>
          <w:szCs w:val="26"/>
        </w:rPr>
        <w:t xml:space="preserve"> </w:t>
      </w:r>
      <w:r w:rsidR="00EF5538">
        <w:rPr>
          <w:sz w:val="26"/>
          <w:szCs w:val="26"/>
        </w:rPr>
        <w:t>PPL Comments at 5</w:t>
      </w:r>
      <w:r w:rsidR="008850C6">
        <w:rPr>
          <w:sz w:val="26"/>
          <w:szCs w:val="26"/>
        </w:rPr>
        <w:t>.</w:t>
      </w:r>
    </w:p>
    <w:p w14:paraId="5FFED3DA" w14:textId="77777777" w:rsidR="0006035A" w:rsidRDefault="0006035A" w:rsidP="001F71A7">
      <w:pPr>
        <w:spacing w:line="360" w:lineRule="auto"/>
        <w:rPr>
          <w:sz w:val="26"/>
          <w:szCs w:val="26"/>
        </w:rPr>
      </w:pPr>
    </w:p>
    <w:p w14:paraId="4E122AAF" w14:textId="77777777" w:rsidR="0006035A" w:rsidRDefault="0006035A" w:rsidP="001F71A7">
      <w:pPr>
        <w:spacing w:line="360" w:lineRule="auto"/>
        <w:rPr>
          <w:sz w:val="26"/>
          <w:szCs w:val="26"/>
        </w:rPr>
      </w:pPr>
      <w:r>
        <w:rPr>
          <w:sz w:val="26"/>
          <w:szCs w:val="26"/>
        </w:rPr>
        <w:tab/>
      </w:r>
      <w:r w:rsidR="008850C6">
        <w:rPr>
          <w:sz w:val="26"/>
          <w:szCs w:val="26"/>
        </w:rPr>
        <w:t xml:space="preserve">Additionally, </w:t>
      </w:r>
      <w:r>
        <w:rPr>
          <w:sz w:val="26"/>
          <w:szCs w:val="26"/>
        </w:rPr>
        <w:t xml:space="preserve">PPL notes that it disagrees with </w:t>
      </w:r>
      <w:r w:rsidR="00EF5538">
        <w:rPr>
          <w:sz w:val="26"/>
          <w:szCs w:val="26"/>
        </w:rPr>
        <w:t>comments that</w:t>
      </w:r>
      <w:r>
        <w:rPr>
          <w:sz w:val="26"/>
          <w:szCs w:val="26"/>
        </w:rPr>
        <w:t xml:space="preserve"> suggest electronic notification is inferior.  PPL</w:t>
      </w:r>
      <w:r w:rsidR="00EF5538">
        <w:rPr>
          <w:sz w:val="26"/>
          <w:szCs w:val="26"/>
        </w:rPr>
        <w:t xml:space="preserve"> claims that it sees higher response rates with electronic communications and that data demonstrates that the most reliable way to reach customers is via email or text message.  </w:t>
      </w:r>
      <w:r w:rsidR="008850C6">
        <w:rPr>
          <w:sz w:val="26"/>
          <w:szCs w:val="26"/>
        </w:rPr>
        <w:t xml:space="preserve">PPL also cites frequent mail delays and an unwillingness to answer calls from </w:t>
      </w:r>
      <w:r w:rsidR="00416342">
        <w:rPr>
          <w:sz w:val="26"/>
          <w:szCs w:val="26"/>
        </w:rPr>
        <w:t xml:space="preserve">phone </w:t>
      </w:r>
      <w:r w:rsidR="008850C6">
        <w:rPr>
          <w:sz w:val="26"/>
          <w:szCs w:val="26"/>
        </w:rPr>
        <w:t>numbers</w:t>
      </w:r>
      <w:r w:rsidR="00416342">
        <w:rPr>
          <w:sz w:val="26"/>
          <w:szCs w:val="26"/>
        </w:rPr>
        <w:t xml:space="preserve"> that</w:t>
      </w:r>
      <w:r w:rsidR="008850C6">
        <w:rPr>
          <w:sz w:val="26"/>
          <w:szCs w:val="26"/>
        </w:rPr>
        <w:t xml:space="preserve"> customers do not recognize as reasons for the use of emails or text messages to reach customers.  </w:t>
      </w:r>
      <w:r w:rsidR="00EF5538">
        <w:rPr>
          <w:sz w:val="26"/>
          <w:szCs w:val="26"/>
        </w:rPr>
        <w:t>PPL claims that the Commission’s regulations make it harder for customer</w:t>
      </w:r>
      <w:r w:rsidR="00004D7F">
        <w:rPr>
          <w:sz w:val="26"/>
          <w:szCs w:val="26"/>
        </w:rPr>
        <w:t>s</w:t>
      </w:r>
      <w:r w:rsidR="00EF5538">
        <w:rPr>
          <w:sz w:val="26"/>
          <w:szCs w:val="26"/>
        </w:rPr>
        <w:t xml:space="preserve"> to choose to receive electronic notifications and argues that the Commission should encourage EDCs to use electronic communications more.  </w:t>
      </w:r>
      <w:r w:rsidR="008850C6">
        <w:rPr>
          <w:sz w:val="26"/>
          <w:szCs w:val="26"/>
        </w:rPr>
        <w:t>PPL notes that, if barriers to sign</w:t>
      </w:r>
      <w:r w:rsidR="0025186A">
        <w:rPr>
          <w:sz w:val="26"/>
          <w:szCs w:val="26"/>
        </w:rPr>
        <w:t xml:space="preserve"> </w:t>
      </w:r>
      <w:r w:rsidR="008850C6">
        <w:rPr>
          <w:sz w:val="26"/>
          <w:szCs w:val="26"/>
        </w:rPr>
        <w:t>up for electronic termination notices are too high, customers will not sign</w:t>
      </w:r>
      <w:r w:rsidR="00291C3A">
        <w:rPr>
          <w:sz w:val="26"/>
          <w:szCs w:val="26"/>
        </w:rPr>
        <w:t xml:space="preserve"> </w:t>
      </w:r>
      <w:r w:rsidR="008850C6">
        <w:rPr>
          <w:sz w:val="26"/>
          <w:szCs w:val="26"/>
        </w:rPr>
        <w:t xml:space="preserve">up and will not be able to receive important information in the manner most likely to reach them.  PPL Comments at 5-6. </w:t>
      </w:r>
    </w:p>
    <w:p w14:paraId="29FC6945" w14:textId="77777777" w:rsidR="00381B79" w:rsidRDefault="00381B79" w:rsidP="001F71A7">
      <w:pPr>
        <w:spacing w:line="360" w:lineRule="auto"/>
        <w:rPr>
          <w:sz w:val="26"/>
          <w:szCs w:val="26"/>
        </w:rPr>
      </w:pPr>
    </w:p>
    <w:p w14:paraId="535F52E8" w14:textId="77777777" w:rsidR="00381B79" w:rsidRDefault="00381B79" w:rsidP="001F71A7">
      <w:pPr>
        <w:spacing w:line="360" w:lineRule="auto"/>
        <w:rPr>
          <w:sz w:val="26"/>
          <w:szCs w:val="26"/>
        </w:rPr>
      </w:pPr>
      <w:r>
        <w:rPr>
          <w:sz w:val="26"/>
          <w:szCs w:val="26"/>
        </w:rPr>
        <w:lastRenderedPageBreak/>
        <w:tab/>
        <w:t xml:space="preserve">The OCA states that it supports the Commission’s determination that customers’ e-mail addresses and telephone numbers should not be shared with third parties absent express and clearly defined permission from the ratepayer.  The OCA maintains that information provided by customers for personal contact should be treated as private information and should not be shared.  The OCA also notes that it supports the use of a separate and distinct notice for ratepayers choosing to enroll in electronic notifications and that consent to receive such notification should not be a check-box.  The OCA further states that it agrees that customers should be able to revoke consent at any time and by any clear means.  Additionally, the OCA notes that it agrees that utilities should send a reminder to ratepayers on an annual basis so that they can review electronic </w:t>
      </w:r>
      <w:r w:rsidR="005A7D07">
        <w:rPr>
          <w:sz w:val="26"/>
          <w:szCs w:val="26"/>
        </w:rPr>
        <w:t xml:space="preserve">notifications that they may have signed up to receive.  </w:t>
      </w:r>
      <w:r>
        <w:rPr>
          <w:sz w:val="26"/>
          <w:szCs w:val="26"/>
        </w:rPr>
        <w:t>OCA Comments at 7-9.</w:t>
      </w:r>
    </w:p>
    <w:p w14:paraId="0AFC7C21" w14:textId="77777777" w:rsidR="00587491" w:rsidRDefault="00587491" w:rsidP="001F71A7">
      <w:pPr>
        <w:spacing w:line="360" w:lineRule="auto"/>
        <w:rPr>
          <w:sz w:val="26"/>
          <w:szCs w:val="26"/>
        </w:rPr>
      </w:pPr>
    </w:p>
    <w:p w14:paraId="1332BC68" w14:textId="77777777" w:rsidR="000B3023" w:rsidRDefault="000B3023" w:rsidP="000B3023">
      <w:pPr>
        <w:spacing w:line="360" w:lineRule="auto"/>
        <w:rPr>
          <w:sz w:val="26"/>
          <w:szCs w:val="26"/>
        </w:rPr>
      </w:pPr>
      <w:r>
        <w:rPr>
          <w:sz w:val="26"/>
          <w:szCs w:val="26"/>
        </w:rPr>
        <w:tab/>
        <w:t xml:space="preserve">Like the OCA, PECO supports the position that e-mail addresses and telephone numbers should not be shared with third parties absent permission from customers.  </w:t>
      </w:r>
      <w:r w:rsidR="00762962">
        <w:rPr>
          <w:sz w:val="26"/>
          <w:szCs w:val="26"/>
        </w:rPr>
        <w:t>I</w:t>
      </w:r>
      <w:r w:rsidR="005605C4">
        <w:rPr>
          <w:sz w:val="26"/>
          <w:szCs w:val="26"/>
        </w:rPr>
        <w:t>n</w:t>
      </w:r>
      <w:r w:rsidR="00762962">
        <w:rPr>
          <w:sz w:val="26"/>
          <w:szCs w:val="26"/>
        </w:rPr>
        <w:t xml:space="preserve"> this regard, </w:t>
      </w:r>
      <w:r>
        <w:rPr>
          <w:sz w:val="26"/>
          <w:szCs w:val="26"/>
        </w:rPr>
        <w:t>PECO notes that the Commission’s regulations provide specific guidance for maintaining the confidentiality of customer information.  PECO also agrees that utilities should obtain customer consent before sending electronic notifications.  However, PECO</w:t>
      </w:r>
      <w:r w:rsidR="00762962">
        <w:rPr>
          <w:sz w:val="26"/>
          <w:szCs w:val="26"/>
        </w:rPr>
        <w:t xml:space="preserve"> argues </w:t>
      </w:r>
      <w:r>
        <w:rPr>
          <w:sz w:val="26"/>
          <w:szCs w:val="26"/>
        </w:rPr>
        <w:t>that utilities should have flexibility in the manner in which they are permitted to notify customers of the pending termination of service.  PECO</w:t>
      </w:r>
      <w:r w:rsidR="00762962">
        <w:rPr>
          <w:sz w:val="26"/>
          <w:szCs w:val="26"/>
        </w:rPr>
        <w:t xml:space="preserve"> states</w:t>
      </w:r>
      <w:r>
        <w:rPr>
          <w:sz w:val="26"/>
          <w:szCs w:val="26"/>
        </w:rPr>
        <w:t xml:space="preserve"> that privacy guidelines should not be part of the Commission’s regulations and that the Commission should not be overly prescriptive.  PECO </w:t>
      </w:r>
      <w:r w:rsidR="00762962">
        <w:rPr>
          <w:sz w:val="26"/>
          <w:szCs w:val="26"/>
        </w:rPr>
        <w:t xml:space="preserve">also </w:t>
      </w:r>
      <w:r>
        <w:rPr>
          <w:sz w:val="26"/>
          <w:szCs w:val="26"/>
        </w:rPr>
        <w:t>argues that privacy guidelines should not go beyond those imposed by federal law</w:t>
      </w:r>
      <w:r w:rsidR="00762962">
        <w:rPr>
          <w:sz w:val="26"/>
          <w:szCs w:val="26"/>
        </w:rPr>
        <w:t xml:space="preserve"> and points out that</w:t>
      </w:r>
      <w:r>
        <w:rPr>
          <w:sz w:val="26"/>
          <w:szCs w:val="26"/>
        </w:rPr>
        <w:t xml:space="preserve"> the suggestion that a customer’s consent cannot be </w:t>
      </w:r>
      <w:r w:rsidR="002D550B">
        <w:rPr>
          <w:sz w:val="26"/>
          <w:szCs w:val="26"/>
        </w:rPr>
        <w:t>a</w:t>
      </w:r>
      <w:r>
        <w:rPr>
          <w:sz w:val="26"/>
          <w:szCs w:val="26"/>
        </w:rPr>
        <w:t xml:space="preserve"> check</w:t>
      </w:r>
      <w:r w:rsidR="00762962">
        <w:rPr>
          <w:sz w:val="26"/>
          <w:szCs w:val="26"/>
        </w:rPr>
        <w:t>-</w:t>
      </w:r>
      <w:r>
        <w:rPr>
          <w:sz w:val="26"/>
          <w:szCs w:val="26"/>
        </w:rPr>
        <w:t>box goes beyond federal law.  PECO also states that standalone consent to certain email communication</w:t>
      </w:r>
      <w:r w:rsidR="00974A19">
        <w:rPr>
          <w:sz w:val="26"/>
          <w:szCs w:val="26"/>
        </w:rPr>
        <w:t>s</w:t>
      </w:r>
      <w:r>
        <w:rPr>
          <w:sz w:val="26"/>
          <w:szCs w:val="26"/>
        </w:rPr>
        <w:t xml:space="preserve"> is not necessary.  PECO argues that utilities should be afforded flexibility to implement procedures based on their application process</w:t>
      </w:r>
      <w:r w:rsidR="00A25FB4">
        <w:rPr>
          <w:sz w:val="26"/>
          <w:szCs w:val="26"/>
        </w:rPr>
        <w:t>es</w:t>
      </w:r>
      <w:r>
        <w:rPr>
          <w:sz w:val="26"/>
          <w:szCs w:val="26"/>
        </w:rPr>
        <w:t>, billing software</w:t>
      </w:r>
      <w:r w:rsidR="00A25FB4">
        <w:rPr>
          <w:sz w:val="26"/>
          <w:szCs w:val="26"/>
        </w:rPr>
        <w:t>,</w:t>
      </w:r>
      <w:r>
        <w:rPr>
          <w:sz w:val="26"/>
          <w:szCs w:val="26"/>
        </w:rPr>
        <w:t xml:space="preserve"> and online account management tools. </w:t>
      </w:r>
      <w:r w:rsidR="00762962">
        <w:rPr>
          <w:sz w:val="26"/>
          <w:szCs w:val="26"/>
        </w:rPr>
        <w:t xml:space="preserve"> Moreover, PECO notes that customer consent to the use of electronic means does not expire.  PECO argues that allowing customers to revoke consent at any time by any clear means is burdensome for utilities.  For example, PECO states that piecemeal revocation </w:t>
      </w:r>
      <w:r w:rsidR="009B502F">
        <w:rPr>
          <w:sz w:val="26"/>
          <w:szCs w:val="26"/>
        </w:rPr>
        <w:t xml:space="preserve">of one </w:t>
      </w:r>
      <w:r w:rsidR="009B502F">
        <w:rPr>
          <w:sz w:val="26"/>
          <w:szCs w:val="26"/>
        </w:rPr>
        <w:lastRenderedPageBreak/>
        <w:t xml:space="preserve">type of communication, but not another, </w:t>
      </w:r>
      <w:r w:rsidR="009B502F" w:rsidRPr="009B502F">
        <w:rPr>
          <w:i/>
          <w:iCs/>
          <w:sz w:val="26"/>
          <w:szCs w:val="26"/>
        </w:rPr>
        <w:t>i.e.</w:t>
      </w:r>
      <w:r w:rsidR="009B502F">
        <w:rPr>
          <w:i/>
          <w:iCs/>
          <w:sz w:val="26"/>
          <w:szCs w:val="26"/>
        </w:rPr>
        <w:t>,</w:t>
      </w:r>
      <w:r w:rsidR="009B502F">
        <w:rPr>
          <w:sz w:val="26"/>
          <w:szCs w:val="26"/>
        </w:rPr>
        <w:t xml:space="preserve"> text message, but not email, </w:t>
      </w:r>
      <w:r w:rsidR="00762962">
        <w:rPr>
          <w:sz w:val="26"/>
          <w:szCs w:val="26"/>
        </w:rPr>
        <w:t>is problematic.  PECO argues instead that revocation be communicated by “any reasonable means.”  Finally, PECO does not object to the proposal for utilities to send annual notice</w:t>
      </w:r>
      <w:r w:rsidR="004502CD">
        <w:rPr>
          <w:sz w:val="26"/>
          <w:szCs w:val="26"/>
        </w:rPr>
        <w:t>s</w:t>
      </w:r>
      <w:r w:rsidR="00762962">
        <w:rPr>
          <w:sz w:val="26"/>
          <w:szCs w:val="26"/>
        </w:rPr>
        <w:t xml:space="preserve"> to customers to review their electronic notification preferences</w:t>
      </w:r>
      <w:r>
        <w:rPr>
          <w:sz w:val="26"/>
          <w:szCs w:val="26"/>
        </w:rPr>
        <w:t xml:space="preserve">. </w:t>
      </w:r>
      <w:r w:rsidR="009B502F">
        <w:rPr>
          <w:sz w:val="26"/>
          <w:szCs w:val="26"/>
        </w:rPr>
        <w:t xml:space="preserve"> PECO Comments at 5-8.</w:t>
      </w:r>
    </w:p>
    <w:p w14:paraId="1C72A106" w14:textId="77777777" w:rsidR="00190B33" w:rsidRDefault="00190B33" w:rsidP="000B3023">
      <w:pPr>
        <w:spacing w:line="360" w:lineRule="auto"/>
        <w:rPr>
          <w:sz w:val="26"/>
          <w:szCs w:val="26"/>
        </w:rPr>
      </w:pPr>
    </w:p>
    <w:p w14:paraId="74982257" w14:textId="77777777" w:rsidR="00190B33" w:rsidRDefault="00190B33" w:rsidP="000B3023">
      <w:pPr>
        <w:spacing w:line="360" w:lineRule="auto"/>
        <w:rPr>
          <w:sz w:val="26"/>
          <w:szCs w:val="26"/>
        </w:rPr>
      </w:pPr>
      <w:r>
        <w:rPr>
          <w:sz w:val="26"/>
          <w:szCs w:val="26"/>
        </w:rPr>
        <w:tab/>
        <w:t xml:space="preserve">Like PECO, EAP argues that the guidelines, not prescriptive regulations, </w:t>
      </w:r>
      <w:r w:rsidR="001965A2">
        <w:rPr>
          <w:sz w:val="26"/>
          <w:szCs w:val="26"/>
        </w:rPr>
        <w:t xml:space="preserve">are </w:t>
      </w:r>
      <w:r>
        <w:rPr>
          <w:sz w:val="26"/>
          <w:szCs w:val="26"/>
        </w:rPr>
        <w:t xml:space="preserve">the best path forward </w:t>
      </w:r>
      <w:r w:rsidR="001965A2">
        <w:rPr>
          <w:sz w:val="26"/>
          <w:szCs w:val="26"/>
        </w:rPr>
        <w:t>in a future where technology</w:t>
      </w:r>
      <w:r>
        <w:rPr>
          <w:sz w:val="26"/>
          <w:szCs w:val="26"/>
        </w:rPr>
        <w:t xml:space="preserve"> and privacy issues are evolving.  Regarding customer enrollment and consent, EAP suggests that utilities clearly indicate when</w:t>
      </w:r>
      <w:r w:rsidR="00C97E87">
        <w:rPr>
          <w:sz w:val="26"/>
          <w:szCs w:val="26"/>
        </w:rPr>
        <w:t>/</w:t>
      </w:r>
      <w:r>
        <w:rPr>
          <w:sz w:val="26"/>
          <w:szCs w:val="26"/>
        </w:rPr>
        <w:t xml:space="preserve">where customers provide their email addresses or mobile phone number that they are agreeing to permit the utility to contact them via email or text message for all routine matters, including billing, newsletters, service outage notices, and termination.  EAP notes that, as long as the information is clearly explained </w:t>
      </w:r>
      <w:r w:rsidR="00C97E87">
        <w:rPr>
          <w:sz w:val="26"/>
          <w:szCs w:val="26"/>
        </w:rPr>
        <w:t>at that time</w:t>
      </w:r>
      <w:r>
        <w:rPr>
          <w:sz w:val="26"/>
          <w:szCs w:val="26"/>
        </w:rPr>
        <w:t xml:space="preserve">, a separate notice </w:t>
      </w:r>
      <w:r w:rsidR="00C97E87">
        <w:rPr>
          <w:sz w:val="26"/>
          <w:szCs w:val="26"/>
        </w:rPr>
        <w:t xml:space="preserve">of </w:t>
      </w:r>
      <w:r>
        <w:rPr>
          <w:sz w:val="26"/>
          <w:szCs w:val="26"/>
        </w:rPr>
        <w:t xml:space="preserve">consent for electronic notification for termination is not necessary.  </w:t>
      </w:r>
      <w:r w:rsidR="001965A2">
        <w:rPr>
          <w:sz w:val="26"/>
          <w:szCs w:val="26"/>
        </w:rPr>
        <w:t xml:space="preserve">EAP Comments at 5. </w:t>
      </w:r>
    </w:p>
    <w:p w14:paraId="0B6A6888" w14:textId="77777777" w:rsidR="005B268D" w:rsidRDefault="005B268D" w:rsidP="000B3023">
      <w:pPr>
        <w:spacing w:line="360" w:lineRule="auto"/>
        <w:rPr>
          <w:sz w:val="26"/>
          <w:szCs w:val="26"/>
        </w:rPr>
      </w:pPr>
    </w:p>
    <w:p w14:paraId="0C38E5E0" w14:textId="77777777" w:rsidR="00EF2D7C" w:rsidRDefault="00133384" w:rsidP="000B3023">
      <w:pPr>
        <w:spacing w:line="360" w:lineRule="auto"/>
        <w:rPr>
          <w:sz w:val="26"/>
          <w:szCs w:val="26"/>
        </w:rPr>
      </w:pPr>
      <w:r>
        <w:rPr>
          <w:sz w:val="26"/>
          <w:szCs w:val="26"/>
        </w:rPr>
        <w:tab/>
      </w:r>
      <w:r w:rsidR="00EF2D7C">
        <w:rPr>
          <w:sz w:val="26"/>
          <w:szCs w:val="26"/>
        </w:rPr>
        <w:t xml:space="preserve">CAUSE-PA supports the general position that phone numbers and electronic contact information should not be subject to third party disclosure absent express and clearly defined permission.  </w:t>
      </w:r>
      <w:r w:rsidR="009E6952" w:rsidRPr="00EF2D7C">
        <w:rPr>
          <w:sz w:val="26"/>
          <w:szCs w:val="26"/>
        </w:rPr>
        <w:t>CAUSE-PA</w:t>
      </w:r>
      <w:r w:rsidR="009E6952">
        <w:rPr>
          <w:sz w:val="26"/>
          <w:szCs w:val="26"/>
        </w:rPr>
        <w:t xml:space="preserve"> avers that additional clarity is necessary to safeguard personal identifiable information from disclosure.  </w:t>
      </w:r>
      <w:r w:rsidR="00EF2D7C">
        <w:rPr>
          <w:sz w:val="26"/>
          <w:szCs w:val="26"/>
        </w:rPr>
        <w:t>CAUSE</w:t>
      </w:r>
      <w:r w:rsidR="00EF2D7C">
        <w:rPr>
          <w:sz w:val="26"/>
          <w:szCs w:val="26"/>
        </w:rPr>
        <w:noBreakHyphen/>
        <w:t>PA</w:t>
      </w:r>
      <w:r w:rsidR="009E6952">
        <w:rPr>
          <w:sz w:val="26"/>
          <w:szCs w:val="26"/>
        </w:rPr>
        <w:t xml:space="preserve"> </w:t>
      </w:r>
      <w:r w:rsidR="00EF2D7C">
        <w:rPr>
          <w:sz w:val="26"/>
          <w:szCs w:val="26"/>
        </w:rPr>
        <w:t>seeks a separate statewide proceeding on data privacy guidelines.  CAUSE-PA</w:t>
      </w:r>
      <w:r w:rsidR="009E6952">
        <w:rPr>
          <w:sz w:val="26"/>
          <w:szCs w:val="26"/>
        </w:rPr>
        <w:t xml:space="preserve"> </w:t>
      </w:r>
      <w:r w:rsidR="00EF2D7C">
        <w:rPr>
          <w:sz w:val="26"/>
          <w:szCs w:val="26"/>
        </w:rPr>
        <w:t>questions the purpose for which information may be disclosed, the parameters placed on a third party once disclosed, issues regarding profit from disclosure, and disclosure to government agencies.  CAUSE-PA argues that, while consent for disclosure may be warranted in certain narrow circumstances, consent should always</w:t>
      </w:r>
      <w:r w:rsidR="0014285D">
        <w:rPr>
          <w:sz w:val="26"/>
          <w:szCs w:val="26"/>
        </w:rPr>
        <w:t xml:space="preserve"> be</w:t>
      </w:r>
      <w:r w:rsidR="00EF2D7C">
        <w:rPr>
          <w:sz w:val="26"/>
          <w:szCs w:val="26"/>
        </w:rPr>
        <w:t xml:space="preserve"> specific and time-limited, should fully appraise the customer of the nature and purpose of the disclosure and the entities that could access information, and should require the customers to “opt in,” rather than “opt out.”  CAUSE-PA states that utilities should not be permitted to sell data to third parties even with consent. </w:t>
      </w:r>
      <w:r w:rsidR="009E6952">
        <w:rPr>
          <w:sz w:val="26"/>
          <w:szCs w:val="26"/>
        </w:rPr>
        <w:t xml:space="preserve"> </w:t>
      </w:r>
      <w:r w:rsidR="00EF2D7C">
        <w:rPr>
          <w:sz w:val="26"/>
          <w:szCs w:val="26"/>
        </w:rPr>
        <w:t>CAUSE-PA Comments at 20-</w:t>
      </w:r>
      <w:r w:rsidR="009E6952">
        <w:rPr>
          <w:sz w:val="26"/>
          <w:szCs w:val="26"/>
        </w:rPr>
        <w:t>23.</w:t>
      </w:r>
    </w:p>
    <w:p w14:paraId="7DD78C40" w14:textId="77777777" w:rsidR="00EF2D7C" w:rsidRDefault="00EF2D7C" w:rsidP="000B3023">
      <w:pPr>
        <w:spacing w:line="360" w:lineRule="auto"/>
        <w:rPr>
          <w:sz w:val="26"/>
          <w:szCs w:val="26"/>
        </w:rPr>
      </w:pPr>
    </w:p>
    <w:p w14:paraId="512C7733" w14:textId="77777777" w:rsidR="00133384" w:rsidRDefault="00F767E2" w:rsidP="00EF2D7C">
      <w:pPr>
        <w:spacing w:line="360" w:lineRule="auto"/>
        <w:ind w:firstLine="720"/>
        <w:rPr>
          <w:sz w:val="26"/>
          <w:szCs w:val="26"/>
        </w:rPr>
      </w:pPr>
      <w:r>
        <w:rPr>
          <w:sz w:val="26"/>
          <w:szCs w:val="26"/>
        </w:rPr>
        <w:lastRenderedPageBreak/>
        <w:t xml:space="preserve">Additionally, </w:t>
      </w:r>
      <w:r w:rsidR="00EF2D7C">
        <w:rPr>
          <w:sz w:val="26"/>
          <w:szCs w:val="26"/>
        </w:rPr>
        <w:t xml:space="preserve">CAUSE-PA </w:t>
      </w:r>
      <w:r w:rsidR="009E6952">
        <w:rPr>
          <w:sz w:val="26"/>
          <w:szCs w:val="26"/>
        </w:rPr>
        <w:t>supports the Commission’s proposal that utilities obtain consent for electronic notice of termination through a separate and distinct notice</w:t>
      </w:r>
      <w:r>
        <w:rPr>
          <w:sz w:val="26"/>
          <w:szCs w:val="26"/>
        </w:rPr>
        <w:t xml:space="preserve"> and that customers </w:t>
      </w:r>
      <w:r w:rsidR="00D26C35">
        <w:rPr>
          <w:sz w:val="26"/>
          <w:szCs w:val="26"/>
        </w:rPr>
        <w:t xml:space="preserve">can </w:t>
      </w:r>
      <w:r>
        <w:rPr>
          <w:sz w:val="26"/>
          <w:szCs w:val="26"/>
        </w:rPr>
        <w:t>revoke consent at any time by any clear means.</w:t>
      </w:r>
      <w:r w:rsidR="009E6952">
        <w:rPr>
          <w:sz w:val="26"/>
          <w:szCs w:val="26"/>
        </w:rPr>
        <w:t xml:space="preserve">  CAUSE-PA, however, </w:t>
      </w:r>
      <w:r w:rsidR="00EF2D7C">
        <w:rPr>
          <w:sz w:val="26"/>
          <w:szCs w:val="26"/>
        </w:rPr>
        <w:t xml:space="preserve">avers that additional clarity is needed to ensure that consumers consent to receiving electronic notice of termination.  </w:t>
      </w:r>
      <w:r w:rsidR="009E6952">
        <w:rPr>
          <w:sz w:val="26"/>
          <w:szCs w:val="26"/>
        </w:rPr>
        <w:t>CAUSE-PA asks that the Commission establish a clear signatory process for consent and argues that utilities should be required to obtain consent in writing.  CAUSE-PA suggests the use of a standard consent form by utilities</w:t>
      </w:r>
      <w:r>
        <w:rPr>
          <w:sz w:val="26"/>
          <w:szCs w:val="26"/>
        </w:rPr>
        <w:t xml:space="preserve"> and the use of a</w:t>
      </w:r>
      <w:r w:rsidR="009E6952">
        <w:rPr>
          <w:sz w:val="26"/>
          <w:szCs w:val="26"/>
        </w:rPr>
        <w:t xml:space="preserve"> two-step authorization process</w:t>
      </w:r>
      <w:r>
        <w:rPr>
          <w:sz w:val="26"/>
          <w:szCs w:val="26"/>
        </w:rPr>
        <w:t xml:space="preserve">.  CAUSE-PA also suggests that the Commission issue guidance regarding the information </w:t>
      </w:r>
      <w:r w:rsidR="00D26C35">
        <w:rPr>
          <w:sz w:val="26"/>
          <w:szCs w:val="26"/>
        </w:rPr>
        <w:t xml:space="preserve">required </w:t>
      </w:r>
      <w:r>
        <w:rPr>
          <w:sz w:val="26"/>
          <w:szCs w:val="26"/>
        </w:rPr>
        <w:t xml:space="preserve">to be included in electronic notices of termination.  Further, CAUSE-PA recommends that the Commission clarify what may be considered “clear means” to revoke consent and require utilities to affirmatively verify customers consent and update the customer’s contact information during any non-emergency point of contact.  CAUSE-PA also recommends that the annual reminder notices from utilities be provided in March each year at the end of the winter moratorium on utility terminations.  </w:t>
      </w:r>
      <w:r w:rsidR="00EF2D7C">
        <w:rPr>
          <w:sz w:val="26"/>
          <w:szCs w:val="26"/>
        </w:rPr>
        <w:t>CAUSE-PA Comments at 20,</w:t>
      </w:r>
      <w:r>
        <w:rPr>
          <w:sz w:val="26"/>
          <w:szCs w:val="26"/>
        </w:rPr>
        <w:t xml:space="preserve"> 23-</w:t>
      </w:r>
      <w:r w:rsidR="00EF2D7C">
        <w:rPr>
          <w:sz w:val="26"/>
          <w:szCs w:val="26"/>
        </w:rPr>
        <w:t xml:space="preserve"> </w:t>
      </w:r>
      <w:r>
        <w:rPr>
          <w:sz w:val="26"/>
          <w:szCs w:val="26"/>
        </w:rPr>
        <w:t>26.</w:t>
      </w:r>
    </w:p>
    <w:p w14:paraId="31E5B46C" w14:textId="77777777" w:rsidR="00133384" w:rsidRDefault="00133384" w:rsidP="000B3023">
      <w:pPr>
        <w:spacing w:line="360" w:lineRule="auto"/>
        <w:rPr>
          <w:sz w:val="26"/>
          <w:szCs w:val="26"/>
        </w:rPr>
      </w:pPr>
    </w:p>
    <w:p w14:paraId="5447655B" w14:textId="77777777" w:rsidR="005B268D" w:rsidRDefault="005B268D" w:rsidP="000B3023">
      <w:pPr>
        <w:spacing w:line="360" w:lineRule="auto"/>
        <w:rPr>
          <w:sz w:val="26"/>
          <w:szCs w:val="26"/>
        </w:rPr>
      </w:pPr>
      <w:r>
        <w:rPr>
          <w:sz w:val="26"/>
          <w:szCs w:val="26"/>
        </w:rPr>
        <w:tab/>
        <w:t xml:space="preserve">While HELP: MLP offered comments on medical certificates as discussed above, it did not provide comments on privacy guidelines.  </w:t>
      </w:r>
      <w:r w:rsidRPr="005B268D">
        <w:rPr>
          <w:i/>
          <w:iCs/>
          <w:sz w:val="26"/>
          <w:szCs w:val="26"/>
        </w:rPr>
        <w:t>See gen’ly</w:t>
      </w:r>
      <w:r>
        <w:rPr>
          <w:sz w:val="26"/>
          <w:szCs w:val="26"/>
        </w:rPr>
        <w:t xml:space="preserve"> HELP: MLP Comments. </w:t>
      </w:r>
    </w:p>
    <w:p w14:paraId="520830E5" w14:textId="77777777" w:rsidR="00133384" w:rsidRDefault="00133384" w:rsidP="000B3023">
      <w:pPr>
        <w:spacing w:line="360" w:lineRule="auto"/>
        <w:rPr>
          <w:sz w:val="26"/>
          <w:szCs w:val="26"/>
        </w:rPr>
      </w:pPr>
    </w:p>
    <w:p w14:paraId="1F489D0E" w14:textId="77777777" w:rsidR="00A90BAE" w:rsidRDefault="00133384" w:rsidP="000B3023">
      <w:pPr>
        <w:spacing w:line="360" w:lineRule="auto"/>
        <w:rPr>
          <w:sz w:val="26"/>
          <w:szCs w:val="26"/>
        </w:rPr>
      </w:pPr>
      <w:r>
        <w:rPr>
          <w:sz w:val="26"/>
          <w:szCs w:val="26"/>
        </w:rPr>
        <w:tab/>
        <w:t xml:space="preserve">Duquesne </w:t>
      </w:r>
      <w:r w:rsidR="00CB5CE0">
        <w:rPr>
          <w:sz w:val="26"/>
          <w:szCs w:val="26"/>
        </w:rPr>
        <w:t xml:space="preserve">states that </w:t>
      </w:r>
      <w:r w:rsidR="00BC34F5">
        <w:rPr>
          <w:sz w:val="26"/>
          <w:szCs w:val="26"/>
        </w:rPr>
        <w:t xml:space="preserve">customers </w:t>
      </w:r>
      <w:r w:rsidR="00CB5CE0">
        <w:rPr>
          <w:sz w:val="26"/>
          <w:szCs w:val="26"/>
        </w:rPr>
        <w:t>prefer electronic communication</w:t>
      </w:r>
      <w:r w:rsidR="001B687E">
        <w:rPr>
          <w:sz w:val="26"/>
          <w:szCs w:val="26"/>
        </w:rPr>
        <w:t>s</w:t>
      </w:r>
      <w:r w:rsidR="00CB5CE0">
        <w:rPr>
          <w:sz w:val="26"/>
          <w:szCs w:val="26"/>
        </w:rPr>
        <w:t xml:space="preserve"> and that there are benefits to providing notice of termination by electronic means.  For example, Duquesne notes that electronic communication</w:t>
      </w:r>
      <w:r w:rsidR="001B687E">
        <w:rPr>
          <w:sz w:val="26"/>
          <w:szCs w:val="26"/>
        </w:rPr>
        <w:t>s</w:t>
      </w:r>
      <w:r w:rsidR="00CB5CE0">
        <w:rPr>
          <w:sz w:val="26"/>
          <w:szCs w:val="26"/>
        </w:rPr>
        <w:t xml:space="preserve"> allow a customer to be notified of a termination immediately so that the customers may rectify the situation more quickly.  Duquesne also argues that electronic communication better protects a customer’s privacy because only the customer will see the notice.  Additionally, Duquesne points to recent Commission action as supporting electronic communication.  First, Duquesne argues that that the Commission’s move to electronic service on an opt</w:t>
      </w:r>
      <w:r w:rsidR="001B687E">
        <w:rPr>
          <w:sz w:val="26"/>
          <w:szCs w:val="26"/>
        </w:rPr>
        <w:noBreakHyphen/>
      </w:r>
      <w:r w:rsidR="00CB5CE0">
        <w:rPr>
          <w:sz w:val="26"/>
          <w:szCs w:val="26"/>
        </w:rPr>
        <w:t xml:space="preserve">out basis for formal complaints due to </w:t>
      </w:r>
      <w:r w:rsidR="001B687E">
        <w:rPr>
          <w:sz w:val="26"/>
          <w:szCs w:val="26"/>
        </w:rPr>
        <w:t xml:space="preserve">the </w:t>
      </w:r>
      <w:r w:rsidR="00CB5CE0">
        <w:rPr>
          <w:sz w:val="26"/>
          <w:szCs w:val="26"/>
        </w:rPr>
        <w:t xml:space="preserve">COVID-19 </w:t>
      </w:r>
      <w:r w:rsidR="001B687E">
        <w:rPr>
          <w:sz w:val="26"/>
          <w:szCs w:val="26"/>
        </w:rPr>
        <w:t xml:space="preserve">pandemic </w:t>
      </w:r>
      <w:r w:rsidR="00CB5CE0">
        <w:rPr>
          <w:sz w:val="26"/>
          <w:szCs w:val="26"/>
        </w:rPr>
        <w:t xml:space="preserve">supports greater use of electronic communication.  Second, Duquesne notes </w:t>
      </w:r>
      <w:r w:rsidR="003B5DDC">
        <w:rPr>
          <w:sz w:val="26"/>
          <w:szCs w:val="26"/>
        </w:rPr>
        <w:t>that the</w:t>
      </w:r>
      <w:r w:rsidR="00CB5CE0">
        <w:rPr>
          <w:sz w:val="26"/>
          <w:szCs w:val="26"/>
        </w:rPr>
        <w:t xml:space="preserve"> Commission </w:t>
      </w:r>
      <w:r w:rsidR="003B5DDC">
        <w:rPr>
          <w:sz w:val="26"/>
          <w:szCs w:val="26"/>
        </w:rPr>
        <w:t xml:space="preserve">recently </w:t>
      </w:r>
      <w:r w:rsidR="00CB5CE0">
        <w:rPr>
          <w:sz w:val="26"/>
          <w:szCs w:val="26"/>
        </w:rPr>
        <w:t>approv</w:t>
      </w:r>
      <w:r w:rsidR="003B5DDC">
        <w:rPr>
          <w:sz w:val="26"/>
          <w:szCs w:val="26"/>
        </w:rPr>
        <w:t>ed</w:t>
      </w:r>
      <w:r w:rsidR="00CB5CE0">
        <w:rPr>
          <w:sz w:val="26"/>
          <w:szCs w:val="26"/>
        </w:rPr>
        <w:t xml:space="preserve"> </w:t>
      </w:r>
      <w:r w:rsidR="00CB5CE0">
        <w:rPr>
          <w:sz w:val="26"/>
          <w:szCs w:val="26"/>
        </w:rPr>
        <w:lastRenderedPageBreak/>
        <w:t>petitions from Duquesne and PPL to provide</w:t>
      </w:r>
      <w:r w:rsidR="003B5DDC">
        <w:rPr>
          <w:sz w:val="26"/>
          <w:szCs w:val="26"/>
        </w:rPr>
        <w:t xml:space="preserve"> the</w:t>
      </w:r>
      <w:r w:rsidR="00CB5CE0">
        <w:rPr>
          <w:sz w:val="26"/>
          <w:szCs w:val="26"/>
        </w:rPr>
        <w:t xml:space="preserve"> triennial Eligible Customers List update communication electronically to all customers who have provided an email address, rather than only those receiving an electronic bill, as previously allowed. </w:t>
      </w:r>
      <w:r w:rsidR="003B5DDC">
        <w:rPr>
          <w:sz w:val="26"/>
          <w:szCs w:val="26"/>
        </w:rPr>
        <w:t xml:space="preserve"> </w:t>
      </w:r>
      <w:r w:rsidR="00A90BAE">
        <w:rPr>
          <w:sz w:val="26"/>
          <w:szCs w:val="26"/>
        </w:rPr>
        <w:t xml:space="preserve">Duquesne Comments at 6-8. </w:t>
      </w:r>
    </w:p>
    <w:p w14:paraId="3FBDF016" w14:textId="77777777" w:rsidR="00A90BAE" w:rsidRDefault="00A90BAE" w:rsidP="000B3023">
      <w:pPr>
        <w:spacing w:line="360" w:lineRule="auto"/>
        <w:rPr>
          <w:sz w:val="26"/>
          <w:szCs w:val="26"/>
        </w:rPr>
      </w:pPr>
    </w:p>
    <w:p w14:paraId="74B05933" w14:textId="77777777" w:rsidR="00133384" w:rsidRDefault="003B5DDC" w:rsidP="00A90BAE">
      <w:pPr>
        <w:spacing w:line="360" w:lineRule="auto"/>
        <w:ind w:firstLine="720"/>
        <w:rPr>
          <w:sz w:val="26"/>
          <w:szCs w:val="26"/>
        </w:rPr>
      </w:pPr>
      <w:r>
        <w:rPr>
          <w:sz w:val="26"/>
          <w:szCs w:val="26"/>
        </w:rPr>
        <w:t xml:space="preserve">Moreover, regarding a separate and distinct notice for customers enrolling in electronic notifications, Duquesne argues that such notice is not necessary if a customer elects to receive all communications electronically. </w:t>
      </w:r>
      <w:r w:rsidR="00A90BAE">
        <w:rPr>
          <w:sz w:val="26"/>
          <w:szCs w:val="26"/>
        </w:rPr>
        <w:t xml:space="preserve"> </w:t>
      </w:r>
      <w:r w:rsidR="008F3567">
        <w:rPr>
          <w:sz w:val="26"/>
          <w:szCs w:val="26"/>
        </w:rPr>
        <w:t>If</w:t>
      </w:r>
      <w:r w:rsidR="00A90BAE">
        <w:rPr>
          <w:sz w:val="26"/>
          <w:szCs w:val="26"/>
        </w:rPr>
        <w:t xml:space="preserve"> the Commission</w:t>
      </w:r>
      <w:r w:rsidR="008F3567">
        <w:rPr>
          <w:sz w:val="26"/>
          <w:szCs w:val="26"/>
        </w:rPr>
        <w:t xml:space="preserve"> nonetheless</w:t>
      </w:r>
      <w:r w:rsidR="00A90BAE">
        <w:rPr>
          <w:sz w:val="26"/>
          <w:szCs w:val="26"/>
        </w:rPr>
        <w:t xml:space="preserve"> moves forward with </w:t>
      </w:r>
      <w:r w:rsidR="008F3567">
        <w:rPr>
          <w:sz w:val="26"/>
          <w:szCs w:val="26"/>
        </w:rPr>
        <w:t xml:space="preserve">its </w:t>
      </w:r>
      <w:r w:rsidR="00A90BAE">
        <w:rPr>
          <w:sz w:val="26"/>
          <w:szCs w:val="26"/>
        </w:rPr>
        <w:t xml:space="preserve">proposal, </w:t>
      </w:r>
      <w:r w:rsidR="008F3567">
        <w:rPr>
          <w:sz w:val="26"/>
          <w:szCs w:val="26"/>
        </w:rPr>
        <w:t xml:space="preserve">Duquesne suggests that </w:t>
      </w:r>
      <w:r w:rsidR="00A90BAE">
        <w:rPr>
          <w:sz w:val="26"/>
          <w:szCs w:val="26"/>
        </w:rPr>
        <w:t xml:space="preserve">a clearly marked check-box is sufficient.  Further, Duquesne states that it is not opposed to allowing customers to revoke consent at any time by any clear means.  Duquesne, however, does not support the requirement for utilities to send a notice to all customers on a yearly basis to remind them to review their account information and electronic notifications.  Duquesne notes that customers who have opted into electronic billing receive and pay an electronic bill on a monthly basis and, therefore, further reminder is unnecessary.  </w:t>
      </w:r>
      <w:r w:rsidR="008F3567">
        <w:rPr>
          <w:sz w:val="26"/>
          <w:szCs w:val="26"/>
        </w:rPr>
        <w:t>Duquesne asks that, i</w:t>
      </w:r>
      <w:r w:rsidR="00A90BAE">
        <w:rPr>
          <w:sz w:val="26"/>
          <w:szCs w:val="26"/>
        </w:rPr>
        <w:t xml:space="preserve">f the Commission moves forward with </w:t>
      </w:r>
      <w:r w:rsidR="008F3567">
        <w:rPr>
          <w:sz w:val="26"/>
          <w:szCs w:val="26"/>
        </w:rPr>
        <w:t>its</w:t>
      </w:r>
      <w:r w:rsidR="00A90BAE">
        <w:rPr>
          <w:sz w:val="26"/>
          <w:szCs w:val="26"/>
        </w:rPr>
        <w:t xml:space="preserve"> proposal, utilities</w:t>
      </w:r>
      <w:r w:rsidR="008F3567">
        <w:rPr>
          <w:sz w:val="26"/>
          <w:szCs w:val="26"/>
        </w:rPr>
        <w:t xml:space="preserve"> be given</w:t>
      </w:r>
      <w:r w:rsidR="00A90BAE">
        <w:rPr>
          <w:sz w:val="26"/>
          <w:szCs w:val="26"/>
        </w:rPr>
        <w:t xml:space="preserve"> flexibility in how to deliver the reminder notice via email or bill message, which would be less expensive or burdensome than a separate mailing.  </w:t>
      </w:r>
      <w:r w:rsidR="008F3567">
        <w:rPr>
          <w:sz w:val="26"/>
          <w:szCs w:val="26"/>
        </w:rPr>
        <w:t>Duquesne Comments at 8-9.</w:t>
      </w:r>
    </w:p>
    <w:p w14:paraId="2C5AF83C" w14:textId="77777777" w:rsidR="00133384" w:rsidRDefault="00133384" w:rsidP="000B3023">
      <w:pPr>
        <w:spacing w:line="360" w:lineRule="auto"/>
        <w:rPr>
          <w:sz w:val="26"/>
          <w:szCs w:val="26"/>
        </w:rPr>
      </w:pPr>
    </w:p>
    <w:p w14:paraId="38F1CF45" w14:textId="77777777" w:rsidR="00133384" w:rsidRDefault="00133384" w:rsidP="000B3023">
      <w:pPr>
        <w:spacing w:line="360" w:lineRule="auto"/>
        <w:rPr>
          <w:sz w:val="26"/>
          <w:szCs w:val="26"/>
        </w:rPr>
      </w:pPr>
      <w:r>
        <w:rPr>
          <w:sz w:val="26"/>
          <w:szCs w:val="26"/>
        </w:rPr>
        <w:tab/>
      </w:r>
      <w:r w:rsidR="005605C4">
        <w:rPr>
          <w:sz w:val="26"/>
          <w:szCs w:val="26"/>
        </w:rPr>
        <w:t xml:space="preserve">The </w:t>
      </w:r>
      <w:r>
        <w:rPr>
          <w:sz w:val="26"/>
          <w:szCs w:val="26"/>
        </w:rPr>
        <w:t xml:space="preserve">FirstEnergy Companies </w:t>
      </w:r>
      <w:r w:rsidR="005605C4">
        <w:rPr>
          <w:sz w:val="26"/>
          <w:szCs w:val="26"/>
        </w:rPr>
        <w:t xml:space="preserve">note that they do not currently utilize electronic messaging to customers during the service disconnection process, although they may do so in the future.  The FirstEnergy Companies suggest that utilities be allowed to use </w:t>
      </w:r>
      <w:r w:rsidR="00F83DE0">
        <w:rPr>
          <w:sz w:val="26"/>
          <w:szCs w:val="26"/>
        </w:rPr>
        <w:t xml:space="preserve">an </w:t>
      </w:r>
      <w:r w:rsidR="005605C4">
        <w:rPr>
          <w:sz w:val="26"/>
          <w:szCs w:val="26"/>
        </w:rPr>
        <w:t>electronic-message-preference management tool to enable customers to choose which messages to receive electronically.  The FirstEnergy Companies note that customers would have the option to receive some messages by traditional means and other</w:t>
      </w:r>
      <w:r w:rsidR="00F83DE0">
        <w:rPr>
          <w:sz w:val="26"/>
          <w:szCs w:val="26"/>
        </w:rPr>
        <w:t>s</w:t>
      </w:r>
      <w:r w:rsidR="005605C4">
        <w:rPr>
          <w:sz w:val="26"/>
          <w:szCs w:val="26"/>
        </w:rPr>
        <w:t xml:space="preserve"> electronically and to adjust their preferences at any time such that there is no need for a reminder each year.  FirstEnergy Comments at 2. </w:t>
      </w:r>
    </w:p>
    <w:p w14:paraId="2FA949C2" w14:textId="77777777" w:rsidR="00490B58" w:rsidRDefault="00490B58" w:rsidP="001F71A7">
      <w:pPr>
        <w:spacing w:line="360" w:lineRule="auto"/>
        <w:rPr>
          <w:b/>
          <w:bCs/>
          <w:sz w:val="26"/>
          <w:szCs w:val="26"/>
        </w:rPr>
      </w:pPr>
    </w:p>
    <w:p w14:paraId="0C7F5A17" w14:textId="77777777" w:rsidR="009F4BC8" w:rsidRPr="009F4BC8" w:rsidRDefault="009F4BC8" w:rsidP="006328D6">
      <w:pPr>
        <w:keepNext/>
        <w:keepLines/>
        <w:spacing w:line="360" w:lineRule="auto"/>
        <w:rPr>
          <w:b/>
          <w:bCs/>
          <w:sz w:val="26"/>
          <w:szCs w:val="26"/>
        </w:rPr>
      </w:pPr>
      <w:r w:rsidRPr="009F4BC8">
        <w:rPr>
          <w:b/>
          <w:bCs/>
          <w:sz w:val="26"/>
          <w:szCs w:val="26"/>
        </w:rPr>
        <w:lastRenderedPageBreak/>
        <w:tab/>
        <w:t>B.</w:t>
      </w:r>
      <w:r w:rsidRPr="009F4BC8">
        <w:rPr>
          <w:b/>
          <w:bCs/>
          <w:sz w:val="26"/>
          <w:szCs w:val="26"/>
        </w:rPr>
        <w:tab/>
        <w:t>Disposition on Privacy Guidelines</w:t>
      </w:r>
    </w:p>
    <w:p w14:paraId="0CAFEA31" w14:textId="77777777" w:rsidR="00954081" w:rsidRDefault="00ED2D2D" w:rsidP="006328D6">
      <w:pPr>
        <w:keepNext/>
        <w:keepLines/>
        <w:spacing w:line="360" w:lineRule="auto"/>
        <w:ind w:firstLine="720"/>
        <w:rPr>
          <w:sz w:val="26"/>
          <w:szCs w:val="26"/>
        </w:rPr>
      </w:pPr>
      <w:r>
        <w:rPr>
          <w:sz w:val="26"/>
          <w:szCs w:val="26"/>
        </w:rPr>
        <w:t xml:space="preserve">Initially, we note that Section 1406 of the Public Utility Code mentions “the commission’s privacy guidelines” only in the context of notices of termination of service and, specifically, e-mail, text message, and other electronic messaging format for termination notices.  66 Pa.C.S. § 1406(b)(1)(ii)(C).  Thus, the scope of this proceeding is limited to creating privacy guidelines </w:t>
      </w:r>
      <w:r w:rsidR="00AB7CA8">
        <w:rPr>
          <w:sz w:val="26"/>
          <w:szCs w:val="26"/>
        </w:rPr>
        <w:t xml:space="preserve">pertaining </w:t>
      </w:r>
      <w:r w:rsidR="001675B6">
        <w:rPr>
          <w:sz w:val="26"/>
          <w:szCs w:val="26"/>
        </w:rPr>
        <w:t xml:space="preserve">solely </w:t>
      </w:r>
      <w:r w:rsidR="00AB7CA8">
        <w:rPr>
          <w:sz w:val="26"/>
          <w:szCs w:val="26"/>
        </w:rPr>
        <w:t>to</w:t>
      </w:r>
      <w:r>
        <w:rPr>
          <w:sz w:val="26"/>
          <w:szCs w:val="26"/>
        </w:rPr>
        <w:t xml:space="preserve"> electronic termination notices.</w:t>
      </w:r>
      <w:r w:rsidR="00AB7CA8">
        <w:rPr>
          <w:sz w:val="26"/>
          <w:szCs w:val="26"/>
        </w:rPr>
        <w:t xml:space="preserve">  </w:t>
      </w:r>
      <w:r>
        <w:rPr>
          <w:sz w:val="26"/>
          <w:szCs w:val="26"/>
        </w:rPr>
        <w:t>We decline to address privacy issues related to other types of electronic notices, and we reject</w:t>
      </w:r>
      <w:r w:rsidR="00F621E7">
        <w:rPr>
          <w:sz w:val="26"/>
          <w:szCs w:val="26"/>
        </w:rPr>
        <w:t xml:space="preserve"> </w:t>
      </w:r>
      <w:r w:rsidR="00A64693">
        <w:rPr>
          <w:sz w:val="26"/>
          <w:szCs w:val="26"/>
        </w:rPr>
        <w:t>the parties</w:t>
      </w:r>
      <w:r w:rsidR="00AC5A0B">
        <w:rPr>
          <w:sz w:val="26"/>
          <w:szCs w:val="26"/>
        </w:rPr>
        <w:t>’</w:t>
      </w:r>
      <w:r w:rsidR="00A64693">
        <w:rPr>
          <w:sz w:val="26"/>
          <w:szCs w:val="26"/>
        </w:rPr>
        <w:t xml:space="preserve"> </w:t>
      </w:r>
      <w:r>
        <w:rPr>
          <w:sz w:val="26"/>
          <w:szCs w:val="26"/>
        </w:rPr>
        <w:t>requests to create privacy guidelines for enrollment, consent, and other issues related to non-termination notices</w:t>
      </w:r>
      <w:r w:rsidR="00744A3E">
        <w:rPr>
          <w:sz w:val="26"/>
          <w:szCs w:val="26"/>
        </w:rPr>
        <w:t xml:space="preserve"> in this proceeding</w:t>
      </w:r>
      <w:r>
        <w:rPr>
          <w:sz w:val="26"/>
          <w:szCs w:val="26"/>
        </w:rPr>
        <w:t xml:space="preserve">.  The </w:t>
      </w:r>
      <w:r w:rsidR="00C15ABC">
        <w:rPr>
          <w:sz w:val="26"/>
          <w:szCs w:val="26"/>
        </w:rPr>
        <w:t>P</w:t>
      </w:r>
      <w:r>
        <w:rPr>
          <w:sz w:val="26"/>
          <w:szCs w:val="26"/>
        </w:rPr>
        <w:t xml:space="preserve">rivacy </w:t>
      </w:r>
      <w:r w:rsidR="00C15ABC">
        <w:rPr>
          <w:sz w:val="26"/>
          <w:szCs w:val="26"/>
        </w:rPr>
        <w:t>G</w:t>
      </w:r>
      <w:r>
        <w:rPr>
          <w:sz w:val="26"/>
          <w:szCs w:val="26"/>
        </w:rPr>
        <w:t xml:space="preserve">uidelines set forth </w:t>
      </w:r>
      <w:r w:rsidR="00F621E7">
        <w:rPr>
          <w:sz w:val="26"/>
          <w:szCs w:val="26"/>
        </w:rPr>
        <w:t xml:space="preserve">herein </w:t>
      </w:r>
      <w:r>
        <w:rPr>
          <w:sz w:val="26"/>
          <w:szCs w:val="26"/>
        </w:rPr>
        <w:t xml:space="preserve">are limited to to electronic termination notices consistent with Section 1406.  </w:t>
      </w:r>
    </w:p>
    <w:p w14:paraId="53B8185D" w14:textId="77777777" w:rsidR="00ED2D2D" w:rsidRDefault="00ED2D2D" w:rsidP="00960102">
      <w:pPr>
        <w:spacing w:line="360" w:lineRule="auto"/>
        <w:ind w:firstLine="720"/>
        <w:rPr>
          <w:sz w:val="26"/>
          <w:szCs w:val="26"/>
        </w:rPr>
      </w:pPr>
    </w:p>
    <w:p w14:paraId="588B9B53" w14:textId="77777777" w:rsidR="00954081" w:rsidRDefault="00561651" w:rsidP="00960102">
      <w:pPr>
        <w:spacing w:line="360" w:lineRule="auto"/>
        <w:ind w:firstLine="720"/>
        <w:rPr>
          <w:sz w:val="26"/>
          <w:szCs w:val="26"/>
        </w:rPr>
      </w:pPr>
      <w:r>
        <w:rPr>
          <w:sz w:val="26"/>
          <w:szCs w:val="26"/>
        </w:rPr>
        <w:t>Moreover</w:t>
      </w:r>
      <w:r w:rsidR="00A64693">
        <w:rPr>
          <w:sz w:val="26"/>
          <w:szCs w:val="26"/>
        </w:rPr>
        <w:t xml:space="preserve">, </w:t>
      </w:r>
      <w:r w:rsidR="00954081">
        <w:rPr>
          <w:sz w:val="26"/>
          <w:szCs w:val="26"/>
        </w:rPr>
        <w:t xml:space="preserve">we agree with PECO and EAP </w:t>
      </w:r>
      <w:r w:rsidR="00A64693">
        <w:rPr>
          <w:sz w:val="26"/>
          <w:szCs w:val="26"/>
        </w:rPr>
        <w:t>that</w:t>
      </w:r>
      <w:r w:rsidR="00C436E3">
        <w:rPr>
          <w:sz w:val="26"/>
          <w:szCs w:val="26"/>
        </w:rPr>
        <w:t xml:space="preserve"> the Commission should use</w:t>
      </w:r>
      <w:r w:rsidR="00A64693">
        <w:rPr>
          <w:sz w:val="26"/>
          <w:szCs w:val="26"/>
        </w:rPr>
        <w:t xml:space="preserve"> </w:t>
      </w:r>
      <w:r w:rsidR="00954081">
        <w:rPr>
          <w:sz w:val="26"/>
          <w:szCs w:val="26"/>
        </w:rPr>
        <w:t>guidelines</w:t>
      </w:r>
      <w:r w:rsidR="00C436E3">
        <w:rPr>
          <w:sz w:val="26"/>
          <w:szCs w:val="26"/>
        </w:rPr>
        <w:t>,</w:t>
      </w:r>
      <w:r w:rsidR="00A64693">
        <w:rPr>
          <w:sz w:val="26"/>
          <w:szCs w:val="26"/>
        </w:rPr>
        <w:t xml:space="preserve"> not regulations</w:t>
      </w:r>
      <w:r w:rsidR="00C436E3">
        <w:rPr>
          <w:sz w:val="26"/>
          <w:szCs w:val="26"/>
        </w:rPr>
        <w:t>,</w:t>
      </w:r>
      <w:r w:rsidR="00A64693">
        <w:rPr>
          <w:sz w:val="26"/>
          <w:szCs w:val="26"/>
        </w:rPr>
        <w:t xml:space="preserve"> to </w:t>
      </w:r>
      <w:r w:rsidR="00954081">
        <w:rPr>
          <w:sz w:val="26"/>
          <w:szCs w:val="26"/>
        </w:rPr>
        <w:t>address privacy issues.  We previously explained that the General Assembly referred to “guidelines</w:t>
      </w:r>
      <w:r w:rsidR="00127029">
        <w:rPr>
          <w:sz w:val="26"/>
          <w:szCs w:val="26"/>
        </w:rPr>
        <w:t>,</w:t>
      </w:r>
      <w:r w:rsidR="00954081">
        <w:rPr>
          <w:sz w:val="26"/>
          <w:szCs w:val="26"/>
        </w:rPr>
        <w:t>”</w:t>
      </w:r>
      <w:r w:rsidR="00127029">
        <w:rPr>
          <w:sz w:val="26"/>
          <w:szCs w:val="26"/>
        </w:rPr>
        <w:t xml:space="preserve"> rather than regulations, in Section 1406 </w:t>
      </w:r>
      <w:r w:rsidR="00954081">
        <w:rPr>
          <w:sz w:val="26"/>
          <w:szCs w:val="26"/>
        </w:rPr>
        <w:t>and</w:t>
      </w:r>
      <w:r w:rsidR="00127029">
        <w:rPr>
          <w:sz w:val="26"/>
          <w:szCs w:val="26"/>
        </w:rPr>
        <w:t> </w:t>
      </w:r>
      <w:r w:rsidR="00954081">
        <w:rPr>
          <w:sz w:val="26"/>
          <w:szCs w:val="26"/>
        </w:rPr>
        <w:t>referenced approval “by</w:t>
      </w:r>
      <w:r w:rsidR="00A64693">
        <w:rPr>
          <w:sz w:val="26"/>
          <w:szCs w:val="26"/>
        </w:rPr>
        <w:t> </w:t>
      </w:r>
      <w:r w:rsidR="00954081">
        <w:rPr>
          <w:sz w:val="26"/>
          <w:szCs w:val="26"/>
        </w:rPr>
        <w:t xml:space="preserve">commission order.”  66 Pa.C.S. § 1406(b)(1)(ii)(C); </w:t>
      </w:r>
      <w:r w:rsidR="00954081" w:rsidRPr="00954081">
        <w:rPr>
          <w:i/>
          <w:iCs/>
          <w:sz w:val="26"/>
          <w:szCs w:val="26"/>
        </w:rPr>
        <w:t>see</w:t>
      </w:r>
      <w:r w:rsidR="00954081">
        <w:rPr>
          <w:sz w:val="26"/>
          <w:szCs w:val="26"/>
        </w:rPr>
        <w:t xml:space="preserve"> Final Implementation Order at 56.  Therefore, guidelines are the appropriate vehicle to address privacy issues related to electronic termination notices</w:t>
      </w:r>
      <w:r w:rsidR="00291C3A">
        <w:rPr>
          <w:sz w:val="26"/>
          <w:szCs w:val="26"/>
        </w:rPr>
        <w:t xml:space="preserve">.  Further, we agree that </w:t>
      </w:r>
      <w:r w:rsidR="00C15ABC">
        <w:rPr>
          <w:sz w:val="26"/>
          <w:szCs w:val="26"/>
        </w:rPr>
        <w:t xml:space="preserve">any </w:t>
      </w:r>
      <w:r w:rsidR="00291C3A">
        <w:rPr>
          <w:sz w:val="26"/>
          <w:szCs w:val="26"/>
        </w:rPr>
        <w:t xml:space="preserve">guidelines should not be overly prescriptive, given ever-changing technology. </w:t>
      </w:r>
    </w:p>
    <w:p w14:paraId="7ED29C6F" w14:textId="77777777" w:rsidR="00A53412" w:rsidRDefault="00A53412" w:rsidP="00960102">
      <w:pPr>
        <w:spacing w:line="360" w:lineRule="auto"/>
        <w:ind w:firstLine="720"/>
        <w:rPr>
          <w:sz w:val="26"/>
          <w:szCs w:val="26"/>
        </w:rPr>
      </w:pPr>
    </w:p>
    <w:p w14:paraId="70C853FE" w14:textId="77777777" w:rsidR="00A53412" w:rsidRDefault="00C81D8C" w:rsidP="00960102">
      <w:pPr>
        <w:spacing w:line="360" w:lineRule="auto"/>
        <w:ind w:firstLine="720"/>
        <w:rPr>
          <w:sz w:val="26"/>
          <w:szCs w:val="26"/>
        </w:rPr>
      </w:pPr>
      <w:r>
        <w:rPr>
          <w:sz w:val="26"/>
          <w:szCs w:val="26"/>
        </w:rPr>
        <w:t xml:space="preserve">With respect to the </w:t>
      </w:r>
      <w:r w:rsidR="00C15ABC">
        <w:rPr>
          <w:sz w:val="26"/>
          <w:szCs w:val="26"/>
        </w:rPr>
        <w:t>P</w:t>
      </w:r>
      <w:r>
        <w:rPr>
          <w:sz w:val="26"/>
          <w:szCs w:val="26"/>
        </w:rPr>
        <w:t xml:space="preserve">rivacy </w:t>
      </w:r>
      <w:r w:rsidR="00C15ABC">
        <w:rPr>
          <w:sz w:val="26"/>
          <w:szCs w:val="26"/>
        </w:rPr>
        <w:t>G</w:t>
      </w:r>
      <w:r>
        <w:rPr>
          <w:sz w:val="26"/>
          <w:szCs w:val="26"/>
        </w:rPr>
        <w:t>uidelines, a</w:t>
      </w:r>
      <w:r w:rsidR="00291C3A">
        <w:rPr>
          <w:sz w:val="26"/>
          <w:szCs w:val="26"/>
        </w:rPr>
        <w:t>ll parties generally agree that telephone numbers</w:t>
      </w:r>
      <w:r w:rsidR="00D33A35">
        <w:rPr>
          <w:sz w:val="26"/>
          <w:szCs w:val="26"/>
        </w:rPr>
        <w:t>,</w:t>
      </w:r>
      <w:r w:rsidR="00291C3A">
        <w:rPr>
          <w:sz w:val="26"/>
          <w:szCs w:val="26"/>
        </w:rPr>
        <w:t xml:space="preserve"> e-mail addresses</w:t>
      </w:r>
      <w:r w:rsidR="00D33A35">
        <w:rPr>
          <w:sz w:val="26"/>
          <w:szCs w:val="26"/>
        </w:rPr>
        <w:t>,</w:t>
      </w:r>
      <w:r w:rsidR="00291C3A">
        <w:rPr>
          <w:sz w:val="26"/>
          <w:szCs w:val="26"/>
        </w:rPr>
        <w:t xml:space="preserve"> and other electronic contact information should not be shared with third parties without c</w:t>
      </w:r>
      <w:r w:rsidR="00D33A35">
        <w:rPr>
          <w:sz w:val="26"/>
          <w:szCs w:val="26"/>
        </w:rPr>
        <w:t xml:space="preserve">ustomer permission.  </w:t>
      </w:r>
      <w:r w:rsidR="00452D81">
        <w:rPr>
          <w:sz w:val="26"/>
          <w:szCs w:val="26"/>
        </w:rPr>
        <w:t>Accordingly</w:t>
      </w:r>
      <w:r w:rsidR="00D33A35">
        <w:rPr>
          <w:sz w:val="26"/>
          <w:szCs w:val="26"/>
        </w:rPr>
        <w:t xml:space="preserve">, we reiterate that utilities </w:t>
      </w:r>
      <w:r w:rsidR="00C84DC4">
        <w:rPr>
          <w:sz w:val="26"/>
          <w:szCs w:val="26"/>
        </w:rPr>
        <w:t>should</w:t>
      </w:r>
      <w:r w:rsidR="00D33A35">
        <w:rPr>
          <w:sz w:val="26"/>
          <w:szCs w:val="26"/>
        </w:rPr>
        <w:t xml:space="preserve"> not share telephone numbers </w:t>
      </w:r>
      <w:r w:rsidR="00452D81">
        <w:rPr>
          <w:sz w:val="26"/>
          <w:szCs w:val="26"/>
        </w:rPr>
        <w:t xml:space="preserve">or </w:t>
      </w:r>
      <w:r w:rsidR="00D33A35">
        <w:rPr>
          <w:sz w:val="26"/>
          <w:szCs w:val="26"/>
        </w:rPr>
        <w:t>e</w:t>
      </w:r>
      <w:r w:rsidR="00D33A35">
        <w:rPr>
          <w:sz w:val="26"/>
          <w:szCs w:val="26"/>
        </w:rPr>
        <w:noBreakHyphen/>
        <w:t>mail addresses with third parties absent express and clearly defined permission</w:t>
      </w:r>
      <w:r w:rsidR="00452D81">
        <w:rPr>
          <w:sz w:val="26"/>
          <w:szCs w:val="26"/>
        </w:rPr>
        <w:t xml:space="preserve"> from customers</w:t>
      </w:r>
      <w:r w:rsidR="00D33A35">
        <w:rPr>
          <w:sz w:val="26"/>
          <w:szCs w:val="26"/>
        </w:rPr>
        <w:t>.</w:t>
      </w:r>
      <w:r w:rsidR="00037A91">
        <w:rPr>
          <w:sz w:val="26"/>
          <w:szCs w:val="26"/>
        </w:rPr>
        <w:t xml:space="preserve">  </w:t>
      </w:r>
      <w:r w:rsidR="00D33A35">
        <w:rPr>
          <w:sz w:val="26"/>
          <w:szCs w:val="26"/>
        </w:rPr>
        <w:t xml:space="preserve">We agree </w:t>
      </w:r>
      <w:r w:rsidR="00037A91">
        <w:rPr>
          <w:sz w:val="26"/>
          <w:szCs w:val="26"/>
        </w:rPr>
        <w:t xml:space="preserve">with CAUSE-PA </w:t>
      </w:r>
      <w:r w:rsidR="00D33A35">
        <w:rPr>
          <w:sz w:val="26"/>
          <w:szCs w:val="26"/>
        </w:rPr>
        <w:t xml:space="preserve">that </w:t>
      </w:r>
      <w:r w:rsidR="00037A91">
        <w:rPr>
          <w:sz w:val="26"/>
          <w:szCs w:val="26"/>
        </w:rPr>
        <w:t>customer</w:t>
      </w:r>
      <w:r w:rsidR="00C84DC4">
        <w:rPr>
          <w:sz w:val="26"/>
          <w:szCs w:val="26"/>
        </w:rPr>
        <w:t>s</w:t>
      </w:r>
      <w:r w:rsidR="00037A91">
        <w:rPr>
          <w:sz w:val="26"/>
          <w:szCs w:val="26"/>
        </w:rPr>
        <w:t xml:space="preserve"> should be notified of the </w:t>
      </w:r>
      <w:r w:rsidR="00D33A35">
        <w:rPr>
          <w:sz w:val="26"/>
          <w:szCs w:val="26"/>
        </w:rPr>
        <w:t>nature and purpose of the disclosure</w:t>
      </w:r>
      <w:r w:rsidR="00F93934">
        <w:rPr>
          <w:sz w:val="26"/>
          <w:szCs w:val="26"/>
        </w:rPr>
        <w:t>.  Additionally, we find that the Commission’s regulations for electricity generation and natural gas supply customer choice are instructive here</w:t>
      </w:r>
      <w:r w:rsidR="00B87EBF">
        <w:rPr>
          <w:sz w:val="26"/>
          <w:szCs w:val="26"/>
        </w:rPr>
        <w:t xml:space="preserve"> with respect to customer “opt-in” versus “opt-out” provisions</w:t>
      </w:r>
      <w:r w:rsidR="00F93934">
        <w:rPr>
          <w:sz w:val="26"/>
          <w:szCs w:val="26"/>
        </w:rPr>
        <w:t xml:space="preserve">.  </w:t>
      </w:r>
      <w:r w:rsidR="00F93934" w:rsidRPr="00F93934">
        <w:rPr>
          <w:i/>
          <w:iCs/>
          <w:sz w:val="26"/>
          <w:szCs w:val="26"/>
        </w:rPr>
        <w:t>See</w:t>
      </w:r>
      <w:r w:rsidR="00F93934">
        <w:rPr>
          <w:sz w:val="26"/>
          <w:szCs w:val="26"/>
        </w:rPr>
        <w:t xml:space="preserve"> 52 Pa. Code §§ 54.8, 62.78(a).  </w:t>
      </w:r>
      <w:r w:rsidR="0065210B">
        <w:rPr>
          <w:sz w:val="26"/>
          <w:szCs w:val="26"/>
        </w:rPr>
        <w:t xml:space="preserve">Consistent with these </w:t>
      </w:r>
      <w:r w:rsidR="0065210B">
        <w:rPr>
          <w:sz w:val="26"/>
          <w:szCs w:val="26"/>
        </w:rPr>
        <w:lastRenderedPageBreak/>
        <w:t>regulations,</w:t>
      </w:r>
      <w:r w:rsidR="00A96C8F">
        <w:rPr>
          <w:sz w:val="26"/>
          <w:szCs w:val="26"/>
        </w:rPr>
        <w:t xml:space="preserve"> u</w:t>
      </w:r>
      <w:r w:rsidR="00F93934">
        <w:rPr>
          <w:sz w:val="26"/>
          <w:szCs w:val="26"/>
        </w:rPr>
        <w:t>tilities should provide customers with a convenient method of notifying the utility of the</w:t>
      </w:r>
      <w:r w:rsidR="00E50846">
        <w:rPr>
          <w:sz w:val="26"/>
          <w:szCs w:val="26"/>
        </w:rPr>
        <w:t>ir</w:t>
      </w:r>
      <w:r w:rsidR="00F93934">
        <w:rPr>
          <w:sz w:val="26"/>
          <w:szCs w:val="26"/>
        </w:rPr>
        <w:t xml:space="preserve"> desire to restrict the release of </w:t>
      </w:r>
      <w:r w:rsidR="00BF47A5">
        <w:rPr>
          <w:sz w:val="26"/>
          <w:szCs w:val="26"/>
        </w:rPr>
        <w:t xml:space="preserve">a </w:t>
      </w:r>
      <w:r w:rsidR="00F93934">
        <w:rPr>
          <w:sz w:val="26"/>
          <w:szCs w:val="26"/>
        </w:rPr>
        <w:t xml:space="preserve">telephone number or e-mail address. </w:t>
      </w:r>
    </w:p>
    <w:p w14:paraId="504B3946" w14:textId="77777777" w:rsidR="00AC68F3" w:rsidRDefault="00AC68F3" w:rsidP="00960102">
      <w:pPr>
        <w:spacing w:line="360" w:lineRule="auto"/>
        <w:ind w:firstLine="720"/>
        <w:rPr>
          <w:sz w:val="26"/>
          <w:szCs w:val="26"/>
        </w:rPr>
      </w:pPr>
    </w:p>
    <w:p w14:paraId="70E111F6" w14:textId="77777777" w:rsidR="002468BD" w:rsidRDefault="00FF3BBD" w:rsidP="00C63F72">
      <w:pPr>
        <w:spacing w:line="360" w:lineRule="auto"/>
        <w:ind w:firstLine="720"/>
        <w:rPr>
          <w:sz w:val="26"/>
          <w:szCs w:val="26"/>
        </w:rPr>
      </w:pPr>
      <w:r>
        <w:rPr>
          <w:sz w:val="26"/>
          <w:szCs w:val="26"/>
        </w:rPr>
        <w:t>With regard to consent for electronic termination notices, w</w:t>
      </w:r>
      <w:r w:rsidR="00AC68F3">
        <w:rPr>
          <w:sz w:val="26"/>
          <w:szCs w:val="26"/>
        </w:rPr>
        <w:t>e disagree with</w:t>
      </w:r>
      <w:r w:rsidR="002468BD">
        <w:rPr>
          <w:sz w:val="26"/>
          <w:szCs w:val="26"/>
        </w:rPr>
        <w:t xml:space="preserve"> some parties</w:t>
      </w:r>
      <w:r w:rsidR="004342D9">
        <w:rPr>
          <w:sz w:val="26"/>
          <w:szCs w:val="26"/>
        </w:rPr>
        <w:t>’</w:t>
      </w:r>
      <w:r w:rsidR="00AC68F3">
        <w:rPr>
          <w:sz w:val="26"/>
          <w:szCs w:val="26"/>
        </w:rPr>
        <w:t xml:space="preserve"> claims that enrollment in </w:t>
      </w:r>
      <w:r w:rsidR="00D82702">
        <w:rPr>
          <w:sz w:val="26"/>
          <w:szCs w:val="26"/>
        </w:rPr>
        <w:t xml:space="preserve">other types of </w:t>
      </w:r>
      <w:r w:rsidR="00AC68F3">
        <w:rPr>
          <w:sz w:val="26"/>
          <w:szCs w:val="26"/>
        </w:rPr>
        <w:t xml:space="preserve">electronic </w:t>
      </w:r>
      <w:r w:rsidR="00291C3A">
        <w:rPr>
          <w:sz w:val="26"/>
          <w:szCs w:val="26"/>
        </w:rPr>
        <w:t>communication</w:t>
      </w:r>
      <w:r w:rsidR="00D82702">
        <w:rPr>
          <w:sz w:val="26"/>
          <w:szCs w:val="26"/>
        </w:rPr>
        <w:t xml:space="preserve">s </w:t>
      </w:r>
      <w:r w:rsidR="00AC68F3">
        <w:rPr>
          <w:sz w:val="26"/>
          <w:szCs w:val="26"/>
        </w:rPr>
        <w:t xml:space="preserve">or </w:t>
      </w:r>
      <w:r w:rsidR="00744A3E">
        <w:rPr>
          <w:sz w:val="26"/>
          <w:szCs w:val="26"/>
        </w:rPr>
        <w:t xml:space="preserve">the </w:t>
      </w:r>
      <w:r w:rsidR="00AC68F3">
        <w:rPr>
          <w:sz w:val="26"/>
          <w:szCs w:val="26"/>
        </w:rPr>
        <w:t xml:space="preserve">provision of a customer’s email address to </w:t>
      </w:r>
      <w:r w:rsidR="00744A3E">
        <w:rPr>
          <w:sz w:val="26"/>
          <w:szCs w:val="26"/>
        </w:rPr>
        <w:t xml:space="preserve">a </w:t>
      </w:r>
      <w:r w:rsidR="00AC68F3">
        <w:rPr>
          <w:sz w:val="26"/>
          <w:szCs w:val="26"/>
        </w:rPr>
        <w:t xml:space="preserve">utility </w:t>
      </w:r>
      <w:r w:rsidR="00D82702">
        <w:rPr>
          <w:sz w:val="26"/>
          <w:szCs w:val="26"/>
        </w:rPr>
        <w:t>generally are</w:t>
      </w:r>
      <w:r w:rsidR="00AC68F3">
        <w:rPr>
          <w:sz w:val="26"/>
          <w:szCs w:val="26"/>
        </w:rPr>
        <w:t xml:space="preserve"> sufficient </w:t>
      </w:r>
      <w:r w:rsidR="00D82702">
        <w:rPr>
          <w:sz w:val="26"/>
          <w:szCs w:val="26"/>
        </w:rPr>
        <w:t xml:space="preserve">to serve as </w:t>
      </w:r>
      <w:r w:rsidR="00AC68F3">
        <w:rPr>
          <w:sz w:val="26"/>
          <w:szCs w:val="26"/>
        </w:rPr>
        <w:t xml:space="preserve">consent for electronic termination notices.  We remind the parties that Section 1406 </w:t>
      </w:r>
      <w:r w:rsidR="002468BD">
        <w:rPr>
          <w:sz w:val="26"/>
          <w:szCs w:val="26"/>
        </w:rPr>
        <w:t xml:space="preserve">of the Public Utility Code </w:t>
      </w:r>
      <w:r w:rsidR="00AC68F3">
        <w:rPr>
          <w:sz w:val="26"/>
          <w:szCs w:val="26"/>
        </w:rPr>
        <w:t xml:space="preserve">requires that, “[i]n the case </w:t>
      </w:r>
      <w:r w:rsidR="001675B6">
        <w:rPr>
          <w:sz w:val="26"/>
          <w:szCs w:val="26"/>
        </w:rPr>
        <w:t xml:space="preserve">of </w:t>
      </w:r>
      <w:r w:rsidR="00AC68F3">
        <w:rPr>
          <w:sz w:val="26"/>
          <w:szCs w:val="26"/>
        </w:rPr>
        <w:t>electronic notification only, the customer must affirmatively consent to be contacted using a specific electronic messaging format for purpose of termination.” 66</w:t>
      </w:r>
      <w:r w:rsidR="00DD447A">
        <w:rPr>
          <w:sz w:val="26"/>
          <w:szCs w:val="26"/>
        </w:rPr>
        <w:t> </w:t>
      </w:r>
      <w:r w:rsidR="00AC68F3">
        <w:rPr>
          <w:sz w:val="26"/>
          <w:szCs w:val="26"/>
        </w:rPr>
        <w:t>Pa.C.S. §</w:t>
      </w:r>
      <w:r w:rsidR="00744A3E">
        <w:rPr>
          <w:sz w:val="26"/>
          <w:szCs w:val="26"/>
        </w:rPr>
        <w:t> </w:t>
      </w:r>
      <w:r w:rsidR="00AC68F3">
        <w:rPr>
          <w:sz w:val="26"/>
          <w:szCs w:val="26"/>
        </w:rPr>
        <w:t>1406(b)(1)(ii)(D).</w:t>
      </w:r>
      <w:r>
        <w:rPr>
          <w:sz w:val="26"/>
          <w:szCs w:val="26"/>
        </w:rPr>
        <w:t xml:space="preserve">  Therefore, a separate and distinct consent</w:t>
      </w:r>
      <w:r w:rsidR="00C63F72">
        <w:rPr>
          <w:sz w:val="26"/>
          <w:szCs w:val="26"/>
        </w:rPr>
        <w:t xml:space="preserve"> notice</w:t>
      </w:r>
      <w:r>
        <w:rPr>
          <w:sz w:val="26"/>
          <w:szCs w:val="26"/>
        </w:rPr>
        <w:t xml:space="preserve"> is appropriate</w:t>
      </w:r>
      <w:r w:rsidR="00DD447A">
        <w:rPr>
          <w:sz w:val="26"/>
          <w:szCs w:val="26"/>
        </w:rPr>
        <w:t xml:space="preserve"> </w:t>
      </w:r>
      <w:r w:rsidR="002468BD">
        <w:rPr>
          <w:sz w:val="26"/>
          <w:szCs w:val="26"/>
        </w:rPr>
        <w:t>for electronic termination notices</w:t>
      </w:r>
      <w:r w:rsidR="00DD447A">
        <w:rPr>
          <w:sz w:val="26"/>
          <w:szCs w:val="26"/>
        </w:rPr>
        <w:t>.</w:t>
      </w:r>
    </w:p>
    <w:p w14:paraId="057AFAEA" w14:textId="77777777" w:rsidR="008F2EE0" w:rsidRDefault="002468BD" w:rsidP="002468BD">
      <w:pPr>
        <w:spacing w:line="360" w:lineRule="auto"/>
        <w:rPr>
          <w:sz w:val="26"/>
          <w:szCs w:val="26"/>
        </w:rPr>
      </w:pPr>
      <w:r>
        <w:rPr>
          <w:sz w:val="26"/>
          <w:szCs w:val="26"/>
        </w:rPr>
        <w:t>The</w:t>
      </w:r>
      <w:r w:rsidR="00C63F72">
        <w:rPr>
          <w:sz w:val="26"/>
          <w:szCs w:val="26"/>
        </w:rPr>
        <w:t xml:space="preserve"> consent notice </w:t>
      </w:r>
      <w:r w:rsidR="00C84DC4">
        <w:rPr>
          <w:sz w:val="26"/>
          <w:szCs w:val="26"/>
        </w:rPr>
        <w:t>should</w:t>
      </w:r>
      <w:r w:rsidR="00C63F72">
        <w:rPr>
          <w:sz w:val="26"/>
          <w:szCs w:val="26"/>
        </w:rPr>
        <w:t xml:space="preserve"> state that the purpose of the consent is to receive electronic termination notices, that receiving electronic termination notices is voluntary, and that the customer may revoke consent at any time by any clear means.  </w:t>
      </w:r>
      <w:r w:rsidR="00BC0F06">
        <w:rPr>
          <w:sz w:val="26"/>
          <w:szCs w:val="26"/>
        </w:rPr>
        <w:t>W</w:t>
      </w:r>
      <w:r>
        <w:rPr>
          <w:sz w:val="26"/>
          <w:szCs w:val="26"/>
        </w:rPr>
        <w:t>e note that most parties support customers</w:t>
      </w:r>
      <w:r w:rsidR="00BC0F06">
        <w:rPr>
          <w:sz w:val="26"/>
          <w:szCs w:val="26"/>
        </w:rPr>
        <w:t>’</w:t>
      </w:r>
      <w:r>
        <w:rPr>
          <w:sz w:val="26"/>
          <w:szCs w:val="26"/>
        </w:rPr>
        <w:t xml:space="preserve"> </w:t>
      </w:r>
      <w:r w:rsidR="00BC0F06">
        <w:rPr>
          <w:sz w:val="26"/>
          <w:szCs w:val="26"/>
        </w:rPr>
        <w:t>ability</w:t>
      </w:r>
      <w:r>
        <w:rPr>
          <w:sz w:val="26"/>
          <w:szCs w:val="26"/>
        </w:rPr>
        <w:t xml:space="preserve"> to revoke consent at any time by any clear means.  </w:t>
      </w:r>
    </w:p>
    <w:p w14:paraId="59F88FE3" w14:textId="77777777" w:rsidR="00A53412" w:rsidRDefault="00A53412" w:rsidP="00960102">
      <w:pPr>
        <w:spacing w:line="360" w:lineRule="auto"/>
        <w:ind w:firstLine="720"/>
        <w:rPr>
          <w:sz w:val="26"/>
          <w:szCs w:val="26"/>
        </w:rPr>
      </w:pPr>
    </w:p>
    <w:p w14:paraId="2FB4F01A" w14:textId="77777777" w:rsidR="00960102" w:rsidRDefault="0007650A" w:rsidP="00960102">
      <w:pPr>
        <w:spacing w:line="360" w:lineRule="auto"/>
        <w:ind w:firstLine="720"/>
        <w:rPr>
          <w:sz w:val="26"/>
          <w:szCs w:val="26"/>
        </w:rPr>
      </w:pPr>
      <w:r>
        <w:rPr>
          <w:sz w:val="26"/>
          <w:szCs w:val="26"/>
        </w:rPr>
        <w:t>We</w:t>
      </w:r>
      <w:r w:rsidR="00960102">
        <w:rPr>
          <w:sz w:val="26"/>
          <w:szCs w:val="26"/>
        </w:rPr>
        <w:t xml:space="preserve"> </w:t>
      </w:r>
      <w:r w:rsidR="00146EA8">
        <w:rPr>
          <w:sz w:val="26"/>
          <w:szCs w:val="26"/>
        </w:rPr>
        <w:t xml:space="preserve">also </w:t>
      </w:r>
      <w:r w:rsidR="00960102">
        <w:rPr>
          <w:sz w:val="26"/>
          <w:szCs w:val="26"/>
        </w:rPr>
        <w:t xml:space="preserve">agree with </w:t>
      </w:r>
      <w:r w:rsidR="00A53412">
        <w:rPr>
          <w:sz w:val="26"/>
          <w:szCs w:val="26"/>
        </w:rPr>
        <w:t>PECO</w:t>
      </w:r>
      <w:r w:rsidR="00960102">
        <w:rPr>
          <w:sz w:val="26"/>
          <w:szCs w:val="26"/>
        </w:rPr>
        <w:t xml:space="preserve"> that utilities should be afforded </w:t>
      </w:r>
      <w:r w:rsidR="00A53412">
        <w:rPr>
          <w:sz w:val="26"/>
          <w:szCs w:val="26"/>
        </w:rPr>
        <w:t>flexibility in</w:t>
      </w:r>
      <w:r w:rsidR="00960102">
        <w:rPr>
          <w:sz w:val="26"/>
          <w:szCs w:val="26"/>
        </w:rPr>
        <w:t xml:space="preserve"> determin</w:t>
      </w:r>
      <w:r w:rsidR="00A53412">
        <w:rPr>
          <w:sz w:val="26"/>
          <w:szCs w:val="26"/>
        </w:rPr>
        <w:t>ing</w:t>
      </w:r>
      <w:r w:rsidR="00960102">
        <w:rPr>
          <w:sz w:val="26"/>
          <w:szCs w:val="26"/>
        </w:rPr>
        <w:t xml:space="preserve"> the method of </w:t>
      </w:r>
      <w:r>
        <w:rPr>
          <w:sz w:val="26"/>
          <w:szCs w:val="26"/>
        </w:rPr>
        <w:t>obtaining</w:t>
      </w:r>
      <w:r w:rsidR="00266521">
        <w:rPr>
          <w:sz w:val="26"/>
          <w:szCs w:val="26"/>
        </w:rPr>
        <w:t xml:space="preserve"> </w:t>
      </w:r>
      <w:r w:rsidR="00B16505">
        <w:rPr>
          <w:sz w:val="26"/>
          <w:szCs w:val="26"/>
        </w:rPr>
        <w:t>customer</w:t>
      </w:r>
      <w:r>
        <w:rPr>
          <w:sz w:val="26"/>
          <w:szCs w:val="26"/>
        </w:rPr>
        <w:t xml:space="preserve"> </w:t>
      </w:r>
      <w:r w:rsidR="00960102">
        <w:rPr>
          <w:sz w:val="26"/>
          <w:szCs w:val="26"/>
        </w:rPr>
        <w:t xml:space="preserve">consent based on </w:t>
      </w:r>
      <w:r>
        <w:rPr>
          <w:sz w:val="26"/>
          <w:szCs w:val="26"/>
        </w:rPr>
        <w:t xml:space="preserve">the </w:t>
      </w:r>
      <w:r w:rsidR="00A53412">
        <w:rPr>
          <w:sz w:val="26"/>
          <w:szCs w:val="26"/>
        </w:rPr>
        <w:t>capabilities</w:t>
      </w:r>
      <w:r>
        <w:rPr>
          <w:sz w:val="26"/>
          <w:szCs w:val="26"/>
        </w:rPr>
        <w:t xml:space="preserve"> of the utility</w:t>
      </w:r>
      <w:r w:rsidR="00A53412">
        <w:rPr>
          <w:sz w:val="26"/>
          <w:szCs w:val="26"/>
        </w:rPr>
        <w:t xml:space="preserve">, including </w:t>
      </w:r>
      <w:r>
        <w:rPr>
          <w:sz w:val="26"/>
          <w:szCs w:val="26"/>
        </w:rPr>
        <w:t xml:space="preserve">their </w:t>
      </w:r>
      <w:r w:rsidR="00A53412">
        <w:rPr>
          <w:sz w:val="26"/>
          <w:szCs w:val="26"/>
        </w:rPr>
        <w:t>application process, billing software, and online management tools</w:t>
      </w:r>
      <w:r w:rsidR="00960102">
        <w:rPr>
          <w:sz w:val="26"/>
          <w:szCs w:val="26"/>
        </w:rPr>
        <w:t>.  We note, however, that</w:t>
      </w:r>
      <w:r w:rsidR="00A96F0A">
        <w:rPr>
          <w:sz w:val="26"/>
          <w:szCs w:val="26"/>
        </w:rPr>
        <w:t>,</w:t>
      </w:r>
      <w:r w:rsidR="00960102">
        <w:rPr>
          <w:sz w:val="26"/>
          <w:szCs w:val="26"/>
        </w:rPr>
        <w:t xml:space="preserve"> since the </w:t>
      </w:r>
      <w:r>
        <w:rPr>
          <w:sz w:val="26"/>
          <w:szCs w:val="26"/>
        </w:rPr>
        <w:t>electronic notifications</w:t>
      </w:r>
      <w:r w:rsidR="00960102">
        <w:rPr>
          <w:sz w:val="26"/>
          <w:szCs w:val="26"/>
        </w:rPr>
        <w:t xml:space="preserve"> pertain to termination of service, consent is of </w:t>
      </w:r>
      <w:r w:rsidR="0081776D">
        <w:rPr>
          <w:sz w:val="26"/>
          <w:szCs w:val="26"/>
        </w:rPr>
        <w:t>great</w:t>
      </w:r>
      <w:r w:rsidR="00960102">
        <w:rPr>
          <w:sz w:val="26"/>
          <w:szCs w:val="26"/>
        </w:rPr>
        <w:t xml:space="preserve"> importance.  </w:t>
      </w:r>
      <w:r>
        <w:rPr>
          <w:sz w:val="26"/>
          <w:szCs w:val="26"/>
        </w:rPr>
        <w:t>As such, w</w:t>
      </w:r>
      <w:r w:rsidR="0081776D">
        <w:rPr>
          <w:sz w:val="26"/>
          <w:szCs w:val="26"/>
        </w:rPr>
        <w:t>e</w:t>
      </w:r>
      <w:r w:rsidR="00960102">
        <w:rPr>
          <w:sz w:val="26"/>
          <w:szCs w:val="26"/>
        </w:rPr>
        <w:t xml:space="preserve"> strongly encourage</w:t>
      </w:r>
      <w:r w:rsidR="0081776D">
        <w:rPr>
          <w:sz w:val="26"/>
          <w:szCs w:val="26"/>
        </w:rPr>
        <w:t xml:space="preserve"> </w:t>
      </w:r>
      <w:r w:rsidR="00960102">
        <w:rPr>
          <w:sz w:val="26"/>
          <w:szCs w:val="26"/>
        </w:rPr>
        <w:t>utilities to avoid the use of a check</w:t>
      </w:r>
      <w:r w:rsidR="00960102">
        <w:rPr>
          <w:sz w:val="26"/>
          <w:szCs w:val="26"/>
        </w:rPr>
        <w:noBreakHyphen/>
        <w:t xml:space="preserve">box </w:t>
      </w:r>
      <w:r w:rsidR="00266521">
        <w:rPr>
          <w:sz w:val="26"/>
          <w:szCs w:val="26"/>
        </w:rPr>
        <w:t xml:space="preserve">to obtain consent.  </w:t>
      </w:r>
      <w:r w:rsidR="00960102">
        <w:rPr>
          <w:sz w:val="26"/>
          <w:szCs w:val="26"/>
        </w:rPr>
        <w:t xml:space="preserve">The Commission believes that a more robust </w:t>
      </w:r>
      <w:r w:rsidR="0081776D">
        <w:rPr>
          <w:sz w:val="26"/>
          <w:szCs w:val="26"/>
        </w:rPr>
        <w:t>form of consent</w:t>
      </w:r>
      <w:r w:rsidR="00960102">
        <w:rPr>
          <w:sz w:val="26"/>
          <w:szCs w:val="26"/>
        </w:rPr>
        <w:t xml:space="preserve"> w</w:t>
      </w:r>
      <w:r w:rsidR="00371A78">
        <w:rPr>
          <w:sz w:val="26"/>
          <w:szCs w:val="26"/>
        </w:rPr>
        <w:t>ill</w:t>
      </w:r>
      <w:r w:rsidR="00960102">
        <w:rPr>
          <w:sz w:val="26"/>
          <w:szCs w:val="26"/>
        </w:rPr>
        <w:t xml:space="preserve"> benefit both customers and utilities.  For instance, </w:t>
      </w:r>
      <w:r w:rsidR="0081776D">
        <w:rPr>
          <w:sz w:val="26"/>
          <w:szCs w:val="26"/>
        </w:rPr>
        <w:t>using more than</w:t>
      </w:r>
      <w:r w:rsidR="00960102">
        <w:rPr>
          <w:sz w:val="26"/>
          <w:szCs w:val="26"/>
        </w:rPr>
        <w:t xml:space="preserve"> a check</w:t>
      </w:r>
      <w:r w:rsidR="00B16505">
        <w:rPr>
          <w:sz w:val="26"/>
          <w:szCs w:val="26"/>
        </w:rPr>
        <w:noBreakHyphen/>
      </w:r>
      <w:r w:rsidR="00960102">
        <w:rPr>
          <w:sz w:val="26"/>
          <w:szCs w:val="26"/>
        </w:rPr>
        <w:t xml:space="preserve">box </w:t>
      </w:r>
      <w:r w:rsidR="00614A5A">
        <w:rPr>
          <w:sz w:val="26"/>
          <w:szCs w:val="26"/>
        </w:rPr>
        <w:t>may</w:t>
      </w:r>
      <w:r w:rsidR="00960102">
        <w:rPr>
          <w:sz w:val="26"/>
          <w:szCs w:val="26"/>
        </w:rPr>
        <w:t xml:space="preserve"> </w:t>
      </w:r>
      <w:r w:rsidR="00371A78">
        <w:rPr>
          <w:sz w:val="26"/>
          <w:szCs w:val="26"/>
        </w:rPr>
        <w:t xml:space="preserve">help </w:t>
      </w:r>
      <w:r w:rsidR="00960102">
        <w:rPr>
          <w:sz w:val="26"/>
          <w:szCs w:val="26"/>
        </w:rPr>
        <w:t xml:space="preserve">ensure </w:t>
      </w:r>
      <w:r w:rsidR="0081776D">
        <w:rPr>
          <w:sz w:val="26"/>
          <w:szCs w:val="26"/>
        </w:rPr>
        <w:t xml:space="preserve">that </w:t>
      </w:r>
      <w:r w:rsidR="00960102">
        <w:rPr>
          <w:sz w:val="26"/>
          <w:szCs w:val="26"/>
        </w:rPr>
        <w:t xml:space="preserve">customers are aware of their election and limit the number of complaints filed against utilities regarding a lack of notice for termination. </w:t>
      </w:r>
    </w:p>
    <w:p w14:paraId="4B6BD9DB" w14:textId="77777777" w:rsidR="006E1649" w:rsidRDefault="006E1649" w:rsidP="00960102">
      <w:pPr>
        <w:spacing w:line="360" w:lineRule="auto"/>
        <w:ind w:firstLine="720"/>
        <w:rPr>
          <w:sz w:val="26"/>
          <w:szCs w:val="26"/>
        </w:rPr>
      </w:pPr>
    </w:p>
    <w:p w14:paraId="03917A2F" w14:textId="77777777" w:rsidR="00AB1DEA" w:rsidRDefault="006E1649" w:rsidP="00541DF6">
      <w:pPr>
        <w:spacing w:line="360" w:lineRule="auto"/>
        <w:ind w:firstLine="720"/>
        <w:rPr>
          <w:sz w:val="26"/>
          <w:szCs w:val="26"/>
        </w:rPr>
      </w:pPr>
      <w:r>
        <w:rPr>
          <w:sz w:val="26"/>
          <w:szCs w:val="26"/>
        </w:rPr>
        <w:t xml:space="preserve">Finally, </w:t>
      </w:r>
      <w:r w:rsidR="006457B6">
        <w:rPr>
          <w:sz w:val="26"/>
          <w:szCs w:val="26"/>
        </w:rPr>
        <w:t xml:space="preserve">we maintain that </w:t>
      </w:r>
      <w:r w:rsidR="004D12B1">
        <w:rPr>
          <w:sz w:val="26"/>
          <w:szCs w:val="26"/>
        </w:rPr>
        <w:t xml:space="preserve">utilities </w:t>
      </w:r>
      <w:r w:rsidR="00C84DC4">
        <w:rPr>
          <w:sz w:val="26"/>
          <w:szCs w:val="26"/>
        </w:rPr>
        <w:t>should</w:t>
      </w:r>
      <w:r w:rsidR="00541DF6">
        <w:rPr>
          <w:sz w:val="26"/>
          <w:szCs w:val="26"/>
        </w:rPr>
        <w:t xml:space="preserve"> </w:t>
      </w:r>
      <w:r w:rsidR="004D12B1">
        <w:rPr>
          <w:sz w:val="26"/>
          <w:szCs w:val="26"/>
        </w:rPr>
        <w:t>send a notice to customers on an annual basis to remind them to review whether they elected to receive electronic termination notices.</w:t>
      </w:r>
      <w:r w:rsidR="00541DF6">
        <w:rPr>
          <w:sz w:val="26"/>
          <w:szCs w:val="26"/>
        </w:rPr>
        <w:t xml:space="preserve">  </w:t>
      </w:r>
      <w:r w:rsidR="00332D1B">
        <w:rPr>
          <w:sz w:val="26"/>
          <w:szCs w:val="26"/>
        </w:rPr>
        <w:t>We recognize that some parties claim that this requirement is not necessary</w:t>
      </w:r>
      <w:r w:rsidR="004D12B1">
        <w:rPr>
          <w:sz w:val="26"/>
          <w:szCs w:val="26"/>
        </w:rPr>
        <w:t xml:space="preserve"> or is </w:t>
      </w:r>
      <w:r w:rsidR="004D12B1">
        <w:rPr>
          <w:sz w:val="26"/>
          <w:szCs w:val="26"/>
        </w:rPr>
        <w:lastRenderedPageBreak/>
        <w:t>duplicative.</w:t>
      </w:r>
      <w:r w:rsidR="00541DF6">
        <w:rPr>
          <w:sz w:val="26"/>
          <w:szCs w:val="26"/>
        </w:rPr>
        <w:t xml:space="preserve">  </w:t>
      </w:r>
      <w:r w:rsidR="00332D1B">
        <w:rPr>
          <w:sz w:val="26"/>
          <w:szCs w:val="26"/>
        </w:rPr>
        <w:t>We find, however, that this reminder to customers is important</w:t>
      </w:r>
      <w:r w:rsidR="004D12B1">
        <w:rPr>
          <w:sz w:val="26"/>
          <w:szCs w:val="26"/>
        </w:rPr>
        <w:t xml:space="preserve">, </w:t>
      </w:r>
      <w:r w:rsidR="00332D1B">
        <w:rPr>
          <w:sz w:val="26"/>
          <w:szCs w:val="26"/>
        </w:rPr>
        <w:t xml:space="preserve">at least at the outset, to ensure that customers receive termination notices in the manner of their choice.  </w:t>
      </w:r>
      <w:r w:rsidR="004D12B1">
        <w:rPr>
          <w:sz w:val="26"/>
          <w:szCs w:val="26"/>
        </w:rPr>
        <w:t xml:space="preserve">This reminder notice would also prompt customers to update any out-of-date telephone numbers or e-mail addresses.  </w:t>
      </w:r>
      <w:r w:rsidR="00332D1B">
        <w:rPr>
          <w:sz w:val="26"/>
          <w:szCs w:val="26"/>
        </w:rPr>
        <w:t xml:space="preserve">We </w:t>
      </w:r>
      <w:r w:rsidR="004D12B1">
        <w:rPr>
          <w:sz w:val="26"/>
          <w:szCs w:val="26"/>
        </w:rPr>
        <w:t xml:space="preserve">note that we </w:t>
      </w:r>
      <w:r w:rsidR="00332D1B">
        <w:rPr>
          <w:sz w:val="26"/>
          <w:szCs w:val="26"/>
        </w:rPr>
        <w:t xml:space="preserve">may revisit this requirement after some time has passed </w:t>
      </w:r>
      <w:r w:rsidR="004D12B1">
        <w:rPr>
          <w:sz w:val="26"/>
          <w:szCs w:val="26"/>
        </w:rPr>
        <w:t>so that we</w:t>
      </w:r>
      <w:r w:rsidR="00332D1B">
        <w:rPr>
          <w:sz w:val="26"/>
          <w:szCs w:val="26"/>
        </w:rPr>
        <w:t xml:space="preserve"> can further evaluate whether the reminder notice </w:t>
      </w:r>
      <w:r w:rsidR="004D12B1">
        <w:rPr>
          <w:sz w:val="26"/>
          <w:szCs w:val="26"/>
        </w:rPr>
        <w:t>is beneficial.  In addition, we agree with PGW and Duquesne that utilities should be afforded an option regarding how to send the reminder notice to customers</w:t>
      </w:r>
      <w:r w:rsidR="004D12B1" w:rsidRPr="00887313">
        <w:rPr>
          <w:sz w:val="26"/>
          <w:szCs w:val="26"/>
        </w:rPr>
        <w:t xml:space="preserve">.  </w:t>
      </w:r>
      <w:r w:rsidR="00AC5A0B" w:rsidRPr="00887313">
        <w:rPr>
          <w:sz w:val="26"/>
          <w:szCs w:val="26"/>
        </w:rPr>
        <w:t xml:space="preserve">At a minimum, however, utilities should provide the reminder notice using a customer’s preferred method of contact, if designated.  </w:t>
      </w:r>
      <w:r w:rsidR="004D12B1" w:rsidRPr="00887313">
        <w:rPr>
          <w:sz w:val="26"/>
          <w:szCs w:val="26"/>
        </w:rPr>
        <w:t xml:space="preserve">The Commission </w:t>
      </w:r>
      <w:r w:rsidR="00AC5A0B" w:rsidRPr="00887313">
        <w:rPr>
          <w:sz w:val="26"/>
          <w:szCs w:val="26"/>
        </w:rPr>
        <w:t xml:space="preserve">also </w:t>
      </w:r>
      <w:r w:rsidR="004D12B1" w:rsidRPr="00887313">
        <w:rPr>
          <w:sz w:val="26"/>
          <w:szCs w:val="26"/>
        </w:rPr>
        <w:t>finds that a bill insert or bill message would be most appropriate</w:t>
      </w:r>
      <w:r w:rsidR="00AC5A0B" w:rsidRPr="00887313">
        <w:rPr>
          <w:sz w:val="26"/>
          <w:szCs w:val="26"/>
        </w:rPr>
        <w:t xml:space="preserve"> in addition to a customer’s designated preferred method of contact</w:t>
      </w:r>
      <w:r w:rsidR="004D12B1" w:rsidRPr="00887313">
        <w:rPr>
          <w:sz w:val="26"/>
          <w:szCs w:val="26"/>
        </w:rPr>
        <w:t>.</w:t>
      </w:r>
      <w:r w:rsidR="004D12B1">
        <w:rPr>
          <w:sz w:val="26"/>
          <w:szCs w:val="26"/>
        </w:rPr>
        <w:t xml:space="preserve">  Further, we agree with CAUSE-PA that </w:t>
      </w:r>
      <w:r w:rsidR="00DB61F5">
        <w:rPr>
          <w:sz w:val="26"/>
          <w:szCs w:val="26"/>
        </w:rPr>
        <w:t xml:space="preserve">utilities should </w:t>
      </w:r>
      <w:r w:rsidR="004D12B1">
        <w:rPr>
          <w:sz w:val="26"/>
          <w:szCs w:val="26"/>
        </w:rPr>
        <w:t xml:space="preserve">send reminder notices to customers in </w:t>
      </w:r>
      <w:r w:rsidR="00E479B0">
        <w:rPr>
          <w:sz w:val="26"/>
          <w:szCs w:val="26"/>
        </w:rPr>
        <w:t>the first quarter of the year</w:t>
      </w:r>
      <w:r w:rsidR="00DB61F5">
        <w:rPr>
          <w:sz w:val="26"/>
          <w:szCs w:val="26"/>
        </w:rPr>
        <w:t>, noting that</w:t>
      </w:r>
      <w:r w:rsidR="00E479B0">
        <w:rPr>
          <w:sz w:val="26"/>
          <w:szCs w:val="26"/>
        </w:rPr>
        <w:t xml:space="preserve"> reminder notices are helpful to customers prior to</w:t>
      </w:r>
      <w:r w:rsidR="004D12B1">
        <w:rPr>
          <w:sz w:val="26"/>
          <w:szCs w:val="26"/>
        </w:rPr>
        <w:t xml:space="preserve"> the conclusion of the winter moratorium on utility </w:t>
      </w:r>
      <w:r w:rsidR="00195C58">
        <w:rPr>
          <w:sz w:val="26"/>
          <w:szCs w:val="26"/>
        </w:rPr>
        <w:t xml:space="preserve">service </w:t>
      </w:r>
      <w:r w:rsidR="004D12B1">
        <w:rPr>
          <w:sz w:val="26"/>
          <w:szCs w:val="26"/>
        </w:rPr>
        <w:t>termination</w:t>
      </w:r>
      <w:r w:rsidR="00195C58">
        <w:rPr>
          <w:sz w:val="26"/>
          <w:szCs w:val="26"/>
        </w:rPr>
        <w:t>s</w:t>
      </w:r>
      <w:r w:rsidR="00782BD1">
        <w:rPr>
          <w:sz w:val="26"/>
          <w:szCs w:val="26"/>
        </w:rPr>
        <w:t>.</w:t>
      </w:r>
      <w:r w:rsidR="004D12B1">
        <w:rPr>
          <w:sz w:val="26"/>
          <w:szCs w:val="26"/>
        </w:rPr>
        <w:t xml:space="preserve"> </w:t>
      </w:r>
      <w:r w:rsidR="00782BD1">
        <w:rPr>
          <w:sz w:val="26"/>
          <w:szCs w:val="26"/>
        </w:rPr>
        <w:t xml:space="preserve"> We encourage utilities to utilize this approach.</w:t>
      </w:r>
    </w:p>
    <w:p w14:paraId="7F090575" w14:textId="77777777" w:rsidR="00AB1DEA" w:rsidRDefault="00AB1DEA" w:rsidP="00AB1DEA">
      <w:pPr>
        <w:spacing w:line="360" w:lineRule="auto"/>
        <w:rPr>
          <w:sz w:val="26"/>
          <w:szCs w:val="26"/>
        </w:rPr>
      </w:pPr>
    </w:p>
    <w:p w14:paraId="1823560A" w14:textId="77777777" w:rsidR="00C15E59" w:rsidRDefault="00C15E59" w:rsidP="00AB1DEA">
      <w:pPr>
        <w:spacing w:line="360" w:lineRule="auto"/>
        <w:ind w:firstLine="720"/>
        <w:rPr>
          <w:sz w:val="26"/>
          <w:szCs w:val="26"/>
        </w:rPr>
      </w:pPr>
      <w:r>
        <w:rPr>
          <w:sz w:val="26"/>
          <w:szCs w:val="26"/>
        </w:rPr>
        <w:t xml:space="preserve">The Privacy Guidelines </w:t>
      </w:r>
      <w:r w:rsidR="00674450">
        <w:rPr>
          <w:sz w:val="26"/>
          <w:szCs w:val="26"/>
        </w:rPr>
        <w:t xml:space="preserve">relevant to </w:t>
      </w:r>
      <w:r w:rsidR="00AB1DEA">
        <w:rPr>
          <w:sz w:val="26"/>
          <w:szCs w:val="26"/>
        </w:rPr>
        <w:t>Section</w:t>
      </w:r>
      <w:r w:rsidR="00674450" w:rsidRPr="00674450">
        <w:rPr>
          <w:sz w:val="26"/>
          <w:szCs w:val="26"/>
        </w:rPr>
        <w:t xml:space="preserve"> 1416 </w:t>
      </w:r>
      <w:r w:rsidR="00AB1DEA">
        <w:rPr>
          <w:sz w:val="26"/>
          <w:szCs w:val="26"/>
        </w:rPr>
        <w:t xml:space="preserve">of the Public Utility Code </w:t>
      </w:r>
      <w:r w:rsidR="00674450">
        <w:rPr>
          <w:sz w:val="26"/>
          <w:szCs w:val="26"/>
        </w:rPr>
        <w:t>and</w:t>
      </w:r>
      <w:r w:rsidR="00674450" w:rsidRPr="00674450">
        <w:rPr>
          <w:sz w:val="26"/>
          <w:szCs w:val="26"/>
        </w:rPr>
        <w:t xml:space="preserve"> </w:t>
      </w:r>
      <w:r w:rsidR="00AB1DEA">
        <w:rPr>
          <w:sz w:val="26"/>
          <w:szCs w:val="26"/>
        </w:rPr>
        <w:t>Sections</w:t>
      </w:r>
      <w:r w:rsidR="00674450" w:rsidRPr="00674450">
        <w:rPr>
          <w:sz w:val="26"/>
          <w:szCs w:val="26"/>
        </w:rPr>
        <w:t xml:space="preserve"> 56.93</w:t>
      </w:r>
      <w:r w:rsidR="00AB1DEA">
        <w:rPr>
          <w:sz w:val="26"/>
          <w:szCs w:val="26"/>
        </w:rPr>
        <w:t xml:space="preserve"> and 5</w:t>
      </w:r>
      <w:r w:rsidR="00674450" w:rsidRPr="00674450">
        <w:rPr>
          <w:sz w:val="26"/>
          <w:szCs w:val="26"/>
        </w:rPr>
        <w:t>6.333</w:t>
      </w:r>
      <w:r w:rsidR="00AB1DEA">
        <w:rPr>
          <w:sz w:val="26"/>
          <w:szCs w:val="26"/>
        </w:rPr>
        <w:t xml:space="preserve"> of the Commission’s regulations are included in this Order as Appendix C.  As noted earlier, the Privacy Guidelines </w:t>
      </w:r>
      <w:r w:rsidR="00CC56B0">
        <w:rPr>
          <w:sz w:val="26"/>
          <w:szCs w:val="26"/>
        </w:rPr>
        <w:t xml:space="preserve">are intended to </w:t>
      </w:r>
      <w:r w:rsidR="00AB1DEA">
        <w:rPr>
          <w:sz w:val="26"/>
          <w:szCs w:val="26"/>
        </w:rPr>
        <w:t xml:space="preserve">serve as an evolving document that may </w:t>
      </w:r>
      <w:r w:rsidR="00CC56B0">
        <w:rPr>
          <w:sz w:val="26"/>
          <w:szCs w:val="26"/>
        </w:rPr>
        <w:t xml:space="preserve">be </w:t>
      </w:r>
      <w:r w:rsidR="00FD14AC">
        <w:rPr>
          <w:sz w:val="26"/>
          <w:szCs w:val="26"/>
        </w:rPr>
        <w:t>revised</w:t>
      </w:r>
      <w:r w:rsidR="00AB1DEA">
        <w:rPr>
          <w:sz w:val="26"/>
          <w:szCs w:val="26"/>
        </w:rPr>
        <w:t xml:space="preserve"> when changes in technology occur</w:t>
      </w:r>
      <w:r w:rsidR="00635B6F">
        <w:rPr>
          <w:sz w:val="26"/>
          <w:szCs w:val="26"/>
        </w:rPr>
        <w:t xml:space="preserve"> in the future.</w:t>
      </w:r>
    </w:p>
    <w:p w14:paraId="1EA86CEA" w14:textId="77777777" w:rsidR="00960102" w:rsidRPr="00C14C4A" w:rsidRDefault="00960102" w:rsidP="001F71A7">
      <w:pPr>
        <w:spacing w:line="360" w:lineRule="auto"/>
        <w:rPr>
          <w:sz w:val="26"/>
          <w:szCs w:val="26"/>
        </w:rPr>
      </w:pPr>
    </w:p>
    <w:p w14:paraId="3E671816" w14:textId="77777777" w:rsidR="004F6C61" w:rsidRPr="004F6C61" w:rsidRDefault="004F6C61" w:rsidP="004F6C61">
      <w:pPr>
        <w:spacing w:line="360" w:lineRule="auto"/>
        <w:jc w:val="center"/>
        <w:rPr>
          <w:b/>
          <w:bCs/>
          <w:caps/>
          <w:sz w:val="26"/>
          <w:szCs w:val="26"/>
        </w:rPr>
      </w:pPr>
      <w:r w:rsidRPr="004F6C61">
        <w:rPr>
          <w:b/>
          <w:bCs/>
          <w:caps/>
          <w:sz w:val="26"/>
          <w:szCs w:val="26"/>
        </w:rPr>
        <w:t>Conclusion</w:t>
      </w:r>
    </w:p>
    <w:p w14:paraId="1413DDFC" w14:textId="77777777" w:rsidR="00E7268A" w:rsidRDefault="00426702" w:rsidP="00E7268A">
      <w:pPr>
        <w:spacing w:line="360" w:lineRule="auto"/>
        <w:ind w:firstLine="720"/>
        <w:rPr>
          <w:bCs/>
          <w:sz w:val="26"/>
          <w:szCs w:val="26"/>
        </w:rPr>
      </w:pPr>
      <w:r>
        <w:rPr>
          <w:bCs/>
          <w:sz w:val="26"/>
          <w:szCs w:val="26"/>
        </w:rPr>
        <w:t xml:space="preserve">We again thank the stakeholders for their participation in this proceeding and for their helpful assistance during the collaborative process.  </w:t>
      </w:r>
      <w:r w:rsidR="00AA0D3C">
        <w:rPr>
          <w:sz w:val="26"/>
          <w:szCs w:val="26"/>
        </w:rPr>
        <w:t xml:space="preserve">Upon consideration of the </w:t>
      </w:r>
      <w:r w:rsidR="00AA0D3C" w:rsidRPr="00AE642B">
        <w:rPr>
          <w:sz w:val="26"/>
          <w:szCs w:val="26"/>
        </w:rPr>
        <w:t>comments filed</w:t>
      </w:r>
      <w:r w:rsidR="00AA0D3C">
        <w:rPr>
          <w:sz w:val="26"/>
          <w:szCs w:val="26"/>
        </w:rPr>
        <w:t xml:space="preserve"> by the stakeholders in response to the </w:t>
      </w:r>
      <w:r w:rsidR="00AA0D3C" w:rsidRPr="00AE642B">
        <w:rPr>
          <w:sz w:val="26"/>
          <w:szCs w:val="26"/>
        </w:rPr>
        <w:t>Tentative Order</w:t>
      </w:r>
      <w:r w:rsidR="00AA0D3C">
        <w:rPr>
          <w:sz w:val="26"/>
          <w:szCs w:val="26"/>
        </w:rPr>
        <w:t xml:space="preserve"> and for the reasons set forth herein, </w:t>
      </w:r>
      <w:r w:rsidR="00AA0D3C" w:rsidRPr="00AE642B">
        <w:rPr>
          <w:sz w:val="26"/>
          <w:szCs w:val="26"/>
        </w:rPr>
        <w:t xml:space="preserve">the </w:t>
      </w:r>
      <w:r w:rsidR="00AA0D3C">
        <w:rPr>
          <w:sz w:val="26"/>
          <w:szCs w:val="26"/>
        </w:rPr>
        <w:t>Commission hereby issues this Order</w:t>
      </w:r>
      <w:r>
        <w:rPr>
          <w:bCs/>
          <w:sz w:val="26"/>
          <w:szCs w:val="26"/>
        </w:rPr>
        <w:t xml:space="preserve"> on </w:t>
      </w:r>
      <w:r w:rsidR="001A4641">
        <w:rPr>
          <w:bCs/>
          <w:sz w:val="26"/>
          <w:szCs w:val="26"/>
        </w:rPr>
        <w:t xml:space="preserve">the form of </w:t>
      </w:r>
      <w:r>
        <w:rPr>
          <w:bCs/>
          <w:sz w:val="26"/>
          <w:szCs w:val="26"/>
        </w:rPr>
        <w:t>medical certificates, other court orders related to domestic violence, and privacy guidelines</w:t>
      </w:r>
      <w:r w:rsidR="00C06440">
        <w:rPr>
          <w:bCs/>
          <w:sz w:val="26"/>
          <w:szCs w:val="26"/>
        </w:rPr>
        <w:t>;</w:t>
      </w:r>
      <w:r>
        <w:rPr>
          <w:bCs/>
          <w:sz w:val="26"/>
          <w:szCs w:val="26"/>
        </w:rPr>
        <w:t xml:space="preserve"> </w:t>
      </w:r>
    </w:p>
    <w:p w14:paraId="5937C5CA" w14:textId="77777777" w:rsidR="00FA40BB" w:rsidRPr="00C0451E" w:rsidRDefault="00FA40BB" w:rsidP="00E7268A">
      <w:pPr>
        <w:spacing w:line="360" w:lineRule="auto"/>
        <w:rPr>
          <w:b/>
          <w:sz w:val="26"/>
          <w:szCs w:val="26"/>
        </w:rPr>
      </w:pPr>
      <w:r w:rsidRPr="00C0451E">
        <w:rPr>
          <w:b/>
          <w:sz w:val="26"/>
          <w:szCs w:val="26"/>
        </w:rPr>
        <w:t>THEREFORE</w:t>
      </w:r>
      <w:r w:rsidR="006B1962" w:rsidRPr="00C0451E">
        <w:rPr>
          <w:b/>
          <w:sz w:val="26"/>
          <w:szCs w:val="26"/>
        </w:rPr>
        <w:t>,</w:t>
      </w:r>
    </w:p>
    <w:p w14:paraId="4BABCDE5" w14:textId="77777777" w:rsidR="002C4497" w:rsidRDefault="002C4497" w:rsidP="00DF0470">
      <w:pPr>
        <w:tabs>
          <w:tab w:val="left" w:pos="742"/>
        </w:tabs>
        <w:spacing w:line="360" w:lineRule="auto"/>
        <w:rPr>
          <w:sz w:val="26"/>
          <w:szCs w:val="26"/>
        </w:rPr>
      </w:pPr>
    </w:p>
    <w:p w14:paraId="1906992B" w14:textId="77777777" w:rsidR="00E47294" w:rsidRPr="00C0451E" w:rsidRDefault="00E47294" w:rsidP="00DF0470">
      <w:pPr>
        <w:tabs>
          <w:tab w:val="left" w:pos="742"/>
        </w:tabs>
        <w:spacing w:line="360" w:lineRule="auto"/>
        <w:rPr>
          <w:sz w:val="26"/>
          <w:szCs w:val="26"/>
        </w:rPr>
      </w:pPr>
    </w:p>
    <w:p w14:paraId="2D2ECB55" w14:textId="77777777" w:rsidR="00DF0470" w:rsidRPr="00C0451E" w:rsidRDefault="002B18E0" w:rsidP="00DF0470">
      <w:pPr>
        <w:spacing w:line="360" w:lineRule="auto"/>
        <w:rPr>
          <w:b/>
          <w:bCs/>
          <w:sz w:val="26"/>
          <w:szCs w:val="26"/>
        </w:rPr>
      </w:pPr>
      <w:r w:rsidRPr="00C0451E">
        <w:rPr>
          <w:b/>
          <w:bCs/>
          <w:sz w:val="26"/>
          <w:szCs w:val="26"/>
        </w:rPr>
        <w:lastRenderedPageBreak/>
        <w:tab/>
      </w:r>
      <w:r w:rsidR="006B1962" w:rsidRPr="00C0451E">
        <w:rPr>
          <w:b/>
          <w:bCs/>
          <w:sz w:val="26"/>
          <w:szCs w:val="26"/>
        </w:rPr>
        <w:t>I</w:t>
      </w:r>
      <w:r w:rsidR="00DF0470" w:rsidRPr="00C0451E">
        <w:rPr>
          <w:b/>
          <w:bCs/>
          <w:sz w:val="26"/>
          <w:szCs w:val="26"/>
        </w:rPr>
        <w:t>T IS ORDERED:</w:t>
      </w:r>
    </w:p>
    <w:p w14:paraId="773B4502" w14:textId="77777777" w:rsidR="00DF0470" w:rsidRPr="00C0451E" w:rsidRDefault="00F46269" w:rsidP="00F46269">
      <w:pPr>
        <w:tabs>
          <w:tab w:val="left" w:pos="720"/>
          <w:tab w:val="left" w:pos="4320"/>
        </w:tabs>
        <w:rPr>
          <w:sz w:val="26"/>
          <w:szCs w:val="26"/>
        </w:rPr>
      </w:pPr>
      <w:r>
        <w:rPr>
          <w:sz w:val="26"/>
          <w:szCs w:val="26"/>
        </w:rPr>
        <w:tab/>
      </w:r>
    </w:p>
    <w:p w14:paraId="37D3425B" w14:textId="77777777" w:rsidR="00C36EFA" w:rsidRDefault="00986B92" w:rsidP="005C62D6">
      <w:pPr>
        <w:tabs>
          <w:tab w:val="left" w:pos="742"/>
        </w:tabs>
        <w:spacing w:line="360" w:lineRule="auto"/>
        <w:rPr>
          <w:sz w:val="26"/>
          <w:szCs w:val="26"/>
        </w:rPr>
      </w:pPr>
      <w:r>
        <w:rPr>
          <w:sz w:val="26"/>
          <w:szCs w:val="26"/>
        </w:rPr>
        <w:tab/>
      </w:r>
      <w:r w:rsidRPr="00986B92">
        <w:rPr>
          <w:sz w:val="26"/>
          <w:szCs w:val="26"/>
        </w:rPr>
        <w:t>1.</w:t>
      </w:r>
      <w:r w:rsidRPr="00986B92">
        <w:rPr>
          <w:sz w:val="26"/>
          <w:szCs w:val="26"/>
        </w:rPr>
        <w:tab/>
      </w:r>
      <w:r w:rsidR="00C36EFA">
        <w:rPr>
          <w:sz w:val="26"/>
          <w:szCs w:val="26"/>
        </w:rPr>
        <w:t>That the Commission hereby adopts the Standard Medical Certificate Form</w:t>
      </w:r>
      <w:r w:rsidR="0037086B">
        <w:rPr>
          <w:sz w:val="26"/>
          <w:szCs w:val="26"/>
        </w:rPr>
        <w:t>, Medical Certificate Guidance, and Privacy Guidelines</w:t>
      </w:r>
      <w:r w:rsidR="004546F3">
        <w:rPr>
          <w:sz w:val="26"/>
          <w:szCs w:val="26"/>
        </w:rPr>
        <w:t xml:space="preserve">, </w:t>
      </w:r>
      <w:r w:rsidR="0037086B">
        <w:rPr>
          <w:sz w:val="26"/>
          <w:szCs w:val="26"/>
        </w:rPr>
        <w:t>attached as</w:t>
      </w:r>
      <w:r w:rsidR="00C36EFA">
        <w:rPr>
          <w:sz w:val="26"/>
          <w:szCs w:val="26"/>
        </w:rPr>
        <w:t xml:space="preserve"> </w:t>
      </w:r>
      <w:r w:rsidR="0037086B">
        <w:rPr>
          <w:sz w:val="26"/>
          <w:szCs w:val="26"/>
        </w:rPr>
        <w:t>Appendices A,</w:t>
      </w:r>
      <w:r w:rsidR="009E53E2">
        <w:rPr>
          <w:sz w:val="26"/>
          <w:szCs w:val="26"/>
        </w:rPr>
        <w:t> </w:t>
      </w:r>
      <w:r w:rsidR="0037086B">
        <w:rPr>
          <w:sz w:val="26"/>
          <w:szCs w:val="26"/>
        </w:rPr>
        <w:t>B, and C respectively, and</w:t>
      </w:r>
      <w:r w:rsidR="00C36EFA">
        <w:rPr>
          <w:sz w:val="26"/>
          <w:szCs w:val="26"/>
        </w:rPr>
        <w:t xml:space="preserve"> as set forth herein.</w:t>
      </w:r>
    </w:p>
    <w:p w14:paraId="3EA574CD" w14:textId="77777777" w:rsidR="0037086B" w:rsidRDefault="0037086B" w:rsidP="0037086B">
      <w:pPr>
        <w:tabs>
          <w:tab w:val="left" w:pos="742"/>
        </w:tabs>
        <w:spacing w:line="360" w:lineRule="auto"/>
        <w:rPr>
          <w:bCs/>
          <w:sz w:val="26"/>
          <w:szCs w:val="26"/>
        </w:rPr>
      </w:pPr>
    </w:p>
    <w:p w14:paraId="6C7EAAD8" w14:textId="77777777" w:rsidR="0037086B" w:rsidRDefault="009E53E2" w:rsidP="0037086B">
      <w:pPr>
        <w:tabs>
          <w:tab w:val="left" w:pos="742"/>
        </w:tabs>
        <w:spacing w:line="360" w:lineRule="auto"/>
        <w:rPr>
          <w:bCs/>
          <w:sz w:val="26"/>
          <w:szCs w:val="26"/>
        </w:rPr>
      </w:pPr>
      <w:r>
        <w:rPr>
          <w:bCs/>
          <w:sz w:val="26"/>
          <w:szCs w:val="26"/>
        </w:rPr>
        <w:tab/>
      </w:r>
      <w:r w:rsidR="0037086B">
        <w:rPr>
          <w:bCs/>
          <w:sz w:val="26"/>
          <w:szCs w:val="26"/>
        </w:rPr>
        <w:t>2.</w:t>
      </w:r>
      <w:r w:rsidR="0037086B">
        <w:rPr>
          <w:bCs/>
          <w:sz w:val="26"/>
          <w:szCs w:val="26"/>
        </w:rPr>
        <w:tab/>
        <w:t>That the Standard Medical Certificate Form and Medical Certificate Guidance</w:t>
      </w:r>
      <w:r w:rsidR="004546F3">
        <w:rPr>
          <w:bCs/>
          <w:sz w:val="26"/>
          <w:szCs w:val="26"/>
        </w:rPr>
        <w:t>,</w:t>
      </w:r>
      <w:r w:rsidR="0037086B">
        <w:rPr>
          <w:bCs/>
          <w:sz w:val="26"/>
          <w:szCs w:val="26"/>
        </w:rPr>
        <w:t xml:space="preserve"> attached as Appendix A and B</w:t>
      </w:r>
      <w:r>
        <w:rPr>
          <w:bCs/>
          <w:sz w:val="26"/>
          <w:szCs w:val="26"/>
        </w:rPr>
        <w:t xml:space="preserve"> respectively, </w:t>
      </w:r>
      <w:r w:rsidR="0037086B">
        <w:rPr>
          <w:bCs/>
          <w:sz w:val="26"/>
          <w:szCs w:val="26"/>
        </w:rPr>
        <w:t xml:space="preserve">shall be posted on the Commission’s website, </w:t>
      </w:r>
      <w:hyperlink r:id="rId9" w:history="1">
        <w:r w:rsidR="0037086B" w:rsidRPr="008344D0">
          <w:rPr>
            <w:rStyle w:val="Hyperlink"/>
            <w:bCs/>
            <w:sz w:val="26"/>
            <w:szCs w:val="26"/>
          </w:rPr>
          <w:t>www.pa.puc.gov</w:t>
        </w:r>
      </w:hyperlink>
      <w:r>
        <w:rPr>
          <w:bCs/>
          <w:sz w:val="26"/>
          <w:szCs w:val="26"/>
        </w:rPr>
        <w:t xml:space="preserve">, </w:t>
      </w:r>
      <w:r w:rsidR="0037086B">
        <w:rPr>
          <w:bCs/>
          <w:sz w:val="26"/>
          <w:szCs w:val="26"/>
        </w:rPr>
        <w:t xml:space="preserve">on the webpage for </w:t>
      </w:r>
      <w:r>
        <w:rPr>
          <w:bCs/>
          <w:sz w:val="26"/>
          <w:szCs w:val="26"/>
        </w:rPr>
        <w:t>“</w:t>
      </w:r>
      <w:r w:rsidR="0037086B">
        <w:rPr>
          <w:bCs/>
          <w:sz w:val="26"/>
          <w:szCs w:val="26"/>
        </w:rPr>
        <w:t>Utility Assistance Programs</w:t>
      </w:r>
      <w:r>
        <w:rPr>
          <w:bCs/>
          <w:sz w:val="26"/>
          <w:szCs w:val="26"/>
        </w:rPr>
        <w:t xml:space="preserve">” </w:t>
      </w:r>
      <w:r w:rsidR="0037086B">
        <w:rPr>
          <w:bCs/>
          <w:sz w:val="26"/>
          <w:szCs w:val="26"/>
        </w:rPr>
        <w:t>along with Spanish versions</w:t>
      </w:r>
      <w:r>
        <w:rPr>
          <w:bCs/>
          <w:sz w:val="26"/>
          <w:szCs w:val="26"/>
        </w:rPr>
        <w:t xml:space="preserve"> of the documents.</w:t>
      </w:r>
    </w:p>
    <w:p w14:paraId="526D2085" w14:textId="77777777" w:rsidR="009E53E2" w:rsidRDefault="009E53E2" w:rsidP="0037086B">
      <w:pPr>
        <w:tabs>
          <w:tab w:val="left" w:pos="742"/>
        </w:tabs>
        <w:spacing w:line="360" w:lineRule="auto"/>
        <w:rPr>
          <w:bCs/>
          <w:sz w:val="26"/>
          <w:szCs w:val="26"/>
        </w:rPr>
      </w:pPr>
    </w:p>
    <w:p w14:paraId="3F85787D" w14:textId="77777777" w:rsidR="00986B92" w:rsidRPr="00691BA1" w:rsidRDefault="0037086B" w:rsidP="005C62D6">
      <w:pPr>
        <w:tabs>
          <w:tab w:val="left" w:pos="742"/>
        </w:tabs>
        <w:spacing w:line="360" w:lineRule="auto"/>
        <w:rPr>
          <w:bCs/>
          <w:sz w:val="26"/>
          <w:szCs w:val="26"/>
        </w:rPr>
      </w:pPr>
      <w:r>
        <w:rPr>
          <w:bCs/>
          <w:sz w:val="26"/>
          <w:szCs w:val="26"/>
        </w:rPr>
        <w:tab/>
      </w:r>
      <w:r w:rsidR="004546F3">
        <w:rPr>
          <w:bCs/>
          <w:sz w:val="26"/>
          <w:szCs w:val="26"/>
        </w:rPr>
        <w:t>3.</w:t>
      </w:r>
      <w:r w:rsidR="004546F3">
        <w:rPr>
          <w:bCs/>
          <w:sz w:val="26"/>
          <w:szCs w:val="26"/>
        </w:rPr>
        <w:tab/>
      </w:r>
      <w:r>
        <w:rPr>
          <w:bCs/>
          <w:sz w:val="26"/>
          <w:szCs w:val="26"/>
        </w:rPr>
        <w:t xml:space="preserve">That </w:t>
      </w:r>
      <w:r w:rsidR="004546F3">
        <w:rPr>
          <w:bCs/>
          <w:sz w:val="26"/>
          <w:szCs w:val="26"/>
        </w:rPr>
        <w:t xml:space="preserve">all </w:t>
      </w:r>
      <w:r>
        <w:rPr>
          <w:bCs/>
          <w:sz w:val="26"/>
          <w:szCs w:val="26"/>
        </w:rPr>
        <w:t xml:space="preserve">public utilities </w:t>
      </w:r>
      <w:r w:rsidR="004546F3">
        <w:rPr>
          <w:bCs/>
          <w:sz w:val="26"/>
          <w:szCs w:val="26"/>
        </w:rPr>
        <w:t xml:space="preserve">shall post </w:t>
      </w:r>
      <w:r>
        <w:rPr>
          <w:bCs/>
          <w:sz w:val="26"/>
          <w:szCs w:val="26"/>
        </w:rPr>
        <w:t>links to the Standard Medical Certificate Form and Medical Certificate Guidance</w:t>
      </w:r>
      <w:r w:rsidR="004546F3">
        <w:rPr>
          <w:bCs/>
          <w:sz w:val="26"/>
          <w:szCs w:val="26"/>
        </w:rPr>
        <w:t>, attached as Appendices A and B respectively,</w:t>
      </w:r>
      <w:r>
        <w:rPr>
          <w:bCs/>
          <w:sz w:val="26"/>
          <w:szCs w:val="26"/>
        </w:rPr>
        <w:t xml:space="preserve"> on</w:t>
      </w:r>
      <w:r w:rsidR="002910E9">
        <w:rPr>
          <w:bCs/>
          <w:sz w:val="26"/>
          <w:szCs w:val="26"/>
        </w:rPr>
        <w:t> </w:t>
      </w:r>
      <w:r>
        <w:rPr>
          <w:bCs/>
          <w:sz w:val="26"/>
          <w:szCs w:val="26"/>
        </w:rPr>
        <w:t>their website</w:t>
      </w:r>
      <w:r w:rsidR="004546F3">
        <w:rPr>
          <w:bCs/>
          <w:sz w:val="26"/>
          <w:szCs w:val="26"/>
        </w:rPr>
        <w:t>s</w:t>
      </w:r>
      <w:r>
        <w:rPr>
          <w:bCs/>
          <w:sz w:val="26"/>
          <w:szCs w:val="26"/>
        </w:rPr>
        <w:t>.</w:t>
      </w:r>
    </w:p>
    <w:p w14:paraId="7E6C3C02" w14:textId="77777777" w:rsidR="00986B92" w:rsidRPr="00986B92" w:rsidRDefault="00986B92" w:rsidP="005C62D6">
      <w:pPr>
        <w:tabs>
          <w:tab w:val="left" w:pos="742"/>
        </w:tabs>
        <w:spacing w:line="360" w:lineRule="auto"/>
        <w:rPr>
          <w:sz w:val="26"/>
          <w:szCs w:val="26"/>
        </w:rPr>
      </w:pPr>
    </w:p>
    <w:p w14:paraId="19470873" w14:textId="77777777" w:rsidR="00986B92" w:rsidRPr="00986B92" w:rsidRDefault="00986B92" w:rsidP="005C62D6">
      <w:pPr>
        <w:tabs>
          <w:tab w:val="left" w:pos="742"/>
        </w:tabs>
        <w:spacing w:line="360" w:lineRule="auto"/>
        <w:rPr>
          <w:sz w:val="26"/>
          <w:szCs w:val="26"/>
        </w:rPr>
      </w:pPr>
      <w:r>
        <w:rPr>
          <w:sz w:val="26"/>
          <w:szCs w:val="26"/>
        </w:rPr>
        <w:tab/>
      </w:r>
      <w:r w:rsidR="00691BA1">
        <w:rPr>
          <w:sz w:val="26"/>
          <w:szCs w:val="26"/>
        </w:rPr>
        <w:t>4</w:t>
      </w:r>
      <w:r w:rsidRPr="00986B92">
        <w:rPr>
          <w:sz w:val="26"/>
          <w:szCs w:val="26"/>
        </w:rPr>
        <w:t>.</w:t>
      </w:r>
      <w:r w:rsidRPr="00986B92">
        <w:rPr>
          <w:sz w:val="26"/>
          <w:szCs w:val="26"/>
        </w:rPr>
        <w:tab/>
        <w:t xml:space="preserve">That the Law Bureau shall deposit this Order </w:t>
      </w:r>
      <w:r w:rsidR="003D7A43">
        <w:rPr>
          <w:sz w:val="26"/>
          <w:szCs w:val="26"/>
        </w:rPr>
        <w:t>and</w:t>
      </w:r>
      <w:r w:rsidR="004D406A">
        <w:rPr>
          <w:sz w:val="26"/>
          <w:szCs w:val="26"/>
        </w:rPr>
        <w:t xml:space="preserve"> </w:t>
      </w:r>
      <w:r w:rsidR="003D7A43">
        <w:rPr>
          <w:sz w:val="26"/>
          <w:szCs w:val="26"/>
        </w:rPr>
        <w:t>Appendic</w:t>
      </w:r>
      <w:r w:rsidR="00747EEC">
        <w:rPr>
          <w:sz w:val="26"/>
          <w:szCs w:val="26"/>
        </w:rPr>
        <w:t xml:space="preserve">es </w:t>
      </w:r>
      <w:r w:rsidR="006F208D">
        <w:rPr>
          <w:sz w:val="26"/>
          <w:szCs w:val="26"/>
        </w:rPr>
        <w:t xml:space="preserve">A, B, and C </w:t>
      </w:r>
      <w:r w:rsidRPr="00986B92">
        <w:rPr>
          <w:sz w:val="26"/>
          <w:szCs w:val="26"/>
        </w:rPr>
        <w:t xml:space="preserve">with the Legislative Reference Bureau to be published in the </w:t>
      </w:r>
      <w:r w:rsidRPr="003D7A43">
        <w:rPr>
          <w:i/>
          <w:iCs/>
          <w:sz w:val="26"/>
          <w:szCs w:val="26"/>
        </w:rPr>
        <w:t>Pennsylvania Bulletin</w:t>
      </w:r>
      <w:r w:rsidRPr="00986B92">
        <w:rPr>
          <w:sz w:val="26"/>
          <w:szCs w:val="26"/>
        </w:rPr>
        <w:t>.</w:t>
      </w:r>
    </w:p>
    <w:p w14:paraId="551BD0A9" w14:textId="77777777" w:rsidR="00986B92" w:rsidRPr="00986B92" w:rsidRDefault="00986B92" w:rsidP="005C62D6">
      <w:pPr>
        <w:tabs>
          <w:tab w:val="left" w:pos="742"/>
        </w:tabs>
        <w:spacing w:line="360" w:lineRule="auto"/>
        <w:rPr>
          <w:sz w:val="26"/>
          <w:szCs w:val="26"/>
        </w:rPr>
      </w:pPr>
      <w:r>
        <w:rPr>
          <w:sz w:val="26"/>
          <w:szCs w:val="26"/>
        </w:rPr>
        <w:tab/>
      </w:r>
    </w:p>
    <w:p w14:paraId="2720B5AB" w14:textId="77777777" w:rsidR="00986B92" w:rsidRDefault="00986B92" w:rsidP="00AD6081">
      <w:pPr>
        <w:tabs>
          <w:tab w:val="left" w:pos="742"/>
        </w:tabs>
        <w:spacing w:line="360" w:lineRule="auto"/>
        <w:rPr>
          <w:bCs/>
          <w:sz w:val="26"/>
          <w:szCs w:val="26"/>
        </w:rPr>
      </w:pPr>
      <w:r>
        <w:rPr>
          <w:sz w:val="26"/>
          <w:szCs w:val="26"/>
        </w:rPr>
        <w:tab/>
      </w:r>
      <w:r w:rsidR="00691BA1">
        <w:rPr>
          <w:sz w:val="26"/>
          <w:szCs w:val="26"/>
        </w:rPr>
        <w:t>5</w:t>
      </w:r>
      <w:r w:rsidRPr="00986B92">
        <w:rPr>
          <w:sz w:val="26"/>
          <w:szCs w:val="26"/>
        </w:rPr>
        <w:t xml:space="preserve">.  </w:t>
      </w:r>
      <w:r w:rsidRPr="00986B92">
        <w:rPr>
          <w:sz w:val="26"/>
          <w:szCs w:val="26"/>
        </w:rPr>
        <w:tab/>
      </w:r>
      <w:r w:rsidR="00CE6C7A">
        <w:rPr>
          <w:bCs/>
          <w:sz w:val="26"/>
          <w:szCs w:val="26"/>
        </w:rPr>
        <w:t xml:space="preserve">That a copy of this Order and </w:t>
      </w:r>
      <w:r w:rsidR="00747EEC">
        <w:rPr>
          <w:bCs/>
          <w:sz w:val="26"/>
          <w:szCs w:val="26"/>
        </w:rPr>
        <w:t>Appendices</w:t>
      </w:r>
      <w:r w:rsidR="00CE6C7A">
        <w:rPr>
          <w:bCs/>
          <w:sz w:val="26"/>
          <w:szCs w:val="26"/>
        </w:rPr>
        <w:t xml:space="preserve"> </w:t>
      </w:r>
      <w:r w:rsidR="004546F3">
        <w:rPr>
          <w:bCs/>
          <w:sz w:val="26"/>
          <w:szCs w:val="26"/>
        </w:rPr>
        <w:t xml:space="preserve">A, B, and C </w:t>
      </w:r>
      <w:r w:rsidR="00CE6C7A">
        <w:rPr>
          <w:bCs/>
          <w:sz w:val="26"/>
          <w:szCs w:val="26"/>
        </w:rPr>
        <w:t xml:space="preserve">shall be posted on the Commission’s website, </w:t>
      </w:r>
      <w:hyperlink r:id="rId10" w:history="1">
        <w:r w:rsidR="00691BA1" w:rsidRPr="008344D0">
          <w:rPr>
            <w:rStyle w:val="Hyperlink"/>
            <w:bCs/>
            <w:sz w:val="26"/>
            <w:szCs w:val="26"/>
          </w:rPr>
          <w:t>www.puc.pa.gov</w:t>
        </w:r>
      </w:hyperlink>
      <w:r w:rsidR="00454B2E">
        <w:rPr>
          <w:bCs/>
          <w:sz w:val="26"/>
          <w:szCs w:val="26"/>
        </w:rPr>
        <w:t>.</w:t>
      </w:r>
    </w:p>
    <w:p w14:paraId="2CE62588" w14:textId="77777777" w:rsidR="00691BA1" w:rsidRDefault="00691BA1" w:rsidP="00AD6081">
      <w:pPr>
        <w:tabs>
          <w:tab w:val="left" w:pos="742"/>
        </w:tabs>
        <w:spacing w:line="360" w:lineRule="auto"/>
        <w:rPr>
          <w:bCs/>
          <w:sz w:val="26"/>
          <w:szCs w:val="26"/>
        </w:rPr>
      </w:pPr>
    </w:p>
    <w:p w14:paraId="143AA607" w14:textId="77777777" w:rsidR="00691BA1" w:rsidRPr="00986B92" w:rsidRDefault="00691BA1" w:rsidP="00691BA1">
      <w:pPr>
        <w:tabs>
          <w:tab w:val="left" w:pos="742"/>
        </w:tabs>
        <w:spacing w:line="360" w:lineRule="auto"/>
        <w:rPr>
          <w:sz w:val="26"/>
          <w:szCs w:val="26"/>
        </w:rPr>
      </w:pPr>
      <w:r>
        <w:rPr>
          <w:sz w:val="26"/>
          <w:szCs w:val="26"/>
        </w:rPr>
        <w:tab/>
        <w:t>6.</w:t>
      </w:r>
      <w:r>
        <w:rPr>
          <w:sz w:val="26"/>
          <w:szCs w:val="26"/>
        </w:rPr>
        <w:tab/>
      </w:r>
      <w:r w:rsidRPr="00986B92">
        <w:rPr>
          <w:sz w:val="26"/>
          <w:szCs w:val="26"/>
        </w:rPr>
        <w:t xml:space="preserve">That </w:t>
      </w:r>
      <w:r>
        <w:rPr>
          <w:sz w:val="26"/>
          <w:szCs w:val="26"/>
        </w:rPr>
        <w:t>the Secretary shall serve this</w:t>
      </w:r>
      <w:r w:rsidRPr="00986B92">
        <w:rPr>
          <w:sz w:val="26"/>
          <w:szCs w:val="26"/>
        </w:rPr>
        <w:t xml:space="preserve"> Order</w:t>
      </w:r>
      <w:r>
        <w:rPr>
          <w:sz w:val="26"/>
          <w:szCs w:val="26"/>
        </w:rPr>
        <w:t xml:space="preserve"> and Appendices </w:t>
      </w:r>
      <w:r w:rsidR="00B674D7">
        <w:rPr>
          <w:sz w:val="26"/>
          <w:szCs w:val="26"/>
        </w:rPr>
        <w:t xml:space="preserve">A, B, and C </w:t>
      </w:r>
      <w:r>
        <w:rPr>
          <w:sz w:val="26"/>
          <w:szCs w:val="26"/>
        </w:rPr>
        <w:t xml:space="preserve">on </w:t>
      </w:r>
      <w:r w:rsidRPr="00986B92">
        <w:rPr>
          <w:sz w:val="26"/>
          <w:szCs w:val="26"/>
        </w:rPr>
        <w:t xml:space="preserve">all parties </w:t>
      </w:r>
      <w:r>
        <w:rPr>
          <w:sz w:val="26"/>
          <w:szCs w:val="26"/>
        </w:rPr>
        <w:t>that submitted comments</w:t>
      </w:r>
      <w:r w:rsidRPr="00986B92">
        <w:rPr>
          <w:sz w:val="26"/>
          <w:szCs w:val="26"/>
        </w:rPr>
        <w:t xml:space="preserve"> at Docket N</w:t>
      </w:r>
      <w:r>
        <w:rPr>
          <w:sz w:val="26"/>
          <w:szCs w:val="26"/>
        </w:rPr>
        <w:t>o.</w:t>
      </w:r>
      <w:r w:rsidRPr="00986B92">
        <w:rPr>
          <w:sz w:val="26"/>
          <w:szCs w:val="26"/>
        </w:rPr>
        <w:t xml:space="preserve"> L-2015-2508421.  </w:t>
      </w:r>
    </w:p>
    <w:p w14:paraId="2900294B" w14:textId="77777777" w:rsidR="00DF0470" w:rsidRDefault="002C4497" w:rsidP="005C62D6">
      <w:pPr>
        <w:tabs>
          <w:tab w:val="left" w:pos="742"/>
        </w:tabs>
        <w:spacing w:line="360" w:lineRule="auto"/>
        <w:rPr>
          <w:sz w:val="26"/>
          <w:szCs w:val="26"/>
        </w:rPr>
      </w:pPr>
      <w:r>
        <w:rPr>
          <w:sz w:val="26"/>
          <w:szCs w:val="26"/>
        </w:rPr>
        <w:br w:type="page"/>
      </w:r>
      <w:r w:rsidR="00986B92">
        <w:rPr>
          <w:sz w:val="26"/>
          <w:szCs w:val="26"/>
        </w:rPr>
        <w:lastRenderedPageBreak/>
        <w:tab/>
      </w:r>
      <w:r w:rsidR="006F208D">
        <w:rPr>
          <w:sz w:val="26"/>
          <w:szCs w:val="26"/>
        </w:rPr>
        <w:t>7</w:t>
      </w:r>
      <w:r w:rsidR="00986B92" w:rsidRPr="00986B92">
        <w:rPr>
          <w:sz w:val="26"/>
          <w:szCs w:val="26"/>
        </w:rPr>
        <w:t xml:space="preserve">. </w:t>
      </w:r>
      <w:r w:rsidR="00986B92" w:rsidRPr="00986B92">
        <w:rPr>
          <w:sz w:val="26"/>
          <w:szCs w:val="26"/>
        </w:rPr>
        <w:tab/>
        <w:t xml:space="preserve"> </w:t>
      </w:r>
      <w:r w:rsidR="00986B92">
        <w:rPr>
          <w:sz w:val="26"/>
          <w:szCs w:val="26"/>
        </w:rPr>
        <w:t>That th</w:t>
      </w:r>
      <w:r w:rsidR="00BE0E81">
        <w:rPr>
          <w:sz w:val="26"/>
          <w:szCs w:val="26"/>
        </w:rPr>
        <w:t>e</w:t>
      </w:r>
      <w:r w:rsidR="00986B92">
        <w:rPr>
          <w:sz w:val="26"/>
          <w:szCs w:val="26"/>
        </w:rPr>
        <w:t xml:space="preserve"> proceeding at </w:t>
      </w:r>
      <w:r w:rsidR="00BE0E81">
        <w:rPr>
          <w:sz w:val="26"/>
          <w:szCs w:val="26"/>
        </w:rPr>
        <w:t xml:space="preserve">Docket No. </w:t>
      </w:r>
      <w:r w:rsidR="00BE0E81" w:rsidRPr="00986B92">
        <w:rPr>
          <w:sz w:val="26"/>
          <w:szCs w:val="26"/>
        </w:rPr>
        <w:t>L-2015-2508421</w:t>
      </w:r>
      <w:r w:rsidR="00CE6C7A">
        <w:rPr>
          <w:sz w:val="26"/>
          <w:szCs w:val="26"/>
        </w:rPr>
        <w:t xml:space="preserve"> </w:t>
      </w:r>
      <w:r w:rsidR="00BE0E81">
        <w:rPr>
          <w:sz w:val="26"/>
          <w:szCs w:val="26"/>
        </w:rPr>
        <w:t xml:space="preserve">be marked </w:t>
      </w:r>
      <w:r w:rsidR="00986B92">
        <w:rPr>
          <w:sz w:val="26"/>
          <w:szCs w:val="26"/>
        </w:rPr>
        <w:t xml:space="preserve">closed. </w:t>
      </w:r>
      <w:r w:rsidR="00986B92" w:rsidRPr="00986B92">
        <w:rPr>
          <w:sz w:val="26"/>
          <w:szCs w:val="26"/>
        </w:rPr>
        <w:t xml:space="preserve">  </w:t>
      </w:r>
    </w:p>
    <w:p w14:paraId="063CF86B" w14:textId="77777777" w:rsidR="004D406A" w:rsidRDefault="004D406A" w:rsidP="005C62D6">
      <w:pPr>
        <w:tabs>
          <w:tab w:val="left" w:pos="742"/>
        </w:tabs>
        <w:spacing w:line="360" w:lineRule="auto"/>
        <w:rPr>
          <w:sz w:val="26"/>
          <w:szCs w:val="26"/>
        </w:rPr>
      </w:pPr>
    </w:p>
    <w:p w14:paraId="6C12D000" w14:textId="395EA646" w:rsidR="003A3A63" w:rsidRPr="00C0451E" w:rsidRDefault="003A3A63" w:rsidP="005C62D6">
      <w:pPr>
        <w:tabs>
          <w:tab w:val="left" w:pos="742"/>
        </w:tabs>
        <w:spacing w:line="360" w:lineRule="auto"/>
        <w:rPr>
          <w:sz w:val="26"/>
          <w:szCs w:val="26"/>
        </w:rPr>
      </w:pPr>
    </w:p>
    <w:p w14:paraId="28C27382" w14:textId="3C190D45" w:rsidR="00DF0470" w:rsidRPr="00C0451E" w:rsidRDefault="00E1056F" w:rsidP="00DF0470">
      <w:pPr>
        <w:pStyle w:val="p17"/>
        <w:ind w:left="5057"/>
        <w:rPr>
          <w:b/>
          <w:bCs/>
          <w:sz w:val="26"/>
          <w:szCs w:val="26"/>
        </w:rPr>
      </w:pPr>
      <w:r>
        <w:rPr>
          <w:noProof/>
        </w:rPr>
        <w:drawing>
          <wp:anchor distT="0" distB="0" distL="114300" distR="114300" simplePos="0" relativeHeight="251659264" behindDoc="1" locked="0" layoutInCell="1" allowOverlap="1" wp14:anchorId="607C7F2E" wp14:editId="3D9FF223">
            <wp:simplePos x="0" y="0"/>
            <wp:positionH relativeFrom="column">
              <wp:posOffset>3171825</wp:posOffset>
            </wp:positionH>
            <wp:positionV relativeFrom="paragraph">
              <wp:posOffset>58420</wp:posOffset>
            </wp:positionV>
            <wp:extent cx="2200275"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470" w:rsidRPr="00C0451E">
        <w:rPr>
          <w:b/>
          <w:bCs/>
          <w:sz w:val="26"/>
          <w:szCs w:val="26"/>
        </w:rPr>
        <w:t>BY THE COMMISSION</w:t>
      </w:r>
    </w:p>
    <w:p w14:paraId="46D5FE18" w14:textId="77777777" w:rsidR="00DF0470" w:rsidRPr="00C0451E" w:rsidRDefault="00DF0470" w:rsidP="00DF0470">
      <w:pPr>
        <w:tabs>
          <w:tab w:val="left" w:pos="5057"/>
        </w:tabs>
        <w:rPr>
          <w:bCs/>
          <w:sz w:val="26"/>
          <w:szCs w:val="26"/>
        </w:rPr>
      </w:pPr>
    </w:p>
    <w:p w14:paraId="1A81BD95" w14:textId="77777777" w:rsidR="00DF0470" w:rsidRPr="00C0451E" w:rsidRDefault="006F6B2D" w:rsidP="00DF0470">
      <w:pPr>
        <w:tabs>
          <w:tab w:val="left" w:pos="5057"/>
        </w:tabs>
        <w:rPr>
          <w:b/>
          <w:bCs/>
          <w:sz w:val="26"/>
          <w:szCs w:val="26"/>
        </w:rPr>
      </w:pPr>
      <w:r>
        <w:rPr>
          <w:b/>
          <w:bCs/>
          <w:sz w:val="26"/>
          <w:szCs w:val="26"/>
        </w:rPr>
        <w:t xml:space="preserve"> </w:t>
      </w:r>
    </w:p>
    <w:p w14:paraId="7E52AEF4" w14:textId="77777777" w:rsidR="00DF0470" w:rsidRPr="00C0451E" w:rsidRDefault="00DF0470" w:rsidP="00DF0470">
      <w:pPr>
        <w:tabs>
          <w:tab w:val="left" w:pos="5057"/>
        </w:tabs>
        <w:rPr>
          <w:b/>
          <w:bCs/>
          <w:sz w:val="26"/>
          <w:szCs w:val="26"/>
        </w:rPr>
      </w:pPr>
    </w:p>
    <w:p w14:paraId="450EBED3" w14:textId="77777777" w:rsidR="0022503C" w:rsidRPr="00C0451E" w:rsidRDefault="0022503C" w:rsidP="00DF0470">
      <w:pPr>
        <w:pStyle w:val="p18"/>
        <w:ind w:left="5062"/>
        <w:rPr>
          <w:sz w:val="26"/>
          <w:szCs w:val="26"/>
        </w:rPr>
      </w:pPr>
      <w:r w:rsidRPr="00C0451E">
        <w:rPr>
          <w:sz w:val="26"/>
          <w:szCs w:val="26"/>
        </w:rPr>
        <w:t>Rosemary Chiavetta</w:t>
      </w:r>
    </w:p>
    <w:p w14:paraId="61BB8BFA" w14:textId="77777777" w:rsidR="00DF0470" w:rsidRPr="00C0451E" w:rsidRDefault="00DF0470" w:rsidP="00DF0470">
      <w:pPr>
        <w:pStyle w:val="p18"/>
        <w:ind w:left="5062"/>
        <w:rPr>
          <w:sz w:val="26"/>
          <w:szCs w:val="26"/>
        </w:rPr>
      </w:pPr>
      <w:r w:rsidRPr="00C0451E">
        <w:rPr>
          <w:sz w:val="26"/>
          <w:szCs w:val="26"/>
        </w:rPr>
        <w:t>Secretary</w:t>
      </w:r>
    </w:p>
    <w:p w14:paraId="72F5E22A" w14:textId="77777777" w:rsidR="00DF0470" w:rsidRPr="00C0451E" w:rsidRDefault="00DF0470" w:rsidP="00DF0470">
      <w:pPr>
        <w:tabs>
          <w:tab w:val="left" w:pos="5062"/>
        </w:tabs>
        <w:rPr>
          <w:sz w:val="26"/>
          <w:szCs w:val="26"/>
        </w:rPr>
      </w:pPr>
    </w:p>
    <w:p w14:paraId="5DF2581F" w14:textId="77777777" w:rsidR="00DF0470" w:rsidRPr="00C0451E" w:rsidRDefault="00DF0470" w:rsidP="00DF0470">
      <w:pPr>
        <w:pStyle w:val="p14"/>
        <w:rPr>
          <w:sz w:val="26"/>
          <w:szCs w:val="26"/>
        </w:rPr>
      </w:pPr>
      <w:r w:rsidRPr="00C0451E">
        <w:rPr>
          <w:sz w:val="26"/>
          <w:szCs w:val="26"/>
        </w:rPr>
        <w:t>(SEAL)</w:t>
      </w:r>
    </w:p>
    <w:p w14:paraId="352B88A3" w14:textId="77777777" w:rsidR="00DF0470" w:rsidRPr="00C0451E" w:rsidRDefault="00DF0470" w:rsidP="00DF0470">
      <w:pPr>
        <w:tabs>
          <w:tab w:val="left" w:pos="204"/>
        </w:tabs>
        <w:rPr>
          <w:sz w:val="26"/>
          <w:szCs w:val="26"/>
        </w:rPr>
      </w:pPr>
    </w:p>
    <w:p w14:paraId="622593DA" w14:textId="77777777" w:rsidR="00DF0470" w:rsidRPr="00C0451E" w:rsidRDefault="00DF0470" w:rsidP="00BE499A">
      <w:pPr>
        <w:pStyle w:val="p14"/>
        <w:rPr>
          <w:sz w:val="26"/>
          <w:szCs w:val="26"/>
        </w:rPr>
      </w:pPr>
      <w:r w:rsidRPr="00C0451E">
        <w:rPr>
          <w:sz w:val="26"/>
          <w:szCs w:val="26"/>
        </w:rPr>
        <w:t xml:space="preserve">ORDER ADOPTED:  </w:t>
      </w:r>
      <w:r w:rsidR="00440EB8">
        <w:rPr>
          <w:sz w:val="26"/>
          <w:szCs w:val="26"/>
        </w:rPr>
        <w:t xml:space="preserve">December </w:t>
      </w:r>
      <w:r w:rsidR="00862C4C">
        <w:rPr>
          <w:sz w:val="26"/>
          <w:szCs w:val="26"/>
        </w:rPr>
        <w:t>16</w:t>
      </w:r>
      <w:r w:rsidR="00EB5BE2">
        <w:rPr>
          <w:sz w:val="26"/>
          <w:szCs w:val="26"/>
        </w:rPr>
        <w:t>,</w:t>
      </w:r>
      <w:r w:rsidR="00BE5733">
        <w:rPr>
          <w:sz w:val="26"/>
          <w:szCs w:val="26"/>
        </w:rPr>
        <w:t xml:space="preserve"> 2021</w:t>
      </w:r>
    </w:p>
    <w:p w14:paraId="56A60CB4" w14:textId="77777777" w:rsidR="00BE499A" w:rsidRPr="00C0451E" w:rsidRDefault="00BE499A" w:rsidP="00BE499A">
      <w:pPr>
        <w:pStyle w:val="p14"/>
        <w:rPr>
          <w:sz w:val="26"/>
          <w:szCs w:val="26"/>
        </w:rPr>
      </w:pPr>
    </w:p>
    <w:p w14:paraId="3B422E8E" w14:textId="6EE86766" w:rsidR="00CD6C97" w:rsidRDefault="00DF0470" w:rsidP="005A7356">
      <w:pPr>
        <w:pStyle w:val="p14"/>
        <w:rPr>
          <w:sz w:val="26"/>
          <w:szCs w:val="26"/>
        </w:rPr>
      </w:pPr>
      <w:r w:rsidRPr="00C0451E">
        <w:rPr>
          <w:sz w:val="26"/>
          <w:szCs w:val="26"/>
        </w:rPr>
        <w:t xml:space="preserve">ORDER ENTERED:  </w:t>
      </w:r>
      <w:r w:rsidR="00E1056F">
        <w:rPr>
          <w:sz w:val="26"/>
          <w:szCs w:val="26"/>
        </w:rPr>
        <w:t>January 5, 2022</w:t>
      </w:r>
    </w:p>
    <w:p w14:paraId="7500DD44" w14:textId="77777777" w:rsidR="00EC4A76" w:rsidRDefault="00EC4A76" w:rsidP="005A7356">
      <w:pPr>
        <w:pStyle w:val="p14"/>
        <w:rPr>
          <w:sz w:val="26"/>
          <w:szCs w:val="26"/>
        </w:rPr>
      </w:pPr>
    </w:p>
    <w:p w14:paraId="3D35782F" w14:textId="77777777" w:rsidR="00EC4A76" w:rsidRDefault="00EC4A76" w:rsidP="00EC4A76">
      <w:pPr>
        <w:rPr>
          <w:sz w:val="26"/>
          <w:szCs w:val="26"/>
        </w:rPr>
        <w:sectPr w:rsidR="00EC4A76" w:rsidSect="00D83182">
          <w:footerReference w:type="even" r:id="rId12"/>
          <w:footerReference w:type="default" r:id="rId13"/>
          <w:pgSz w:w="12240" w:h="15840"/>
          <w:pgMar w:top="1440" w:right="1440" w:bottom="1440" w:left="1440" w:header="720" w:footer="720" w:gutter="0"/>
          <w:cols w:space="720"/>
          <w:titlePg/>
        </w:sectPr>
      </w:pPr>
    </w:p>
    <w:p w14:paraId="47506DED" w14:textId="77777777" w:rsidR="00EC4A76" w:rsidRDefault="00EC4A76" w:rsidP="00EC4A76">
      <w:pPr>
        <w:jc w:val="center"/>
        <w:rPr>
          <w:b/>
          <w:bCs/>
          <w:sz w:val="48"/>
          <w:szCs w:val="48"/>
        </w:rPr>
      </w:pPr>
    </w:p>
    <w:p w14:paraId="7396088B" w14:textId="77777777" w:rsidR="00EC4A76" w:rsidRDefault="00EC4A76" w:rsidP="00EC4A76">
      <w:pPr>
        <w:jc w:val="center"/>
        <w:rPr>
          <w:b/>
          <w:bCs/>
          <w:sz w:val="48"/>
          <w:szCs w:val="48"/>
        </w:rPr>
      </w:pPr>
    </w:p>
    <w:p w14:paraId="5DD2A877" w14:textId="77777777" w:rsidR="00EC4A76" w:rsidRDefault="00EC4A76" w:rsidP="00EC4A76">
      <w:pPr>
        <w:jc w:val="center"/>
        <w:rPr>
          <w:b/>
          <w:bCs/>
          <w:sz w:val="48"/>
          <w:szCs w:val="48"/>
        </w:rPr>
      </w:pPr>
    </w:p>
    <w:p w14:paraId="7595D3B0" w14:textId="77777777" w:rsidR="00EC4A76" w:rsidRDefault="00EC4A76" w:rsidP="00EC4A76">
      <w:pPr>
        <w:jc w:val="center"/>
        <w:rPr>
          <w:b/>
          <w:bCs/>
          <w:sz w:val="48"/>
          <w:szCs w:val="48"/>
        </w:rPr>
      </w:pPr>
    </w:p>
    <w:p w14:paraId="0FE70DD0" w14:textId="77777777" w:rsidR="00EC4A76" w:rsidRDefault="00EC4A76" w:rsidP="00EC4A76">
      <w:pPr>
        <w:jc w:val="center"/>
        <w:rPr>
          <w:b/>
          <w:bCs/>
          <w:sz w:val="48"/>
          <w:szCs w:val="48"/>
        </w:rPr>
      </w:pPr>
    </w:p>
    <w:p w14:paraId="2E09963E" w14:textId="77777777" w:rsidR="00EC4A76" w:rsidRDefault="00EC4A76" w:rsidP="00EC4A76">
      <w:pPr>
        <w:jc w:val="center"/>
        <w:rPr>
          <w:b/>
          <w:bCs/>
          <w:sz w:val="48"/>
          <w:szCs w:val="48"/>
        </w:rPr>
      </w:pPr>
    </w:p>
    <w:p w14:paraId="40D58C69" w14:textId="77777777" w:rsidR="00EC4A76" w:rsidRDefault="00EC4A76" w:rsidP="00EC4A76">
      <w:pPr>
        <w:jc w:val="center"/>
        <w:rPr>
          <w:b/>
          <w:bCs/>
          <w:sz w:val="48"/>
          <w:szCs w:val="48"/>
        </w:rPr>
      </w:pPr>
    </w:p>
    <w:p w14:paraId="5B786159" w14:textId="77777777" w:rsidR="00EC4A76" w:rsidRDefault="00EC4A76" w:rsidP="00EC4A76">
      <w:pPr>
        <w:jc w:val="center"/>
        <w:rPr>
          <w:b/>
          <w:bCs/>
          <w:sz w:val="48"/>
          <w:szCs w:val="48"/>
        </w:rPr>
      </w:pPr>
    </w:p>
    <w:p w14:paraId="343B7EEE" w14:textId="77777777" w:rsidR="00EC4A76" w:rsidRDefault="00EC4A76" w:rsidP="00EC4A76">
      <w:pPr>
        <w:jc w:val="center"/>
        <w:rPr>
          <w:b/>
          <w:bCs/>
          <w:sz w:val="48"/>
          <w:szCs w:val="48"/>
        </w:rPr>
      </w:pPr>
    </w:p>
    <w:p w14:paraId="69814401" w14:textId="77777777" w:rsidR="00EC4A76" w:rsidRPr="00EC4A76" w:rsidRDefault="00EC4A76" w:rsidP="00EC4A76">
      <w:pPr>
        <w:jc w:val="center"/>
        <w:rPr>
          <w:b/>
          <w:bCs/>
          <w:sz w:val="48"/>
          <w:szCs w:val="48"/>
        </w:rPr>
      </w:pPr>
      <w:r w:rsidRPr="00EC4A76">
        <w:rPr>
          <w:b/>
          <w:bCs/>
          <w:sz w:val="48"/>
          <w:szCs w:val="48"/>
        </w:rPr>
        <w:t>APPENDIX A</w:t>
      </w:r>
    </w:p>
    <w:p w14:paraId="1F1AC883" w14:textId="77777777" w:rsidR="00EC4A76" w:rsidRDefault="00EC4A76" w:rsidP="00EC4A76">
      <w:pPr>
        <w:tabs>
          <w:tab w:val="left" w:pos="9288"/>
        </w:tabs>
        <w:spacing w:before="93" w:line="637" w:lineRule="exact"/>
        <w:rPr>
          <w:b/>
          <w:bCs/>
          <w:sz w:val="32"/>
          <w:szCs w:val="32"/>
        </w:rPr>
      </w:pPr>
    </w:p>
    <w:p w14:paraId="618AFD83" w14:textId="77777777" w:rsidR="00EC4A76" w:rsidRDefault="00EC4A76" w:rsidP="00EC4A76">
      <w:pPr>
        <w:tabs>
          <w:tab w:val="left" w:pos="9288"/>
        </w:tabs>
        <w:spacing w:before="93" w:line="637" w:lineRule="exact"/>
        <w:rPr>
          <w:b/>
          <w:bCs/>
          <w:sz w:val="32"/>
          <w:szCs w:val="32"/>
        </w:rPr>
      </w:pPr>
    </w:p>
    <w:p w14:paraId="2C2C8613" w14:textId="77777777" w:rsidR="00EC4A76" w:rsidRDefault="00EC4A76" w:rsidP="00EC4A76">
      <w:pPr>
        <w:tabs>
          <w:tab w:val="left" w:pos="9288"/>
        </w:tabs>
        <w:spacing w:before="93" w:line="637" w:lineRule="exact"/>
        <w:rPr>
          <w:b/>
          <w:bCs/>
          <w:sz w:val="32"/>
          <w:szCs w:val="32"/>
        </w:rPr>
      </w:pPr>
    </w:p>
    <w:p w14:paraId="43204791" w14:textId="77777777" w:rsidR="00EC4A76" w:rsidRDefault="00EC4A76" w:rsidP="00EC4A76">
      <w:pPr>
        <w:tabs>
          <w:tab w:val="left" w:pos="9288"/>
        </w:tabs>
        <w:spacing w:before="93" w:line="637" w:lineRule="exact"/>
        <w:rPr>
          <w:b/>
          <w:bCs/>
          <w:sz w:val="32"/>
          <w:szCs w:val="32"/>
        </w:rPr>
      </w:pPr>
    </w:p>
    <w:p w14:paraId="48665626" w14:textId="77777777" w:rsidR="00EC4A76" w:rsidRDefault="00EC4A76" w:rsidP="00EC4A76">
      <w:pPr>
        <w:tabs>
          <w:tab w:val="left" w:pos="9288"/>
        </w:tabs>
        <w:spacing w:before="93" w:line="637" w:lineRule="exact"/>
        <w:rPr>
          <w:b/>
          <w:bCs/>
          <w:sz w:val="32"/>
          <w:szCs w:val="32"/>
        </w:rPr>
      </w:pPr>
    </w:p>
    <w:p w14:paraId="1903CCCB" w14:textId="77777777" w:rsidR="00EC4A76" w:rsidRDefault="00EC4A76" w:rsidP="00EC4A76">
      <w:pPr>
        <w:tabs>
          <w:tab w:val="left" w:pos="9288"/>
        </w:tabs>
        <w:spacing w:before="93" w:line="637" w:lineRule="exact"/>
        <w:rPr>
          <w:b/>
          <w:bCs/>
          <w:sz w:val="32"/>
          <w:szCs w:val="32"/>
        </w:rPr>
      </w:pPr>
    </w:p>
    <w:p w14:paraId="41D44B2F" w14:textId="77777777" w:rsidR="00EC4A76" w:rsidRDefault="00EC4A76" w:rsidP="00EC4A76">
      <w:pPr>
        <w:tabs>
          <w:tab w:val="left" w:pos="9288"/>
        </w:tabs>
        <w:spacing w:before="93" w:line="637" w:lineRule="exact"/>
        <w:rPr>
          <w:b/>
          <w:bCs/>
          <w:sz w:val="32"/>
          <w:szCs w:val="32"/>
        </w:rPr>
      </w:pPr>
    </w:p>
    <w:p w14:paraId="08550FD6" w14:textId="77777777" w:rsidR="00EC4A76" w:rsidRDefault="00EC4A76" w:rsidP="00EC4A76">
      <w:pPr>
        <w:tabs>
          <w:tab w:val="left" w:pos="9288"/>
        </w:tabs>
        <w:spacing w:before="93" w:line="637" w:lineRule="exact"/>
        <w:rPr>
          <w:b/>
          <w:bCs/>
          <w:sz w:val="32"/>
          <w:szCs w:val="32"/>
        </w:rPr>
      </w:pPr>
    </w:p>
    <w:p w14:paraId="424D3C57" w14:textId="77777777" w:rsidR="00EC4A76" w:rsidRDefault="00EC4A76" w:rsidP="00EC4A76">
      <w:pPr>
        <w:tabs>
          <w:tab w:val="left" w:pos="9288"/>
        </w:tabs>
        <w:spacing w:before="93" w:line="637" w:lineRule="exact"/>
        <w:rPr>
          <w:b/>
          <w:bCs/>
          <w:sz w:val="32"/>
          <w:szCs w:val="32"/>
        </w:rPr>
      </w:pPr>
    </w:p>
    <w:p w14:paraId="2810A6E8" w14:textId="77777777" w:rsidR="00EC4A76" w:rsidRDefault="00EC4A76" w:rsidP="00EC4A76">
      <w:pPr>
        <w:tabs>
          <w:tab w:val="left" w:pos="9288"/>
        </w:tabs>
        <w:spacing w:before="93" w:line="637" w:lineRule="exact"/>
        <w:rPr>
          <w:b/>
          <w:bCs/>
          <w:sz w:val="32"/>
          <w:szCs w:val="32"/>
        </w:rPr>
      </w:pPr>
    </w:p>
    <w:p w14:paraId="21DFC8D5" w14:textId="77777777" w:rsidR="00EC4A76" w:rsidRPr="008170B1" w:rsidRDefault="00EC4A76" w:rsidP="00084516">
      <w:pPr>
        <w:tabs>
          <w:tab w:val="left" w:pos="9288"/>
        </w:tabs>
        <w:spacing w:line="637" w:lineRule="exact"/>
        <w:jc w:val="center"/>
        <w:rPr>
          <w:rFonts w:ascii="Arial" w:eastAsia="Arial" w:hAnsi="Arial"/>
          <w:b/>
          <w:color w:val="000000"/>
          <w:spacing w:val="-5"/>
        </w:rPr>
      </w:pPr>
      <w:r>
        <w:rPr>
          <w:rFonts w:ascii="Arial" w:eastAsia="Arial" w:hAnsi="Arial"/>
          <w:b/>
          <w:color w:val="000000"/>
          <w:spacing w:val="-5"/>
        </w:rPr>
        <w:lastRenderedPageBreak/>
        <w:t>STANDARD MEDICAL CERTIFICATE FORM</w:t>
      </w:r>
    </w:p>
    <w:tbl>
      <w:tblPr>
        <w:tblpPr w:leftFromText="180" w:rightFromText="180" w:vertAnchor="text" w:horzAnchor="margin" w:tblpXSpec="center" w:tblpY="694"/>
        <w:tblOverlap w:val="never"/>
        <w:tblW w:w="1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0"/>
      </w:tblGrid>
      <w:tr w:rsidR="005B4B57" w14:paraId="52FD38C5" w14:textId="77777777" w:rsidTr="0056185E">
        <w:tc>
          <w:tcPr>
            <w:tcW w:w="11200" w:type="dxa"/>
            <w:shd w:val="clear" w:color="auto" w:fill="auto"/>
          </w:tcPr>
          <w:p w14:paraId="21284FD9" w14:textId="77777777" w:rsidR="00EC4A76" w:rsidRPr="00331FC1" w:rsidRDefault="00EC4A76" w:rsidP="0056185E">
            <w:pPr>
              <w:spacing w:before="1" w:line="353" w:lineRule="exact"/>
              <w:rPr>
                <w:rFonts w:ascii="Arial" w:eastAsia="Arial" w:hAnsi="Arial"/>
                <w:b/>
                <w:color w:val="000000"/>
                <w:spacing w:val="-1"/>
                <w:szCs w:val="24"/>
              </w:rPr>
            </w:pPr>
            <w:r w:rsidRPr="00331FC1">
              <w:rPr>
                <w:rFonts w:ascii="Arial" w:eastAsia="Arial" w:hAnsi="Arial"/>
                <w:b/>
                <w:color w:val="000000"/>
                <w:spacing w:val="-1"/>
                <w:szCs w:val="24"/>
              </w:rPr>
              <w:t>Name of the customer or applicant in whose name the utility account is or will be registered:</w:t>
            </w:r>
          </w:p>
          <w:p w14:paraId="228C01B7" w14:textId="77777777" w:rsidR="00EC4A76" w:rsidRPr="00331FC1" w:rsidRDefault="00EC4A76" w:rsidP="0056185E">
            <w:pPr>
              <w:spacing w:before="1" w:line="353" w:lineRule="exact"/>
              <w:rPr>
                <w:rFonts w:ascii="Arial" w:eastAsia="Arial" w:hAnsi="Arial"/>
                <w:b/>
                <w:color w:val="000000"/>
                <w:spacing w:val="-1"/>
                <w:szCs w:val="24"/>
              </w:rPr>
            </w:pPr>
          </w:p>
          <w:p w14:paraId="702A80B3" w14:textId="77777777" w:rsidR="00EC4A76" w:rsidRPr="00331FC1" w:rsidRDefault="00EC4A76" w:rsidP="0056185E">
            <w:pPr>
              <w:spacing w:before="1" w:line="353" w:lineRule="exact"/>
              <w:rPr>
                <w:rFonts w:ascii="Arial" w:eastAsia="Arial" w:hAnsi="Arial"/>
                <w:b/>
                <w:color w:val="000000"/>
                <w:spacing w:val="-1"/>
                <w:szCs w:val="24"/>
              </w:rPr>
            </w:pPr>
          </w:p>
          <w:p w14:paraId="29984E36" w14:textId="77777777" w:rsidR="00EC4A76" w:rsidRPr="00331FC1" w:rsidRDefault="00EC4A76" w:rsidP="0056185E">
            <w:pPr>
              <w:spacing w:before="1" w:line="353" w:lineRule="exact"/>
              <w:rPr>
                <w:rFonts w:ascii="Arial" w:eastAsia="Arial" w:hAnsi="Arial"/>
                <w:b/>
                <w:color w:val="000000"/>
                <w:spacing w:val="-1"/>
                <w:szCs w:val="24"/>
              </w:rPr>
            </w:pPr>
          </w:p>
        </w:tc>
      </w:tr>
      <w:tr w:rsidR="005B4B57" w14:paraId="56D6D3E5" w14:textId="77777777" w:rsidTr="0056185E">
        <w:tc>
          <w:tcPr>
            <w:tcW w:w="11200" w:type="dxa"/>
            <w:shd w:val="clear" w:color="auto" w:fill="auto"/>
          </w:tcPr>
          <w:p w14:paraId="5777BE86" w14:textId="77777777" w:rsidR="00EC4A76" w:rsidRPr="00331FC1" w:rsidRDefault="00EC4A76" w:rsidP="0056185E">
            <w:pPr>
              <w:spacing w:before="1" w:line="353" w:lineRule="exact"/>
              <w:rPr>
                <w:rFonts w:ascii="Arial" w:eastAsia="Arial" w:hAnsi="Arial"/>
                <w:b/>
                <w:color w:val="000000"/>
                <w:spacing w:val="-1"/>
                <w:szCs w:val="24"/>
              </w:rPr>
            </w:pPr>
            <w:r w:rsidRPr="00331FC1">
              <w:rPr>
                <w:rFonts w:ascii="Arial" w:eastAsia="Arial" w:hAnsi="Arial"/>
                <w:b/>
                <w:color w:val="000000"/>
                <w:spacing w:val="-1"/>
                <w:szCs w:val="24"/>
              </w:rPr>
              <w:t>Utility account number</w:t>
            </w:r>
            <w:r w:rsidR="0014633E" w:rsidRPr="00331FC1">
              <w:rPr>
                <w:rFonts w:ascii="Arial" w:eastAsia="Arial" w:hAnsi="Arial"/>
                <w:b/>
                <w:color w:val="000000"/>
                <w:spacing w:val="-1"/>
                <w:szCs w:val="24"/>
              </w:rPr>
              <w:t xml:space="preserve"> (optional)</w:t>
            </w:r>
            <w:r w:rsidRPr="00331FC1">
              <w:rPr>
                <w:rFonts w:ascii="Arial" w:eastAsia="Arial" w:hAnsi="Arial"/>
                <w:b/>
                <w:color w:val="000000"/>
                <w:spacing w:val="-1"/>
                <w:szCs w:val="24"/>
              </w:rPr>
              <w:t xml:space="preserve">: </w:t>
            </w:r>
          </w:p>
          <w:p w14:paraId="27D4F62B" w14:textId="77777777" w:rsidR="00EC4A76" w:rsidRPr="00331FC1" w:rsidRDefault="00EC4A76" w:rsidP="0056185E">
            <w:pPr>
              <w:spacing w:before="1" w:line="353" w:lineRule="exact"/>
              <w:rPr>
                <w:rFonts w:ascii="Arial" w:eastAsia="Arial" w:hAnsi="Arial"/>
                <w:b/>
                <w:color w:val="000000"/>
                <w:spacing w:val="-1"/>
                <w:szCs w:val="24"/>
              </w:rPr>
            </w:pPr>
          </w:p>
          <w:p w14:paraId="2FF4A125" w14:textId="77777777" w:rsidR="00EC4A76" w:rsidRPr="00331FC1" w:rsidRDefault="00EC4A76" w:rsidP="0056185E">
            <w:pPr>
              <w:spacing w:before="1" w:line="353" w:lineRule="exact"/>
              <w:rPr>
                <w:rFonts w:ascii="Arial" w:eastAsia="Arial" w:hAnsi="Arial"/>
                <w:b/>
                <w:color w:val="000000"/>
                <w:spacing w:val="-1"/>
                <w:szCs w:val="24"/>
              </w:rPr>
            </w:pPr>
          </w:p>
        </w:tc>
      </w:tr>
      <w:tr w:rsidR="005B4B57" w14:paraId="29A34414" w14:textId="77777777" w:rsidTr="0056185E">
        <w:tc>
          <w:tcPr>
            <w:tcW w:w="11200" w:type="dxa"/>
            <w:shd w:val="clear" w:color="auto" w:fill="auto"/>
          </w:tcPr>
          <w:p w14:paraId="0A8BCEAA" w14:textId="77777777" w:rsidR="00EC4A76" w:rsidRPr="00331FC1" w:rsidRDefault="00EC4A76" w:rsidP="0056185E">
            <w:pPr>
              <w:spacing w:before="1" w:line="353" w:lineRule="exact"/>
              <w:rPr>
                <w:rFonts w:ascii="Arial" w:eastAsia="Arial" w:hAnsi="Arial"/>
                <w:b/>
                <w:color w:val="000000"/>
                <w:spacing w:val="-1"/>
                <w:szCs w:val="24"/>
              </w:rPr>
            </w:pPr>
            <w:r w:rsidRPr="00331FC1">
              <w:rPr>
                <w:rFonts w:ascii="Arial" w:eastAsia="Arial" w:hAnsi="Arial"/>
                <w:b/>
                <w:color w:val="000000"/>
                <w:spacing w:val="-1"/>
                <w:szCs w:val="24"/>
              </w:rPr>
              <w:t>Address of the customer or applicant in whose name the utility account is or will be registered:</w:t>
            </w:r>
          </w:p>
          <w:p w14:paraId="3083F466" w14:textId="77777777" w:rsidR="00EC4A76" w:rsidRPr="00331FC1" w:rsidRDefault="00EC4A76" w:rsidP="0056185E">
            <w:pPr>
              <w:spacing w:before="1" w:line="353" w:lineRule="exact"/>
              <w:rPr>
                <w:rFonts w:ascii="Arial" w:eastAsia="Arial" w:hAnsi="Arial"/>
                <w:b/>
                <w:color w:val="000000"/>
                <w:spacing w:val="-1"/>
                <w:szCs w:val="24"/>
              </w:rPr>
            </w:pPr>
          </w:p>
          <w:p w14:paraId="5143C013" w14:textId="77777777" w:rsidR="00EC4A76" w:rsidRPr="00331FC1" w:rsidRDefault="00EC4A76" w:rsidP="0056185E">
            <w:pPr>
              <w:spacing w:before="1" w:line="353" w:lineRule="exact"/>
              <w:rPr>
                <w:rFonts w:ascii="Arial" w:eastAsia="Arial" w:hAnsi="Arial"/>
                <w:b/>
                <w:color w:val="000000"/>
                <w:spacing w:val="-1"/>
                <w:szCs w:val="24"/>
              </w:rPr>
            </w:pPr>
            <w:r w:rsidRPr="00331FC1">
              <w:rPr>
                <w:rFonts w:ascii="Arial" w:eastAsia="Arial" w:hAnsi="Arial"/>
                <w:b/>
                <w:color w:val="000000"/>
                <w:spacing w:val="-1"/>
                <w:szCs w:val="24"/>
              </w:rPr>
              <w:t>Name and address of patient if different from the customer or applicant above:</w:t>
            </w:r>
          </w:p>
          <w:p w14:paraId="2F2C7CA2" w14:textId="77777777" w:rsidR="00EC4A76" w:rsidRPr="00331FC1" w:rsidRDefault="00EC4A76" w:rsidP="0056185E">
            <w:pPr>
              <w:spacing w:before="1" w:line="353" w:lineRule="exact"/>
              <w:rPr>
                <w:rFonts w:ascii="Arial" w:eastAsia="Arial" w:hAnsi="Arial"/>
                <w:b/>
                <w:color w:val="000000"/>
                <w:spacing w:val="-1"/>
                <w:szCs w:val="24"/>
              </w:rPr>
            </w:pPr>
          </w:p>
          <w:p w14:paraId="58B623A0" w14:textId="77777777" w:rsidR="00EC4A76" w:rsidRPr="00331FC1" w:rsidRDefault="00EC4A76" w:rsidP="0056185E">
            <w:pPr>
              <w:spacing w:before="1" w:line="353" w:lineRule="exact"/>
              <w:rPr>
                <w:rFonts w:ascii="Arial" w:eastAsia="Arial" w:hAnsi="Arial"/>
                <w:b/>
                <w:color w:val="000000"/>
                <w:spacing w:val="-1"/>
                <w:szCs w:val="24"/>
              </w:rPr>
            </w:pPr>
            <w:r w:rsidRPr="00331FC1">
              <w:rPr>
                <w:rFonts w:ascii="Arial" w:eastAsia="Arial" w:hAnsi="Arial"/>
                <w:b/>
                <w:color w:val="000000"/>
                <w:spacing w:val="-1"/>
                <w:szCs w:val="24"/>
              </w:rPr>
              <w:t>Relationship of patient to customer or applicant if patient is different from the customer or applicant above:</w:t>
            </w:r>
          </w:p>
          <w:p w14:paraId="5E81839F" w14:textId="77777777" w:rsidR="00EC4A76" w:rsidRPr="00331FC1" w:rsidRDefault="00EC4A76" w:rsidP="0056185E">
            <w:pPr>
              <w:spacing w:before="1" w:line="353" w:lineRule="exact"/>
              <w:rPr>
                <w:rFonts w:ascii="Arial" w:eastAsia="Arial" w:hAnsi="Arial"/>
                <w:b/>
                <w:color w:val="000000"/>
                <w:spacing w:val="-1"/>
                <w:szCs w:val="24"/>
              </w:rPr>
            </w:pPr>
          </w:p>
        </w:tc>
      </w:tr>
      <w:tr w:rsidR="005B4B57" w14:paraId="71192295" w14:textId="77777777" w:rsidTr="0056185E">
        <w:tc>
          <w:tcPr>
            <w:tcW w:w="11200" w:type="dxa"/>
            <w:shd w:val="clear" w:color="auto" w:fill="auto"/>
          </w:tcPr>
          <w:p w14:paraId="77777A85" w14:textId="77777777" w:rsidR="00EC4A76" w:rsidRPr="00331FC1" w:rsidRDefault="00EC4A76" w:rsidP="0056185E">
            <w:pPr>
              <w:spacing w:before="1" w:line="353" w:lineRule="exact"/>
              <w:rPr>
                <w:rFonts w:ascii="Arial" w:eastAsia="Arial" w:hAnsi="Arial"/>
                <w:b/>
                <w:color w:val="000000"/>
                <w:spacing w:val="-1"/>
                <w:szCs w:val="24"/>
              </w:rPr>
            </w:pPr>
            <w:r w:rsidRPr="00331FC1">
              <w:rPr>
                <w:rFonts w:ascii="Arial" w:eastAsia="Arial" w:hAnsi="Arial"/>
                <w:b/>
                <w:color w:val="000000"/>
                <w:spacing w:val="-1"/>
                <w:szCs w:val="24"/>
              </w:rPr>
              <w:t>Anticipated length of the affliction/medical condition:</w:t>
            </w:r>
          </w:p>
          <w:p w14:paraId="3DA4368E" w14:textId="77777777" w:rsidR="00EC4A76" w:rsidRPr="00331FC1" w:rsidRDefault="00EC4A76" w:rsidP="0056185E">
            <w:pPr>
              <w:spacing w:before="1" w:line="353" w:lineRule="exact"/>
              <w:rPr>
                <w:rFonts w:ascii="Arial" w:eastAsia="Arial" w:hAnsi="Arial"/>
                <w:b/>
                <w:color w:val="000000"/>
                <w:spacing w:val="-1"/>
                <w:szCs w:val="24"/>
              </w:rPr>
            </w:pPr>
          </w:p>
          <w:p w14:paraId="5FCDB156" w14:textId="77777777" w:rsidR="00EC4A76" w:rsidRPr="00331FC1" w:rsidRDefault="00EC4A76" w:rsidP="0056185E">
            <w:pPr>
              <w:spacing w:before="1" w:line="353" w:lineRule="exact"/>
              <w:rPr>
                <w:rFonts w:ascii="Arial" w:eastAsia="Arial" w:hAnsi="Arial"/>
                <w:b/>
                <w:color w:val="000000"/>
                <w:spacing w:val="-1"/>
                <w:szCs w:val="24"/>
              </w:rPr>
            </w:pPr>
          </w:p>
        </w:tc>
      </w:tr>
      <w:tr w:rsidR="005B4B57" w14:paraId="33B06044" w14:textId="77777777" w:rsidTr="0056185E">
        <w:tc>
          <w:tcPr>
            <w:tcW w:w="11200" w:type="dxa"/>
            <w:shd w:val="clear" w:color="auto" w:fill="auto"/>
          </w:tcPr>
          <w:p w14:paraId="6C508F02" w14:textId="77777777" w:rsidR="00EC4A76" w:rsidRPr="0056185E" w:rsidRDefault="00EC4A76" w:rsidP="0056185E">
            <w:pPr>
              <w:spacing w:before="1" w:line="353" w:lineRule="exact"/>
              <w:rPr>
                <w:rFonts w:ascii="Arial" w:eastAsia="Arial" w:hAnsi="Arial"/>
                <w:b/>
                <w:color w:val="000000"/>
                <w:spacing w:val="-1"/>
                <w:szCs w:val="24"/>
              </w:rPr>
            </w:pPr>
            <w:r w:rsidRPr="0056185E">
              <w:rPr>
                <w:rFonts w:ascii="Arial" w:eastAsia="Arial" w:hAnsi="Arial"/>
                <w:b/>
                <w:color w:val="000000"/>
                <w:spacing w:val="-1"/>
                <w:szCs w:val="24"/>
              </w:rPr>
              <w:t>Printed name of the Physician, Nurse Practitioner, or Physician’s Assistant:</w:t>
            </w:r>
          </w:p>
          <w:p w14:paraId="698B3AAF" w14:textId="77777777" w:rsidR="00EC4A76" w:rsidRPr="0056185E" w:rsidRDefault="00EC4A76" w:rsidP="0056185E">
            <w:pPr>
              <w:spacing w:before="1" w:line="353" w:lineRule="exact"/>
              <w:rPr>
                <w:rFonts w:ascii="Arial" w:eastAsia="Arial" w:hAnsi="Arial"/>
                <w:b/>
                <w:color w:val="000000"/>
                <w:spacing w:val="-1"/>
                <w:szCs w:val="24"/>
              </w:rPr>
            </w:pPr>
          </w:p>
          <w:p w14:paraId="1D572843" w14:textId="77777777" w:rsidR="00EC4A76" w:rsidRPr="0056185E" w:rsidRDefault="00EC4A76" w:rsidP="0056185E">
            <w:pPr>
              <w:spacing w:before="1" w:line="353" w:lineRule="exact"/>
              <w:rPr>
                <w:rFonts w:ascii="Arial" w:eastAsia="Arial" w:hAnsi="Arial"/>
                <w:b/>
                <w:color w:val="000000"/>
                <w:spacing w:val="-1"/>
                <w:szCs w:val="24"/>
              </w:rPr>
            </w:pPr>
          </w:p>
        </w:tc>
      </w:tr>
      <w:tr w:rsidR="00CF2A13" w14:paraId="1DBD5E96" w14:textId="77777777" w:rsidTr="0056185E">
        <w:tc>
          <w:tcPr>
            <w:tcW w:w="11200" w:type="dxa"/>
            <w:shd w:val="clear" w:color="auto" w:fill="auto"/>
          </w:tcPr>
          <w:p w14:paraId="1069E6F3" w14:textId="77777777" w:rsidR="00CF2A13" w:rsidRDefault="00CF2A13" w:rsidP="00CF2A13">
            <w:pPr>
              <w:spacing w:before="1" w:line="353" w:lineRule="exact"/>
              <w:rPr>
                <w:rFonts w:ascii="Arial" w:eastAsia="Arial" w:hAnsi="Arial"/>
                <w:b/>
                <w:color w:val="000000"/>
                <w:spacing w:val="-1"/>
                <w:szCs w:val="24"/>
              </w:rPr>
            </w:pPr>
            <w:r w:rsidRPr="00D444CE">
              <w:rPr>
                <w:rFonts w:ascii="Arial" w:eastAsia="Arial" w:hAnsi="Arial"/>
                <w:b/>
                <w:color w:val="000000"/>
                <w:spacing w:val="-1"/>
                <w:szCs w:val="24"/>
              </w:rPr>
              <w:t>License number of the Physician, Nurse Practitioner, or Physician’s Assistant:</w:t>
            </w:r>
          </w:p>
          <w:p w14:paraId="49CDAE60" w14:textId="77777777" w:rsidR="00CF2A13" w:rsidRDefault="00CF2A13" w:rsidP="00CF2A13">
            <w:pPr>
              <w:spacing w:before="1" w:line="353" w:lineRule="exact"/>
              <w:rPr>
                <w:rFonts w:ascii="Arial" w:eastAsia="Arial" w:hAnsi="Arial"/>
                <w:b/>
                <w:color w:val="000000"/>
                <w:spacing w:val="-1"/>
                <w:szCs w:val="24"/>
              </w:rPr>
            </w:pPr>
          </w:p>
          <w:p w14:paraId="72A77842" w14:textId="77777777" w:rsidR="00CF2A13" w:rsidRPr="0056185E" w:rsidRDefault="00CF2A13" w:rsidP="00CF2A13">
            <w:pPr>
              <w:spacing w:before="1" w:line="353" w:lineRule="exact"/>
              <w:rPr>
                <w:rFonts w:ascii="Arial" w:eastAsia="Arial" w:hAnsi="Arial"/>
                <w:b/>
                <w:color w:val="000000"/>
                <w:spacing w:val="-1"/>
                <w:szCs w:val="24"/>
              </w:rPr>
            </w:pPr>
          </w:p>
        </w:tc>
      </w:tr>
      <w:tr w:rsidR="005B4B57" w14:paraId="5790E393" w14:textId="77777777" w:rsidTr="0056185E">
        <w:tc>
          <w:tcPr>
            <w:tcW w:w="11200" w:type="dxa"/>
            <w:shd w:val="clear" w:color="auto" w:fill="auto"/>
          </w:tcPr>
          <w:p w14:paraId="04E25578" w14:textId="77777777" w:rsidR="00EC4A76" w:rsidRPr="0056185E" w:rsidRDefault="00EC4A76" w:rsidP="0056185E">
            <w:pPr>
              <w:spacing w:before="1" w:line="353" w:lineRule="exact"/>
              <w:rPr>
                <w:rFonts w:ascii="Arial" w:eastAsia="Arial" w:hAnsi="Arial"/>
                <w:b/>
                <w:color w:val="000000"/>
                <w:spacing w:val="-1"/>
                <w:szCs w:val="24"/>
              </w:rPr>
            </w:pPr>
            <w:r w:rsidRPr="0056185E">
              <w:rPr>
                <w:rFonts w:ascii="Arial" w:eastAsia="Arial" w:hAnsi="Arial"/>
                <w:b/>
                <w:color w:val="000000"/>
                <w:spacing w:val="-1"/>
                <w:szCs w:val="24"/>
              </w:rPr>
              <w:t xml:space="preserve">Office address and Office Phone number of </w:t>
            </w:r>
            <w:r w:rsidR="0080574E" w:rsidRPr="0056185E">
              <w:rPr>
                <w:rFonts w:ascii="Arial" w:eastAsia="Arial" w:hAnsi="Arial"/>
                <w:b/>
                <w:color w:val="000000"/>
                <w:spacing w:val="-1"/>
                <w:szCs w:val="24"/>
              </w:rPr>
              <w:t>the Physician</w:t>
            </w:r>
            <w:r w:rsidRPr="0056185E">
              <w:rPr>
                <w:rFonts w:ascii="Arial" w:eastAsia="Arial" w:hAnsi="Arial"/>
                <w:b/>
                <w:color w:val="000000"/>
                <w:spacing w:val="-1"/>
                <w:szCs w:val="24"/>
              </w:rPr>
              <w:t>, Nurse Practitioner, or Physician’s Assistant:</w:t>
            </w:r>
          </w:p>
          <w:p w14:paraId="79F5A02D" w14:textId="77777777" w:rsidR="00EC4A76" w:rsidRPr="0056185E" w:rsidRDefault="00EC4A76" w:rsidP="0056185E">
            <w:pPr>
              <w:spacing w:before="1" w:line="353" w:lineRule="exact"/>
              <w:rPr>
                <w:rFonts w:ascii="Arial" w:eastAsia="Arial" w:hAnsi="Arial"/>
                <w:b/>
                <w:color w:val="000000"/>
                <w:spacing w:val="-1"/>
                <w:szCs w:val="24"/>
              </w:rPr>
            </w:pPr>
          </w:p>
          <w:p w14:paraId="5F0ED867" w14:textId="77777777" w:rsidR="00EC4A76" w:rsidRPr="0056185E" w:rsidRDefault="00EC4A76" w:rsidP="0056185E">
            <w:pPr>
              <w:spacing w:before="1" w:line="353" w:lineRule="exact"/>
              <w:rPr>
                <w:rFonts w:ascii="Arial" w:eastAsia="Arial" w:hAnsi="Arial"/>
                <w:b/>
                <w:color w:val="000000"/>
                <w:spacing w:val="-1"/>
                <w:szCs w:val="24"/>
              </w:rPr>
            </w:pPr>
          </w:p>
        </w:tc>
      </w:tr>
      <w:tr w:rsidR="005B4B57" w14:paraId="4E61744C" w14:textId="77777777" w:rsidTr="0056185E">
        <w:tc>
          <w:tcPr>
            <w:tcW w:w="11200" w:type="dxa"/>
            <w:shd w:val="clear" w:color="auto" w:fill="auto"/>
          </w:tcPr>
          <w:p w14:paraId="6C77576A" w14:textId="77777777" w:rsidR="00EC4A76" w:rsidRPr="0056185E" w:rsidRDefault="00EC4A76" w:rsidP="0056185E">
            <w:pPr>
              <w:spacing w:before="1" w:line="353" w:lineRule="exact"/>
              <w:rPr>
                <w:rFonts w:ascii="Arial" w:eastAsia="Arial" w:hAnsi="Arial"/>
                <w:b/>
                <w:color w:val="000000"/>
                <w:spacing w:val="-1"/>
                <w:szCs w:val="24"/>
              </w:rPr>
            </w:pPr>
            <w:r w:rsidRPr="0056185E">
              <w:rPr>
                <w:rFonts w:ascii="Arial" w:eastAsia="Arial" w:hAnsi="Arial"/>
                <w:b/>
                <w:color w:val="000000"/>
                <w:spacing w:val="-1"/>
                <w:szCs w:val="24"/>
              </w:rPr>
              <w:t xml:space="preserve">Signature (or E-signature) of the Physician, Nurse Practitioner, or Physician’s Assistant and the Date signed: </w:t>
            </w:r>
          </w:p>
          <w:p w14:paraId="3961759E" w14:textId="77777777" w:rsidR="00EC4A76" w:rsidRPr="0056185E" w:rsidRDefault="00EC4A76" w:rsidP="0056185E">
            <w:pPr>
              <w:spacing w:before="1" w:line="353" w:lineRule="exact"/>
              <w:rPr>
                <w:rFonts w:ascii="Arial" w:eastAsia="Arial" w:hAnsi="Arial"/>
                <w:b/>
                <w:color w:val="000000"/>
                <w:spacing w:val="-1"/>
                <w:szCs w:val="24"/>
              </w:rPr>
            </w:pPr>
          </w:p>
          <w:p w14:paraId="6AEA0ED4" w14:textId="77777777" w:rsidR="00EC4A76" w:rsidRPr="0056185E" w:rsidRDefault="00EC4A76" w:rsidP="0056185E">
            <w:pPr>
              <w:spacing w:before="1" w:line="353" w:lineRule="exact"/>
              <w:rPr>
                <w:rFonts w:ascii="Arial" w:eastAsia="Arial" w:hAnsi="Arial"/>
                <w:b/>
                <w:color w:val="000000"/>
                <w:spacing w:val="-1"/>
                <w:szCs w:val="24"/>
              </w:rPr>
            </w:pPr>
          </w:p>
          <w:p w14:paraId="3047D274" w14:textId="77777777" w:rsidR="00EC4A76" w:rsidRPr="0056185E" w:rsidRDefault="00EC4A76" w:rsidP="0056185E">
            <w:pPr>
              <w:spacing w:before="1" w:line="353" w:lineRule="exact"/>
              <w:rPr>
                <w:rFonts w:ascii="Arial" w:eastAsia="Arial" w:hAnsi="Arial"/>
                <w:b/>
                <w:color w:val="000000"/>
                <w:spacing w:val="-1"/>
                <w:szCs w:val="24"/>
              </w:rPr>
            </w:pPr>
          </w:p>
        </w:tc>
      </w:tr>
    </w:tbl>
    <w:p w14:paraId="0BB75E61" w14:textId="77777777" w:rsidR="00EC4A76" w:rsidRDefault="00EC4A76" w:rsidP="00EC4A76">
      <w:pPr>
        <w:spacing w:before="1" w:line="353" w:lineRule="exact"/>
        <w:rPr>
          <w:rFonts w:ascii="Arial" w:eastAsia="Arial" w:hAnsi="Arial"/>
          <w:b/>
          <w:color w:val="000000"/>
          <w:spacing w:val="-1"/>
          <w:szCs w:val="24"/>
        </w:rPr>
      </w:pPr>
      <w:r w:rsidRPr="00346E1F">
        <w:rPr>
          <w:rFonts w:ascii="Arial" w:eastAsia="Arial" w:hAnsi="Arial"/>
          <w:b/>
          <w:color w:val="000000"/>
          <w:spacing w:val="-1"/>
          <w:szCs w:val="24"/>
        </w:rPr>
        <w:t>To Be Completed By</w:t>
      </w:r>
      <w:r>
        <w:rPr>
          <w:rFonts w:ascii="Arial" w:eastAsia="Arial" w:hAnsi="Arial"/>
          <w:b/>
          <w:color w:val="000000"/>
          <w:spacing w:val="-1"/>
          <w:szCs w:val="24"/>
        </w:rPr>
        <w:t xml:space="preserve"> The </w:t>
      </w:r>
      <w:r w:rsidRPr="00346E1F">
        <w:rPr>
          <w:rFonts w:ascii="Arial" w:eastAsia="Arial" w:hAnsi="Arial"/>
          <w:b/>
          <w:color w:val="000000"/>
          <w:spacing w:val="-1"/>
          <w:szCs w:val="24"/>
        </w:rPr>
        <w:t>Physician, Nurse Practitioner, or Physician's Assistant</w:t>
      </w:r>
    </w:p>
    <w:p w14:paraId="14AC6FC1" w14:textId="77777777" w:rsidR="00EC4A76" w:rsidRDefault="00EC4A76" w:rsidP="00EC4A76">
      <w:pPr>
        <w:rPr>
          <w:sz w:val="26"/>
          <w:szCs w:val="26"/>
        </w:rPr>
      </w:pPr>
      <w:r>
        <w:rPr>
          <w:sz w:val="26"/>
          <w:szCs w:val="26"/>
        </w:rPr>
        <w:br w:type="page"/>
      </w:r>
    </w:p>
    <w:p w14:paraId="364801A7" w14:textId="77777777" w:rsidR="00EC4A76" w:rsidRDefault="00EC4A76" w:rsidP="00EC4A76">
      <w:pPr>
        <w:jc w:val="center"/>
        <w:rPr>
          <w:b/>
          <w:bCs/>
          <w:sz w:val="48"/>
          <w:szCs w:val="48"/>
        </w:rPr>
      </w:pPr>
    </w:p>
    <w:p w14:paraId="03742289" w14:textId="77777777" w:rsidR="00EC4A76" w:rsidRDefault="00EC4A76" w:rsidP="00EC4A76">
      <w:pPr>
        <w:jc w:val="center"/>
        <w:rPr>
          <w:b/>
          <w:bCs/>
          <w:sz w:val="48"/>
          <w:szCs w:val="48"/>
        </w:rPr>
      </w:pPr>
    </w:p>
    <w:p w14:paraId="195DA475" w14:textId="77777777" w:rsidR="00EC4A76" w:rsidRDefault="00EC4A76" w:rsidP="00EC4A76">
      <w:pPr>
        <w:jc w:val="center"/>
        <w:rPr>
          <w:b/>
          <w:bCs/>
          <w:sz w:val="48"/>
          <w:szCs w:val="48"/>
        </w:rPr>
      </w:pPr>
    </w:p>
    <w:p w14:paraId="387AE94E" w14:textId="77777777" w:rsidR="00EC4A76" w:rsidRDefault="00EC4A76" w:rsidP="00EC4A76">
      <w:pPr>
        <w:jc w:val="center"/>
        <w:rPr>
          <w:b/>
          <w:bCs/>
          <w:sz w:val="48"/>
          <w:szCs w:val="48"/>
        </w:rPr>
      </w:pPr>
    </w:p>
    <w:p w14:paraId="5E553624" w14:textId="77777777" w:rsidR="00EC4A76" w:rsidRDefault="00EC4A76" w:rsidP="00EC4A76">
      <w:pPr>
        <w:jc w:val="center"/>
        <w:rPr>
          <w:b/>
          <w:bCs/>
          <w:sz w:val="48"/>
          <w:szCs w:val="48"/>
        </w:rPr>
      </w:pPr>
    </w:p>
    <w:p w14:paraId="060AF6FF" w14:textId="77777777" w:rsidR="00EC4A76" w:rsidRDefault="00EC4A76" w:rsidP="00EC4A76">
      <w:pPr>
        <w:jc w:val="center"/>
        <w:rPr>
          <w:b/>
          <w:bCs/>
          <w:sz w:val="48"/>
          <w:szCs w:val="48"/>
        </w:rPr>
      </w:pPr>
    </w:p>
    <w:p w14:paraId="6DB24809" w14:textId="77777777" w:rsidR="00EC4A76" w:rsidRDefault="00EC4A76" w:rsidP="00EC4A76">
      <w:pPr>
        <w:jc w:val="center"/>
        <w:rPr>
          <w:b/>
          <w:bCs/>
          <w:sz w:val="48"/>
          <w:szCs w:val="48"/>
        </w:rPr>
      </w:pPr>
    </w:p>
    <w:p w14:paraId="6B827256" w14:textId="77777777" w:rsidR="00EC4A76" w:rsidRDefault="00EC4A76" w:rsidP="00EC4A76">
      <w:pPr>
        <w:jc w:val="center"/>
        <w:rPr>
          <w:b/>
          <w:bCs/>
          <w:sz w:val="48"/>
          <w:szCs w:val="48"/>
        </w:rPr>
      </w:pPr>
    </w:p>
    <w:p w14:paraId="06692AD5" w14:textId="77777777" w:rsidR="00EC4A76" w:rsidRDefault="00EC4A76" w:rsidP="00EC4A76">
      <w:pPr>
        <w:jc w:val="center"/>
        <w:rPr>
          <w:b/>
          <w:bCs/>
          <w:sz w:val="48"/>
          <w:szCs w:val="48"/>
        </w:rPr>
      </w:pPr>
    </w:p>
    <w:p w14:paraId="0B9CDBEA" w14:textId="77777777" w:rsidR="00EC4A76" w:rsidRDefault="00EC4A76" w:rsidP="00EC4A76">
      <w:pPr>
        <w:jc w:val="center"/>
        <w:rPr>
          <w:b/>
          <w:bCs/>
          <w:sz w:val="48"/>
          <w:szCs w:val="48"/>
        </w:rPr>
      </w:pPr>
      <w:r w:rsidRPr="00EC4A76">
        <w:rPr>
          <w:b/>
          <w:bCs/>
          <w:sz w:val="48"/>
          <w:szCs w:val="48"/>
        </w:rPr>
        <w:t>APPENDIX B</w:t>
      </w:r>
    </w:p>
    <w:p w14:paraId="1BAD4BC5" w14:textId="77777777" w:rsidR="0056185E" w:rsidRDefault="0056185E" w:rsidP="00EC4A76">
      <w:pPr>
        <w:jc w:val="center"/>
        <w:rPr>
          <w:b/>
          <w:bCs/>
          <w:sz w:val="48"/>
          <w:szCs w:val="48"/>
        </w:rPr>
        <w:sectPr w:rsidR="0056185E" w:rsidSect="00D83182">
          <w:footerReference w:type="default" r:id="rId14"/>
          <w:footerReference w:type="first" r:id="rId15"/>
          <w:pgSz w:w="12240" w:h="15840"/>
          <w:pgMar w:top="1440" w:right="1440" w:bottom="1440" w:left="1440" w:header="720" w:footer="720" w:gutter="0"/>
          <w:cols w:space="720"/>
          <w:titlePg/>
        </w:sectPr>
      </w:pPr>
    </w:p>
    <w:p w14:paraId="62407B0A" w14:textId="77777777" w:rsidR="00EC4A76" w:rsidRDefault="00EC4A76" w:rsidP="00EC4A76">
      <w:pPr>
        <w:jc w:val="center"/>
        <w:rPr>
          <w:b/>
          <w:bCs/>
          <w:sz w:val="26"/>
          <w:szCs w:val="26"/>
        </w:rPr>
      </w:pPr>
      <w:r>
        <w:rPr>
          <w:b/>
          <w:bCs/>
          <w:sz w:val="26"/>
          <w:szCs w:val="26"/>
        </w:rPr>
        <w:lastRenderedPageBreak/>
        <w:t>MEDICAL CERTIFICATE GUIDANCE</w:t>
      </w:r>
    </w:p>
    <w:p w14:paraId="5EBD0A7E" w14:textId="77777777" w:rsidR="00EC4A76" w:rsidRPr="00EC4A76" w:rsidRDefault="00EC4A76" w:rsidP="00EC4A76">
      <w:pPr>
        <w:jc w:val="center"/>
        <w:rPr>
          <w:b/>
          <w:bCs/>
          <w:sz w:val="26"/>
          <w:szCs w:val="26"/>
        </w:rPr>
      </w:pPr>
    </w:p>
    <w:p w14:paraId="15487824" w14:textId="77777777" w:rsidR="00EC4A76" w:rsidRPr="00366F14" w:rsidRDefault="00EC4A76" w:rsidP="00EC4A76">
      <w:pPr>
        <w:spacing w:line="360" w:lineRule="auto"/>
        <w:rPr>
          <w:b/>
          <w:bCs/>
          <w:sz w:val="26"/>
          <w:szCs w:val="26"/>
          <w:u w:val="single"/>
        </w:rPr>
      </w:pPr>
      <w:r w:rsidRPr="00366F14">
        <w:rPr>
          <w:b/>
          <w:bCs/>
          <w:sz w:val="26"/>
          <w:szCs w:val="26"/>
          <w:u w:val="single"/>
        </w:rPr>
        <w:t xml:space="preserve">Guidance for </w:t>
      </w:r>
      <w:r>
        <w:rPr>
          <w:b/>
          <w:bCs/>
          <w:sz w:val="26"/>
          <w:szCs w:val="26"/>
          <w:u w:val="single"/>
        </w:rPr>
        <w:t>C</w:t>
      </w:r>
      <w:r w:rsidRPr="00366F14">
        <w:rPr>
          <w:b/>
          <w:bCs/>
          <w:sz w:val="26"/>
          <w:szCs w:val="26"/>
          <w:u w:val="single"/>
        </w:rPr>
        <w:t xml:space="preserve">onsumers: </w:t>
      </w:r>
    </w:p>
    <w:p w14:paraId="1835B3EE" w14:textId="77777777" w:rsidR="008208A9" w:rsidRDefault="00EC4A76" w:rsidP="00FA312E">
      <w:pPr>
        <w:spacing w:line="360" w:lineRule="auto"/>
        <w:ind w:firstLine="720"/>
        <w:rPr>
          <w:sz w:val="26"/>
          <w:szCs w:val="26"/>
        </w:rPr>
      </w:pPr>
      <w:r w:rsidRPr="00366F14">
        <w:rPr>
          <w:sz w:val="26"/>
          <w:szCs w:val="26"/>
        </w:rPr>
        <w:t xml:space="preserve">If you are behind on your </w:t>
      </w:r>
      <w:r w:rsidR="009E0531">
        <w:rPr>
          <w:sz w:val="26"/>
          <w:szCs w:val="26"/>
        </w:rPr>
        <w:t xml:space="preserve">utility </w:t>
      </w:r>
      <w:r w:rsidRPr="00366F14">
        <w:rPr>
          <w:sz w:val="26"/>
          <w:szCs w:val="26"/>
        </w:rPr>
        <w:t>bills, you may be able to avoid shutoff or obtain restoration of</w:t>
      </w:r>
      <w:r w:rsidR="008F3FA1">
        <w:rPr>
          <w:sz w:val="26"/>
          <w:szCs w:val="26"/>
        </w:rPr>
        <w:t> </w:t>
      </w:r>
      <w:r>
        <w:rPr>
          <w:sz w:val="26"/>
          <w:szCs w:val="26"/>
        </w:rPr>
        <w:t xml:space="preserve">public </w:t>
      </w:r>
      <w:r w:rsidRPr="00366F14">
        <w:rPr>
          <w:sz w:val="26"/>
          <w:szCs w:val="26"/>
        </w:rPr>
        <w:t xml:space="preserve">utility service if there is a medical emergency in your household. </w:t>
      </w:r>
      <w:r>
        <w:rPr>
          <w:sz w:val="26"/>
          <w:szCs w:val="26"/>
        </w:rPr>
        <w:t xml:space="preserve"> </w:t>
      </w:r>
      <w:r w:rsidRPr="00366F14">
        <w:rPr>
          <w:sz w:val="26"/>
          <w:szCs w:val="26"/>
        </w:rPr>
        <w:t xml:space="preserve">A medical emergency exists if you or a member of your household are seriously ill or have a medical condition that will be worsened if you do not have </w:t>
      </w:r>
      <w:r>
        <w:rPr>
          <w:sz w:val="26"/>
          <w:szCs w:val="26"/>
        </w:rPr>
        <w:t xml:space="preserve">public </w:t>
      </w:r>
      <w:r w:rsidRPr="00366F14">
        <w:rPr>
          <w:sz w:val="26"/>
          <w:szCs w:val="26"/>
        </w:rPr>
        <w:t xml:space="preserve">utility service. </w:t>
      </w:r>
      <w:r w:rsidR="00030CAA">
        <w:rPr>
          <w:sz w:val="26"/>
          <w:szCs w:val="26"/>
        </w:rPr>
        <w:t xml:space="preserve"> </w:t>
      </w:r>
    </w:p>
    <w:p w14:paraId="5F446370" w14:textId="77777777" w:rsidR="008208A9" w:rsidRDefault="008208A9" w:rsidP="00030CAA">
      <w:pPr>
        <w:spacing w:line="360" w:lineRule="auto"/>
        <w:ind w:firstLine="720"/>
        <w:rPr>
          <w:sz w:val="26"/>
          <w:szCs w:val="26"/>
        </w:rPr>
      </w:pPr>
    </w:p>
    <w:p w14:paraId="5DA79F72" w14:textId="77777777" w:rsidR="00EC4A76" w:rsidRPr="00331FC1" w:rsidRDefault="00EC4A76" w:rsidP="00FA312E">
      <w:pPr>
        <w:spacing w:line="360" w:lineRule="auto"/>
        <w:ind w:firstLine="720"/>
        <w:rPr>
          <w:sz w:val="26"/>
          <w:szCs w:val="26"/>
        </w:rPr>
      </w:pPr>
      <w:r w:rsidRPr="00366F14">
        <w:rPr>
          <w:sz w:val="26"/>
          <w:szCs w:val="26"/>
        </w:rPr>
        <w:t xml:space="preserve">To use a medical certificate to avoid termination or restore service, </w:t>
      </w:r>
      <w:r w:rsidR="00563392">
        <w:rPr>
          <w:sz w:val="26"/>
          <w:szCs w:val="26"/>
        </w:rPr>
        <w:t xml:space="preserve">you or </w:t>
      </w:r>
      <w:r w:rsidR="0014633E" w:rsidRPr="00331FC1">
        <w:rPr>
          <w:sz w:val="26"/>
          <w:szCs w:val="26"/>
        </w:rPr>
        <w:t xml:space="preserve">someone in </w:t>
      </w:r>
      <w:r w:rsidR="008208A9" w:rsidRPr="00331FC1">
        <w:rPr>
          <w:sz w:val="26"/>
          <w:szCs w:val="26"/>
        </w:rPr>
        <w:t>your</w:t>
      </w:r>
      <w:r w:rsidR="0014633E" w:rsidRPr="00331FC1">
        <w:rPr>
          <w:sz w:val="26"/>
          <w:szCs w:val="26"/>
        </w:rPr>
        <w:t xml:space="preserve"> household</w:t>
      </w:r>
      <w:r w:rsidRPr="00331FC1">
        <w:rPr>
          <w:sz w:val="26"/>
          <w:szCs w:val="26"/>
        </w:rPr>
        <w:t xml:space="preserve"> must be a customer of the public utility.  After your service is terminated or</w:t>
      </w:r>
      <w:r w:rsidR="008F3FA1" w:rsidRPr="00331FC1">
        <w:rPr>
          <w:sz w:val="26"/>
          <w:szCs w:val="26"/>
        </w:rPr>
        <w:t> </w:t>
      </w:r>
      <w:r w:rsidRPr="00331FC1">
        <w:rPr>
          <w:sz w:val="26"/>
          <w:szCs w:val="26"/>
        </w:rPr>
        <w:t>discontinued, you remain a customer of a public utility for 30 days.</w:t>
      </w:r>
      <w:r w:rsidR="00030CAA" w:rsidRPr="00331FC1">
        <w:rPr>
          <w:sz w:val="26"/>
          <w:szCs w:val="26"/>
        </w:rPr>
        <w:t xml:space="preserve">  </w:t>
      </w:r>
      <w:r w:rsidRPr="00331FC1">
        <w:rPr>
          <w:sz w:val="26"/>
          <w:szCs w:val="26"/>
        </w:rPr>
        <w:t>After 30 days have passed, the public utility considers you to be an applicant for new services.  Once you revert to applicant status you are no longer a customer, and your medical certificate may not be enough to restore service.  A payment may be required with the medical certificate in that case.</w:t>
      </w:r>
    </w:p>
    <w:p w14:paraId="029CB781" w14:textId="77777777" w:rsidR="00EC4A76" w:rsidRPr="00331FC1" w:rsidRDefault="00EC4A76" w:rsidP="00EC4A76">
      <w:pPr>
        <w:spacing w:line="360" w:lineRule="auto"/>
        <w:rPr>
          <w:sz w:val="26"/>
          <w:szCs w:val="26"/>
        </w:rPr>
      </w:pPr>
    </w:p>
    <w:p w14:paraId="5138703B" w14:textId="77777777" w:rsidR="0014633E" w:rsidRPr="00331FC1" w:rsidRDefault="008F3FA1" w:rsidP="00FA312E">
      <w:pPr>
        <w:spacing w:line="360" w:lineRule="auto"/>
        <w:ind w:firstLine="720"/>
        <w:rPr>
          <w:sz w:val="26"/>
          <w:szCs w:val="26"/>
        </w:rPr>
      </w:pPr>
      <w:r w:rsidRPr="00331FC1">
        <w:rPr>
          <w:sz w:val="26"/>
          <w:szCs w:val="26"/>
        </w:rPr>
        <w:t xml:space="preserve">Below are steps </w:t>
      </w:r>
      <w:r w:rsidR="00FA312E" w:rsidRPr="00331FC1">
        <w:rPr>
          <w:sz w:val="26"/>
          <w:szCs w:val="26"/>
        </w:rPr>
        <w:t xml:space="preserve">for consumers regarding how to obtain a medical certificate and how to </w:t>
      </w:r>
      <w:r w:rsidR="0014633E" w:rsidRPr="00331FC1">
        <w:rPr>
          <w:sz w:val="26"/>
          <w:szCs w:val="26"/>
        </w:rPr>
        <w:t xml:space="preserve">use a </w:t>
      </w:r>
      <w:r w:rsidR="00CC57BC" w:rsidRPr="00331FC1">
        <w:rPr>
          <w:sz w:val="26"/>
          <w:szCs w:val="26"/>
        </w:rPr>
        <w:t>m</w:t>
      </w:r>
      <w:r w:rsidR="0014633E" w:rsidRPr="00331FC1">
        <w:rPr>
          <w:sz w:val="26"/>
          <w:szCs w:val="26"/>
        </w:rPr>
        <w:t xml:space="preserve">edical </w:t>
      </w:r>
      <w:r w:rsidR="00CC57BC" w:rsidRPr="00331FC1">
        <w:rPr>
          <w:sz w:val="26"/>
          <w:szCs w:val="26"/>
        </w:rPr>
        <w:t>c</w:t>
      </w:r>
      <w:r w:rsidR="0014633E" w:rsidRPr="00331FC1">
        <w:rPr>
          <w:sz w:val="26"/>
          <w:szCs w:val="26"/>
        </w:rPr>
        <w:t>ertificate:</w:t>
      </w:r>
    </w:p>
    <w:p w14:paraId="7D367341" w14:textId="77777777" w:rsidR="0056185E" w:rsidRPr="00331FC1" w:rsidRDefault="0056185E" w:rsidP="0056185E">
      <w:pPr>
        <w:pStyle w:val="NoSpacing"/>
      </w:pPr>
    </w:p>
    <w:p w14:paraId="2CF08411" w14:textId="77777777" w:rsidR="0014633E" w:rsidRPr="00331FC1" w:rsidRDefault="0014633E" w:rsidP="0056185E">
      <w:pPr>
        <w:numPr>
          <w:ilvl w:val="0"/>
          <w:numId w:val="7"/>
        </w:numPr>
        <w:spacing w:line="360" w:lineRule="auto"/>
        <w:rPr>
          <w:sz w:val="26"/>
          <w:szCs w:val="26"/>
        </w:rPr>
      </w:pPr>
      <w:r w:rsidRPr="00331FC1">
        <w:rPr>
          <w:sz w:val="26"/>
          <w:szCs w:val="26"/>
        </w:rPr>
        <w:t>Contact the utility and tell them you have a medical emergency, and that you are seeking a medical certificate.</w:t>
      </w:r>
    </w:p>
    <w:p w14:paraId="220758F8" w14:textId="77777777" w:rsidR="0056185E" w:rsidRPr="00331FC1" w:rsidRDefault="0056185E" w:rsidP="0056185E">
      <w:pPr>
        <w:pStyle w:val="NoSpacing"/>
      </w:pPr>
    </w:p>
    <w:p w14:paraId="0EECDEF0" w14:textId="77777777" w:rsidR="0014633E" w:rsidRPr="00331FC1" w:rsidRDefault="0014633E" w:rsidP="0056185E">
      <w:pPr>
        <w:numPr>
          <w:ilvl w:val="0"/>
          <w:numId w:val="7"/>
        </w:numPr>
        <w:spacing w:line="360" w:lineRule="auto"/>
        <w:rPr>
          <w:sz w:val="26"/>
          <w:szCs w:val="26"/>
        </w:rPr>
      </w:pPr>
      <w:r w:rsidRPr="00331FC1">
        <w:rPr>
          <w:sz w:val="26"/>
          <w:szCs w:val="26"/>
        </w:rPr>
        <w:t xml:space="preserve">Contact your medical </w:t>
      </w:r>
      <w:r w:rsidR="009E0531">
        <w:rPr>
          <w:sz w:val="26"/>
          <w:szCs w:val="26"/>
        </w:rPr>
        <w:t>professional</w:t>
      </w:r>
      <w:r w:rsidRPr="00331FC1">
        <w:rPr>
          <w:sz w:val="26"/>
          <w:szCs w:val="26"/>
        </w:rPr>
        <w:t xml:space="preserve"> and ask them to complete the medical certificate form.  You can use the Public Utility Commission’s </w:t>
      </w:r>
      <w:r w:rsidR="00CC57BC" w:rsidRPr="00331FC1">
        <w:rPr>
          <w:sz w:val="26"/>
          <w:szCs w:val="26"/>
        </w:rPr>
        <w:t>S</w:t>
      </w:r>
      <w:r w:rsidRPr="00331FC1">
        <w:rPr>
          <w:sz w:val="26"/>
          <w:szCs w:val="26"/>
        </w:rPr>
        <w:t xml:space="preserve">tandard </w:t>
      </w:r>
      <w:r w:rsidR="00CC57BC" w:rsidRPr="00331FC1">
        <w:rPr>
          <w:sz w:val="26"/>
          <w:szCs w:val="26"/>
        </w:rPr>
        <w:t>M</w:t>
      </w:r>
      <w:r w:rsidRPr="00331FC1">
        <w:rPr>
          <w:sz w:val="26"/>
          <w:szCs w:val="26"/>
        </w:rPr>
        <w:t xml:space="preserve">edical </w:t>
      </w:r>
      <w:r w:rsidR="00CC57BC" w:rsidRPr="00331FC1">
        <w:rPr>
          <w:sz w:val="26"/>
          <w:szCs w:val="26"/>
        </w:rPr>
        <w:t>C</w:t>
      </w:r>
      <w:r w:rsidRPr="00331FC1">
        <w:rPr>
          <w:sz w:val="26"/>
          <w:szCs w:val="26"/>
        </w:rPr>
        <w:t xml:space="preserve">ertificate </w:t>
      </w:r>
      <w:r w:rsidR="00CC57BC" w:rsidRPr="00331FC1">
        <w:rPr>
          <w:sz w:val="26"/>
          <w:szCs w:val="26"/>
        </w:rPr>
        <w:t>F</w:t>
      </w:r>
      <w:r w:rsidRPr="00331FC1">
        <w:rPr>
          <w:sz w:val="26"/>
          <w:szCs w:val="26"/>
        </w:rPr>
        <w:t xml:space="preserve">orm, but it is not required.  You can use a form provided by the utility or your medical </w:t>
      </w:r>
      <w:r w:rsidR="009E0531">
        <w:rPr>
          <w:sz w:val="26"/>
          <w:szCs w:val="26"/>
        </w:rPr>
        <w:t>professional</w:t>
      </w:r>
      <w:r w:rsidRPr="00331FC1">
        <w:rPr>
          <w:sz w:val="26"/>
          <w:szCs w:val="26"/>
        </w:rPr>
        <w:t xml:space="preserve"> can simply provide the required information (</w:t>
      </w:r>
      <w:r w:rsidR="007E08CB">
        <w:rPr>
          <w:sz w:val="26"/>
          <w:szCs w:val="26"/>
        </w:rPr>
        <w:t xml:space="preserve">listed </w:t>
      </w:r>
      <w:r w:rsidRPr="00331FC1">
        <w:rPr>
          <w:sz w:val="26"/>
          <w:szCs w:val="26"/>
        </w:rPr>
        <w:t>below) in writing.</w:t>
      </w:r>
    </w:p>
    <w:p w14:paraId="3031638C" w14:textId="77777777" w:rsidR="0056185E" w:rsidRPr="00331FC1" w:rsidRDefault="0056185E" w:rsidP="0056185E">
      <w:pPr>
        <w:pStyle w:val="NoSpacing"/>
      </w:pPr>
    </w:p>
    <w:p w14:paraId="71C4BAD6" w14:textId="77777777" w:rsidR="0014633E" w:rsidRPr="00331FC1" w:rsidRDefault="0014633E" w:rsidP="00FA312E">
      <w:pPr>
        <w:spacing w:line="360" w:lineRule="auto"/>
        <w:ind w:left="1440" w:hanging="720"/>
        <w:rPr>
          <w:sz w:val="26"/>
          <w:szCs w:val="26"/>
        </w:rPr>
      </w:pPr>
      <w:r w:rsidRPr="00331FC1">
        <w:rPr>
          <w:sz w:val="26"/>
          <w:szCs w:val="26"/>
        </w:rPr>
        <w:t>3.</w:t>
      </w:r>
      <w:r w:rsidRPr="00331FC1">
        <w:rPr>
          <w:sz w:val="26"/>
          <w:szCs w:val="26"/>
        </w:rPr>
        <w:tab/>
        <w:t xml:space="preserve">You or your medical </w:t>
      </w:r>
      <w:r w:rsidR="009E0531">
        <w:rPr>
          <w:sz w:val="26"/>
          <w:szCs w:val="26"/>
        </w:rPr>
        <w:t>professional</w:t>
      </w:r>
      <w:r w:rsidRPr="00331FC1">
        <w:rPr>
          <w:sz w:val="26"/>
          <w:szCs w:val="26"/>
        </w:rPr>
        <w:t xml:space="preserve"> should fax or e-mail the form directly to the utility. Contact your utility to ask where the form should be sent.</w:t>
      </w:r>
    </w:p>
    <w:p w14:paraId="2340A0CD" w14:textId="77777777" w:rsidR="00EC4A76" w:rsidRDefault="009E0531" w:rsidP="00FA312E">
      <w:pPr>
        <w:spacing w:line="360" w:lineRule="auto"/>
        <w:ind w:firstLine="720"/>
        <w:rPr>
          <w:sz w:val="26"/>
          <w:szCs w:val="26"/>
        </w:rPr>
      </w:pPr>
      <w:r>
        <w:rPr>
          <w:sz w:val="26"/>
          <w:szCs w:val="26"/>
        </w:rPr>
        <w:lastRenderedPageBreak/>
        <w:t xml:space="preserve">A </w:t>
      </w:r>
      <w:r w:rsidRPr="00525825">
        <w:rPr>
          <w:sz w:val="26"/>
          <w:szCs w:val="26"/>
        </w:rPr>
        <w:t xml:space="preserve">licensed </w:t>
      </w:r>
      <w:r>
        <w:rPr>
          <w:sz w:val="26"/>
          <w:szCs w:val="26"/>
        </w:rPr>
        <w:t xml:space="preserve">physician, nurse practitioner, or physician’s assistant must </w:t>
      </w:r>
      <w:r w:rsidRPr="00525825">
        <w:rPr>
          <w:i/>
          <w:iCs/>
          <w:sz w:val="26"/>
          <w:szCs w:val="26"/>
        </w:rPr>
        <w:t>sign</w:t>
      </w:r>
      <w:r>
        <w:rPr>
          <w:sz w:val="26"/>
          <w:szCs w:val="26"/>
        </w:rPr>
        <w:t xml:space="preserve"> the medical certificate and include their </w:t>
      </w:r>
      <w:r w:rsidRPr="003B0C0B">
        <w:rPr>
          <w:i/>
          <w:iCs/>
          <w:sz w:val="26"/>
          <w:szCs w:val="26"/>
        </w:rPr>
        <w:t>license number</w:t>
      </w:r>
      <w:r>
        <w:rPr>
          <w:sz w:val="26"/>
          <w:szCs w:val="26"/>
        </w:rPr>
        <w:t xml:space="preserve"> on the medical certificate.  </w:t>
      </w:r>
      <w:r w:rsidR="008F3FA1" w:rsidRPr="00331FC1">
        <w:rPr>
          <w:sz w:val="26"/>
          <w:szCs w:val="26"/>
        </w:rPr>
        <w:t>The following i</w:t>
      </w:r>
      <w:r w:rsidR="003B5DDE" w:rsidRPr="00331FC1">
        <w:rPr>
          <w:sz w:val="26"/>
          <w:szCs w:val="26"/>
        </w:rPr>
        <w:t>nformation</w:t>
      </w:r>
      <w:r w:rsidR="000003CC" w:rsidRPr="00331FC1">
        <w:rPr>
          <w:sz w:val="26"/>
          <w:szCs w:val="26"/>
        </w:rPr>
        <w:t xml:space="preserve"> from </w:t>
      </w:r>
      <w:r>
        <w:rPr>
          <w:sz w:val="26"/>
          <w:szCs w:val="26"/>
        </w:rPr>
        <w:t>the licensed</w:t>
      </w:r>
      <w:r w:rsidR="000003CC" w:rsidRPr="00331FC1">
        <w:rPr>
          <w:sz w:val="26"/>
          <w:szCs w:val="26"/>
        </w:rPr>
        <w:t xml:space="preserve"> physician, physician assistant, or a nurse practitioner</w:t>
      </w:r>
      <w:r w:rsidR="003B5DDE" w:rsidRPr="00331FC1">
        <w:rPr>
          <w:sz w:val="26"/>
          <w:szCs w:val="26"/>
        </w:rPr>
        <w:t xml:space="preserve"> </w:t>
      </w:r>
      <w:r w:rsidR="008F3FA1" w:rsidRPr="00331FC1">
        <w:rPr>
          <w:sz w:val="26"/>
          <w:szCs w:val="26"/>
        </w:rPr>
        <w:t xml:space="preserve">is </w:t>
      </w:r>
      <w:r w:rsidR="003B5DDE" w:rsidRPr="00331FC1">
        <w:rPr>
          <w:sz w:val="26"/>
          <w:szCs w:val="26"/>
        </w:rPr>
        <w:t xml:space="preserve">required </w:t>
      </w:r>
      <w:r w:rsidR="003B5DDE" w:rsidRPr="00331FC1">
        <w:rPr>
          <w:i/>
          <w:iCs/>
          <w:sz w:val="26"/>
          <w:szCs w:val="26"/>
        </w:rPr>
        <w:t>in writing</w:t>
      </w:r>
      <w:r w:rsidR="003B5DDE" w:rsidRPr="00331FC1">
        <w:rPr>
          <w:sz w:val="26"/>
          <w:szCs w:val="26"/>
        </w:rPr>
        <w:t xml:space="preserve"> on a </w:t>
      </w:r>
      <w:r w:rsidR="00CC57BC" w:rsidRPr="00331FC1">
        <w:rPr>
          <w:sz w:val="26"/>
          <w:szCs w:val="26"/>
        </w:rPr>
        <w:t>m</w:t>
      </w:r>
      <w:r w:rsidR="003B5DDE" w:rsidRPr="00331FC1">
        <w:rPr>
          <w:sz w:val="26"/>
          <w:szCs w:val="26"/>
        </w:rPr>
        <w:t>edical certificate</w:t>
      </w:r>
      <w:r w:rsidR="00EC4A76" w:rsidRPr="00331FC1">
        <w:rPr>
          <w:sz w:val="26"/>
          <w:szCs w:val="26"/>
        </w:rPr>
        <w:t>:</w:t>
      </w:r>
      <w:r w:rsidR="00EC4A76" w:rsidRPr="00366F14">
        <w:rPr>
          <w:sz w:val="26"/>
          <w:szCs w:val="26"/>
        </w:rPr>
        <w:t xml:space="preserve"> </w:t>
      </w:r>
    </w:p>
    <w:p w14:paraId="01659219" w14:textId="77777777" w:rsidR="0056185E" w:rsidRPr="00366F14" w:rsidRDefault="0056185E" w:rsidP="0056185E">
      <w:pPr>
        <w:pStyle w:val="NoSpacing"/>
      </w:pPr>
    </w:p>
    <w:p w14:paraId="30A27059" w14:textId="77777777" w:rsidR="003B5DDE" w:rsidRDefault="00EC4A76" w:rsidP="0056185E">
      <w:pPr>
        <w:numPr>
          <w:ilvl w:val="0"/>
          <w:numId w:val="8"/>
        </w:numPr>
        <w:spacing w:line="360" w:lineRule="auto"/>
        <w:rPr>
          <w:sz w:val="26"/>
          <w:szCs w:val="26"/>
        </w:rPr>
      </w:pPr>
      <w:r w:rsidRPr="00366F14">
        <w:rPr>
          <w:sz w:val="26"/>
          <w:szCs w:val="26"/>
        </w:rPr>
        <w:t xml:space="preserve">The name and address of the customer or applicant in whose name the account is registered. </w:t>
      </w:r>
    </w:p>
    <w:p w14:paraId="62BCC0B3" w14:textId="77777777" w:rsidR="0056185E" w:rsidRDefault="0056185E" w:rsidP="0056185E">
      <w:pPr>
        <w:pStyle w:val="NoSpacing"/>
      </w:pPr>
    </w:p>
    <w:p w14:paraId="7E398B79" w14:textId="77777777" w:rsidR="00EC4A76" w:rsidRDefault="00EC4A76" w:rsidP="0056185E">
      <w:pPr>
        <w:numPr>
          <w:ilvl w:val="0"/>
          <w:numId w:val="8"/>
        </w:numPr>
        <w:spacing w:line="360" w:lineRule="auto"/>
        <w:rPr>
          <w:sz w:val="26"/>
          <w:szCs w:val="26"/>
        </w:rPr>
      </w:pPr>
      <w:r w:rsidRPr="00366F14">
        <w:rPr>
          <w:sz w:val="26"/>
          <w:szCs w:val="26"/>
        </w:rPr>
        <w:t>The name and address of the afflicted person</w:t>
      </w:r>
      <w:r w:rsidR="004C0AEA">
        <w:rPr>
          <w:sz w:val="26"/>
          <w:szCs w:val="26"/>
        </w:rPr>
        <w:t>/</w:t>
      </w:r>
      <w:r w:rsidR="00374082">
        <w:rPr>
          <w:sz w:val="26"/>
          <w:szCs w:val="26"/>
        </w:rPr>
        <w:t>person with medical condition</w:t>
      </w:r>
      <w:r w:rsidRPr="00366F14">
        <w:rPr>
          <w:sz w:val="26"/>
          <w:szCs w:val="26"/>
        </w:rPr>
        <w:t xml:space="preserve"> and the relationship to the customer or applicant. </w:t>
      </w:r>
    </w:p>
    <w:p w14:paraId="00A88D75" w14:textId="77777777" w:rsidR="0056185E" w:rsidRPr="00366F14" w:rsidRDefault="0056185E" w:rsidP="0056185E">
      <w:pPr>
        <w:pStyle w:val="NoSpacing"/>
      </w:pPr>
    </w:p>
    <w:p w14:paraId="5D477594" w14:textId="77777777" w:rsidR="00EC4A76" w:rsidRPr="00C97337" w:rsidRDefault="00EC4A76" w:rsidP="0056185E">
      <w:pPr>
        <w:numPr>
          <w:ilvl w:val="0"/>
          <w:numId w:val="8"/>
        </w:numPr>
        <w:spacing w:line="360" w:lineRule="auto"/>
        <w:rPr>
          <w:sz w:val="26"/>
          <w:szCs w:val="26"/>
        </w:rPr>
      </w:pPr>
      <w:r w:rsidRPr="00366F14">
        <w:rPr>
          <w:sz w:val="26"/>
          <w:szCs w:val="26"/>
        </w:rPr>
        <w:t>The anticipated length of the affliction</w:t>
      </w:r>
      <w:r w:rsidR="003B5DDE" w:rsidRPr="00C97337">
        <w:rPr>
          <w:sz w:val="26"/>
          <w:szCs w:val="26"/>
        </w:rPr>
        <w:t>/medical condition</w:t>
      </w:r>
      <w:r w:rsidRPr="00C97337">
        <w:rPr>
          <w:sz w:val="26"/>
          <w:szCs w:val="26"/>
        </w:rPr>
        <w:t xml:space="preserve">. </w:t>
      </w:r>
    </w:p>
    <w:p w14:paraId="197691D3" w14:textId="77777777" w:rsidR="0056185E" w:rsidRPr="00C97337" w:rsidRDefault="0056185E" w:rsidP="0056185E">
      <w:pPr>
        <w:pStyle w:val="NoSpacing"/>
      </w:pPr>
    </w:p>
    <w:p w14:paraId="74C50F89" w14:textId="77777777" w:rsidR="00EC4A76" w:rsidRPr="00C97337" w:rsidRDefault="00EC4A76" w:rsidP="0056185E">
      <w:pPr>
        <w:numPr>
          <w:ilvl w:val="0"/>
          <w:numId w:val="8"/>
        </w:numPr>
        <w:spacing w:line="360" w:lineRule="auto"/>
        <w:rPr>
          <w:sz w:val="26"/>
          <w:szCs w:val="26"/>
        </w:rPr>
      </w:pPr>
      <w:r w:rsidRPr="00C97337">
        <w:rPr>
          <w:sz w:val="26"/>
          <w:szCs w:val="26"/>
        </w:rPr>
        <w:t xml:space="preserve">The name, office address, and telephone number of the certifying physician, physician assistant, or nurse practitioner. </w:t>
      </w:r>
    </w:p>
    <w:p w14:paraId="46F1EA56" w14:textId="77777777" w:rsidR="0056185E" w:rsidRPr="00C97337" w:rsidRDefault="0056185E" w:rsidP="0056185E">
      <w:pPr>
        <w:pStyle w:val="NoSpacing"/>
      </w:pPr>
    </w:p>
    <w:p w14:paraId="49B7D0EA" w14:textId="77777777" w:rsidR="00EC4A76" w:rsidRPr="00C97337" w:rsidRDefault="00EC4A76" w:rsidP="00FA312E">
      <w:pPr>
        <w:spacing w:line="360" w:lineRule="auto"/>
        <w:ind w:left="1440" w:hanging="720"/>
        <w:rPr>
          <w:sz w:val="26"/>
          <w:szCs w:val="26"/>
        </w:rPr>
      </w:pPr>
      <w:r w:rsidRPr="00C97337">
        <w:rPr>
          <w:sz w:val="26"/>
          <w:szCs w:val="26"/>
        </w:rPr>
        <w:t xml:space="preserve">5. </w:t>
      </w:r>
      <w:r w:rsidR="003B5DDE" w:rsidRPr="00C97337">
        <w:rPr>
          <w:sz w:val="26"/>
          <w:szCs w:val="26"/>
        </w:rPr>
        <w:tab/>
      </w:r>
      <w:r w:rsidRPr="00C97337">
        <w:rPr>
          <w:sz w:val="26"/>
          <w:szCs w:val="26"/>
        </w:rPr>
        <w:t>Signature of the certifying physician, physician assistant, or nurse practitioner.</w:t>
      </w:r>
    </w:p>
    <w:p w14:paraId="2BD67B86" w14:textId="77777777" w:rsidR="00EC4A76" w:rsidRPr="00C97337" w:rsidRDefault="00FA312E" w:rsidP="0056185E">
      <w:pPr>
        <w:pStyle w:val="NoSpacing"/>
      </w:pPr>
      <w:r w:rsidRPr="00C97337">
        <w:tab/>
      </w:r>
    </w:p>
    <w:p w14:paraId="5E4D8757" w14:textId="77777777" w:rsidR="00EC4A76" w:rsidRDefault="00EC4A76" w:rsidP="00FA312E">
      <w:pPr>
        <w:spacing w:line="360" w:lineRule="auto"/>
        <w:ind w:firstLine="720"/>
        <w:rPr>
          <w:sz w:val="26"/>
          <w:szCs w:val="26"/>
        </w:rPr>
      </w:pPr>
      <w:r w:rsidRPr="00C97337">
        <w:rPr>
          <w:sz w:val="26"/>
          <w:szCs w:val="26"/>
        </w:rPr>
        <w:t>Once a medical certificate is accepted by a public utility, a pending shutoff must be postponed for a maximum of 30 days.  The shutoff can then be postponed for a maximum of 30 days and renewed for additional 30-day period</w:t>
      </w:r>
      <w:r w:rsidR="002222AE">
        <w:rPr>
          <w:sz w:val="26"/>
          <w:szCs w:val="26"/>
        </w:rPr>
        <w:t>s</w:t>
      </w:r>
      <w:r w:rsidRPr="00C97337">
        <w:rPr>
          <w:sz w:val="26"/>
          <w:szCs w:val="26"/>
        </w:rPr>
        <w:t>.</w:t>
      </w:r>
      <w:r w:rsidR="00A45BC8" w:rsidRPr="00C97337">
        <w:rPr>
          <w:sz w:val="26"/>
          <w:szCs w:val="26"/>
        </w:rPr>
        <w:t xml:space="preserve">  </w:t>
      </w:r>
      <w:r w:rsidR="00775E47" w:rsidRPr="00846E5F">
        <w:rPr>
          <w:i/>
          <w:iCs/>
          <w:sz w:val="26"/>
          <w:szCs w:val="26"/>
        </w:rPr>
        <w:t>However,</w:t>
      </w:r>
      <w:r w:rsidR="00775E47">
        <w:rPr>
          <w:sz w:val="26"/>
          <w:szCs w:val="26"/>
        </w:rPr>
        <w:t xml:space="preserve"> </w:t>
      </w:r>
      <w:r w:rsidR="00775E47">
        <w:rPr>
          <w:i/>
          <w:iCs/>
          <w:sz w:val="26"/>
          <w:szCs w:val="26"/>
        </w:rPr>
        <w:t>y</w:t>
      </w:r>
      <w:r w:rsidR="00030CAA" w:rsidRPr="00846E5F">
        <w:rPr>
          <w:i/>
          <w:iCs/>
          <w:sz w:val="26"/>
          <w:szCs w:val="26"/>
        </w:rPr>
        <w:t xml:space="preserve">ou still have the responsibility to pay your current bills or your budget billing amount during the postponement and any renewal thereof.  </w:t>
      </w:r>
    </w:p>
    <w:p w14:paraId="5F4DEF44" w14:textId="77777777" w:rsidR="00030CAA" w:rsidRDefault="00030CAA" w:rsidP="00EC4A76">
      <w:pPr>
        <w:spacing w:line="360" w:lineRule="auto"/>
        <w:rPr>
          <w:sz w:val="26"/>
          <w:szCs w:val="26"/>
        </w:rPr>
      </w:pPr>
    </w:p>
    <w:p w14:paraId="4BE0FBAA" w14:textId="77777777" w:rsidR="00EC4A76" w:rsidRPr="00366F14" w:rsidRDefault="00EC4A76" w:rsidP="00FA312E">
      <w:pPr>
        <w:spacing w:line="360" w:lineRule="auto"/>
        <w:ind w:firstLine="720"/>
        <w:rPr>
          <w:sz w:val="26"/>
          <w:szCs w:val="26"/>
        </w:rPr>
      </w:pPr>
      <w:r w:rsidRPr="00366F14">
        <w:rPr>
          <w:sz w:val="26"/>
          <w:szCs w:val="26"/>
        </w:rPr>
        <w:t>If your service has already been shut off, you may provide a medical certificat</w:t>
      </w:r>
      <w:r>
        <w:rPr>
          <w:sz w:val="26"/>
          <w:szCs w:val="26"/>
        </w:rPr>
        <w:t>e</w:t>
      </w:r>
      <w:r w:rsidRPr="00366F14">
        <w:rPr>
          <w:sz w:val="26"/>
          <w:szCs w:val="26"/>
        </w:rPr>
        <w:t xml:space="preserve"> to the</w:t>
      </w:r>
      <w:r>
        <w:rPr>
          <w:sz w:val="26"/>
          <w:szCs w:val="26"/>
        </w:rPr>
        <w:t xml:space="preserve"> public </w:t>
      </w:r>
      <w:r w:rsidRPr="00366F14">
        <w:rPr>
          <w:sz w:val="26"/>
          <w:szCs w:val="26"/>
        </w:rPr>
        <w:t xml:space="preserve">utility to have service restored within 24 hours. </w:t>
      </w:r>
      <w:r>
        <w:rPr>
          <w:sz w:val="26"/>
          <w:szCs w:val="26"/>
        </w:rPr>
        <w:t xml:space="preserve"> </w:t>
      </w:r>
      <w:r w:rsidRPr="00366F14">
        <w:rPr>
          <w:sz w:val="26"/>
          <w:szCs w:val="26"/>
        </w:rPr>
        <w:t>If your service has been terminated for more than 30 days, you will revert to applicant status</w:t>
      </w:r>
      <w:r>
        <w:rPr>
          <w:sz w:val="26"/>
          <w:szCs w:val="26"/>
        </w:rPr>
        <w:t>.</w:t>
      </w:r>
      <w:r w:rsidRPr="00366F14">
        <w:rPr>
          <w:sz w:val="26"/>
          <w:szCs w:val="26"/>
        </w:rPr>
        <w:t xml:space="preserve"> </w:t>
      </w:r>
      <w:r>
        <w:rPr>
          <w:sz w:val="26"/>
          <w:szCs w:val="26"/>
        </w:rPr>
        <w:t xml:space="preserve"> </w:t>
      </w:r>
      <w:r w:rsidRPr="00366F14">
        <w:rPr>
          <w:sz w:val="26"/>
          <w:szCs w:val="26"/>
        </w:rPr>
        <w:t>A payment may be required with the medical</w:t>
      </w:r>
      <w:r>
        <w:rPr>
          <w:sz w:val="26"/>
          <w:szCs w:val="26"/>
        </w:rPr>
        <w:t xml:space="preserve"> </w:t>
      </w:r>
      <w:r w:rsidRPr="00366F14">
        <w:rPr>
          <w:sz w:val="26"/>
          <w:szCs w:val="26"/>
        </w:rPr>
        <w:t>certificate if you are an applicant seeking restoration</w:t>
      </w:r>
      <w:r>
        <w:rPr>
          <w:sz w:val="26"/>
          <w:szCs w:val="26"/>
        </w:rPr>
        <w:t xml:space="preserve"> and you still have an outstanding balance due</w:t>
      </w:r>
      <w:r w:rsidRPr="00366F14">
        <w:rPr>
          <w:sz w:val="26"/>
          <w:szCs w:val="26"/>
        </w:rPr>
        <w:t>.</w:t>
      </w:r>
    </w:p>
    <w:p w14:paraId="11237B2F" w14:textId="77777777" w:rsidR="00EC4A76" w:rsidRPr="00366F14" w:rsidRDefault="00EC4A76" w:rsidP="00EC4A76">
      <w:pPr>
        <w:spacing w:line="360" w:lineRule="auto"/>
        <w:rPr>
          <w:sz w:val="26"/>
          <w:szCs w:val="26"/>
        </w:rPr>
      </w:pPr>
    </w:p>
    <w:p w14:paraId="1939660F" w14:textId="77777777" w:rsidR="00EC4A76" w:rsidRPr="00610FAE" w:rsidRDefault="00EC4A76" w:rsidP="00FA312E">
      <w:pPr>
        <w:spacing w:line="360" w:lineRule="auto"/>
        <w:ind w:firstLine="720"/>
        <w:rPr>
          <w:sz w:val="26"/>
          <w:szCs w:val="26"/>
        </w:rPr>
      </w:pPr>
      <w:r w:rsidRPr="00366F14">
        <w:rPr>
          <w:sz w:val="26"/>
          <w:szCs w:val="26"/>
        </w:rPr>
        <w:lastRenderedPageBreak/>
        <w:t>A single medical certification will result in postponement or restoration of service for a</w:t>
      </w:r>
      <w:r>
        <w:rPr>
          <w:sz w:val="26"/>
          <w:szCs w:val="26"/>
        </w:rPr>
        <w:t xml:space="preserve"> </w:t>
      </w:r>
      <w:r w:rsidRPr="00366F14">
        <w:rPr>
          <w:sz w:val="26"/>
          <w:szCs w:val="26"/>
        </w:rPr>
        <w:t>maximum of 30 days.</w:t>
      </w:r>
      <w:r>
        <w:rPr>
          <w:sz w:val="26"/>
          <w:szCs w:val="26"/>
        </w:rPr>
        <w:t xml:space="preserve"> </w:t>
      </w:r>
      <w:r w:rsidRPr="00610FAE">
        <w:rPr>
          <w:sz w:val="26"/>
          <w:szCs w:val="26"/>
        </w:rPr>
        <w:t xml:space="preserve"> If you do not pay your current bill</w:t>
      </w:r>
      <w:r w:rsidR="00A45BC8" w:rsidRPr="00610FAE">
        <w:rPr>
          <w:sz w:val="26"/>
          <w:szCs w:val="26"/>
        </w:rPr>
        <w:t>s or budget bill amount</w:t>
      </w:r>
      <w:r w:rsidRPr="00610FAE">
        <w:rPr>
          <w:sz w:val="26"/>
          <w:szCs w:val="26"/>
        </w:rPr>
        <w:t>, the utility is not required to accept more than t</w:t>
      </w:r>
      <w:r w:rsidR="000E01C9" w:rsidRPr="00610FAE">
        <w:rPr>
          <w:sz w:val="26"/>
          <w:szCs w:val="26"/>
        </w:rPr>
        <w:t>wo</w:t>
      </w:r>
      <w:r w:rsidRPr="00610FAE">
        <w:rPr>
          <w:sz w:val="26"/>
          <w:szCs w:val="26"/>
        </w:rPr>
        <w:t xml:space="preserve"> medical certificat</w:t>
      </w:r>
      <w:r w:rsidR="009F680C" w:rsidRPr="00610FAE">
        <w:rPr>
          <w:sz w:val="26"/>
          <w:szCs w:val="26"/>
        </w:rPr>
        <w:t>ion renewals</w:t>
      </w:r>
      <w:r w:rsidRPr="00610FAE">
        <w:rPr>
          <w:sz w:val="26"/>
          <w:szCs w:val="26"/>
        </w:rPr>
        <w:t>.</w:t>
      </w:r>
    </w:p>
    <w:p w14:paraId="4A0D18D4" w14:textId="77777777" w:rsidR="0056185E" w:rsidRPr="00610FAE" w:rsidRDefault="0056185E" w:rsidP="00FA312E">
      <w:pPr>
        <w:spacing w:line="360" w:lineRule="auto"/>
        <w:ind w:firstLine="720"/>
        <w:rPr>
          <w:sz w:val="26"/>
          <w:szCs w:val="26"/>
        </w:rPr>
      </w:pPr>
    </w:p>
    <w:p w14:paraId="737E4C83" w14:textId="77777777" w:rsidR="009E0531" w:rsidRPr="00610FAE" w:rsidRDefault="00030CAA" w:rsidP="009E0531">
      <w:pPr>
        <w:spacing w:line="360" w:lineRule="auto"/>
        <w:ind w:firstLine="720"/>
        <w:rPr>
          <w:i/>
          <w:iCs/>
          <w:sz w:val="26"/>
          <w:szCs w:val="26"/>
        </w:rPr>
      </w:pPr>
      <w:r w:rsidRPr="00610FAE">
        <w:rPr>
          <w:i/>
          <w:iCs/>
          <w:sz w:val="26"/>
          <w:szCs w:val="26"/>
        </w:rPr>
        <w:t>Should you need further financial assistance beyond what is afforded by a medical certificate and available renewals, the Commission urges you to contact your utility.  Your utility can evaluate your eligibility for additional assistance programs.  Additional financial assistance may also be available through federal or state programs</w:t>
      </w:r>
      <w:r w:rsidR="000003CC" w:rsidRPr="00610FAE">
        <w:rPr>
          <w:i/>
          <w:iCs/>
          <w:sz w:val="26"/>
          <w:szCs w:val="26"/>
        </w:rPr>
        <w:t>.</w:t>
      </w:r>
      <w:r w:rsidR="009E0531">
        <w:rPr>
          <w:i/>
          <w:iCs/>
          <w:sz w:val="26"/>
          <w:szCs w:val="26"/>
        </w:rPr>
        <w:t xml:space="preserve">  </w:t>
      </w:r>
      <w:r w:rsidR="009E0531" w:rsidRPr="00887313">
        <w:rPr>
          <w:i/>
          <w:iCs/>
          <w:sz w:val="26"/>
          <w:szCs w:val="26"/>
        </w:rPr>
        <w:t xml:space="preserve">Please call Pennsylvania 211 by dialing “211” or visit </w:t>
      </w:r>
      <w:hyperlink r:id="rId16" w:history="1">
        <w:r w:rsidR="009E0531" w:rsidRPr="00887313">
          <w:rPr>
            <w:rStyle w:val="Hyperlink"/>
            <w:i/>
            <w:iCs/>
            <w:sz w:val="26"/>
            <w:szCs w:val="26"/>
          </w:rPr>
          <w:t>https://www.pa211.org/</w:t>
        </w:r>
      </w:hyperlink>
      <w:r w:rsidR="009E0531" w:rsidRPr="00887313">
        <w:rPr>
          <w:i/>
          <w:iCs/>
          <w:sz w:val="26"/>
          <w:szCs w:val="26"/>
        </w:rPr>
        <w:t xml:space="preserve"> for other types of assistance available.</w:t>
      </w:r>
    </w:p>
    <w:p w14:paraId="4F4A3314" w14:textId="77777777" w:rsidR="00EC4A76" w:rsidRPr="00610FAE" w:rsidRDefault="00EC4A76" w:rsidP="00EC4A76">
      <w:pPr>
        <w:spacing w:line="360" w:lineRule="auto"/>
        <w:rPr>
          <w:b/>
          <w:bCs/>
          <w:sz w:val="26"/>
          <w:szCs w:val="26"/>
          <w:u w:val="single"/>
        </w:rPr>
      </w:pPr>
    </w:p>
    <w:p w14:paraId="6C9658E9" w14:textId="77777777" w:rsidR="00EC4A76" w:rsidRPr="00610FAE" w:rsidRDefault="00EC4A76" w:rsidP="00EC4A76">
      <w:pPr>
        <w:spacing w:line="360" w:lineRule="auto"/>
        <w:rPr>
          <w:b/>
          <w:bCs/>
          <w:sz w:val="26"/>
          <w:szCs w:val="26"/>
          <w:u w:val="single"/>
        </w:rPr>
      </w:pPr>
      <w:r w:rsidRPr="00610FAE">
        <w:rPr>
          <w:b/>
          <w:bCs/>
          <w:sz w:val="26"/>
          <w:szCs w:val="26"/>
          <w:u w:val="single"/>
        </w:rPr>
        <w:t xml:space="preserve">Guidance for Medical Professionals: </w:t>
      </w:r>
    </w:p>
    <w:p w14:paraId="5EDDC9E5" w14:textId="77777777" w:rsidR="00EC4A76" w:rsidRPr="00610FAE" w:rsidRDefault="00EC4A76" w:rsidP="000003CC">
      <w:pPr>
        <w:spacing w:line="360" w:lineRule="auto"/>
        <w:ind w:firstLine="720"/>
        <w:rPr>
          <w:sz w:val="26"/>
          <w:szCs w:val="26"/>
        </w:rPr>
      </w:pPr>
      <w:r w:rsidRPr="00610FAE">
        <w:rPr>
          <w:sz w:val="26"/>
          <w:szCs w:val="26"/>
        </w:rPr>
        <w:t xml:space="preserve">Consumers may be able to avoid shutoff or obtain restoration of public utility service if there is a medical emergency in the household.  A medical emergency exists if the consumer or a member of the </w:t>
      </w:r>
      <w:r w:rsidR="00A34521" w:rsidRPr="00610FAE">
        <w:rPr>
          <w:sz w:val="26"/>
          <w:szCs w:val="26"/>
        </w:rPr>
        <w:t xml:space="preserve">consumer’s </w:t>
      </w:r>
      <w:r w:rsidRPr="00610FAE">
        <w:rPr>
          <w:sz w:val="26"/>
          <w:szCs w:val="26"/>
        </w:rPr>
        <w:t xml:space="preserve">household is seriously ill or has a medical condition that will be worsened if the consumer does not have utility service. </w:t>
      </w:r>
    </w:p>
    <w:p w14:paraId="7D973BB7" w14:textId="77777777" w:rsidR="00A34521" w:rsidRPr="00610FAE" w:rsidRDefault="00A34521" w:rsidP="00EC4A76">
      <w:pPr>
        <w:spacing w:line="360" w:lineRule="auto"/>
        <w:rPr>
          <w:sz w:val="26"/>
          <w:szCs w:val="26"/>
        </w:rPr>
      </w:pPr>
    </w:p>
    <w:p w14:paraId="2DDAE068" w14:textId="77777777" w:rsidR="00EC4A76" w:rsidRDefault="00EC4A76" w:rsidP="000003CC">
      <w:pPr>
        <w:spacing w:line="360" w:lineRule="auto"/>
        <w:ind w:firstLine="720"/>
        <w:rPr>
          <w:sz w:val="26"/>
          <w:szCs w:val="26"/>
          <w:shd w:val="clear" w:color="auto" w:fill="FFFFFF"/>
        </w:rPr>
      </w:pPr>
      <w:r w:rsidRPr="00610FAE">
        <w:rPr>
          <w:sz w:val="26"/>
          <w:szCs w:val="26"/>
          <w:shd w:val="clear" w:color="auto" w:fill="FFFFFF"/>
        </w:rPr>
        <w:t>The determination of whether a medical condition</w:t>
      </w:r>
      <w:r w:rsidRPr="00BC6271">
        <w:rPr>
          <w:sz w:val="26"/>
          <w:szCs w:val="26"/>
          <w:shd w:val="clear" w:color="auto" w:fill="FFFFFF"/>
        </w:rPr>
        <w:t xml:space="preserve"> qualifies for the purposes of this section resides entirely with the physician, nurse practitioner, or physician assistant and not with the public utility.</w:t>
      </w:r>
    </w:p>
    <w:p w14:paraId="40DFB240" w14:textId="77777777" w:rsidR="00A34521" w:rsidRPr="00BC6271" w:rsidRDefault="00A34521" w:rsidP="00EC4A76">
      <w:pPr>
        <w:spacing w:line="360" w:lineRule="auto"/>
        <w:rPr>
          <w:sz w:val="26"/>
          <w:szCs w:val="26"/>
        </w:rPr>
      </w:pPr>
    </w:p>
    <w:p w14:paraId="60C60B21" w14:textId="77777777" w:rsidR="00EC4A76" w:rsidRPr="00366F14" w:rsidRDefault="00EC4A76" w:rsidP="000003CC">
      <w:pPr>
        <w:spacing w:line="360" w:lineRule="auto"/>
        <w:ind w:firstLine="720"/>
        <w:rPr>
          <w:sz w:val="26"/>
          <w:szCs w:val="26"/>
        </w:rPr>
      </w:pPr>
      <w:r w:rsidRPr="00366F14">
        <w:rPr>
          <w:sz w:val="26"/>
          <w:szCs w:val="26"/>
        </w:rPr>
        <w:t>A single medical certificate will result in the postponement or restoration of service for a maximum of 30 days.</w:t>
      </w:r>
      <w:r>
        <w:rPr>
          <w:sz w:val="26"/>
          <w:szCs w:val="26"/>
        </w:rPr>
        <w:t xml:space="preserve"> </w:t>
      </w:r>
      <w:r w:rsidRPr="00366F14">
        <w:rPr>
          <w:sz w:val="26"/>
          <w:szCs w:val="26"/>
        </w:rPr>
        <w:t xml:space="preserve"> Consumers have the responsibility to pay current bills or the budget billing amount during the postponement. </w:t>
      </w:r>
      <w:r>
        <w:rPr>
          <w:sz w:val="26"/>
          <w:szCs w:val="26"/>
        </w:rPr>
        <w:t xml:space="preserve"> </w:t>
      </w:r>
      <w:r w:rsidRPr="00366F14">
        <w:rPr>
          <w:sz w:val="26"/>
          <w:szCs w:val="26"/>
        </w:rPr>
        <w:t xml:space="preserve">The medical certificate can be renewed for additional 30-day periods. </w:t>
      </w:r>
    </w:p>
    <w:p w14:paraId="28A5CE93" w14:textId="77777777" w:rsidR="00A34521" w:rsidRDefault="00A34521" w:rsidP="00EC4A76">
      <w:pPr>
        <w:spacing w:line="360" w:lineRule="auto"/>
        <w:rPr>
          <w:sz w:val="26"/>
          <w:szCs w:val="26"/>
        </w:rPr>
      </w:pPr>
    </w:p>
    <w:p w14:paraId="7BF2B238" w14:textId="77777777" w:rsidR="00EC4A76" w:rsidRDefault="008F3FA1" w:rsidP="00FA312E">
      <w:pPr>
        <w:spacing w:line="360" w:lineRule="auto"/>
        <w:ind w:firstLine="720"/>
        <w:rPr>
          <w:sz w:val="26"/>
          <w:szCs w:val="26"/>
        </w:rPr>
      </w:pPr>
      <w:r w:rsidRPr="00172487">
        <w:rPr>
          <w:sz w:val="26"/>
          <w:szCs w:val="26"/>
        </w:rPr>
        <w:t xml:space="preserve">Medical professionals may provide a medical certificate to the utility directly, or to the customer for the customer’s submission to the utility.  </w:t>
      </w:r>
      <w:r w:rsidR="00E91802">
        <w:rPr>
          <w:sz w:val="26"/>
          <w:szCs w:val="26"/>
        </w:rPr>
        <w:t xml:space="preserve">A </w:t>
      </w:r>
      <w:r w:rsidR="00E91802" w:rsidRPr="00525825">
        <w:rPr>
          <w:sz w:val="26"/>
          <w:szCs w:val="26"/>
        </w:rPr>
        <w:t xml:space="preserve">licensed </w:t>
      </w:r>
      <w:r w:rsidR="00E91802">
        <w:rPr>
          <w:sz w:val="26"/>
          <w:szCs w:val="26"/>
        </w:rPr>
        <w:t xml:space="preserve">physician, nurse practitioner, or physician’s assistant must </w:t>
      </w:r>
      <w:r w:rsidR="00E91802" w:rsidRPr="00525825">
        <w:rPr>
          <w:i/>
          <w:iCs/>
          <w:sz w:val="26"/>
          <w:szCs w:val="26"/>
        </w:rPr>
        <w:t>sign</w:t>
      </w:r>
      <w:r w:rsidR="00E91802">
        <w:rPr>
          <w:sz w:val="26"/>
          <w:szCs w:val="26"/>
        </w:rPr>
        <w:t xml:space="preserve"> the medical certificate and include their </w:t>
      </w:r>
      <w:r w:rsidR="00E91802" w:rsidRPr="003B0C0B">
        <w:rPr>
          <w:i/>
          <w:iCs/>
          <w:sz w:val="26"/>
          <w:szCs w:val="26"/>
        </w:rPr>
        <w:lastRenderedPageBreak/>
        <w:t>license number</w:t>
      </w:r>
      <w:r w:rsidR="00E91802">
        <w:rPr>
          <w:sz w:val="26"/>
          <w:szCs w:val="26"/>
        </w:rPr>
        <w:t xml:space="preserve"> on the medical certificate.  </w:t>
      </w:r>
      <w:r w:rsidR="00EC4A76" w:rsidRPr="00172487">
        <w:rPr>
          <w:sz w:val="26"/>
          <w:szCs w:val="26"/>
        </w:rPr>
        <w:t xml:space="preserve">For a medical certificate to be accepted by the public utility, </w:t>
      </w:r>
      <w:r w:rsidR="00E91802">
        <w:rPr>
          <w:sz w:val="26"/>
          <w:szCs w:val="26"/>
        </w:rPr>
        <w:t>the licensed</w:t>
      </w:r>
      <w:r w:rsidR="00EC4A76" w:rsidRPr="00172487">
        <w:rPr>
          <w:sz w:val="26"/>
          <w:szCs w:val="26"/>
        </w:rPr>
        <w:t xml:space="preserve"> physician, physician assistant, or a nurse practitioner must </w:t>
      </w:r>
      <w:r w:rsidRPr="00172487">
        <w:rPr>
          <w:sz w:val="26"/>
          <w:szCs w:val="26"/>
        </w:rPr>
        <w:t xml:space="preserve">provide </w:t>
      </w:r>
      <w:r w:rsidRPr="00172487">
        <w:rPr>
          <w:i/>
          <w:iCs/>
          <w:sz w:val="26"/>
          <w:szCs w:val="26"/>
        </w:rPr>
        <w:t>in writing</w:t>
      </w:r>
      <w:r w:rsidR="00EC4A76" w:rsidRPr="00172487">
        <w:rPr>
          <w:sz w:val="26"/>
          <w:szCs w:val="26"/>
        </w:rPr>
        <w:t xml:space="preserve"> </w:t>
      </w:r>
      <w:r w:rsidRPr="00172487">
        <w:rPr>
          <w:sz w:val="26"/>
          <w:szCs w:val="26"/>
        </w:rPr>
        <w:t>on the medical certificate</w:t>
      </w:r>
      <w:r w:rsidR="00EC4A76" w:rsidRPr="00172487">
        <w:rPr>
          <w:sz w:val="26"/>
          <w:szCs w:val="26"/>
        </w:rPr>
        <w:t>:</w:t>
      </w:r>
      <w:r w:rsidR="00EC4A76" w:rsidRPr="00366F14">
        <w:rPr>
          <w:sz w:val="26"/>
          <w:szCs w:val="26"/>
        </w:rPr>
        <w:t xml:space="preserve"> </w:t>
      </w:r>
    </w:p>
    <w:p w14:paraId="28ABFFDD" w14:textId="77777777" w:rsidR="00E91802" w:rsidRDefault="00E91802" w:rsidP="00FA312E">
      <w:pPr>
        <w:spacing w:line="360" w:lineRule="auto"/>
        <w:ind w:firstLine="720"/>
        <w:rPr>
          <w:sz w:val="26"/>
          <w:szCs w:val="26"/>
        </w:rPr>
      </w:pPr>
    </w:p>
    <w:p w14:paraId="69837BF4" w14:textId="77777777" w:rsidR="00EC4A76" w:rsidRDefault="00EC4A76" w:rsidP="0056185E">
      <w:pPr>
        <w:numPr>
          <w:ilvl w:val="0"/>
          <w:numId w:val="9"/>
        </w:numPr>
        <w:spacing w:line="360" w:lineRule="auto"/>
        <w:rPr>
          <w:sz w:val="26"/>
          <w:szCs w:val="26"/>
        </w:rPr>
      </w:pPr>
      <w:r w:rsidRPr="00366F14">
        <w:rPr>
          <w:sz w:val="26"/>
          <w:szCs w:val="26"/>
        </w:rPr>
        <w:t xml:space="preserve">The name and address of the customer or applicant in whose name the account is registered. </w:t>
      </w:r>
    </w:p>
    <w:p w14:paraId="74372218" w14:textId="77777777" w:rsidR="0056185E" w:rsidRPr="00366F14" w:rsidRDefault="0056185E" w:rsidP="0056185E">
      <w:pPr>
        <w:pStyle w:val="NoSpacing"/>
      </w:pPr>
    </w:p>
    <w:p w14:paraId="0223E67D" w14:textId="77777777" w:rsidR="00EC4A76" w:rsidRDefault="00EC4A76" w:rsidP="0056185E">
      <w:pPr>
        <w:numPr>
          <w:ilvl w:val="0"/>
          <w:numId w:val="9"/>
        </w:numPr>
        <w:spacing w:line="360" w:lineRule="auto"/>
        <w:rPr>
          <w:sz w:val="26"/>
          <w:szCs w:val="26"/>
        </w:rPr>
      </w:pPr>
      <w:r w:rsidRPr="00366F14">
        <w:rPr>
          <w:sz w:val="26"/>
          <w:szCs w:val="26"/>
        </w:rPr>
        <w:t>The name and address of the afflicted person</w:t>
      </w:r>
      <w:r w:rsidR="00C97337">
        <w:rPr>
          <w:sz w:val="26"/>
          <w:szCs w:val="26"/>
        </w:rPr>
        <w:t>/person with medical condition</w:t>
      </w:r>
      <w:r w:rsidRPr="00366F14">
        <w:rPr>
          <w:sz w:val="26"/>
          <w:szCs w:val="26"/>
        </w:rPr>
        <w:t xml:space="preserve"> and the relationship to the customer or applicant. </w:t>
      </w:r>
    </w:p>
    <w:p w14:paraId="364DEEF3" w14:textId="77777777" w:rsidR="0056185E" w:rsidRPr="00366F14" w:rsidRDefault="0056185E" w:rsidP="0056185E">
      <w:pPr>
        <w:pStyle w:val="NoSpacing"/>
      </w:pPr>
    </w:p>
    <w:p w14:paraId="66D4BA31" w14:textId="77777777" w:rsidR="00EC4A76" w:rsidRDefault="00EC4A76" w:rsidP="0056185E">
      <w:pPr>
        <w:numPr>
          <w:ilvl w:val="0"/>
          <w:numId w:val="9"/>
        </w:numPr>
        <w:spacing w:line="360" w:lineRule="auto"/>
        <w:rPr>
          <w:sz w:val="26"/>
          <w:szCs w:val="26"/>
        </w:rPr>
      </w:pPr>
      <w:r w:rsidRPr="00366F14">
        <w:rPr>
          <w:sz w:val="26"/>
          <w:szCs w:val="26"/>
        </w:rPr>
        <w:t>The anticipated length of the affliction</w:t>
      </w:r>
      <w:r w:rsidR="00A34521" w:rsidRPr="00C97337">
        <w:rPr>
          <w:sz w:val="26"/>
          <w:szCs w:val="26"/>
        </w:rPr>
        <w:t>/medical condition.</w:t>
      </w:r>
      <w:r w:rsidR="00A34521">
        <w:rPr>
          <w:sz w:val="26"/>
          <w:szCs w:val="26"/>
        </w:rPr>
        <w:t xml:space="preserve"> </w:t>
      </w:r>
      <w:r w:rsidRPr="00366F14">
        <w:rPr>
          <w:sz w:val="26"/>
          <w:szCs w:val="26"/>
        </w:rPr>
        <w:t xml:space="preserve"> </w:t>
      </w:r>
    </w:p>
    <w:p w14:paraId="09F7D973" w14:textId="77777777" w:rsidR="0056185E" w:rsidRPr="00366F14" w:rsidRDefault="0056185E" w:rsidP="0056185E">
      <w:pPr>
        <w:pStyle w:val="NoSpacing"/>
      </w:pPr>
    </w:p>
    <w:p w14:paraId="045DB69F" w14:textId="77777777" w:rsidR="00EC4A76" w:rsidRDefault="00EC4A76" w:rsidP="0056185E">
      <w:pPr>
        <w:numPr>
          <w:ilvl w:val="0"/>
          <w:numId w:val="9"/>
        </w:numPr>
        <w:spacing w:line="360" w:lineRule="auto"/>
        <w:rPr>
          <w:sz w:val="26"/>
          <w:szCs w:val="26"/>
        </w:rPr>
      </w:pPr>
      <w:r w:rsidRPr="00366F14">
        <w:rPr>
          <w:sz w:val="26"/>
          <w:szCs w:val="26"/>
        </w:rPr>
        <w:t xml:space="preserve">The name, office address, and telephone number of the certifying physician, physician assistant, or nurse practitioner. </w:t>
      </w:r>
    </w:p>
    <w:p w14:paraId="1A339AD3" w14:textId="77777777" w:rsidR="0056185E" w:rsidRPr="00366F14" w:rsidRDefault="0056185E" w:rsidP="0056185E">
      <w:pPr>
        <w:pStyle w:val="NoSpacing"/>
      </w:pPr>
    </w:p>
    <w:p w14:paraId="48C758CF" w14:textId="77777777" w:rsidR="00EC4A76" w:rsidRPr="00C97337" w:rsidRDefault="00EC4A76" w:rsidP="00FA312E">
      <w:pPr>
        <w:spacing w:line="360" w:lineRule="auto"/>
        <w:ind w:left="1440" w:hanging="720"/>
        <w:rPr>
          <w:sz w:val="26"/>
          <w:szCs w:val="26"/>
        </w:rPr>
      </w:pPr>
      <w:r w:rsidRPr="00366F14">
        <w:rPr>
          <w:sz w:val="26"/>
          <w:szCs w:val="26"/>
        </w:rPr>
        <w:t xml:space="preserve">5. </w:t>
      </w:r>
      <w:r w:rsidR="00A34521">
        <w:rPr>
          <w:sz w:val="26"/>
          <w:szCs w:val="26"/>
        </w:rPr>
        <w:tab/>
      </w:r>
      <w:r w:rsidRPr="00366F14">
        <w:rPr>
          <w:sz w:val="26"/>
          <w:szCs w:val="26"/>
        </w:rPr>
        <w:t xml:space="preserve">Signature of the certifying physician, physician assistant, or nurse </w:t>
      </w:r>
      <w:r w:rsidRPr="00C97337">
        <w:rPr>
          <w:sz w:val="26"/>
          <w:szCs w:val="26"/>
        </w:rPr>
        <w:t>practitioner.</w:t>
      </w:r>
    </w:p>
    <w:p w14:paraId="22A6D3F8" w14:textId="77777777" w:rsidR="0056185E" w:rsidRPr="00C97337" w:rsidRDefault="0056185E" w:rsidP="0056185E">
      <w:pPr>
        <w:spacing w:line="360" w:lineRule="auto"/>
        <w:rPr>
          <w:sz w:val="26"/>
          <w:szCs w:val="26"/>
        </w:rPr>
      </w:pPr>
    </w:p>
    <w:p w14:paraId="751E919B" w14:textId="77777777" w:rsidR="00EC4A76" w:rsidRDefault="00A34521" w:rsidP="0056185E">
      <w:pPr>
        <w:spacing w:line="360" w:lineRule="auto"/>
        <w:rPr>
          <w:sz w:val="26"/>
          <w:szCs w:val="26"/>
        </w:rPr>
      </w:pPr>
      <w:r w:rsidRPr="00C97337">
        <w:rPr>
          <w:sz w:val="26"/>
          <w:szCs w:val="26"/>
        </w:rPr>
        <w:t>This</w:t>
      </w:r>
      <w:r w:rsidR="00D56640" w:rsidRPr="00C97337">
        <w:rPr>
          <w:sz w:val="26"/>
          <w:szCs w:val="26"/>
        </w:rPr>
        <w:t xml:space="preserve"> medical certificate</w:t>
      </w:r>
      <w:r w:rsidRPr="00C97337">
        <w:rPr>
          <w:sz w:val="26"/>
          <w:szCs w:val="26"/>
        </w:rPr>
        <w:t xml:space="preserve"> information can be provided to a utility in any written format. The Public Utility Commission provides a Standard Medical Certificate Form on </w:t>
      </w:r>
      <w:r w:rsidR="00D56640" w:rsidRPr="00C97337">
        <w:rPr>
          <w:sz w:val="26"/>
          <w:szCs w:val="26"/>
        </w:rPr>
        <w:t xml:space="preserve">its </w:t>
      </w:r>
      <w:r w:rsidRPr="00C97337">
        <w:rPr>
          <w:sz w:val="26"/>
          <w:szCs w:val="26"/>
        </w:rPr>
        <w:t xml:space="preserve">website, </w:t>
      </w:r>
      <w:hyperlink r:id="rId17" w:history="1">
        <w:r w:rsidR="00454B2E" w:rsidRPr="00C97337">
          <w:rPr>
            <w:rStyle w:val="Hyperlink"/>
            <w:sz w:val="26"/>
            <w:szCs w:val="26"/>
          </w:rPr>
          <w:t>www.puc.pa.gov</w:t>
        </w:r>
      </w:hyperlink>
      <w:r w:rsidRPr="00C97337">
        <w:rPr>
          <w:sz w:val="26"/>
          <w:szCs w:val="26"/>
        </w:rPr>
        <w:t>.</w:t>
      </w:r>
      <w:r w:rsidR="00D56640" w:rsidRPr="00C97337">
        <w:rPr>
          <w:sz w:val="26"/>
          <w:szCs w:val="26"/>
        </w:rPr>
        <w:t xml:space="preserve">  </w:t>
      </w:r>
      <w:r w:rsidRPr="00C97337">
        <w:rPr>
          <w:sz w:val="26"/>
          <w:szCs w:val="26"/>
        </w:rPr>
        <w:t xml:space="preserve">However, no particular form is required.  </w:t>
      </w:r>
    </w:p>
    <w:p w14:paraId="30C4D036" w14:textId="77777777" w:rsidR="00FA1909" w:rsidRDefault="00FA1909" w:rsidP="0056185E">
      <w:pPr>
        <w:spacing w:line="360" w:lineRule="auto"/>
        <w:rPr>
          <w:sz w:val="26"/>
          <w:szCs w:val="26"/>
        </w:rPr>
      </w:pPr>
    </w:p>
    <w:p w14:paraId="0974667C" w14:textId="77777777" w:rsidR="00FA1909" w:rsidRDefault="00FA1909" w:rsidP="0056185E">
      <w:pPr>
        <w:spacing w:line="360" w:lineRule="auto"/>
        <w:rPr>
          <w:sz w:val="26"/>
          <w:szCs w:val="26"/>
        </w:rPr>
        <w:sectPr w:rsidR="00FA1909" w:rsidSect="00C06440">
          <w:footerReference w:type="default" r:id="rId18"/>
          <w:footerReference w:type="first" r:id="rId19"/>
          <w:pgSz w:w="12240" w:h="15840"/>
          <w:pgMar w:top="1440" w:right="1440" w:bottom="1440" w:left="1440" w:header="720" w:footer="720" w:gutter="0"/>
          <w:pgNumType w:start="1"/>
          <w:cols w:space="720"/>
          <w:titlePg/>
          <w:docGrid w:linePitch="326"/>
        </w:sectPr>
      </w:pPr>
    </w:p>
    <w:p w14:paraId="518C65BB" w14:textId="77777777" w:rsidR="00FA1909" w:rsidRDefault="00FA1909" w:rsidP="00FA1909">
      <w:pPr>
        <w:jc w:val="center"/>
        <w:rPr>
          <w:b/>
          <w:bCs/>
          <w:sz w:val="48"/>
          <w:szCs w:val="48"/>
        </w:rPr>
      </w:pPr>
    </w:p>
    <w:p w14:paraId="1227AA1A" w14:textId="77777777" w:rsidR="00FA1909" w:rsidRDefault="00FA1909" w:rsidP="00FA1909">
      <w:pPr>
        <w:jc w:val="center"/>
        <w:rPr>
          <w:b/>
          <w:bCs/>
          <w:sz w:val="48"/>
          <w:szCs w:val="48"/>
        </w:rPr>
      </w:pPr>
    </w:p>
    <w:p w14:paraId="16B561E4" w14:textId="77777777" w:rsidR="00FA1909" w:rsidRDefault="00FA1909" w:rsidP="00FA1909">
      <w:pPr>
        <w:jc w:val="center"/>
        <w:rPr>
          <w:b/>
          <w:bCs/>
          <w:sz w:val="48"/>
          <w:szCs w:val="48"/>
        </w:rPr>
      </w:pPr>
    </w:p>
    <w:p w14:paraId="47793561" w14:textId="77777777" w:rsidR="00FA1909" w:rsidRDefault="00FA1909" w:rsidP="00FA1909">
      <w:pPr>
        <w:jc w:val="center"/>
        <w:rPr>
          <w:b/>
          <w:bCs/>
          <w:sz w:val="48"/>
          <w:szCs w:val="48"/>
        </w:rPr>
      </w:pPr>
    </w:p>
    <w:p w14:paraId="1001A401" w14:textId="77777777" w:rsidR="00FA1909" w:rsidRDefault="00FA1909" w:rsidP="00FA1909">
      <w:pPr>
        <w:jc w:val="center"/>
        <w:rPr>
          <w:b/>
          <w:bCs/>
          <w:sz w:val="48"/>
          <w:szCs w:val="48"/>
        </w:rPr>
      </w:pPr>
    </w:p>
    <w:p w14:paraId="29FD8512" w14:textId="77777777" w:rsidR="00FA1909" w:rsidRDefault="00FA1909" w:rsidP="00FA1909">
      <w:pPr>
        <w:jc w:val="center"/>
        <w:rPr>
          <w:b/>
          <w:bCs/>
          <w:sz w:val="48"/>
          <w:szCs w:val="48"/>
        </w:rPr>
      </w:pPr>
    </w:p>
    <w:p w14:paraId="7DE6BAAF" w14:textId="77777777" w:rsidR="00FA1909" w:rsidRDefault="00FA1909" w:rsidP="00FA1909">
      <w:pPr>
        <w:jc w:val="center"/>
        <w:rPr>
          <w:b/>
          <w:bCs/>
          <w:sz w:val="48"/>
          <w:szCs w:val="48"/>
        </w:rPr>
      </w:pPr>
    </w:p>
    <w:p w14:paraId="1794BFCA" w14:textId="77777777" w:rsidR="00FA1909" w:rsidRDefault="00FA1909" w:rsidP="00FA1909">
      <w:pPr>
        <w:jc w:val="center"/>
        <w:rPr>
          <w:b/>
          <w:bCs/>
          <w:sz w:val="48"/>
          <w:szCs w:val="48"/>
        </w:rPr>
      </w:pPr>
    </w:p>
    <w:p w14:paraId="408E77BB" w14:textId="77777777" w:rsidR="00FA1909" w:rsidRDefault="00FA1909" w:rsidP="00FA1909">
      <w:pPr>
        <w:jc w:val="center"/>
        <w:rPr>
          <w:b/>
          <w:bCs/>
          <w:sz w:val="48"/>
          <w:szCs w:val="48"/>
        </w:rPr>
      </w:pPr>
    </w:p>
    <w:p w14:paraId="3494287C" w14:textId="77777777" w:rsidR="00FA1909" w:rsidRDefault="00FA1909" w:rsidP="00FA1909">
      <w:pPr>
        <w:jc w:val="center"/>
        <w:rPr>
          <w:b/>
          <w:bCs/>
          <w:sz w:val="48"/>
          <w:szCs w:val="48"/>
        </w:rPr>
      </w:pPr>
      <w:r w:rsidRPr="00EC4A76">
        <w:rPr>
          <w:b/>
          <w:bCs/>
          <w:sz w:val="48"/>
          <w:szCs w:val="48"/>
        </w:rPr>
        <w:t xml:space="preserve">APPENDIX </w:t>
      </w:r>
      <w:r>
        <w:rPr>
          <w:b/>
          <w:bCs/>
          <w:sz w:val="48"/>
          <w:szCs w:val="48"/>
        </w:rPr>
        <w:t>C</w:t>
      </w:r>
    </w:p>
    <w:p w14:paraId="32E1F7F0" w14:textId="77777777" w:rsidR="00C06440" w:rsidRDefault="00C06440" w:rsidP="00FA1909">
      <w:pPr>
        <w:sectPr w:rsidR="00C06440" w:rsidSect="00C06440">
          <w:footerReference w:type="default" r:id="rId20"/>
          <w:footerReference w:type="first" r:id="rId21"/>
          <w:pgSz w:w="12240" w:h="15840"/>
          <w:pgMar w:top="1440" w:right="1440" w:bottom="1440" w:left="1440" w:header="720" w:footer="720" w:gutter="0"/>
          <w:pgNumType w:start="0"/>
          <w:cols w:space="720"/>
          <w:titlePg/>
          <w:docGrid w:linePitch="326"/>
        </w:sectPr>
      </w:pPr>
    </w:p>
    <w:p w14:paraId="21F17254" w14:textId="77777777" w:rsidR="00FA1909" w:rsidRDefault="00FA1909" w:rsidP="00FA1909"/>
    <w:p w14:paraId="46BBC693" w14:textId="77777777" w:rsidR="00FA1909" w:rsidRDefault="00FA1909" w:rsidP="00FA1909">
      <w:pPr>
        <w:jc w:val="center"/>
        <w:rPr>
          <w:b/>
          <w:bCs/>
          <w:caps/>
          <w:sz w:val="26"/>
          <w:szCs w:val="26"/>
        </w:rPr>
      </w:pPr>
      <w:r w:rsidRPr="00FA1909">
        <w:rPr>
          <w:b/>
          <w:bCs/>
          <w:caps/>
          <w:sz w:val="26"/>
          <w:szCs w:val="26"/>
        </w:rPr>
        <w:t>Privacy Guidelines</w:t>
      </w:r>
      <w:r w:rsidR="002B0AED">
        <w:rPr>
          <w:b/>
          <w:bCs/>
          <w:caps/>
          <w:sz w:val="26"/>
          <w:szCs w:val="26"/>
        </w:rPr>
        <w:t xml:space="preserve"> RElEVant to</w:t>
      </w:r>
      <w:r w:rsidRPr="00FA1909">
        <w:rPr>
          <w:b/>
          <w:bCs/>
          <w:caps/>
          <w:sz w:val="26"/>
          <w:szCs w:val="26"/>
        </w:rPr>
        <w:t xml:space="preserve"> </w:t>
      </w:r>
    </w:p>
    <w:p w14:paraId="2CBDC8E0" w14:textId="77777777" w:rsidR="002B0AED" w:rsidRDefault="002B0AED" w:rsidP="002B0AED">
      <w:pPr>
        <w:jc w:val="center"/>
        <w:rPr>
          <w:b/>
          <w:bCs/>
          <w:caps/>
          <w:sz w:val="26"/>
          <w:szCs w:val="26"/>
        </w:rPr>
      </w:pPr>
      <w:r>
        <w:rPr>
          <w:b/>
          <w:bCs/>
          <w:caps/>
          <w:sz w:val="26"/>
          <w:szCs w:val="26"/>
        </w:rPr>
        <w:t>66 Pa.C.S. § 1416 and 52 PA. Code §</w:t>
      </w:r>
      <w:bookmarkStart w:id="3" w:name="_Hlk88139209"/>
      <w:r>
        <w:rPr>
          <w:b/>
          <w:bCs/>
          <w:caps/>
          <w:sz w:val="26"/>
          <w:szCs w:val="26"/>
        </w:rPr>
        <w:t>§</w:t>
      </w:r>
      <w:bookmarkEnd w:id="3"/>
      <w:r>
        <w:rPr>
          <w:b/>
          <w:bCs/>
          <w:caps/>
          <w:sz w:val="26"/>
          <w:szCs w:val="26"/>
        </w:rPr>
        <w:t xml:space="preserve"> 56.93, 56.333</w:t>
      </w:r>
    </w:p>
    <w:p w14:paraId="07CFFA31" w14:textId="77777777" w:rsidR="00665BD0" w:rsidRDefault="00665BD0" w:rsidP="00665BD0">
      <w:pPr>
        <w:rPr>
          <w:b/>
          <w:bCs/>
          <w:caps/>
          <w:sz w:val="26"/>
          <w:szCs w:val="26"/>
        </w:rPr>
      </w:pPr>
    </w:p>
    <w:p w14:paraId="50BDE1D9" w14:textId="77777777" w:rsidR="00665BD0" w:rsidRDefault="00665BD0" w:rsidP="00665BD0">
      <w:pPr>
        <w:rPr>
          <w:b/>
          <w:bCs/>
          <w:sz w:val="26"/>
          <w:szCs w:val="26"/>
          <w:u w:val="single"/>
        </w:rPr>
      </w:pPr>
      <w:r>
        <w:rPr>
          <w:b/>
          <w:bCs/>
          <w:sz w:val="26"/>
          <w:szCs w:val="26"/>
          <w:u w:val="single"/>
        </w:rPr>
        <w:t xml:space="preserve">Release of </w:t>
      </w:r>
      <w:r w:rsidR="001A13C7">
        <w:rPr>
          <w:b/>
          <w:bCs/>
          <w:sz w:val="26"/>
          <w:szCs w:val="26"/>
          <w:u w:val="single"/>
        </w:rPr>
        <w:t xml:space="preserve">Customer </w:t>
      </w:r>
      <w:r>
        <w:rPr>
          <w:b/>
          <w:bCs/>
          <w:sz w:val="26"/>
          <w:szCs w:val="26"/>
          <w:u w:val="single"/>
        </w:rPr>
        <w:t xml:space="preserve">Telephone </w:t>
      </w:r>
      <w:r w:rsidR="001A13C7">
        <w:rPr>
          <w:b/>
          <w:bCs/>
          <w:sz w:val="26"/>
          <w:szCs w:val="26"/>
          <w:u w:val="single"/>
        </w:rPr>
        <w:t xml:space="preserve">Numbers </w:t>
      </w:r>
      <w:r>
        <w:rPr>
          <w:b/>
          <w:bCs/>
          <w:sz w:val="26"/>
          <w:szCs w:val="26"/>
          <w:u w:val="single"/>
        </w:rPr>
        <w:t>and E-Mail Addresses</w:t>
      </w:r>
      <w:r w:rsidR="008F2EE0">
        <w:rPr>
          <w:b/>
          <w:bCs/>
          <w:sz w:val="26"/>
          <w:szCs w:val="26"/>
          <w:u w:val="single"/>
        </w:rPr>
        <w:t>:</w:t>
      </w:r>
    </w:p>
    <w:p w14:paraId="1F8E1694" w14:textId="77777777" w:rsidR="00665BD0" w:rsidRDefault="00665BD0" w:rsidP="00665BD0">
      <w:pPr>
        <w:rPr>
          <w:b/>
          <w:bCs/>
          <w:sz w:val="26"/>
          <w:szCs w:val="26"/>
          <w:u w:val="single"/>
        </w:rPr>
      </w:pPr>
    </w:p>
    <w:p w14:paraId="2904EFF4" w14:textId="77777777" w:rsidR="006265A2" w:rsidRDefault="006265A2" w:rsidP="006265A2">
      <w:pPr>
        <w:numPr>
          <w:ilvl w:val="0"/>
          <w:numId w:val="10"/>
        </w:numPr>
        <w:rPr>
          <w:sz w:val="26"/>
          <w:szCs w:val="26"/>
        </w:rPr>
      </w:pPr>
      <w:r>
        <w:rPr>
          <w:sz w:val="26"/>
          <w:szCs w:val="26"/>
        </w:rPr>
        <w:t xml:space="preserve">Public utilities </w:t>
      </w:r>
      <w:r w:rsidR="001374EE">
        <w:rPr>
          <w:sz w:val="26"/>
          <w:szCs w:val="26"/>
        </w:rPr>
        <w:t>should</w:t>
      </w:r>
      <w:r>
        <w:rPr>
          <w:sz w:val="26"/>
          <w:szCs w:val="26"/>
        </w:rPr>
        <w:t xml:space="preserve"> maintain the confidentiality of a customer’s telephone number and e</w:t>
      </w:r>
      <w:r>
        <w:rPr>
          <w:sz w:val="26"/>
          <w:szCs w:val="26"/>
        </w:rPr>
        <w:noBreakHyphen/>
        <w:t xml:space="preserve">mail address.  </w:t>
      </w:r>
    </w:p>
    <w:p w14:paraId="3D76225B" w14:textId="77777777" w:rsidR="006265A2" w:rsidRDefault="006265A2" w:rsidP="00665BD0">
      <w:pPr>
        <w:rPr>
          <w:sz w:val="26"/>
          <w:szCs w:val="26"/>
        </w:rPr>
      </w:pPr>
    </w:p>
    <w:p w14:paraId="7810D82B" w14:textId="77777777" w:rsidR="00AC68F3" w:rsidRDefault="006265A2" w:rsidP="006265A2">
      <w:pPr>
        <w:numPr>
          <w:ilvl w:val="0"/>
          <w:numId w:val="10"/>
        </w:numPr>
        <w:rPr>
          <w:sz w:val="26"/>
          <w:szCs w:val="26"/>
        </w:rPr>
      </w:pPr>
      <w:r>
        <w:rPr>
          <w:sz w:val="26"/>
          <w:szCs w:val="26"/>
        </w:rPr>
        <w:t xml:space="preserve">Public utilities </w:t>
      </w:r>
      <w:r w:rsidR="00FD0AA7">
        <w:rPr>
          <w:sz w:val="26"/>
          <w:szCs w:val="26"/>
        </w:rPr>
        <w:t>should</w:t>
      </w:r>
      <w:r>
        <w:rPr>
          <w:sz w:val="26"/>
          <w:szCs w:val="26"/>
        </w:rPr>
        <w:t xml:space="preserve"> not release a customer’s telephone number or e-mail address to a third party unless the customer has been notified of the intent.</w:t>
      </w:r>
    </w:p>
    <w:p w14:paraId="3941E507" w14:textId="77777777" w:rsidR="006265A2" w:rsidRDefault="006265A2" w:rsidP="00665BD0">
      <w:pPr>
        <w:rPr>
          <w:sz w:val="26"/>
          <w:szCs w:val="26"/>
        </w:rPr>
      </w:pPr>
    </w:p>
    <w:p w14:paraId="2FFC1DAD" w14:textId="77777777" w:rsidR="006265A2" w:rsidRDefault="006265A2" w:rsidP="006265A2">
      <w:pPr>
        <w:numPr>
          <w:ilvl w:val="0"/>
          <w:numId w:val="10"/>
        </w:numPr>
        <w:rPr>
          <w:sz w:val="26"/>
          <w:szCs w:val="26"/>
        </w:rPr>
      </w:pPr>
      <w:r>
        <w:rPr>
          <w:sz w:val="26"/>
          <w:szCs w:val="26"/>
        </w:rPr>
        <w:t xml:space="preserve">Public utilities </w:t>
      </w:r>
      <w:r w:rsidR="00FD0AA7">
        <w:rPr>
          <w:sz w:val="26"/>
          <w:szCs w:val="26"/>
        </w:rPr>
        <w:t>should</w:t>
      </w:r>
      <w:r>
        <w:rPr>
          <w:sz w:val="26"/>
          <w:szCs w:val="26"/>
        </w:rPr>
        <w:t xml:space="preserve"> not release a customer’s telephone number or e-mail address </w:t>
      </w:r>
      <w:r w:rsidR="00172455">
        <w:rPr>
          <w:sz w:val="26"/>
          <w:szCs w:val="26"/>
        </w:rPr>
        <w:t xml:space="preserve">to a third party </w:t>
      </w:r>
      <w:r>
        <w:rPr>
          <w:sz w:val="26"/>
          <w:szCs w:val="26"/>
        </w:rPr>
        <w:t xml:space="preserve">absent express and clearly defined permission from the customer. </w:t>
      </w:r>
    </w:p>
    <w:p w14:paraId="760B5168" w14:textId="77777777" w:rsidR="006265A2" w:rsidRDefault="006265A2" w:rsidP="00665BD0">
      <w:pPr>
        <w:rPr>
          <w:sz w:val="26"/>
          <w:szCs w:val="26"/>
        </w:rPr>
      </w:pPr>
    </w:p>
    <w:p w14:paraId="2B3F01A3" w14:textId="77777777" w:rsidR="006265A2" w:rsidRPr="006265A2" w:rsidRDefault="006265A2" w:rsidP="006265A2">
      <w:pPr>
        <w:numPr>
          <w:ilvl w:val="0"/>
          <w:numId w:val="10"/>
        </w:numPr>
        <w:rPr>
          <w:sz w:val="26"/>
          <w:szCs w:val="26"/>
        </w:rPr>
      </w:pPr>
      <w:r>
        <w:rPr>
          <w:sz w:val="26"/>
          <w:szCs w:val="26"/>
        </w:rPr>
        <w:t xml:space="preserve">Public utilities </w:t>
      </w:r>
      <w:r w:rsidR="001374EE">
        <w:rPr>
          <w:sz w:val="26"/>
          <w:szCs w:val="26"/>
        </w:rPr>
        <w:t>should</w:t>
      </w:r>
      <w:r>
        <w:rPr>
          <w:sz w:val="26"/>
          <w:szCs w:val="26"/>
        </w:rPr>
        <w:t xml:space="preserve"> inform </w:t>
      </w:r>
      <w:r w:rsidR="00FD0AA7">
        <w:rPr>
          <w:sz w:val="26"/>
          <w:szCs w:val="26"/>
        </w:rPr>
        <w:t xml:space="preserve">a </w:t>
      </w:r>
      <w:r>
        <w:rPr>
          <w:sz w:val="26"/>
          <w:szCs w:val="26"/>
        </w:rPr>
        <w:t xml:space="preserve">customer of and provide </w:t>
      </w:r>
      <w:r w:rsidR="00FD0AA7">
        <w:rPr>
          <w:sz w:val="26"/>
          <w:szCs w:val="26"/>
        </w:rPr>
        <w:t xml:space="preserve">the </w:t>
      </w:r>
      <w:r>
        <w:rPr>
          <w:sz w:val="26"/>
          <w:szCs w:val="26"/>
        </w:rPr>
        <w:t xml:space="preserve">customer with a convenient method of notifying the utility </w:t>
      </w:r>
      <w:r w:rsidR="00BF47A5">
        <w:rPr>
          <w:sz w:val="26"/>
          <w:szCs w:val="26"/>
        </w:rPr>
        <w:t xml:space="preserve">of the customer’s desire to restrict the release of a telephone number or e-mail address. </w:t>
      </w:r>
    </w:p>
    <w:p w14:paraId="2B2E91A0" w14:textId="77777777" w:rsidR="00AC68F3" w:rsidRDefault="00AC68F3" w:rsidP="00665BD0">
      <w:pPr>
        <w:rPr>
          <w:b/>
          <w:bCs/>
          <w:sz w:val="26"/>
          <w:szCs w:val="26"/>
          <w:u w:val="single"/>
        </w:rPr>
      </w:pPr>
    </w:p>
    <w:p w14:paraId="34955E93" w14:textId="77777777" w:rsidR="00665BD0" w:rsidRDefault="001A29E3" w:rsidP="00665BD0">
      <w:pPr>
        <w:rPr>
          <w:b/>
          <w:bCs/>
          <w:sz w:val="26"/>
          <w:szCs w:val="26"/>
          <w:u w:val="single"/>
        </w:rPr>
      </w:pPr>
      <w:r>
        <w:rPr>
          <w:b/>
          <w:bCs/>
          <w:sz w:val="26"/>
          <w:szCs w:val="26"/>
          <w:u w:val="single"/>
        </w:rPr>
        <w:t xml:space="preserve">Customer </w:t>
      </w:r>
      <w:r w:rsidR="00960102">
        <w:rPr>
          <w:b/>
          <w:bCs/>
          <w:sz w:val="26"/>
          <w:szCs w:val="26"/>
          <w:u w:val="single"/>
        </w:rPr>
        <w:t>Consent to</w:t>
      </w:r>
      <w:r w:rsidR="00665BD0">
        <w:rPr>
          <w:b/>
          <w:bCs/>
          <w:sz w:val="26"/>
          <w:szCs w:val="26"/>
          <w:u w:val="single"/>
        </w:rPr>
        <w:t xml:space="preserve"> Electronic Notifications</w:t>
      </w:r>
      <w:r w:rsidR="00960102">
        <w:rPr>
          <w:b/>
          <w:bCs/>
          <w:sz w:val="26"/>
          <w:szCs w:val="26"/>
          <w:u w:val="single"/>
        </w:rPr>
        <w:t xml:space="preserve"> for Termination</w:t>
      </w:r>
      <w:r w:rsidR="008F2EE0">
        <w:rPr>
          <w:b/>
          <w:bCs/>
          <w:sz w:val="26"/>
          <w:szCs w:val="26"/>
          <w:u w:val="single"/>
        </w:rPr>
        <w:t>:</w:t>
      </w:r>
    </w:p>
    <w:p w14:paraId="6159F0C3" w14:textId="77777777" w:rsidR="00665BD0" w:rsidRDefault="00665BD0" w:rsidP="00665BD0">
      <w:pPr>
        <w:rPr>
          <w:b/>
          <w:bCs/>
          <w:sz w:val="26"/>
          <w:szCs w:val="26"/>
          <w:u w:val="single"/>
        </w:rPr>
      </w:pPr>
    </w:p>
    <w:p w14:paraId="52764DFE" w14:textId="77777777" w:rsidR="00003A93" w:rsidRDefault="00DB0F88" w:rsidP="00DB0F88">
      <w:pPr>
        <w:numPr>
          <w:ilvl w:val="0"/>
          <w:numId w:val="10"/>
        </w:numPr>
        <w:rPr>
          <w:sz w:val="26"/>
          <w:szCs w:val="26"/>
        </w:rPr>
      </w:pPr>
      <w:r>
        <w:rPr>
          <w:sz w:val="26"/>
          <w:szCs w:val="26"/>
        </w:rPr>
        <w:t xml:space="preserve">Public utilities </w:t>
      </w:r>
      <w:r w:rsidR="001374EE">
        <w:rPr>
          <w:sz w:val="26"/>
          <w:szCs w:val="26"/>
        </w:rPr>
        <w:t>should</w:t>
      </w:r>
      <w:r>
        <w:rPr>
          <w:sz w:val="26"/>
          <w:szCs w:val="26"/>
        </w:rPr>
        <w:t xml:space="preserve"> provide a separate and distinct consent notice to </w:t>
      </w:r>
      <w:r w:rsidR="00175C40">
        <w:rPr>
          <w:sz w:val="26"/>
          <w:szCs w:val="26"/>
        </w:rPr>
        <w:t xml:space="preserve">a </w:t>
      </w:r>
      <w:r>
        <w:rPr>
          <w:sz w:val="26"/>
          <w:szCs w:val="26"/>
        </w:rPr>
        <w:t>customer enrolling to receive electronic notifications for termination.</w:t>
      </w:r>
      <w:r w:rsidR="00003A93">
        <w:rPr>
          <w:sz w:val="26"/>
          <w:szCs w:val="26"/>
        </w:rPr>
        <w:t xml:space="preserve"> </w:t>
      </w:r>
    </w:p>
    <w:p w14:paraId="1F9AEB5B" w14:textId="77777777" w:rsidR="00003A93" w:rsidRDefault="00003A93" w:rsidP="00003A93">
      <w:pPr>
        <w:ind w:left="360"/>
        <w:rPr>
          <w:sz w:val="26"/>
          <w:szCs w:val="26"/>
        </w:rPr>
      </w:pPr>
    </w:p>
    <w:p w14:paraId="1543D2FC" w14:textId="77777777" w:rsidR="00003A93" w:rsidRDefault="00003A93" w:rsidP="00003A93">
      <w:pPr>
        <w:numPr>
          <w:ilvl w:val="0"/>
          <w:numId w:val="10"/>
        </w:numPr>
        <w:rPr>
          <w:sz w:val="26"/>
          <w:szCs w:val="26"/>
        </w:rPr>
      </w:pPr>
      <w:r>
        <w:rPr>
          <w:sz w:val="26"/>
          <w:szCs w:val="26"/>
        </w:rPr>
        <w:t>The consent notice for</w:t>
      </w:r>
      <w:r w:rsidR="00970157">
        <w:rPr>
          <w:sz w:val="26"/>
          <w:szCs w:val="26"/>
        </w:rPr>
        <w:t xml:space="preserve"> electronic</w:t>
      </w:r>
      <w:r>
        <w:rPr>
          <w:sz w:val="26"/>
          <w:szCs w:val="26"/>
        </w:rPr>
        <w:t xml:space="preserve"> notifications of termination provided to the customer</w:t>
      </w:r>
      <w:r w:rsidR="00970157">
        <w:rPr>
          <w:sz w:val="26"/>
          <w:szCs w:val="26"/>
        </w:rPr>
        <w:t xml:space="preserve"> </w:t>
      </w:r>
      <w:r w:rsidR="001374EE">
        <w:rPr>
          <w:sz w:val="26"/>
          <w:szCs w:val="26"/>
        </w:rPr>
        <w:t>should</w:t>
      </w:r>
      <w:r>
        <w:rPr>
          <w:sz w:val="26"/>
          <w:szCs w:val="26"/>
        </w:rPr>
        <w:t xml:space="preserve"> include statements informing the customer that:</w:t>
      </w:r>
    </w:p>
    <w:p w14:paraId="6601C79D" w14:textId="77777777" w:rsidR="00003A93" w:rsidRDefault="00003A93" w:rsidP="00003A93">
      <w:pPr>
        <w:pStyle w:val="ListParagraph"/>
        <w:rPr>
          <w:sz w:val="26"/>
          <w:szCs w:val="26"/>
        </w:rPr>
      </w:pPr>
    </w:p>
    <w:p w14:paraId="6D53C978" w14:textId="77777777" w:rsidR="00003A93" w:rsidRDefault="00003A93" w:rsidP="00003A93">
      <w:pPr>
        <w:numPr>
          <w:ilvl w:val="0"/>
          <w:numId w:val="12"/>
        </w:numPr>
        <w:rPr>
          <w:sz w:val="26"/>
          <w:szCs w:val="26"/>
        </w:rPr>
      </w:pPr>
      <w:r>
        <w:rPr>
          <w:sz w:val="26"/>
          <w:szCs w:val="26"/>
        </w:rPr>
        <w:t>The purpose of the consent is to receive electronic notifications of termination;</w:t>
      </w:r>
    </w:p>
    <w:p w14:paraId="4264EEF7" w14:textId="77777777" w:rsidR="00FE51A8" w:rsidRDefault="00FE51A8" w:rsidP="00FE51A8">
      <w:pPr>
        <w:ind w:left="720"/>
        <w:rPr>
          <w:sz w:val="26"/>
          <w:szCs w:val="26"/>
        </w:rPr>
      </w:pPr>
    </w:p>
    <w:p w14:paraId="353042A3" w14:textId="77777777" w:rsidR="00003A93" w:rsidRDefault="00003A93" w:rsidP="00003A93">
      <w:pPr>
        <w:numPr>
          <w:ilvl w:val="0"/>
          <w:numId w:val="12"/>
        </w:numPr>
        <w:rPr>
          <w:sz w:val="26"/>
          <w:szCs w:val="26"/>
        </w:rPr>
      </w:pPr>
      <w:r>
        <w:rPr>
          <w:sz w:val="26"/>
          <w:szCs w:val="26"/>
        </w:rPr>
        <w:t xml:space="preserve">Receiving electronic notifications of termination is voluntary; and </w:t>
      </w:r>
    </w:p>
    <w:p w14:paraId="177936F1" w14:textId="77777777" w:rsidR="00FE51A8" w:rsidRDefault="00FE51A8" w:rsidP="00FE51A8">
      <w:pPr>
        <w:rPr>
          <w:sz w:val="26"/>
          <w:szCs w:val="26"/>
        </w:rPr>
      </w:pPr>
    </w:p>
    <w:p w14:paraId="203D7938" w14:textId="77777777" w:rsidR="00003A93" w:rsidRPr="00003A93" w:rsidRDefault="00003A93" w:rsidP="00003A93">
      <w:pPr>
        <w:numPr>
          <w:ilvl w:val="0"/>
          <w:numId w:val="12"/>
        </w:numPr>
        <w:rPr>
          <w:sz w:val="26"/>
          <w:szCs w:val="26"/>
        </w:rPr>
      </w:pPr>
      <w:r>
        <w:rPr>
          <w:sz w:val="26"/>
          <w:szCs w:val="26"/>
        </w:rPr>
        <w:t xml:space="preserve">The customer may revoke consent at any time by any clear means.  </w:t>
      </w:r>
    </w:p>
    <w:p w14:paraId="71601FA0" w14:textId="77777777" w:rsidR="00665BD0" w:rsidRDefault="00665BD0" w:rsidP="00665BD0">
      <w:pPr>
        <w:rPr>
          <w:sz w:val="26"/>
          <w:szCs w:val="26"/>
        </w:rPr>
      </w:pPr>
    </w:p>
    <w:p w14:paraId="0FAA2581" w14:textId="77777777" w:rsidR="007B6F09" w:rsidRDefault="00B4048F" w:rsidP="00B4048F">
      <w:pPr>
        <w:numPr>
          <w:ilvl w:val="0"/>
          <w:numId w:val="10"/>
        </w:numPr>
        <w:rPr>
          <w:sz w:val="26"/>
          <w:szCs w:val="26"/>
        </w:rPr>
      </w:pPr>
      <w:r>
        <w:rPr>
          <w:sz w:val="26"/>
          <w:szCs w:val="26"/>
        </w:rPr>
        <w:t>Public u</w:t>
      </w:r>
      <w:r w:rsidR="00665BD0">
        <w:rPr>
          <w:sz w:val="26"/>
          <w:szCs w:val="26"/>
        </w:rPr>
        <w:t>tilities may exercise discretion</w:t>
      </w:r>
      <w:r>
        <w:rPr>
          <w:sz w:val="26"/>
          <w:szCs w:val="26"/>
        </w:rPr>
        <w:t xml:space="preserve"> in determining the method of obtaining customer consent to electronic notifications of termination</w:t>
      </w:r>
      <w:r w:rsidR="00665BD0">
        <w:rPr>
          <w:sz w:val="26"/>
          <w:szCs w:val="26"/>
        </w:rPr>
        <w:t>.  The Commission</w:t>
      </w:r>
      <w:r>
        <w:rPr>
          <w:sz w:val="26"/>
          <w:szCs w:val="26"/>
        </w:rPr>
        <w:t>, however,</w:t>
      </w:r>
      <w:r w:rsidR="00665BD0">
        <w:rPr>
          <w:sz w:val="26"/>
          <w:szCs w:val="26"/>
        </w:rPr>
        <w:t xml:space="preserve"> strongly encourages utilities to avoid the use of a check-box for this notice.</w:t>
      </w:r>
    </w:p>
    <w:p w14:paraId="0D6D7A64" w14:textId="77777777" w:rsidR="007B6F09" w:rsidRDefault="007B6F09" w:rsidP="007B6F09">
      <w:pPr>
        <w:ind w:left="360"/>
        <w:rPr>
          <w:sz w:val="26"/>
          <w:szCs w:val="26"/>
        </w:rPr>
      </w:pPr>
    </w:p>
    <w:p w14:paraId="3BFD0E78" w14:textId="77777777" w:rsidR="00665BD0" w:rsidRDefault="007B6F09" w:rsidP="00B4048F">
      <w:pPr>
        <w:numPr>
          <w:ilvl w:val="0"/>
          <w:numId w:val="10"/>
        </w:numPr>
        <w:rPr>
          <w:sz w:val="26"/>
          <w:szCs w:val="26"/>
        </w:rPr>
      </w:pPr>
      <w:r>
        <w:rPr>
          <w:sz w:val="26"/>
          <w:szCs w:val="26"/>
        </w:rPr>
        <w:t xml:space="preserve">Public utilities </w:t>
      </w:r>
      <w:r w:rsidR="001374EE">
        <w:rPr>
          <w:sz w:val="26"/>
          <w:szCs w:val="26"/>
        </w:rPr>
        <w:t>should</w:t>
      </w:r>
      <w:r>
        <w:rPr>
          <w:sz w:val="26"/>
          <w:szCs w:val="26"/>
        </w:rPr>
        <w:t xml:space="preserve"> allow </w:t>
      </w:r>
      <w:r w:rsidR="00E31AA2">
        <w:rPr>
          <w:sz w:val="26"/>
          <w:szCs w:val="26"/>
        </w:rPr>
        <w:t>a</w:t>
      </w:r>
      <w:r>
        <w:rPr>
          <w:sz w:val="26"/>
          <w:szCs w:val="26"/>
        </w:rPr>
        <w:t xml:space="preserve"> customer to revoke consent to receive electronic notifications of termination at any time by any clear means. </w:t>
      </w:r>
      <w:r w:rsidR="00665BD0">
        <w:rPr>
          <w:sz w:val="26"/>
          <w:szCs w:val="26"/>
        </w:rPr>
        <w:t xml:space="preserve">  </w:t>
      </w:r>
    </w:p>
    <w:p w14:paraId="7620D7A6" w14:textId="77777777" w:rsidR="00665BD0" w:rsidRDefault="00665BD0" w:rsidP="00665BD0">
      <w:pPr>
        <w:rPr>
          <w:sz w:val="26"/>
          <w:szCs w:val="26"/>
        </w:rPr>
      </w:pPr>
    </w:p>
    <w:p w14:paraId="64FDF523" w14:textId="77777777" w:rsidR="00974CF1" w:rsidRDefault="00974CF1" w:rsidP="00665BD0">
      <w:pPr>
        <w:rPr>
          <w:sz w:val="26"/>
          <w:szCs w:val="26"/>
        </w:rPr>
      </w:pPr>
    </w:p>
    <w:p w14:paraId="7DB2270A" w14:textId="77777777" w:rsidR="00974CF1" w:rsidRDefault="00974CF1" w:rsidP="00665BD0">
      <w:pPr>
        <w:rPr>
          <w:sz w:val="26"/>
          <w:szCs w:val="26"/>
        </w:rPr>
      </w:pPr>
    </w:p>
    <w:p w14:paraId="369096FB" w14:textId="77777777" w:rsidR="00974CF1" w:rsidRPr="00665BD0" w:rsidRDefault="00974CF1" w:rsidP="00665BD0">
      <w:pPr>
        <w:rPr>
          <w:sz w:val="26"/>
          <w:szCs w:val="26"/>
        </w:rPr>
      </w:pPr>
    </w:p>
    <w:p w14:paraId="63FCE7D5" w14:textId="77777777" w:rsidR="00665BD0" w:rsidRDefault="007B6F09" w:rsidP="00665BD0">
      <w:pPr>
        <w:rPr>
          <w:b/>
          <w:bCs/>
          <w:sz w:val="26"/>
          <w:szCs w:val="26"/>
          <w:u w:val="single"/>
        </w:rPr>
      </w:pPr>
      <w:r>
        <w:rPr>
          <w:b/>
          <w:bCs/>
          <w:sz w:val="26"/>
          <w:szCs w:val="26"/>
          <w:u w:val="single"/>
        </w:rPr>
        <w:lastRenderedPageBreak/>
        <w:t xml:space="preserve">Reminder Notices </w:t>
      </w:r>
      <w:r w:rsidR="001A29E3">
        <w:rPr>
          <w:b/>
          <w:bCs/>
          <w:sz w:val="26"/>
          <w:szCs w:val="26"/>
          <w:u w:val="single"/>
        </w:rPr>
        <w:t xml:space="preserve">regarding </w:t>
      </w:r>
      <w:r w:rsidR="001A13C7">
        <w:rPr>
          <w:b/>
          <w:bCs/>
          <w:sz w:val="26"/>
          <w:szCs w:val="26"/>
          <w:u w:val="single"/>
        </w:rPr>
        <w:t>Electronic Notifications of Termination</w:t>
      </w:r>
      <w:r w:rsidR="008F2EE0">
        <w:rPr>
          <w:b/>
          <w:bCs/>
          <w:sz w:val="26"/>
          <w:szCs w:val="26"/>
          <w:u w:val="single"/>
        </w:rPr>
        <w:t>:</w:t>
      </w:r>
    </w:p>
    <w:p w14:paraId="7856CF9C" w14:textId="77777777" w:rsidR="00AC68F3" w:rsidRDefault="00AC68F3" w:rsidP="00665BD0">
      <w:pPr>
        <w:rPr>
          <w:b/>
          <w:bCs/>
          <w:sz w:val="26"/>
          <w:szCs w:val="26"/>
          <w:u w:val="single"/>
        </w:rPr>
      </w:pPr>
    </w:p>
    <w:p w14:paraId="35678FD4" w14:textId="77777777" w:rsidR="00AC68F3" w:rsidRDefault="00955D95" w:rsidP="00955D95">
      <w:pPr>
        <w:numPr>
          <w:ilvl w:val="0"/>
          <w:numId w:val="10"/>
        </w:numPr>
        <w:rPr>
          <w:sz w:val="26"/>
          <w:szCs w:val="26"/>
        </w:rPr>
      </w:pPr>
      <w:r>
        <w:rPr>
          <w:sz w:val="26"/>
          <w:szCs w:val="26"/>
        </w:rPr>
        <w:t>Public u</w:t>
      </w:r>
      <w:r w:rsidR="00AC68F3">
        <w:rPr>
          <w:sz w:val="26"/>
          <w:szCs w:val="26"/>
        </w:rPr>
        <w:t xml:space="preserve">tilities </w:t>
      </w:r>
      <w:r w:rsidR="001374EE">
        <w:rPr>
          <w:sz w:val="26"/>
          <w:szCs w:val="26"/>
        </w:rPr>
        <w:t>should</w:t>
      </w:r>
      <w:r w:rsidR="00AC68F3">
        <w:rPr>
          <w:sz w:val="26"/>
          <w:szCs w:val="26"/>
        </w:rPr>
        <w:t xml:space="preserve"> send a</w:t>
      </w:r>
      <w:r w:rsidR="007B6F09">
        <w:rPr>
          <w:sz w:val="26"/>
          <w:szCs w:val="26"/>
        </w:rPr>
        <w:t xml:space="preserve"> </w:t>
      </w:r>
      <w:r>
        <w:rPr>
          <w:sz w:val="26"/>
          <w:szCs w:val="26"/>
        </w:rPr>
        <w:t xml:space="preserve">notice </w:t>
      </w:r>
      <w:r w:rsidR="00AC68F3">
        <w:rPr>
          <w:sz w:val="26"/>
          <w:szCs w:val="26"/>
        </w:rPr>
        <w:t xml:space="preserve">to </w:t>
      </w:r>
      <w:r w:rsidR="00D57422">
        <w:rPr>
          <w:sz w:val="26"/>
          <w:szCs w:val="26"/>
        </w:rPr>
        <w:t xml:space="preserve">a </w:t>
      </w:r>
      <w:r w:rsidR="00AC68F3">
        <w:rPr>
          <w:sz w:val="26"/>
          <w:szCs w:val="26"/>
        </w:rPr>
        <w:t xml:space="preserve">customer on an annual basis to </w:t>
      </w:r>
      <w:r>
        <w:rPr>
          <w:sz w:val="26"/>
          <w:szCs w:val="26"/>
        </w:rPr>
        <w:t xml:space="preserve">remind </w:t>
      </w:r>
      <w:r w:rsidR="00AC68F3">
        <w:rPr>
          <w:sz w:val="26"/>
          <w:szCs w:val="26"/>
        </w:rPr>
        <w:t>the</w:t>
      </w:r>
      <w:r w:rsidR="00E91802">
        <w:rPr>
          <w:sz w:val="26"/>
          <w:szCs w:val="26"/>
        </w:rPr>
        <w:t xml:space="preserve"> customer</w:t>
      </w:r>
      <w:r w:rsidR="00AC68F3">
        <w:rPr>
          <w:sz w:val="26"/>
          <w:szCs w:val="26"/>
        </w:rPr>
        <w:t xml:space="preserve"> to review </w:t>
      </w:r>
      <w:r w:rsidR="00160CBD">
        <w:rPr>
          <w:sz w:val="26"/>
          <w:szCs w:val="26"/>
        </w:rPr>
        <w:t>w</w:t>
      </w:r>
      <w:r w:rsidR="00AC68F3">
        <w:rPr>
          <w:sz w:val="26"/>
          <w:szCs w:val="26"/>
        </w:rPr>
        <w:t>hether the</w:t>
      </w:r>
      <w:r w:rsidR="00E91802">
        <w:rPr>
          <w:sz w:val="26"/>
          <w:szCs w:val="26"/>
        </w:rPr>
        <w:t xml:space="preserve"> customer</w:t>
      </w:r>
      <w:r w:rsidR="00AC68F3">
        <w:rPr>
          <w:sz w:val="26"/>
          <w:szCs w:val="26"/>
        </w:rPr>
        <w:t xml:space="preserve"> </w:t>
      </w:r>
      <w:r>
        <w:rPr>
          <w:sz w:val="26"/>
          <w:szCs w:val="26"/>
        </w:rPr>
        <w:t xml:space="preserve">elected to receive </w:t>
      </w:r>
      <w:r w:rsidR="00AC68F3">
        <w:rPr>
          <w:sz w:val="26"/>
          <w:szCs w:val="26"/>
        </w:rPr>
        <w:t xml:space="preserve">electronic notifications </w:t>
      </w:r>
      <w:r>
        <w:rPr>
          <w:sz w:val="26"/>
          <w:szCs w:val="26"/>
        </w:rPr>
        <w:t xml:space="preserve">of termination.  </w:t>
      </w:r>
      <w:r w:rsidR="00AC68F3">
        <w:rPr>
          <w:sz w:val="26"/>
          <w:szCs w:val="26"/>
        </w:rPr>
        <w:t xml:space="preserve">  </w:t>
      </w:r>
    </w:p>
    <w:p w14:paraId="6105911B" w14:textId="77777777" w:rsidR="00974CF1" w:rsidRDefault="00974CF1" w:rsidP="00974CF1">
      <w:pPr>
        <w:ind w:left="360"/>
        <w:rPr>
          <w:sz w:val="26"/>
          <w:szCs w:val="26"/>
        </w:rPr>
      </w:pPr>
    </w:p>
    <w:p w14:paraId="2D9C9186" w14:textId="77777777" w:rsidR="00974CF1" w:rsidRPr="00887313" w:rsidRDefault="00974CF1" w:rsidP="00974CF1">
      <w:pPr>
        <w:numPr>
          <w:ilvl w:val="0"/>
          <w:numId w:val="10"/>
        </w:numPr>
        <w:rPr>
          <w:sz w:val="26"/>
          <w:szCs w:val="26"/>
        </w:rPr>
      </w:pPr>
      <w:r w:rsidRPr="00887313">
        <w:rPr>
          <w:sz w:val="26"/>
          <w:szCs w:val="26"/>
        </w:rPr>
        <w:t xml:space="preserve">Public utilities may exercise discretion in determining how to send the annual reminder notice to </w:t>
      </w:r>
      <w:r w:rsidR="00D57422" w:rsidRPr="00887313">
        <w:rPr>
          <w:sz w:val="26"/>
          <w:szCs w:val="26"/>
        </w:rPr>
        <w:t xml:space="preserve">a </w:t>
      </w:r>
      <w:r w:rsidRPr="00887313">
        <w:rPr>
          <w:sz w:val="26"/>
          <w:szCs w:val="26"/>
        </w:rPr>
        <w:t xml:space="preserve">customer. </w:t>
      </w:r>
      <w:r w:rsidR="00E91802" w:rsidRPr="00887313">
        <w:rPr>
          <w:sz w:val="26"/>
          <w:szCs w:val="26"/>
        </w:rPr>
        <w:t xml:space="preserve"> Public utilities should, at </w:t>
      </w:r>
      <w:r w:rsidR="002B38FC">
        <w:rPr>
          <w:sz w:val="26"/>
          <w:szCs w:val="26"/>
        </w:rPr>
        <w:t xml:space="preserve">a </w:t>
      </w:r>
      <w:r w:rsidR="00E91802" w:rsidRPr="00887313">
        <w:rPr>
          <w:sz w:val="26"/>
          <w:szCs w:val="26"/>
        </w:rPr>
        <w:t xml:space="preserve">minimum, provide the reminder notice using a customer’s preferred method of contact, if designated.  </w:t>
      </w:r>
      <w:r w:rsidRPr="00887313">
        <w:rPr>
          <w:sz w:val="26"/>
          <w:szCs w:val="26"/>
        </w:rPr>
        <w:t>The Commission encourages utilities to use a bill insert or bill message</w:t>
      </w:r>
      <w:r w:rsidR="00E91802" w:rsidRPr="00887313">
        <w:rPr>
          <w:sz w:val="26"/>
          <w:szCs w:val="26"/>
        </w:rPr>
        <w:t xml:space="preserve"> in addition to the customer’s preferred method of contact</w:t>
      </w:r>
      <w:r w:rsidRPr="00887313">
        <w:rPr>
          <w:sz w:val="26"/>
          <w:szCs w:val="26"/>
        </w:rPr>
        <w:t>.</w:t>
      </w:r>
    </w:p>
    <w:p w14:paraId="6A879DEA" w14:textId="77777777" w:rsidR="00974CF1" w:rsidRDefault="00974CF1" w:rsidP="00974CF1">
      <w:pPr>
        <w:pStyle w:val="ListParagraph"/>
        <w:rPr>
          <w:sz w:val="26"/>
          <w:szCs w:val="26"/>
        </w:rPr>
      </w:pPr>
    </w:p>
    <w:p w14:paraId="6FC20AD9" w14:textId="77777777" w:rsidR="00974CF1" w:rsidRPr="00DB61F5" w:rsidRDefault="00195C58" w:rsidP="00974CF1">
      <w:pPr>
        <w:numPr>
          <w:ilvl w:val="0"/>
          <w:numId w:val="10"/>
        </w:numPr>
        <w:rPr>
          <w:sz w:val="26"/>
          <w:szCs w:val="26"/>
        </w:rPr>
      </w:pPr>
      <w:r w:rsidRPr="00DB61F5">
        <w:rPr>
          <w:sz w:val="26"/>
          <w:szCs w:val="26"/>
        </w:rPr>
        <w:t xml:space="preserve">The Commission encourages public utilities to send the annual reminder notice to </w:t>
      </w:r>
      <w:r w:rsidR="00E31AA2">
        <w:rPr>
          <w:sz w:val="26"/>
          <w:szCs w:val="26"/>
        </w:rPr>
        <w:t>a customer</w:t>
      </w:r>
      <w:r w:rsidRPr="00DB61F5">
        <w:rPr>
          <w:sz w:val="26"/>
          <w:szCs w:val="26"/>
        </w:rPr>
        <w:t xml:space="preserve"> in </w:t>
      </w:r>
      <w:r w:rsidR="00DB61F5">
        <w:rPr>
          <w:sz w:val="26"/>
          <w:szCs w:val="26"/>
        </w:rPr>
        <w:t>the first quarter of the year</w:t>
      </w:r>
      <w:r w:rsidR="00846E5F">
        <w:rPr>
          <w:sz w:val="26"/>
          <w:szCs w:val="26"/>
        </w:rPr>
        <w:t xml:space="preserve"> </w:t>
      </w:r>
      <w:r w:rsidR="00DB61F5">
        <w:rPr>
          <w:sz w:val="26"/>
          <w:szCs w:val="26"/>
        </w:rPr>
        <w:t>prior to the</w:t>
      </w:r>
      <w:r w:rsidRPr="00DB61F5">
        <w:rPr>
          <w:sz w:val="26"/>
          <w:szCs w:val="26"/>
        </w:rPr>
        <w:t xml:space="preserve"> conclusion of the winter moratorium on service terminations. </w:t>
      </w:r>
    </w:p>
    <w:p w14:paraId="022715CE" w14:textId="77777777" w:rsidR="00974CF1" w:rsidRPr="00AC68F3" w:rsidRDefault="00974CF1" w:rsidP="00974CF1">
      <w:pPr>
        <w:ind w:left="360"/>
        <w:rPr>
          <w:sz w:val="26"/>
          <w:szCs w:val="26"/>
        </w:rPr>
      </w:pPr>
    </w:p>
    <w:p w14:paraId="307C33C3" w14:textId="77777777" w:rsidR="00FA1909" w:rsidRPr="00FA1909" w:rsidRDefault="00FA1909" w:rsidP="00FA1909">
      <w:pPr>
        <w:jc w:val="center"/>
        <w:rPr>
          <w:b/>
          <w:bCs/>
          <w:caps/>
          <w:sz w:val="26"/>
          <w:szCs w:val="26"/>
        </w:rPr>
      </w:pPr>
    </w:p>
    <w:sectPr w:rsidR="00FA1909" w:rsidRPr="00FA1909" w:rsidSect="000D269D">
      <w:footerReference w:type="default" r:id="rId22"/>
      <w:footerReference w:type="first" r:id="rId23"/>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F5C1" w14:textId="77777777" w:rsidR="005F4DAF" w:rsidRDefault="005F4DAF">
      <w:r>
        <w:separator/>
      </w:r>
    </w:p>
  </w:endnote>
  <w:endnote w:type="continuationSeparator" w:id="0">
    <w:p w14:paraId="34F65CC9" w14:textId="77777777" w:rsidR="005F4DAF" w:rsidRDefault="005F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0CFB"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64F09E" w14:textId="77777777" w:rsidR="006A01F9" w:rsidRDefault="006A01F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D571" w14:textId="77777777" w:rsidR="000D269D" w:rsidRDefault="000D269D">
    <w:pPr>
      <w:pStyle w:val="Footer"/>
      <w:jc w:val="center"/>
    </w:pPr>
  </w:p>
  <w:p w14:paraId="6E4B0A58" w14:textId="77777777" w:rsidR="00C06440" w:rsidRDefault="00C06440" w:rsidP="00C0644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CD37" w14:textId="77777777" w:rsidR="006A01F9" w:rsidRPr="005B4B57" w:rsidRDefault="006A01F9">
    <w:pPr>
      <w:pStyle w:val="Footer"/>
      <w:framePr w:wrap="around" w:vAnchor="text" w:hAnchor="margin" w:xAlign="center" w:y="1"/>
      <w:rPr>
        <w:rStyle w:val="PageNumber"/>
        <w:sz w:val="26"/>
        <w:szCs w:val="26"/>
      </w:rPr>
    </w:pPr>
    <w:r w:rsidRPr="005B4B57">
      <w:rPr>
        <w:rStyle w:val="PageNumber"/>
        <w:sz w:val="26"/>
        <w:szCs w:val="26"/>
      </w:rPr>
      <w:fldChar w:fldCharType="begin"/>
    </w:r>
    <w:r w:rsidRPr="005B4B57">
      <w:rPr>
        <w:rStyle w:val="PageNumber"/>
        <w:sz w:val="26"/>
        <w:szCs w:val="26"/>
      </w:rPr>
      <w:instrText xml:space="preserve">PAGE  </w:instrText>
    </w:r>
    <w:r w:rsidRPr="005B4B57">
      <w:rPr>
        <w:rStyle w:val="PageNumber"/>
        <w:sz w:val="26"/>
        <w:szCs w:val="26"/>
      </w:rPr>
      <w:fldChar w:fldCharType="separate"/>
    </w:r>
    <w:r w:rsidR="00BE499A" w:rsidRPr="005B4B57">
      <w:rPr>
        <w:rStyle w:val="PageNumber"/>
        <w:noProof/>
        <w:sz w:val="26"/>
        <w:szCs w:val="26"/>
      </w:rPr>
      <w:t>2</w:t>
    </w:r>
    <w:r w:rsidRPr="005B4B57">
      <w:rPr>
        <w:rStyle w:val="PageNumber"/>
        <w:sz w:val="26"/>
        <w:szCs w:val="26"/>
      </w:rPr>
      <w:fldChar w:fldCharType="end"/>
    </w:r>
  </w:p>
  <w:p w14:paraId="6C437E76" w14:textId="77777777" w:rsidR="006A01F9" w:rsidRDefault="006A01F9" w:rsidP="00FA5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F49E" w14:textId="77777777" w:rsidR="005B4B57" w:rsidRDefault="005B4B57">
    <w:pPr>
      <w:pStyle w:val="Footer"/>
      <w:jc w:val="center"/>
    </w:pPr>
  </w:p>
  <w:p w14:paraId="49B33DF8" w14:textId="77777777" w:rsidR="00EC4A76" w:rsidRDefault="00EC4A76" w:rsidP="00FA58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F170" w14:textId="77777777" w:rsidR="00EC4A76" w:rsidRDefault="00EC4A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589F" w14:textId="77777777" w:rsidR="005B4B57" w:rsidRPr="005B4B57" w:rsidRDefault="005B4B57">
    <w:pPr>
      <w:pStyle w:val="Footer"/>
      <w:jc w:val="center"/>
      <w:rPr>
        <w:sz w:val="26"/>
        <w:szCs w:val="26"/>
      </w:rPr>
    </w:pPr>
    <w:r w:rsidRPr="005B4B57">
      <w:rPr>
        <w:sz w:val="26"/>
        <w:szCs w:val="26"/>
      </w:rPr>
      <w:fldChar w:fldCharType="begin"/>
    </w:r>
    <w:r w:rsidRPr="005B4B57">
      <w:rPr>
        <w:sz w:val="26"/>
        <w:szCs w:val="26"/>
      </w:rPr>
      <w:instrText xml:space="preserve"> PAGE   \* MERGEFORMAT </w:instrText>
    </w:r>
    <w:r w:rsidRPr="005B4B57">
      <w:rPr>
        <w:sz w:val="26"/>
        <w:szCs w:val="26"/>
      </w:rPr>
      <w:fldChar w:fldCharType="separate"/>
    </w:r>
    <w:r w:rsidRPr="005B4B57">
      <w:rPr>
        <w:noProof/>
        <w:sz w:val="26"/>
        <w:szCs w:val="26"/>
      </w:rPr>
      <w:t>2</w:t>
    </w:r>
    <w:r w:rsidRPr="005B4B57">
      <w:rPr>
        <w:noProof/>
        <w:sz w:val="26"/>
        <w:szCs w:val="26"/>
      </w:rPr>
      <w:fldChar w:fldCharType="end"/>
    </w:r>
  </w:p>
  <w:p w14:paraId="2E958921" w14:textId="77777777" w:rsidR="005B4B57" w:rsidRDefault="005B4B57" w:rsidP="00FA58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1656" w14:textId="77777777" w:rsidR="00C06440" w:rsidRDefault="00C06440">
    <w:pPr>
      <w:pStyle w:val="Footer"/>
      <w:jc w:val="center"/>
    </w:pPr>
  </w:p>
  <w:p w14:paraId="7920BA8E" w14:textId="77777777" w:rsidR="0056185E" w:rsidRDefault="0056185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0C35" w14:textId="77777777" w:rsidR="00C06440" w:rsidRDefault="00C06440">
    <w:pPr>
      <w:pStyle w:val="Footer"/>
      <w:jc w:val="center"/>
    </w:pPr>
  </w:p>
  <w:p w14:paraId="5D34F989" w14:textId="77777777" w:rsidR="00FA1909" w:rsidRDefault="00FA1909" w:rsidP="00FA58E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7931" w14:textId="77777777" w:rsidR="00C06440" w:rsidRDefault="00C06440">
    <w:pPr>
      <w:pStyle w:val="Footer"/>
      <w:jc w:val="center"/>
    </w:pPr>
  </w:p>
  <w:p w14:paraId="324B43CA" w14:textId="77777777" w:rsidR="00C06440" w:rsidRDefault="00C0644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DF1B" w14:textId="77777777" w:rsidR="000D269D" w:rsidRDefault="000D269D">
    <w:pPr>
      <w:pStyle w:val="Footer"/>
      <w:jc w:val="center"/>
    </w:pPr>
    <w:r>
      <w:fldChar w:fldCharType="begin"/>
    </w:r>
    <w:r>
      <w:instrText xml:space="preserve"> PAGE   \* MERGEFORMAT </w:instrText>
    </w:r>
    <w:r>
      <w:fldChar w:fldCharType="separate"/>
    </w:r>
    <w:r>
      <w:rPr>
        <w:noProof/>
      </w:rPr>
      <w:t>2</w:t>
    </w:r>
    <w:r>
      <w:rPr>
        <w:noProof/>
      </w:rPr>
      <w:fldChar w:fldCharType="end"/>
    </w:r>
  </w:p>
  <w:p w14:paraId="13F6FBAF" w14:textId="77777777" w:rsidR="000D269D" w:rsidRDefault="000D269D"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94F6" w14:textId="77777777" w:rsidR="005F4DAF" w:rsidRDefault="005F4DAF">
      <w:r>
        <w:separator/>
      </w:r>
    </w:p>
  </w:footnote>
  <w:footnote w:type="continuationSeparator" w:id="0">
    <w:p w14:paraId="72DD15AC" w14:textId="77777777" w:rsidR="005F4DAF" w:rsidRDefault="005F4DAF">
      <w:r>
        <w:continuationSeparator/>
      </w:r>
    </w:p>
  </w:footnote>
  <w:footnote w:id="1">
    <w:p w14:paraId="00CE2790" w14:textId="77777777" w:rsidR="009028C4" w:rsidRPr="00281F78" w:rsidRDefault="009028C4" w:rsidP="009028C4">
      <w:pPr>
        <w:pStyle w:val="FootnoteText"/>
        <w:rPr>
          <w:sz w:val="22"/>
          <w:szCs w:val="22"/>
        </w:rPr>
      </w:pPr>
      <w:r w:rsidRPr="00281F78">
        <w:rPr>
          <w:rStyle w:val="FootnoteReference"/>
          <w:sz w:val="22"/>
          <w:szCs w:val="22"/>
        </w:rPr>
        <w:footnoteRef/>
      </w:r>
      <w:r w:rsidRPr="00281F78">
        <w:rPr>
          <w:sz w:val="22"/>
          <w:szCs w:val="22"/>
        </w:rPr>
        <w:t xml:space="preserve"> Columbia filed a Letter in lieu of Comments stating that it already established its position through previously filed comments and through its participation in the working group.  Columbia also notes that it generally agrees with and supports the Comments filed by EAP in this matter.</w:t>
      </w:r>
    </w:p>
  </w:footnote>
  <w:footnote w:id="2">
    <w:p w14:paraId="7FD07961" w14:textId="77777777" w:rsidR="00E50D8F" w:rsidRPr="00E50D8F" w:rsidRDefault="00E50D8F">
      <w:pPr>
        <w:pStyle w:val="FootnoteText"/>
        <w:rPr>
          <w:sz w:val="22"/>
          <w:szCs w:val="22"/>
        </w:rPr>
      </w:pPr>
      <w:r w:rsidRPr="00E50D8F">
        <w:rPr>
          <w:rStyle w:val="FootnoteReference"/>
          <w:sz w:val="22"/>
          <w:szCs w:val="22"/>
        </w:rPr>
        <w:footnoteRef/>
      </w:r>
      <w:r w:rsidRPr="00E50D8F">
        <w:rPr>
          <w:sz w:val="22"/>
          <w:szCs w:val="22"/>
        </w:rPr>
        <w:t xml:space="preserve"> </w:t>
      </w:r>
      <w:r>
        <w:rPr>
          <w:sz w:val="22"/>
          <w:szCs w:val="22"/>
        </w:rPr>
        <w:t>W</w:t>
      </w:r>
      <w:r w:rsidRPr="00E50D8F">
        <w:rPr>
          <w:sz w:val="22"/>
          <w:szCs w:val="22"/>
        </w:rPr>
        <w:t xml:space="preserve">e agree with the suggestion to rename the proposed form for medical certifications for clarity.  We will refer to this as the </w:t>
      </w:r>
      <w:r w:rsidR="00763681">
        <w:rPr>
          <w:sz w:val="22"/>
          <w:szCs w:val="22"/>
        </w:rPr>
        <w:t>“</w:t>
      </w:r>
      <w:r w:rsidRPr="00E50D8F">
        <w:rPr>
          <w:sz w:val="22"/>
          <w:szCs w:val="22"/>
        </w:rPr>
        <w:t>Standard Medical Certificate Form.</w:t>
      </w:r>
      <w:r w:rsidR="00763681">
        <w:rPr>
          <w:sz w:val="22"/>
          <w:szCs w:val="22"/>
        </w:rPr>
        <w:t>”</w:t>
      </w:r>
      <w:r w:rsidRPr="00E50D8F">
        <w:rPr>
          <w:sz w:val="22"/>
          <w:szCs w:val="22"/>
        </w:rPr>
        <w:t xml:space="preserve">  The document will be marked accordingly.  </w:t>
      </w:r>
    </w:p>
  </w:footnote>
  <w:footnote w:id="3">
    <w:p w14:paraId="7BCD75AC" w14:textId="77777777" w:rsidR="00B53FAE" w:rsidRPr="006C78DB" w:rsidRDefault="00B53FAE" w:rsidP="00B53FAE">
      <w:pPr>
        <w:pStyle w:val="FootnoteText"/>
        <w:rPr>
          <w:sz w:val="22"/>
          <w:szCs w:val="22"/>
        </w:rPr>
      </w:pPr>
      <w:r w:rsidRPr="006C78DB">
        <w:rPr>
          <w:rStyle w:val="FootnoteReference"/>
          <w:sz w:val="22"/>
          <w:szCs w:val="22"/>
        </w:rPr>
        <w:footnoteRef/>
      </w:r>
      <w:r w:rsidRPr="006C78DB">
        <w:rPr>
          <w:sz w:val="22"/>
          <w:szCs w:val="22"/>
        </w:rPr>
        <w:t xml:space="preserve"> In enacting Chapter 14 of the Public Utility Code, the General Assembly intended, in part, to protect responsible bill-paying customers from rate increase</w:t>
      </w:r>
      <w:r w:rsidR="00F72E9F">
        <w:rPr>
          <w:sz w:val="22"/>
          <w:szCs w:val="22"/>
        </w:rPr>
        <w:t>s</w:t>
      </w:r>
      <w:r w:rsidRPr="006C78DB">
        <w:rPr>
          <w:sz w:val="22"/>
          <w:szCs w:val="22"/>
        </w:rPr>
        <w:t xml:space="preserve"> attributable to other customer’s delinquencies.  </w:t>
      </w:r>
      <w:r>
        <w:rPr>
          <w:sz w:val="22"/>
          <w:szCs w:val="22"/>
        </w:rPr>
        <w:t xml:space="preserve">The General Assembly identified these concerns in its declaration of policy, observing that increasing amounts of unpaid bills threaten “timely paying customers” with higher rates, and that Chapter 14 is intended to provide “greater equity” among all customers.  </w:t>
      </w:r>
      <w:r w:rsidRPr="006C78DB">
        <w:rPr>
          <w:sz w:val="22"/>
          <w:szCs w:val="22"/>
        </w:rPr>
        <w:t>66</w:t>
      </w:r>
      <w:r>
        <w:rPr>
          <w:sz w:val="22"/>
          <w:szCs w:val="22"/>
        </w:rPr>
        <w:t> </w:t>
      </w:r>
      <w:r w:rsidRPr="006C78DB">
        <w:rPr>
          <w:sz w:val="22"/>
          <w:szCs w:val="22"/>
        </w:rPr>
        <w:t>Pa.C.S. § 1402(1)-(2).</w:t>
      </w:r>
      <w:r>
        <w:rPr>
          <w:sz w:val="22"/>
          <w:szCs w:val="22"/>
        </w:rPr>
        <w:t xml:space="preserve">  We are </w:t>
      </w:r>
      <w:r w:rsidRPr="006C78DB">
        <w:rPr>
          <w:sz w:val="22"/>
          <w:szCs w:val="22"/>
        </w:rPr>
        <w:t xml:space="preserve">required to ascertain and effectuate the intention of the General Assembly in </w:t>
      </w:r>
      <w:r>
        <w:rPr>
          <w:sz w:val="22"/>
          <w:szCs w:val="22"/>
        </w:rPr>
        <w:t>our</w:t>
      </w:r>
      <w:r w:rsidRPr="006C78DB">
        <w:rPr>
          <w:sz w:val="22"/>
          <w:szCs w:val="22"/>
        </w:rPr>
        <w:t xml:space="preserve"> construction of statutes.  1</w:t>
      </w:r>
      <w:r>
        <w:rPr>
          <w:sz w:val="22"/>
          <w:szCs w:val="22"/>
        </w:rPr>
        <w:t> </w:t>
      </w:r>
      <w:r w:rsidRPr="006C78DB">
        <w:rPr>
          <w:sz w:val="22"/>
          <w:szCs w:val="22"/>
        </w:rPr>
        <w:t>Pa. C.S. § 1921(a).</w:t>
      </w:r>
    </w:p>
  </w:footnote>
  <w:footnote w:id="4">
    <w:p w14:paraId="14284165" w14:textId="77777777" w:rsidR="00284155" w:rsidRPr="00763681" w:rsidRDefault="00284155">
      <w:pPr>
        <w:pStyle w:val="FootnoteText"/>
        <w:rPr>
          <w:sz w:val="22"/>
          <w:szCs w:val="22"/>
        </w:rPr>
      </w:pPr>
      <w:r w:rsidRPr="00763681">
        <w:rPr>
          <w:rStyle w:val="FootnoteReference"/>
          <w:sz w:val="22"/>
          <w:szCs w:val="22"/>
        </w:rPr>
        <w:footnoteRef/>
      </w:r>
      <w:r w:rsidRPr="00763681">
        <w:rPr>
          <w:sz w:val="22"/>
          <w:szCs w:val="22"/>
        </w:rPr>
        <w:t xml:space="preserve"> </w:t>
      </w:r>
      <w:r w:rsidR="001B2B51">
        <w:rPr>
          <w:sz w:val="22"/>
          <w:szCs w:val="22"/>
        </w:rPr>
        <w:t>Like we did with the</w:t>
      </w:r>
      <w:r w:rsidRPr="00763681">
        <w:rPr>
          <w:sz w:val="22"/>
          <w:szCs w:val="22"/>
        </w:rPr>
        <w:t xml:space="preserve"> Standard Medical Certificate Form, we will rename the proposed guidance document as “Medical Certificate Guidance” for clarity. </w:t>
      </w:r>
      <w:r w:rsidR="00763681" w:rsidRPr="00763681">
        <w:rPr>
          <w:sz w:val="22"/>
          <w:szCs w:val="22"/>
        </w:rPr>
        <w:t xml:space="preserve">The document will be marked accordingly. </w:t>
      </w:r>
    </w:p>
  </w:footnote>
  <w:footnote w:id="5">
    <w:p w14:paraId="6761878C" w14:textId="77777777" w:rsidR="00057D40" w:rsidRPr="00057D40" w:rsidRDefault="00057D40" w:rsidP="00057D40">
      <w:pPr>
        <w:pStyle w:val="FootnoteText"/>
        <w:rPr>
          <w:sz w:val="22"/>
          <w:szCs w:val="22"/>
        </w:rPr>
      </w:pPr>
      <w:r w:rsidRPr="00057D40">
        <w:rPr>
          <w:rStyle w:val="FootnoteReference"/>
          <w:sz w:val="22"/>
          <w:szCs w:val="22"/>
        </w:rPr>
        <w:footnoteRef/>
      </w:r>
      <w:r w:rsidRPr="00057D40">
        <w:rPr>
          <w:sz w:val="22"/>
          <w:szCs w:val="22"/>
        </w:rPr>
        <w:t xml:space="preserve"> We will not adopt the following language as it is re</w:t>
      </w:r>
      <w:r w:rsidR="0028573B">
        <w:rPr>
          <w:sz w:val="22"/>
          <w:szCs w:val="22"/>
        </w:rPr>
        <w:t>petitive</w:t>
      </w:r>
      <w:r w:rsidRPr="00057D40">
        <w:rPr>
          <w:sz w:val="22"/>
          <w:szCs w:val="22"/>
        </w:rPr>
        <w:t xml:space="preserve"> of statements</w:t>
      </w:r>
      <w:r>
        <w:rPr>
          <w:sz w:val="22"/>
          <w:szCs w:val="22"/>
        </w:rPr>
        <w:t xml:space="preserve"> already included in the Guidance</w:t>
      </w:r>
      <w:r w:rsidRPr="00057D40">
        <w:rPr>
          <w:sz w:val="22"/>
          <w:szCs w:val="22"/>
        </w:rPr>
        <w:t xml:space="preserve">: </w:t>
      </w:r>
      <w:r>
        <w:rPr>
          <w:sz w:val="22"/>
          <w:szCs w:val="22"/>
        </w:rPr>
        <w:t>“</w:t>
      </w:r>
      <w:r w:rsidRPr="00057D40">
        <w:rPr>
          <w:sz w:val="22"/>
          <w:szCs w:val="22"/>
        </w:rPr>
        <w:t xml:space="preserve">You can renew your medical certificate twice regardless of payment, for a total of 90 days of protection from termination. If you pay your current charges or budget bill amount while protected from termination by a medical certificate, you may obtain additional medical certificates without limitation.” </w:t>
      </w:r>
      <w:r w:rsidR="000E01C9">
        <w:rPr>
          <w:sz w:val="22"/>
          <w:szCs w:val="22"/>
        </w:rPr>
        <w:t xml:space="preserve"> We also will not adopt the proposed changes regarding the number of medical certificates in the Guidance.  The Guidance is referring to circumstances in which one medical certificate has been granted and two </w:t>
      </w:r>
      <w:r w:rsidR="009F680C">
        <w:rPr>
          <w:sz w:val="22"/>
          <w:szCs w:val="22"/>
        </w:rPr>
        <w:t>renewals</w:t>
      </w:r>
      <w:r w:rsidR="000E01C9">
        <w:rPr>
          <w:sz w:val="22"/>
          <w:szCs w:val="22"/>
        </w:rPr>
        <w:t xml:space="preserve"> are permitted.  </w:t>
      </w:r>
      <w:r w:rsidR="000E01C9" w:rsidRPr="009B0A16">
        <w:rPr>
          <w:i/>
          <w:iCs/>
          <w:sz w:val="22"/>
          <w:szCs w:val="22"/>
        </w:rPr>
        <w:t>See</w:t>
      </w:r>
      <w:r w:rsidR="000E01C9">
        <w:rPr>
          <w:sz w:val="22"/>
          <w:szCs w:val="22"/>
        </w:rPr>
        <w:t xml:space="preserve"> 52 Pa. Code § 56.114</w:t>
      </w:r>
      <w:r w:rsidR="009F680C">
        <w:rPr>
          <w:sz w:val="22"/>
          <w:szCs w:val="22"/>
        </w:rPr>
        <w:t xml:space="preserve"> (“the number of renewals for the customer’s household is limited to two 30-day certifications filed for the same set of arrearages”)</w:t>
      </w:r>
      <w:r w:rsidR="000E01C9">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0D564946"/>
    <w:multiLevelType w:val="hybridMultilevel"/>
    <w:tmpl w:val="00808D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A42E27"/>
    <w:multiLevelType w:val="hybridMultilevel"/>
    <w:tmpl w:val="945C1DF0"/>
    <w:lvl w:ilvl="0" w:tplc="F5D6B89A">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026EB8"/>
    <w:multiLevelType w:val="hybridMultilevel"/>
    <w:tmpl w:val="4B9404AC"/>
    <w:lvl w:ilvl="0" w:tplc="3E1E6FB8">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700EF4"/>
    <w:multiLevelType w:val="hybridMultilevel"/>
    <w:tmpl w:val="1C3A2F4A"/>
    <w:lvl w:ilvl="0" w:tplc="FA6461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AA5A8A"/>
    <w:multiLevelType w:val="hybridMultilevel"/>
    <w:tmpl w:val="AFDE8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C76E3"/>
    <w:multiLevelType w:val="hybridMultilevel"/>
    <w:tmpl w:val="8698DF84"/>
    <w:lvl w:ilvl="0" w:tplc="CE2C2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E15BF4"/>
    <w:multiLevelType w:val="hybridMultilevel"/>
    <w:tmpl w:val="2EF28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91E84"/>
    <w:multiLevelType w:val="hybridMultilevel"/>
    <w:tmpl w:val="1E0888A8"/>
    <w:lvl w:ilvl="0" w:tplc="221863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315D0F"/>
    <w:multiLevelType w:val="hybridMultilevel"/>
    <w:tmpl w:val="8E7CB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25584A"/>
    <w:multiLevelType w:val="hybridMultilevel"/>
    <w:tmpl w:val="BAE212A6"/>
    <w:lvl w:ilvl="0" w:tplc="21F62B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C34899"/>
    <w:multiLevelType w:val="hybridMultilevel"/>
    <w:tmpl w:val="BBF40B9E"/>
    <w:lvl w:ilvl="0" w:tplc="A03208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9D0F50"/>
    <w:multiLevelType w:val="hybridMultilevel"/>
    <w:tmpl w:val="F2A4108E"/>
    <w:lvl w:ilvl="0" w:tplc="B356948A">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0"/>
  </w:num>
  <w:num w:numId="3">
    <w:abstractNumId w:val="6"/>
  </w:num>
  <w:num w:numId="4">
    <w:abstractNumId w:val="9"/>
  </w:num>
  <w:num w:numId="5">
    <w:abstractNumId w:val="2"/>
  </w:num>
  <w:num w:numId="6">
    <w:abstractNumId w:val="3"/>
  </w:num>
  <w:num w:numId="7">
    <w:abstractNumId w:val="8"/>
  </w:num>
  <w:num w:numId="8">
    <w:abstractNumId w:val="11"/>
  </w:num>
  <w:num w:numId="9">
    <w:abstractNumId w:val="4"/>
  </w:num>
  <w:num w:numId="10">
    <w:abstractNumId w:val="1"/>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03CC"/>
    <w:rsid w:val="0000186B"/>
    <w:rsid w:val="00003A93"/>
    <w:rsid w:val="00004193"/>
    <w:rsid w:val="00004A88"/>
    <w:rsid w:val="00004D7F"/>
    <w:rsid w:val="000110BD"/>
    <w:rsid w:val="00011138"/>
    <w:rsid w:val="0001551F"/>
    <w:rsid w:val="00027AC5"/>
    <w:rsid w:val="00030CAA"/>
    <w:rsid w:val="000326CC"/>
    <w:rsid w:val="00034715"/>
    <w:rsid w:val="00037A91"/>
    <w:rsid w:val="00041EA7"/>
    <w:rsid w:val="00046A11"/>
    <w:rsid w:val="000533F8"/>
    <w:rsid w:val="00054343"/>
    <w:rsid w:val="00057D40"/>
    <w:rsid w:val="0006035A"/>
    <w:rsid w:val="00061E62"/>
    <w:rsid w:val="00061ECE"/>
    <w:rsid w:val="00065E6B"/>
    <w:rsid w:val="000675A4"/>
    <w:rsid w:val="00075AC0"/>
    <w:rsid w:val="0007650A"/>
    <w:rsid w:val="000811B9"/>
    <w:rsid w:val="00084516"/>
    <w:rsid w:val="0008671E"/>
    <w:rsid w:val="00087181"/>
    <w:rsid w:val="000917C0"/>
    <w:rsid w:val="00092C0A"/>
    <w:rsid w:val="000A6AC7"/>
    <w:rsid w:val="000B1C09"/>
    <w:rsid w:val="000B20C0"/>
    <w:rsid w:val="000B3023"/>
    <w:rsid w:val="000B7056"/>
    <w:rsid w:val="000C4089"/>
    <w:rsid w:val="000D269D"/>
    <w:rsid w:val="000D44B7"/>
    <w:rsid w:val="000E01C9"/>
    <w:rsid w:val="000E0C7D"/>
    <w:rsid w:val="000E1B9A"/>
    <w:rsid w:val="000E3ECD"/>
    <w:rsid w:val="000F0A67"/>
    <w:rsid w:val="000F2044"/>
    <w:rsid w:val="00103034"/>
    <w:rsid w:val="00104D7C"/>
    <w:rsid w:val="00107AB8"/>
    <w:rsid w:val="001119EF"/>
    <w:rsid w:val="001154CE"/>
    <w:rsid w:val="0012004F"/>
    <w:rsid w:val="00120565"/>
    <w:rsid w:val="00123951"/>
    <w:rsid w:val="00127029"/>
    <w:rsid w:val="00130CFA"/>
    <w:rsid w:val="00133384"/>
    <w:rsid w:val="001339A3"/>
    <w:rsid w:val="0013409B"/>
    <w:rsid w:val="00134E0E"/>
    <w:rsid w:val="00134E51"/>
    <w:rsid w:val="001368E5"/>
    <w:rsid w:val="001369A1"/>
    <w:rsid w:val="001374EE"/>
    <w:rsid w:val="001409B8"/>
    <w:rsid w:val="00142828"/>
    <w:rsid w:val="0014285D"/>
    <w:rsid w:val="00142EF1"/>
    <w:rsid w:val="00145191"/>
    <w:rsid w:val="00145882"/>
    <w:rsid w:val="0014633E"/>
    <w:rsid w:val="00146EA8"/>
    <w:rsid w:val="0015549B"/>
    <w:rsid w:val="0016065A"/>
    <w:rsid w:val="00160CBD"/>
    <w:rsid w:val="001675B6"/>
    <w:rsid w:val="00171746"/>
    <w:rsid w:val="00172455"/>
    <w:rsid w:val="00172487"/>
    <w:rsid w:val="001758B2"/>
    <w:rsid w:val="00175C40"/>
    <w:rsid w:val="00190B33"/>
    <w:rsid w:val="00194A0F"/>
    <w:rsid w:val="00195C58"/>
    <w:rsid w:val="001965A2"/>
    <w:rsid w:val="001A13C7"/>
    <w:rsid w:val="001A1C1B"/>
    <w:rsid w:val="001A29E3"/>
    <w:rsid w:val="001A4641"/>
    <w:rsid w:val="001A5F6C"/>
    <w:rsid w:val="001A7D6E"/>
    <w:rsid w:val="001B095A"/>
    <w:rsid w:val="001B2B51"/>
    <w:rsid w:val="001B687E"/>
    <w:rsid w:val="001B6DC1"/>
    <w:rsid w:val="001B7588"/>
    <w:rsid w:val="001C02BC"/>
    <w:rsid w:val="001D507A"/>
    <w:rsid w:val="001D6557"/>
    <w:rsid w:val="001E34A4"/>
    <w:rsid w:val="001E3846"/>
    <w:rsid w:val="001E487E"/>
    <w:rsid w:val="001E6B84"/>
    <w:rsid w:val="001E7913"/>
    <w:rsid w:val="001E7CEB"/>
    <w:rsid w:val="001F2CB5"/>
    <w:rsid w:val="001F4B8C"/>
    <w:rsid w:val="001F71A7"/>
    <w:rsid w:val="00203546"/>
    <w:rsid w:val="0020745F"/>
    <w:rsid w:val="00214C36"/>
    <w:rsid w:val="00217EF7"/>
    <w:rsid w:val="002222AE"/>
    <w:rsid w:val="00223465"/>
    <w:rsid w:val="0022503C"/>
    <w:rsid w:val="0024333B"/>
    <w:rsid w:val="002468BD"/>
    <w:rsid w:val="00250087"/>
    <w:rsid w:val="0025186A"/>
    <w:rsid w:val="00251C6E"/>
    <w:rsid w:val="002526C8"/>
    <w:rsid w:val="00265DCF"/>
    <w:rsid w:val="00265FD4"/>
    <w:rsid w:val="0026618A"/>
    <w:rsid w:val="00266521"/>
    <w:rsid w:val="00275D46"/>
    <w:rsid w:val="00281F78"/>
    <w:rsid w:val="00284155"/>
    <w:rsid w:val="00284C45"/>
    <w:rsid w:val="0028573B"/>
    <w:rsid w:val="00285B2A"/>
    <w:rsid w:val="00290A3D"/>
    <w:rsid w:val="002910E9"/>
    <w:rsid w:val="00291C3A"/>
    <w:rsid w:val="00293C52"/>
    <w:rsid w:val="00295E88"/>
    <w:rsid w:val="002A23AC"/>
    <w:rsid w:val="002A4AAE"/>
    <w:rsid w:val="002B0AED"/>
    <w:rsid w:val="002B18E0"/>
    <w:rsid w:val="002B38FC"/>
    <w:rsid w:val="002B49E8"/>
    <w:rsid w:val="002B4CB3"/>
    <w:rsid w:val="002C2FA6"/>
    <w:rsid w:val="002C30F7"/>
    <w:rsid w:val="002C3E8E"/>
    <w:rsid w:val="002C4497"/>
    <w:rsid w:val="002C69EC"/>
    <w:rsid w:val="002C7630"/>
    <w:rsid w:val="002D550B"/>
    <w:rsid w:val="002E2B14"/>
    <w:rsid w:val="002F1455"/>
    <w:rsid w:val="002F25FD"/>
    <w:rsid w:val="002F484C"/>
    <w:rsid w:val="002F7691"/>
    <w:rsid w:val="00304809"/>
    <w:rsid w:val="00305DB6"/>
    <w:rsid w:val="00307A65"/>
    <w:rsid w:val="00310479"/>
    <w:rsid w:val="003119A7"/>
    <w:rsid w:val="003119D3"/>
    <w:rsid w:val="00317A27"/>
    <w:rsid w:val="003212AE"/>
    <w:rsid w:val="00322034"/>
    <w:rsid w:val="003250B8"/>
    <w:rsid w:val="003267FA"/>
    <w:rsid w:val="00331FC1"/>
    <w:rsid w:val="0033217E"/>
    <w:rsid w:val="00332D1B"/>
    <w:rsid w:val="00333E9A"/>
    <w:rsid w:val="003457B1"/>
    <w:rsid w:val="0035040B"/>
    <w:rsid w:val="0035074B"/>
    <w:rsid w:val="00350758"/>
    <w:rsid w:val="00353A13"/>
    <w:rsid w:val="00356669"/>
    <w:rsid w:val="0037086B"/>
    <w:rsid w:val="00371A78"/>
    <w:rsid w:val="00374082"/>
    <w:rsid w:val="0037498A"/>
    <w:rsid w:val="00380E98"/>
    <w:rsid w:val="00381B79"/>
    <w:rsid w:val="00382331"/>
    <w:rsid w:val="003A168D"/>
    <w:rsid w:val="003A1D9D"/>
    <w:rsid w:val="003A3A63"/>
    <w:rsid w:val="003A56B5"/>
    <w:rsid w:val="003A5814"/>
    <w:rsid w:val="003A5AE7"/>
    <w:rsid w:val="003A6228"/>
    <w:rsid w:val="003B4753"/>
    <w:rsid w:val="003B5DDC"/>
    <w:rsid w:val="003B5DDE"/>
    <w:rsid w:val="003C0EF3"/>
    <w:rsid w:val="003C76B7"/>
    <w:rsid w:val="003C7A9E"/>
    <w:rsid w:val="003D0C42"/>
    <w:rsid w:val="003D1405"/>
    <w:rsid w:val="003D3563"/>
    <w:rsid w:val="003D5A1D"/>
    <w:rsid w:val="003D7A43"/>
    <w:rsid w:val="003F0C09"/>
    <w:rsid w:val="003F1FCB"/>
    <w:rsid w:val="003F6B68"/>
    <w:rsid w:val="0040360E"/>
    <w:rsid w:val="00404D96"/>
    <w:rsid w:val="0040791F"/>
    <w:rsid w:val="0041564D"/>
    <w:rsid w:val="00416342"/>
    <w:rsid w:val="00422FEF"/>
    <w:rsid w:val="00426702"/>
    <w:rsid w:val="00432646"/>
    <w:rsid w:val="004342D9"/>
    <w:rsid w:val="004342F4"/>
    <w:rsid w:val="00436232"/>
    <w:rsid w:val="00437BFD"/>
    <w:rsid w:val="004401AC"/>
    <w:rsid w:val="00440EB8"/>
    <w:rsid w:val="0044182D"/>
    <w:rsid w:val="00441B6B"/>
    <w:rsid w:val="00443524"/>
    <w:rsid w:val="004465AE"/>
    <w:rsid w:val="004502CD"/>
    <w:rsid w:val="00451313"/>
    <w:rsid w:val="00452D81"/>
    <w:rsid w:val="004546F3"/>
    <w:rsid w:val="00454B2E"/>
    <w:rsid w:val="004564BF"/>
    <w:rsid w:val="00465E46"/>
    <w:rsid w:val="00471593"/>
    <w:rsid w:val="00471E2E"/>
    <w:rsid w:val="004768B5"/>
    <w:rsid w:val="00480356"/>
    <w:rsid w:val="0048593C"/>
    <w:rsid w:val="00490B58"/>
    <w:rsid w:val="00495558"/>
    <w:rsid w:val="004A2205"/>
    <w:rsid w:val="004A321D"/>
    <w:rsid w:val="004A58E3"/>
    <w:rsid w:val="004A78F0"/>
    <w:rsid w:val="004B69D5"/>
    <w:rsid w:val="004C0AEA"/>
    <w:rsid w:val="004C1102"/>
    <w:rsid w:val="004D12B1"/>
    <w:rsid w:val="004D406A"/>
    <w:rsid w:val="004D56F9"/>
    <w:rsid w:val="004D6028"/>
    <w:rsid w:val="004D6593"/>
    <w:rsid w:val="004E58A5"/>
    <w:rsid w:val="004F024B"/>
    <w:rsid w:val="004F370A"/>
    <w:rsid w:val="004F3D08"/>
    <w:rsid w:val="004F5CCD"/>
    <w:rsid w:val="004F6C61"/>
    <w:rsid w:val="00500635"/>
    <w:rsid w:val="00510743"/>
    <w:rsid w:val="0051466E"/>
    <w:rsid w:val="00520427"/>
    <w:rsid w:val="00520525"/>
    <w:rsid w:val="00521D5D"/>
    <w:rsid w:val="00523A8C"/>
    <w:rsid w:val="00524B6D"/>
    <w:rsid w:val="0052639C"/>
    <w:rsid w:val="005305E1"/>
    <w:rsid w:val="00530F5F"/>
    <w:rsid w:val="00531ECE"/>
    <w:rsid w:val="00533E9F"/>
    <w:rsid w:val="0054132F"/>
    <w:rsid w:val="00541DF6"/>
    <w:rsid w:val="005430BC"/>
    <w:rsid w:val="00545256"/>
    <w:rsid w:val="005456CE"/>
    <w:rsid w:val="00545A50"/>
    <w:rsid w:val="005469E5"/>
    <w:rsid w:val="005529E9"/>
    <w:rsid w:val="00554A61"/>
    <w:rsid w:val="005553C5"/>
    <w:rsid w:val="005605C4"/>
    <w:rsid w:val="00561651"/>
    <w:rsid w:val="0056185E"/>
    <w:rsid w:val="00562112"/>
    <w:rsid w:val="00563392"/>
    <w:rsid w:val="00571027"/>
    <w:rsid w:val="00572CCC"/>
    <w:rsid w:val="00580E42"/>
    <w:rsid w:val="00583391"/>
    <w:rsid w:val="00583808"/>
    <w:rsid w:val="00587491"/>
    <w:rsid w:val="00592DD5"/>
    <w:rsid w:val="0059586A"/>
    <w:rsid w:val="005A6FCE"/>
    <w:rsid w:val="005A7356"/>
    <w:rsid w:val="005A7D07"/>
    <w:rsid w:val="005B268D"/>
    <w:rsid w:val="005B369C"/>
    <w:rsid w:val="005B4B57"/>
    <w:rsid w:val="005B4D6E"/>
    <w:rsid w:val="005B584A"/>
    <w:rsid w:val="005C2527"/>
    <w:rsid w:val="005C62D6"/>
    <w:rsid w:val="005C637A"/>
    <w:rsid w:val="005D03E0"/>
    <w:rsid w:val="005E16E8"/>
    <w:rsid w:val="005E2C43"/>
    <w:rsid w:val="005E5264"/>
    <w:rsid w:val="005E546C"/>
    <w:rsid w:val="005F1C61"/>
    <w:rsid w:val="005F3889"/>
    <w:rsid w:val="005F4DAF"/>
    <w:rsid w:val="005F7A40"/>
    <w:rsid w:val="00600A17"/>
    <w:rsid w:val="006027A7"/>
    <w:rsid w:val="006044C1"/>
    <w:rsid w:val="006048E2"/>
    <w:rsid w:val="006104F1"/>
    <w:rsid w:val="00610FAE"/>
    <w:rsid w:val="00611651"/>
    <w:rsid w:val="00613CD5"/>
    <w:rsid w:val="00614A5A"/>
    <w:rsid w:val="00621EEE"/>
    <w:rsid w:val="00622AFA"/>
    <w:rsid w:val="00625806"/>
    <w:rsid w:val="006265A2"/>
    <w:rsid w:val="006268D7"/>
    <w:rsid w:val="006328D6"/>
    <w:rsid w:val="00634F81"/>
    <w:rsid w:val="00635B6F"/>
    <w:rsid w:val="006457B6"/>
    <w:rsid w:val="0065173D"/>
    <w:rsid w:val="0065210B"/>
    <w:rsid w:val="0065423F"/>
    <w:rsid w:val="00664271"/>
    <w:rsid w:val="00665BD0"/>
    <w:rsid w:val="00667D23"/>
    <w:rsid w:val="00674450"/>
    <w:rsid w:val="00686DDB"/>
    <w:rsid w:val="006900B7"/>
    <w:rsid w:val="006901E4"/>
    <w:rsid w:val="00691BA1"/>
    <w:rsid w:val="00696B8C"/>
    <w:rsid w:val="00697266"/>
    <w:rsid w:val="006A01F9"/>
    <w:rsid w:val="006A044D"/>
    <w:rsid w:val="006A27A5"/>
    <w:rsid w:val="006A5DBC"/>
    <w:rsid w:val="006A69E1"/>
    <w:rsid w:val="006B1962"/>
    <w:rsid w:val="006B2984"/>
    <w:rsid w:val="006B77BE"/>
    <w:rsid w:val="006C525D"/>
    <w:rsid w:val="006C7B03"/>
    <w:rsid w:val="006D06C0"/>
    <w:rsid w:val="006D37C6"/>
    <w:rsid w:val="006D69AC"/>
    <w:rsid w:val="006D798E"/>
    <w:rsid w:val="006E1649"/>
    <w:rsid w:val="006E5824"/>
    <w:rsid w:val="006F208D"/>
    <w:rsid w:val="006F6B2D"/>
    <w:rsid w:val="006F7E34"/>
    <w:rsid w:val="006F7F9F"/>
    <w:rsid w:val="007154FE"/>
    <w:rsid w:val="00733EB0"/>
    <w:rsid w:val="0073520A"/>
    <w:rsid w:val="0073760E"/>
    <w:rsid w:val="00740587"/>
    <w:rsid w:val="00743F94"/>
    <w:rsid w:val="00744A3E"/>
    <w:rsid w:val="00747283"/>
    <w:rsid w:val="00747EEC"/>
    <w:rsid w:val="0075136B"/>
    <w:rsid w:val="00752359"/>
    <w:rsid w:val="00753878"/>
    <w:rsid w:val="00755AFB"/>
    <w:rsid w:val="00762367"/>
    <w:rsid w:val="00762962"/>
    <w:rsid w:val="007632B0"/>
    <w:rsid w:val="00763681"/>
    <w:rsid w:val="007675B9"/>
    <w:rsid w:val="00770C96"/>
    <w:rsid w:val="00775E47"/>
    <w:rsid w:val="00776F80"/>
    <w:rsid w:val="00776FC2"/>
    <w:rsid w:val="00782BD1"/>
    <w:rsid w:val="007835ED"/>
    <w:rsid w:val="007841A9"/>
    <w:rsid w:val="00785042"/>
    <w:rsid w:val="00787B3F"/>
    <w:rsid w:val="00795734"/>
    <w:rsid w:val="00796435"/>
    <w:rsid w:val="007A2B10"/>
    <w:rsid w:val="007A3B5F"/>
    <w:rsid w:val="007A63D6"/>
    <w:rsid w:val="007A6DEE"/>
    <w:rsid w:val="007B2569"/>
    <w:rsid w:val="007B28AA"/>
    <w:rsid w:val="007B6F09"/>
    <w:rsid w:val="007B744C"/>
    <w:rsid w:val="007B779E"/>
    <w:rsid w:val="007C57CF"/>
    <w:rsid w:val="007D24D7"/>
    <w:rsid w:val="007D2A0F"/>
    <w:rsid w:val="007D368E"/>
    <w:rsid w:val="007D3DD7"/>
    <w:rsid w:val="007E08CB"/>
    <w:rsid w:val="007E6598"/>
    <w:rsid w:val="007F20F0"/>
    <w:rsid w:val="007F37C1"/>
    <w:rsid w:val="007F4727"/>
    <w:rsid w:val="007F473B"/>
    <w:rsid w:val="0080574E"/>
    <w:rsid w:val="00806E34"/>
    <w:rsid w:val="00816287"/>
    <w:rsid w:val="008169A0"/>
    <w:rsid w:val="0081776D"/>
    <w:rsid w:val="008208A9"/>
    <w:rsid w:val="00820ED1"/>
    <w:rsid w:val="00823A5D"/>
    <w:rsid w:val="008271F0"/>
    <w:rsid w:val="00835BE7"/>
    <w:rsid w:val="00837E79"/>
    <w:rsid w:val="008460F0"/>
    <w:rsid w:val="00846E5F"/>
    <w:rsid w:val="008613E6"/>
    <w:rsid w:val="00862C4C"/>
    <w:rsid w:val="008653D1"/>
    <w:rsid w:val="00873601"/>
    <w:rsid w:val="00874DFD"/>
    <w:rsid w:val="0087579A"/>
    <w:rsid w:val="008764EA"/>
    <w:rsid w:val="00877323"/>
    <w:rsid w:val="008802EC"/>
    <w:rsid w:val="008844AF"/>
    <w:rsid w:val="008850C6"/>
    <w:rsid w:val="00887313"/>
    <w:rsid w:val="008A19D6"/>
    <w:rsid w:val="008A3C65"/>
    <w:rsid w:val="008A6BA9"/>
    <w:rsid w:val="008A71FA"/>
    <w:rsid w:val="008B5653"/>
    <w:rsid w:val="008C4103"/>
    <w:rsid w:val="008C4E62"/>
    <w:rsid w:val="008C731F"/>
    <w:rsid w:val="008C7ABF"/>
    <w:rsid w:val="008D4175"/>
    <w:rsid w:val="008E2C3D"/>
    <w:rsid w:val="008E4754"/>
    <w:rsid w:val="008E6066"/>
    <w:rsid w:val="008F07B9"/>
    <w:rsid w:val="008F1AF1"/>
    <w:rsid w:val="008F2EE0"/>
    <w:rsid w:val="008F3567"/>
    <w:rsid w:val="008F3FA1"/>
    <w:rsid w:val="008F69E6"/>
    <w:rsid w:val="00902723"/>
    <w:rsid w:val="009028C4"/>
    <w:rsid w:val="00905DED"/>
    <w:rsid w:val="009137AE"/>
    <w:rsid w:val="00914822"/>
    <w:rsid w:val="00914D5E"/>
    <w:rsid w:val="009172B0"/>
    <w:rsid w:val="009205C7"/>
    <w:rsid w:val="00921426"/>
    <w:rsid w:val="009248F5"/>
    <w:rsid w:val="009335B4"/>
    <w:rsid w:val="00941451"/>
    <w:rsid w:val="00950C6D"/>
    <w:rsid w:val="00951E5C"/>
    <w:rsid w:val="00954081"/>
    <w:rsid w:val="00955D95"/>
    <w:rsid w:val="00956E5E"/>
    <w:rsid w:val="00960102"/>
    <w:rsid w:val="00962724"/>
    <w:rsid w:val="00963F43"/>
    <w:rsid w:val="00964C47"/>
    <w:rsid w:val="00970157"/>
    <w:rsid w:val="009712A5"/>
    <w:rsid w:val="009733B8"/>
    <w:rsid w:val="009735BB"/>
    <w:rsid w:val="00974206"/>
    <w:rsid w:val="0097465F"/>
    <w:rsid w:val="00974A19"/>
    <w:rsid w:val="00974CF1"/>
    <w:rsid w:val="0097500D"/>
    <w:rsid w:val="00976012"/>
    <w:rsid w:val="009801DD"/>
    <w:rsid w:val="00980A3D"/>
    <w:rsid w:val="00980C43"/>
    <w:rsid w:val="00981EE0"/>
    <w:rsid w:val="009847F1"/>
    <w:rsid w:val="00985472"/>
    <w:rsid w:val="00986B92"/>
    <w:rsid w:val="00993CB4"/>
    <w:rsid w:val="009A1E75"/>
    <w:rsid w:val="009A293B"/>
    <w:rsid w:val="009B0A16"/>
    <w:rsid w:val="009B502F"/>
    <w:rsid w:val="009B5B2C"/>
    <w:rsid w:val="009C18F4"/>
    <w:rsid w:val="009C23F5"/>
    <w:rsid w:val="009D05E2"/>
    <w:rsid w:val="009D0DFC"/>
    <w:rsid w:val="009D561B"/>
    <w:rsid w:val="009D5F04"/>
    <w:rsid w:val="009D67D9"/>
    <w:rsid w:val="009E0531"/>
    <w:rsid w:val="009E53E2"/>
    <w:rsid w:val="009E6952"/>
    <w:rsid w:val="009F4BC8"/>
    <w:rsid w:val="009F680C"/>
    <w:rsid w:val="00A035B2"/>
    <w:rsid w:val="00A05B6F"/>
    <w:rsid w:val="00A06DBB"/>
    <w:rsid w:val="00A107A4"/>
    <w:rsid w:val="00A135E1"/>
    <w:rsid w:val="00A13935"/>
    <w:rsid w:val="00A172FF"/>
    <w:rsid w:val="00A20BE8"/>
    <w:rsid w:val="00A25A21"/>
    <w:rsid w:val="00A25FB4"/>
    <w:rsid w:val="00A2689D"/>
    <w:rsid w:val="00A34521"/>
    <w:rsid w:val="00A3790E"/>
    <w:rsid w:val="00A45BC8"/>
    <w:rsid w:val="00A45FD4"/>
    <w:rsid w:val="00A50256"/>
    <w:rsid w:val="00A508B3"/>
    <w:rsid w:val="00A53412"/>
    <w:rsid w:val="00A61FD0"/>
    <w:rsid w:val="00A64693"/>
    <w:rsid w:val="00A67D00"/>
    <w:rsid w:val="00A8040D"/>
    <w:rsid w:val="00A82B74"/>
    <w:rsid w:val="00A82FC9"/>
    <w:rsid w:val="00A85964"/>
    <w:rsid w:val="00A878EC"/>
    <w:rsid w:val="00A901B1"/>
    <w:rsid w:val="00A9040A"/>
    <w:rsid w:val="00A90BAE"/>
    <w:rsid w:val="00A92876"/>
    <w:rsid w:val="00A96AF3"/>
    <w:rsid w:val="00A96C8F"/>
    <w:rsid w:val="00A96F0A"/>
    <w:rsid w:val="00A971C4"/>
    <w:rsid w:val="00AA0D3C"/>
    <w:rsid w:val="00AA1723"/>
    <w:rsid w:val="00AA1954"/>
    <w:rsid w:val="00AA267F"/>
    <w:rsid w:val="00AB1738"/>
    <w:rsid w:val="00AB1DEA"/>
    <w:rsid w:val="00AB2CF1"/>
    <w:rsid w:val="00AB4152"/>
    <w:rsid w:val="00AB4959"/>
    <w:rsid w:val="00AB6895"/>
    <w:rsid w:val="00AB738E"/>
    <w:rsid w:val="00AB7CA8"/>
    <w:rsid w:val="00AC5A0B"/>
    <w:rsid w:val="00AC68F3"/>
    <w:rsid w:val="00AC6AAA"/>
    <w:rsid w:val="00AD145B"/>
    <w:rsid w:val="00AD5F40"/>
    <w:rsid w:val="00AD6081"/>
    <w:rsid w:val="00AD728F"/>
    <w:rsid w:val="00AE2302"/>
    <w:rsid w:val="00AE3E24"/>
    <w:rsid w:val="00AE642B"/>
    <w:rsid w:val="00AF1397"/>
    <w:rsid w:val="00AF5660"/>
    <w:rsid w:val="00AF5F27"/>
    <w:rsid w:val="00B10F16"/>
    <w:rsid w:val="00B1260B"/>
    <w:rsid w:val="00B14B4A"/>
    <w:rsid w:val="00B16505"/>
    <w:rsid w:val="00B16BA3"/>
    <w:rsid w:val="00B20F88"/>
    <w:rsid w:val="00B21361"/>
    <w:rsid w:val="00B258AE"/>
    <w:rsid w:val="00B3246D"/>
    <w:rsid w:val="00B363B0"/>
    <w:rsid w:val="00B4048F"/>
    <w:rsid w:val="00B45A16"/>
    <w:rsid w:val="00B46AF9"/>
    <w:rsid w:val="00B53FAE"/>
    <w:rsid w:val="00B555CA"/>
    <w:rsid w:val="00B57B62"/>
    <w:rsid w:val="00B61B17"/>
    <w:rsid w:val="00B674D7"/>
    <w:rsid w:val="00B8096B"/>
    <w:rsid w:val="00B863B4"/>
    <w:rsid w:val="00B8657A"/>
    <w:rsid w:val="00B86873"/>
    <w:rsid w:val="00B87EBF"/>
    <w:rsid w:val="00B9141D"/>
    <w:rsid w:val="00B91702"/>
    <w:rsid w:val="00B95F61"/>
    <w:rsid w:val="00B9643A"/>
    <w:rsid w:val="00B96FA2"/>
    <w:rsid w:val="00BA318B"/>
    <w:rsid w:val="00BA739F"/>
    <w:rsid w:val="00BB02BC"/>
    <w:rsid w:val="00BB23BF"/>
    <w:rsid w:val="00BB3275"/>
    <w:rsid w:val="00BB51E8"/>
    <w:rsid w:val="00BC0F06"/>
    <w:rsid w:val="00BC1B93"/>
    <w:rsid w:val="00BC1E77"/>
    <w:rsid w:val="00BC34F5"/>
    <w:rsid w:val="00BC6AC6"/>
    <w:rsid w:val="00BD557E"/>
    <w:rsid w:val="00BD7C30"/>
    <w:rsid w:val="00BE0E81"/>
    <w:rsid w:val="00BE2017"/>
    <w:rsid w:val="00BE2339"/>
    <w:rsid w:val="00BE396C"/>
    <w:rsid w:val="00BE499A"/>
    <w:rsid w:val="00BE5733"/>
    <w:rsid w:val="00BF2BF5"/>
    <w:rsid w:val="00BF47A5"/>
    <w:rsid w:val="00C01D96"/>
    <w:rsid w:val="00C0451E"/>
    <w:rsid w:val="00C06440"/>
    <w:rsid w:val="00C11C4F"/>
    <w:rsid w:val="00C12796"/>
    <w:rsid w:val="00C14B6E"/>
    <w:rsid w:val="00C14C4A"/>
    <w:rsid w:val="00C15ABC"/>
    <w:rsid w:val="00C15E59"/>
    <w:rsid w:val="00C36EFA"/>
    <w:rsid w:val="00C410FE"/>
    <w:rsid w:val="00C4307E"/>
    <w:rsid w:val="00C436E3"/>
    <w:rsid w:val="00C47B9C"/>
    <w:rsid w:val="00C5353F"/>
    <w:rsid w:val="00C5692A"/>
    <w:rsid w:val="00C6240D"/>
    <w:rsid w:val="00C630CD"/>
    <w:rsid w:val="00C63D60"/>
    <w:rsid w:val="00C63F72"/>
    <w:rsid w:val="00C65F0E"/>
    <w:rsid w:val="00C67A34"/>
    <w:rsid w:val="00C70B48"/>
    <w:rsid w:val="00C71883"/>
    <w:rsid w:val="00C72E52"/>
    <w:rsid w:val="00C72E92"/>
    <w:rsid w:val="00C739D5"/>
    <w:rsid w:val="00C81D8C"/>
    <w:rsid w:val="00C84DC4"/>
    <w:rsid w:val="00C861EC"/>
    <w:rsid w:val="00C91BF2"/>
    <w:rsid w:val="00C972AA"/>
    <w:rsid w:val="00C97337"/>
    <w:rsid w:val="00C97E87"/>
    <w:rsid w:val="00CB5CC4"/>
    <w:rsid w:val="00CB5CE0"/>
    <w:rsid w:val="00CC3834"/>
    <w:rsid w:val="00CC56B0"/>
    <w:rsid w:val="00CC57BC"/>
    <w:rsid w:val="00CD6C97"/>
    <w:rsid w:val="00CE16AB"/>
    <w:rsid w:val="00CE19F0"/>
    <w:rsid w:val="00CE6C7A"/>
    <w:rsid w:val="00CE7309"/>
    <w:rsid w:val="00CF2881"/>
    <w:rsid w:val="00CF2A13"/>
    <w:rsid w:val="00D13E05"/>
    <w:rsid w:val="00D158DE"/>
    <w:rsid w:val="00D20575"/>
    <w:rsid w:val="00D21FD0"/>
    <w:rsid w:val="00D238C9"/>
    <w:rsid w:val="00D25540"/>
    <w:rsid w:val="00D26C35"/>
    <w:rsid w:val="00D3104C"/>
    <w:rsid w:val="00D33A35"/>
    <w:rsid w:val="00D34C55"/>
    <w:rsid w:val="00D36337"/>
    <w:rsid w:val="00D44028"/>
    <w:rsid w:val="00D53CF7"/>
    <w:rsid w:val="00D53EB0"/>
    <w:rsid w:val="00D555C3"/>
    <w:rsid w:val="00D5619D"/>
    <w:rsid w:val="00D56640"/>
    <w:rsid w:val="00D57422"/>
    <w:rsid w:val="00D61F9F"/>
    <w:rsid w:val="00D62430"/>
    <w:rsid w:val="00D70B36"/>
    <w:rsid w:val="00D70C35"/>
    <w:rsid w:val="00D82702"/>
    <w:rsid w:val="00D83157"/>
    <w:rsid w:val="00D83182"/>
    <w:rsid w:val="00D850D4"/>
    <w:rsid w:val="00D916E1"/>
    <w:rsid w:val="00D94FD1"/>
    <w:rsid w:val="00DA1B90"/>
    <w:rsid w:val="00DA4F7F"/>
    <w:rsid w:val="00DA5B65"/>
    <w:rsid w:val="00DB0F88"/>
    <w:rsid w:val="00DB1D5E"/>
    <w:rsid w:val="00DB61F5"/>
    <w:rsid w:val="00DB623A"/>
    <w:rsid w:val="00DC4096"/>
    <w:rsid w:val="00DC7F2D"/>
    <w:rsid w:val="00DD0D00"/>
    <w:rsid w:val="00DD1BE6"/>
    <w:rsid w:val="00DD447A"/>
    <w:rsid w:val="00DD5A3C"/>
    <w:rsid w:val="00DD76ED"/>
    <w:rsid w:val="00DE0940"/>
    <w:rsid w:val="00DE46FB"/>
    <w:rsid w:val="00DE5165"/>
    <w:rsid w:val="00DE520F"/>
    <w:rsid w:val="00DE7A59"/>
    <w:rsid w:val="00DF025F"/>
    <w:rsid w:val="00DF0470"/>
    <w:rsid w:val="00DF1CA2"/>
    <w:rsid w:val="00E02DAA"/>
    <w:rsid w:val="00E1056F"/>
    <w:rsid w:val="00E15458"/>
    <w:rsid w:val="00E15CFF"/>
    <w:rsid w:val="00E1754C"/>
    <w:rsid w:val="00E20E18"/>
    <w:rsid w:val="00E22378"/>
    <w:rsid w:val="00E26AD8"/>
    <w:rsid w:val="00E31AA2"/>
    <w:rsid w:val="00E35B85"/>
    <w:rsid w:val="00E36544"/>
    <w:rsid w:val="00E4030E"/>
    <w:rsid w:val="00E441EC"/>
    <w:rsid w:val="00E47294"/>
    <w:rsid w:val="00E479B0"/>
    <w:rsid w:val="00E50139"/>
    <w:rsid w:val="00E50846"/>
    <w:rsid w:val="00E50D8F"/>
    <w:rsid w:val="00E52E18"/>
    <w:rsid w:val="00E5656E"/>
    <w:rsid w:val="00E60B4D"/>
    <w:rsid w:val="00E60D4E"/>
    <w:rsid w:val="00E61949"/>
    <w:rsid w:val="00E6263B"/>
    <w:rsid w:val="00E7065F"/>
    <w:rsid w:val="00E7268A"/>
    <w:rsid w:val="00E72D6C"/>
    <w:rsid w:val="00E77191"/>
    <w:rsid w:val="00E827A2"/>
    <w:rsid w:val="00E837A4"/>
    <w:rsid w:val="00E86CD4"/>
    <w:rsid w:val="00E91802"/>
    <w:rsid w:val="00E96680"/>
    <w:rsid w:val="00EA02B9"/>
    <w:rsid w:val="00EA32A7"/>
    <w:rsid w:val="00EA5B39"/>
    <w:rsid w:val="00EA78E6"/>
    <w:rsid w:val="00EB5BE2"/>
    <w:rsid w:val="00EC3C21"/>
    <w:rsid w:val="00EC4A76"/>
    <w:rsid w:val="00ED02C8"/>
    <w:rsid w:val="00ED2685"/>
    <w:rsid w:val="00ED2D2D"/>
    <w:rsid w:val="00ED7D4C"/>
    <w:rsid w:val="00EE28D8"/>
    <w:rsid w:val="00EE7571"/>
    <w:rsid w:val="00EF2D7C"/>
    <w:rsid w:val="00EF46F6"/>
    <w:rsid w:val="00EF5538"/>
    <w:rsid w:val="00F00ABF"/>
    <w:rsid w:val="00F04A74"/>
    <w:rsid w:val="00F06500"/>
    <w:rsid w:val="00F12EC4"/>
    <w:rsid w:val="00F15A31"/>
    <w:rsid w:val="00F233CD"/>
    <w:rsid w:val="00F27679"/>
    <w:rsid w:val="00F3216A"/>
    <w:rsid w:val="00F34C1E"/>
    <w:rsid w:val="00F37348"/>
    <w:rsid w:val="00F4136F"/>
    <w:rsid w:val="00F44918"/>
    <w:rsid w:val="00F45B8B"/>
    <w:rsid w:val="00F46269"/>
    <w:rsid w:val="00F52641"/>
    <w:rsid w:val="00F55B91"/>
    <w:rsid w:val="00F621E7"/>
    <w:rsid w:val="00F649E4"/>
    <w:rsid w:val="00F71090"/>
    <w:rsid w:val="00F72E9F"/>
    <w:rsid w:val="00F767E2"/>
    <w:rsid w:val="00F80429"/>
    <w:rsid w:val="00F83DE0"/>
    <w:rsid w:val="00F87A1D"/>
    <w:rsid w:val="00F90DC1"/>
    <w:rsid w:val="00F91611"/>
    <w:rsid w:val="00F93934"/>
    <w:rsid w:val="00F950A9"/>
    <w:rsid w:val="00FA1909"/>
    <w:rsid w:val="00FA29A2"/>
    <w:rsid w:val="00FA312E"/>
    <w:rsid w:val="00FA40BB"/>
    <w:rsid w:val="00FA49B2"/>
    <w:rsid w:val="00FA58EC"/>
    <w:rsid w:val="00FB2AD3"/>
    <w:rsid w:val="00FB4670"/>
    <w:rsid w:val="00FB61C1"/>
    <w:rsid w:val="00FC4B69"/>
    <w:rsid w:val="00FC6E11"/>
    <w:rsid w:val="00FD0AA7"/>
    <w:rsid w:val="00FD14AC"/>
    <w:rsid w:val="00FD4CF3"/>
    <w:rsid w:val="00FD5E5F"/>
    <w:rsid w:val="00FE51A8"/>
    <w:rsid w:val="00FF3BBD"/>
    <w:rsid w:val="00FF43E5"/>
    <w:rsid w:val="00FF5A23"/>
    <w:rsid w:val="00FF72F4"/>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E944A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paragraph" w:styleId="NoSpacing">
    <w:name w:val="No Spacing"/>
    <w:uiPriority w:val="1"/>
    <w:qFormat/>
    <w:rsid w:val="00B555CA"/>
    <w:pPr>
      <w:overflowPunct w:val="0"/>
      <w:autoSpaceDE w:val="0"/>
      <w:autoSpaceDN w:val="0"/>
      <w:adjustRightInd w:val="0"/>
      <w:textAlignment w:val="baseline"/>
    </w:pPr>
    <w:rPr>
      <w:sz w:val="24"/>
    </w:rPr>
  </w:style>
  <w:style w:type="paragraph" w:styleId="ListParagraph">
    <w:name w:val="List Paragraph"/>
    <w:basedOn w:val="Normal"/>
    <w:uiPriority w:val="34"/>
    <w:qFormat/>
    <w:rsid w:val="003D1405"/>
    <w:pPr>
      <w:ind w:left="720"/>
    </w:pPr>
  </w:style>
  <w:style w:type="character" w:styleId="Hyperlink">
    <w:name w:val="Hyperlink"/>
    <w:unhideWhenUsed/>
    <w:rsid w:val="00CE6C7A"/>
    <w:rPr>
      <w:color w:val="0563C1"/>
      <w:u w:val="single"/>
    </w:rPr>
  </w:style>
  <w:style w:type="character" w:styleId="CommentReference">
    <w:name w:val="annotation reference"/>
    <w:rsid w:val="008F07B9"/>
    <w:rPr>
      <w:sz w:val="16"/>
      <w:szCs w:val="16"/>
    </w:rPr>
  </w:style>
  <w:style w:type="paragraph" w:styleId="CommentText">
    <w:name w:val="annotation text"/>
    <w:basedOn w:val="Normal"/>
    <w:link w:val="CommentTextChar"/>
    <w:rsid w:val="008F07B9"/>
    <w:rPr>
      <w:sz w:val="20"/>
    </w:rPr>
  </w:style>
  <w:style w:type="character" w:customStyle="1" w:styleId="CommentTextChar">
    <w:name w:val="Comment Text Char"/>
    <w:basedOn w:val="DefaultParagraphFont"/>
    <w:link w:val="CommentText"/>
    <w:rsid w:val="008F07B9"/>
  </w:style>
  <w:style w:type="paragraph" w:styleId="CommentSubject">
    <w:name w:val="annotation subject"/>
    <w:basedOn w:val="CommentText"/>
    <w:next w:val="CommentText"/>
    <w:link w:val="CommentSubjectChar"/>
    <w:rsid w:val="008F07B9"/>
    <w:rPr>
      <w:b/>
      <w:bCs/>
    </w:rPr>
  </w:style>
  <w:style w:type="character" w:customStyle="1" w:styleId="CommentSubjectChar">
    <w:name w:val="Comment Subject Char"/>
    <w:link w:val="CommentSubject"/>
    <w:rsid w:val="008F07B9"/>
    <w:rPr>
      <w:b/>
      <w:bCs/>
    </w:rPr>
  </w:style>
  <w:style w:type="character" w:styleId="UnresolvedMention">
    <w:name w:val="Unresolved Mention"/>
    <w:uiPriority w:val="99"/>
    <w:semiHidden/>
    <w:unhideWhenUsed/>
    <w:rsid w:val="004342F4"/>
    <w:rPr>
      <w:color w:val="605E5C"/>
      <w:shd w:val="clear" w:color="auto" w:fill="E1DFDD"/>
    </w:rPr>
  </w:style>
  <w:style w:type="table" w:styleId="TableGrid">
    <w:name w:val="Table Grid"/>
    <w:basedOn w:val="TableNormal"/>
    <w:uiPriority w:val="59"/>
    <w:rsid w:val="00EC4A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6185E"/>
    <w:rPr>
      <w:sz w:val="24"/>
    </w:rPr>
  </w:style>
  <w:style w:type="character" w:customStyle="1" w:styleId="HeaderChar">
    <w:name w:val="Header Char"/>
    <w:link w:val="Header"/>
    <w:uiPriority w:val="99"/>
    <w:rsid w:val="005B4B57"/>
    <w:rPr>
      <w:sz w:val="24"/>
    </w:rPr>
  </w:style>
  <w:style w:type="paragraph" w:styleId="Revision">
    <w:name w:val="Revision"/>
    <w:hidden/>
    <w:uiPriority w:val="99"/>
    <w:semiHidden/>
    <w:rsid w:val="000F0A67"/>
    <w:rPr>
      <w:sz w:val="24"/>
    </w:rPr>
  </w:style>
  <w:style w:type="character" w:styleId="FollowedHyperlink">
    <w:name w:val="FollowedHyperlink"/>
    <w:rsid w:val="002C2FA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68205">
      <w:bodyDiv w:val="1"/>
      <w:marLeft w:val="0"/>
      <w:marRight w:val="0"/>
      <w:marTop w:val="0"/>
      <w:marBottom w:val="0"/>
      <w:divBdr>
        <w:top w:val="none" w:sz="0" w:space="0" w:color="auto"/>
        <w:left w:val="none" w:sz="0" w:space="0" w:color="auto"/>
        <w:bottom w:val="none" w:sz="0" w:space="0" w:color="auto"/>
        <w:right w:val="none" w:sz="0" w:space="0" w:color="auto"/>
      </w:divBdr>
    </w:div>
    <w:div w:id="772630056">
      <w:bodyDiv w:val="1"/>
      <w:marLeft w:val="0"/>
      <w:marRight w:val="0"/>
      <w:marTop w:val="0"/>
      <w:marBottom w:val="0"/>
      <w:divBdr>
        <w:top w:val="none" w:sz="0" w:space="0" w:color="auto"/>
        <w:left w:val="none" w:sz="0" w:space="0" w:color="auto"/>
        <w:bottom w:val="none" w:sz="0" w:space="0" w:color="auto"/>
        <w:right w:val="none" w:sz="0" w:space="0" w:color="auto"/>
      </w:divBdr>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1453935152">
      <w:bodyDiv w:val="1"/>
      <w:marLeft w:val="0"/>
      <w:marRight w:val="0"/>
      <w:marTop w:val="0"/>
      <w:marBottom w:val="0"/>
      <w:divBdr>
        <w:top w:val="none" w:sz="0" w:space="0" w:color="auto"/>
        <w:left w:val="none" w:sz="0" w:space="0" w:color="auto"/>
        <w:bottom w:val="none" w:sz="0" w:space="0" w:color="auto"/>
        <w:right w:val="none" w:sz="0" w:space="0" w:color="auto"/>
      </w:divBdr>
    </w:div>
    <w:div w:id="16157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uc.pa.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a211.org/"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hyperlink" Target="http://www.puc.pa.gov"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pa.puc.gov" TargetMode="Externa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57452-9435-46AE-AB55-F51BDB19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10872</Words>
  <Characters>61971</Characters>
  <Application>Microsoft Office Word</Application>
  <DocSecurity>4</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72698</CharactersWithSpaces>
  <SharedDoc>false</SharedDoc>
  <HLinks>
    <vt:vector size="30" baseType="variant">
      <vt:variant>
        <vt:i4>2490491</vt:i4>
      </vt:variant>
      <vt:variant>
        <vt:i4>12</vt:i4>
      </vt:variant>
      <vt:variant>
        <vt:i4>0</vt:i4>
      </vt:variant>
      <vt:variant>
        <vt:i4>5</vt:i4>
      </vt:variant>
      <vt:variant>
        <vt:lpwstr>http://www.puc.pa.gov/</vt:lpwstr>
      </vt:variant>
      <vt:variant>
        <vt:lpwstr/>
      </vt:variant>
      <vt:variant>
        <vt:i4>7012411</vt:i4>
      </vt:variant>
      <vt:variant>
        <vt:i4>9</vt:i4>
      </vt:variant>
      <vt:variant>
        <vt:i4>0</vt:i4>
      </vt:variant>
      <vt:variant>
        <vt:i4>5</vt:i4>
      </vt:variant>
      <vt:variant>
        <vt:lpwstr>https://www.pa211.org/</vt:lpwstr>
      </vt:variant>
      <vt:variant>
        <vt:lpwstr/>
      </vt:variant>
      <vt:variant>
        <vt:i4>2490491</vt:i4>
      </vt:variant>
      <vt:variant>
        <vt:i4>6</vt:i4>
      </vt:variant>
      <vt:variant>
        <vt:i4>0</vt:i4>
      </vt:variant>
      <vt:variant>
        <vt:i4>5</vt:i4>
      </vt:variant>
      <vt:variant>
        <vt:lpwstr>http://www.puc.pa.gov/</vt:lpwstr>
      </vt:variant>
      <vt:variant>
        <vt:lpwstr/>
      </vt:variant>
      <vt:variant>
        <vt:i4>7209011</vt:i4>
      </vt:variant>
      <vt:variant>
        <vt:i4>3</vt:i4>
      </vt:variant>
      <vt:variant>
        <vt:i4>0</vt:i4>
      </vt:variant>
      <vt:variant>
        <vt:i4>5</vt:i4>
      </vt:variant>
      <vt:variant>
        <vt:lpwstr>http://www.pa.puc.gov/</vt:lpwstr>
      </vt:variant>
      <vt:variant>
        <vt:lpwstr/>
      </vt:variant>
      <vt:variant>
        <vt:i4>2490491</vt:i4>
      </vt:variant>
      <vt:variant>
        <vt:i4>0</vt:i4>
      </vt:variant>
      <vt:variant>
        <vt:i4>0</vt:i4>
      </vt:variant>
      <vt:variant>
        <vt:i4>5</vt:i4>
      </vt:variant>
      <vt:variant>
        <vt:lpwstr>http://www.puc.pa.gov/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2022-01-05T14:55:00Z</dcterms:created>
  <dcterms:modified xsi:type="dcterms:W3CDTF">2022-01-05T14:55:00Z</dcterms:modified>
</cp:coreProperties>
</file>