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1" w:rsidRDefault="00A67B91" w:rsidP="00A67B9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67B91">
        <w:rPr>
          <w:b/>
        </w:rPr>
        <w:t>Act 129 Energy Efficiency and Conservation Program</w:t>
      </w:r>
      <w:r>
        <w:rPr>
          <w:b/>
        </w:rPr>
        <w:t xml:space="preserve"> - </w:t>
      </w:r>
      <w:r w:rsidRPr="00A67B91">
        <w:rPr>
          <w:b/>
        </w:rPr>
        <w:t>Phase III Planning</w:t>
      </w:r>
    </w:p>
    <w:p w:rsidR="00A67B91" w:rsidRPr="00A67B91" w:rsidRDefault="00A67B91" w:rsidP="00A67B91">
      <w:pPr>
        <w:spacing w:after="0" w:line="240" w:lineRule="auto"/>
        <w:jc w:val="center"/>
        <w:rPr>
          <w:b/>
        </w:rPr>
      </w:pPr>
    </w:p>
    <w:p w:rsidR="00A67B91" w:rsidRPr="00A67B91" w:rsidRDefault="00A67B91" w:rsidP="00A67B91">
      <w:pPr>
        <w:spacing w:after="0" w:line="240" w:lineRule="auto"/>
        <w:jc w:val="center"/>
      </w:pPr>
      <w:r w:rsidRPr="00A67B91">
        <w:rPr>
          <w:b/>
        </w:rPr>
        <w:t>Data Request from April 8, 2015 Stakeholder Meeting</w:t>
      </w:r>
      <w:r>
        <w:rPr>
          <w:rStyle w:val="FootnoteReference"/>
          <w:b/>
        </w:rPr>
        <w:footnoteReference w:id="1"/>
      </w:r>
    </w:p>
    <w:p w:rsidR="00A67B91" w:rsidRDefault="00A67B91" w:rsidP="00AD2841">
      <w:pPr>
        <w:jc w:val="both"/>
      </w:pPr>
    </w:p>
    <w:p w:rsidR="00AD2841" w:rsidRDefault="00AD2841" w:rsidP="00AD2841">
      <w:pPr>
        <w:jc w:val="both"/>
        <w:rPr>
          <w:i/>
        </w:rPr>
      </w:pPr>
      <w:r>
        <w:rPr>
          <w:i/>
        </w:rPr>
        <w:t xml:space="preserve">Q1. </w:t>
      </w:r>
      <w:r>
        <w:rPr>
          <w:i/>
        </w:rPr>
        <w:tab/>
        <w:t>Please provide the EDC acquisition costs with the low-income sector removed from the analysis.</w:t>
      </w:r>
    </w:p>
    <w:p w:rsidR="00AD2841" w:rsidRDefault="00AD2841" w:rsidP="00AD2841">
      <w:pPr>
        <w:jc w:val="both"/>
      </w:pPr>
      <w:r w:rsidRPr="00AD2841">
        <w:t xml:space="preserve">At the stakeholder meeting, there was some discussion on how the low </w:t>
      </w:r>
      <w:proofErr w:type="gramStart"/>
      <w:r w:rsidRPr="00AD2841">
        <w:t>income</w:t>
      </w:r>
      <w:r w:rsidR="00C5271A">
        <w:t>(</w:t>
      </w:r>
      <w:proofErr w:type="gramEnd"/>
      <w:r w:rsidR="00C5271A">
        <w:t>LI)</w:t>
      </w:r>
      <w:r>
        <w:t>-specific measures (i.e.</w:t>
      </w:r>
      <w:r w:rsidR="00B865DF">
        <w:t>,</w:t>
      </w:r>
      <w:r>
        <w:t xml:space="preserve"> measures provided to low-income households at no cost) were</w:t>
      </w:r>
      <w:r w:rsidRPr="00AD2841">
        <w:t xml:space="preserve"> factored into the analysis </w:t>
      </w:r>
      <w:r>
        <w:t xml:space="preserve">and </w:t>
      </w:r>
      <w:r w:rsidRPr="00AD2841">
        <w:t>the</w:t>
      </w:r>
      <w:r>
        <w:t xml:space="preserve"> resulting impact on</w:t>
      </w:r>
      <w:r w:rsidRPr="00AD2841">
        <w:t xml:space="preserve"> acquisition cost</w:t>
      </w:r>
      <w:r>
        <w:t>s</w:t>
      </w:r>
      <w:r w:rsidRPr="00AD2841">
        <w:t xml:space="preserve">.  </w:t>
      </w:r>
      <w:r>
        <w:t>The table</w:t>
      </w:r>
      <w:r w:rsidRPr="00AD2841">
        <w:t xml:space="preserve"> </w:t>
      </w:r>
      <w:r>
        <w:t xml:space="preserve">below </w:t>
      </w:r>
      <w:r w:rsidRPr="00AD2841">
        <w:t xml:space="preserve">shows the change in </w:t>
      </w:r>
      <w:r w:rsidR="00C5271A">
        <w:t xml:space="preserve">base achievable/program potential </w:t>
      </w:r>
      <w:r w:rsidRPr="00AD2841">
        <w:t>acquisition cost for the total portfolio</w:t>
      </w:r>
      <w:r w:rsidR="00C5271A">
        <w:t xml:space="preserve"> as a result of removing </w:t>
      </w:r>
      <w:r w:rsidR="00B865DF">
        <w:t>LI-</w:t>
      </w:r>
      <w:r w:rsidR="00C5271A">
        <w:t>specific measures from the potential analysis</w:t>
      </w:r>
      <w:r w:rsidRPr="00AD2841">
        <w:t xml:space="preserve">.  Because low income measures are more expensive than non-low income measures, the acquisition costs with the LI results removed are lower than the original costs.  </w:t>
      </w:r>
    </w:p>
    <w:tbl>
      <w:tblPr>
        <w:tblStyle w:val="MediumGrid2-Accent2"/>
        <w:tblW w:w="7897" w:type="dxa"/>
        <w:jc w:val="center"/>
        <w:tblInd w:w="-967" w:type="dxa"/>
        <w:tblLayout w:type="fixed"/>
        <w:tblLook w:val="04A0" w:firstRow="1" w:lastRow="0" w:firstColumn="1" w:lastColumn="0" w:noHBand="0" w:noVBand="1"/>
      </w:tblPr>
      <w:tblGrid>
        <w:gridCol w:w="2587"/>
        <w:gridCol w:w="1770"/>
        <w:gridCol w:w="1770"/>
        <w:gridCol w:w="1770"/>
      </w:tblGrid>
      <w:tr w:rsidR="00C5271A" w:rsidRPr="00C5271A" w:rsidTr="00BE2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0" w:type="dxa"/>
            <w:gridSpan w:val="3"/>
            <w:noWrap/>
            <w:hideMark/>
          </w:tcPr>
          <w:p w:rsidR="00C5271A" w:rsidRPr="00C5271A" w:rsidRDefault="00C5271A" w:rsidP="00C52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Total Portfolio</w:t>
            </w:r>
          </w:p>
        </w:tc>
      </w:tr>
      <w:tr w:rsidR="00C5271A" w:rsidRPr="00C5271A" w:rsidTr="00BE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5271A" w:rsidRPr="00C5271A" w:rsidRDefault="00C5271A" w:rsidP="00BE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i/>
                <w:iCs/>
                <w:color w:val="000000"/>
              </w:rPr>
              <w:t>All ("Pre")</w:t>
            </w:r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C5271A" w:rsidRPr="00C5271A" w:rsidRDefault="00C5271A" w:rsidP="00BE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i/>
                <w:iCs/>
                <w:color w:val="000000"/>
              </w:rPr>
              <w:t>LI-Removed ("Post")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71A" w:rsidRPr="00C5271A" w:rsidRDefault="00C5271A" w:rsidP="00BE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i/>
                <w:iCs/>
                <w:color w:val="000000"/>
              </w:rPr>
              <w:t>Post : Pre</w:t>
            </w:r>
          </w:p>
        </w:tc>
      </w:tr>
      <w:tr w:rsidR="00C5271A" w:rsidRPr="00C5271A" w:rsidTr="00BE22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Duquesne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186.92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168.18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90.0%</w:t>
            </w:r>
          </w:p>
        </w:tc>
      </w:tr>
      <w:tr w:rsidR="00C5271A" w:rsidRPr="00C5271A" w:rsidTr="00BE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FE: Met Ed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182.18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164.88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90.5%</w:t>
            </w:r>
          </w:p>
        </w:tc>
      </w:tr>
      <w:tr w:rsidR="00C5271A" w:rsidRPr="00C5271A" w:rsidTr="00BE22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FE: Penelec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191.87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173.30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90.3%</w:t>
            </w:r>
          </w:p>
        </w:tc>
      </w:tr>
      <w:tr w:rsidR="00C5271A" w:rsidRPr="00C5271A" w:rsidTr="00BE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FE: Penn Power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176.08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157.15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89.2%</w:t>
            </w:r>
          </w:p>
        </w:tc>
      </w:tr>
      <w:tr w:rsidR="00C5271A" w:rsidRPr="00C5271A" w:rsidTr="00BE22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FE: WPP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181.04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161.01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88.9%</w:t>
            </w:r>
          </w:p>
        </w:tc>
      </w:tr>
      <w:tr w:rsidR="00C5271A" w:rsidRPr="00C5271A" w:rsidTr="00BE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PECO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183.56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160.50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87.4%</w:t>
            </w:r>
          </w:p>
        </w:tc>
      </w:tr>
      <w:tr w:rsidR="00C5271A" w:rsidRPr="00C5271A" w:rsidTr="00BE225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PPL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183.67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162.57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88.5%</w:t>
            </w:r>
          </w:p>
        </w:tc>
      </w:tr>
      <w:tr w:rsidR="00C5271A" w:rsidRPr="00C5271A" w:rsidTr="00BE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C5271A" w:rsidRPr="00C5271A" w:rsidRDefault="00C5271A" w:rsidP="00C527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Statewide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184.00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$        163.46</w:t>
            </w:r>
          </w:p>
        </w:tc>
        <w:tc>
          <w:tcPr>
            <w:tcW w:w="1770" w:type="dxa"/>
            <w:noWrap/>
            <w:hideMark/>
          </w:tcPr>
          <w:p w:rsidR="00C5271A" w:rsidRPr="00C5271A" w:rsidRDefault="00C5271A" w:rsidP="00C5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5271A">
              <w:rPr>
                <w:rFonts w:ascii="Calibri" w:eastAsia="Times New Roman" w:hAnsi="Calibri" w:cs="Times New Roman"/>
                <w:color w:val="000000"/>
              </w:rPr>
              <w:t>88.8%</w:t>
            </w:r>
          </w:p>
        </w:tc>
      </w:tr>
    </w:tbl>
    <w:p w:rsidR="00C5271A" w:rsidRPr="00AD2841" w:rsidRDefault="00C5271A" w:rsidP="00AD2841">
      <w:pPr>
        <w:jc w:val="both"/>
      </w:pPr>
    </w:p>
    <w:p w:rsidR="00AD2841" w:rsidRPr="00AD2841" w:rsidRDefault="00AD2841" w:rsidP="00AD2841">
      <w:pPr>
        <w:rPr>
          <w:i/>
        </w:rPr>
      </w:pPr>
      <w:r w:rsidRPr="00AD2841">
        <w:rPr>
          <w:i/>
        </w:rPr>
        <w:t>Q</w:t>
      </w:r>
      <w:r w:rsidR="00BE2256">
        <w:rPr>
          <w:i/>
        </w:rPr>
        <w:t>2</w:t>
      </w:r>
      <w:r w:rsidRPr="00AD2841">
        <w:rPr>
          <w:i/>
        </w:rPr>
        <w:t>.       Please provide the measure list the SWE assumed in the Carve out program potential for Low Income customers</w:t>
      </w:r>
      <w:r w:rsidR="00B865DF">
        <w:rPr>
          <w:i/>
        </w:rPr>
        <w:t>.</w:t>
      </w:r>
    </w:p>
    <w:p w:rsidR="00A67B91" w:rsidRDefault="004D6112" w:rsidP="00A67B91">
      <w:pPr>
        <w:jc w:val="both"/>
      </w:pPr>
      <w:r>
        <w:t xml:space="preserve">The table below provides the number of low income-specific measures by EDC. </w:t>
      </w:r>
      <w:r w:rsidR="00B865DF">
        <w:t xml:space="preserve"> </w:t>
      </w:r>
      <w:r>
        <w:t>The numbers reflect iterations of measures which passed the cost-effectiveness screening established for low income customers (TRC &gt;= 0.25) and are represented by a variety of replace-on-burnout and retrofit measures including: standard CFLs, specialty CFLs, LED reflectors, HVAC equipment maintenance, high efficiency air-source heat pumps and central air conditioners, programmable and smart thermostats, refrigerator recycling, various efficient appliance measures, low flow aerators and faucets, weatherization package, smart strips, etc.</w:t>
      </w:r>
      <w:r w:rsidR="00A67B91">
        <w:br w:type="page"/>
      </w:r>
    </w:p>
    <w:tbl>
      <w:tblPr>
        <w:tblStyle w:val="MediumGrid2-Accent2"/>
        <w:tblW w:w="4500" w:type="dxa"/>
        <w:jc w:val="center"/>
        <w:tblLook w:val="04A0" w:firstRow="1" w:lastRow="0" w:firstColumn="1" w:lastColumn="0" w:noHBand="0" w:noVBand="1"/>
      </w:tblPr>
      <w:tblGrid>
        <w:gridCol w:w="1935"/>
        <w:gridCol w:w="2565"/>
      </w:tblGrid>
      <w:tr w:rsidR="004D6112" w:rsidTr="004D6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spacing w:line="276" w:lineRule="auto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>EDC</w:t>
            </w:r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b w:val="0"/>
                <w:bCs w:val="0"/>
                <w:color w:val="000000"/>
              </w:rPr>
              <w:t># measures</w:t>
            </w:r>
          </w:p>
        </w:tc>
      </w:tr>
      <w:tr w:rsidR="004D6112" w:rsidTr="004D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spacing w:line="276" w:lineRule="auto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Duquesne</w:t>
            </w:r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154</w:t>
            </w:r>
          </w:p>
        </w:tc>
      </w:tr>
      <w:tr w:rsidR="004D6112" w:rsidTr="004D61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D6112">
              <w:rPr>
                <w:rFonts w:ascii="Calibri" w:hAnsi="Calibri"/>
                <w:color w:val="000000"/>
              </w:rPr>
              <w:t>PPL</w:t>
            </w:r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146</w:t>
            </w:r>
          </w:p>
        </w:tc>
      </w:tr>
      <w:tr w:rsidR="004D6112" w:rsidTr="004D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D6112">
              <w:rPr>
                <w:rFonts w:ascii="Calibri" w:hAnsi="Calibri"/>
                <w:color w:val="000000"/>
              </w:rPr>
              <w:t>PECO</w:t>
            </w:r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154</w:t>
            </w:r>
          </w:p>
        </w:tc>
      </w:tr>
      <w:tr w:rsidR="004D6112" w:rsidTr="004D61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 w:rsidRPr="004D6112">
              <w:rPr>
                <w:rFonts w:ascii="Calibri" w:hAnsi="Calibri"/>
                <w:color w:val="000000"/>
              </w:rPr>
              <w:t>MetEd</w:t>
            </w:r>
            <w:proofErr w:type="spellEnd"/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154</w:t>
            </w:r>
          </w:p>
        </w:tc>
      </w:tr>
      <w:tr w:rsidR="004D6112" w:rsidTr="004D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D6112">
              <w:rPr>
                <w:rFonts w:ascii="Calibri" w:hAnsi="Calibri"/>
                <w:color w:val="000000"/>
              </w:rPr>
              <w:t>Penelec</w:t>
            </w:r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146</w:t>
            </w:r>
          </w:p>
        </w:tc>
      </w:tr>
      <w:tr w:rsidR="004D6112" w:rsidTr="004D61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spacing w:line="276" w:lineRule="auto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Penn Power</w:t>
            </w:r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147</w:t>
            </w:r>
          </w:p>
        </w:tc>
      </w:tr>
      <w:tr w:rsidR="004D6112" w:rsidTr="004D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:rsidR="004D6112" w:rsidRPr="004D6112" w:rsidRDefault="004D6112">
            <w:pPr>
              <w:spacing w:line="276" w:lineRule="auto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West Penn Power</w:t>
            </w:r>
          </w:p>
        </w:tc>
        <w:tc>
          <w:tcPr>
            <w:tcW w:w="2565" w:type="dxa"/>
            <w:noWrap/>
            <w:vAlign w:val="center"/>
            <w:hideMark/>
          </w:tcPr>
          <w:p w:rsidR="004D6112" w:rsidRPr="004D6112" w:rsidRDefault="004D6112" w:rsidP="004D61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000000"/>
              </w:rPr>
            </w:pPr>
            <w:r w:rsidRPr="004D6112">
              <w:rPr>
                <w:rFonts w:ascii="Calibri" w:hAnsi="Calibri"/>
                <w:color w:val="000000"/>
              </w:rPr>
              <w:t>150</w:t>
            </w:r>
          </w:p>
        </w:tc>
      </w:tr>
    </w:tbl>
    <w:p w:rsidR="004D6112" w:rsidRDefault="004D6112" w:rsidP="00AD2841">
      <w:pPr>
        <w:rPr>
          <w:i/>
        </w:rPr>
      </w:pPr>
    </w:p>
    <w:p w:rsidR="004D6112" w:rsidRPr="004D6112" w:rsidRDefault="004D6112" w:rsidP="00AD2841">
      <w:r>
        <w:t xml:space="preserve">See the report appendices for the complete list of low income-specific measures considered in the energy efficiency potential analysis. </w:t>
      </w:r>
      <w:r w:rsidR="00B865DF">
        <w:t xml:space="preserve"> </w:t>
      </w:r>
      <w:r>
        <w:t>Low income-specific measures are designated in the income</w:t>
      </w:r>
      <w:r w:rsidR="003A2929">
        <w:t xml:space="preserve"> target column as “LI”.</w:t>
      </w:r>
    </w:p>
    <w:p w:rsidR="00AD2841" w:rsidRPr="00BE2256" w:rsidRDefault="00BE2256" w:rsidP="00AD2841">
      <w:pPr>
        <w:rPr>
          <w:i/>
        </w:rPr>
      </w:pPr>
      <w:r>
        <w:rPr>
          <w:i/>
        </w:rPr>
        <w:t>Q3</w:t>
      </w:r>
      <w:r w:rsidRPr="00BE2256">
        <w:rPr>
          <w:i/>
        </w:rPr>
        <w:t>.</w:t>
      </w:r>
      <w:r w:rsidR="00AD2841" w:rsidRPr="00BE2256">
        <w:rPr>
          <w:i/>
        </w:rPr>
        <w:t xml:space="preserve">       </w:t>
      </w:r>
      <w:r w:rsidRPr="00BE2256">
        <w:rPr>
          <w:i/>
        </w:rPr>
        <w:t>Did the SWE assume incentives were equal to 100% of the measure cost for low-income specific measures?</w:t>
      </w:r>
    </w:p>
    <w:p w:rsidR="00AD2841" w:rsidRDefault="00BE2256" w:rsidP="004851EA">
      <w:pPr>
        <w:jc w:val="both"/>
      </w:pPr>
      <w:r>
        <w:t>The SWE can confirm that the analysis assumed</w:t>
      </w:r>
      <w:r w:rsidR="003A2929">
        <w:t>,</w:t>
      </w:r>
      <w:r>
        <w:t xml:space="preserve"> for low inc</w:t>
      </w:r>
      <w:r w:rsidR="00B865DF">
        <w:t>ome-specific measures, that EDC</w:t>
      </w:r>
      <w:r>
        <w:t>s would pay 100% of the measure cost.  In the analysis, non-equipment measures (i.e.</w:t>
      </w:r>
      <w:r w:rsidR="00B865DF">
        <w:t>,</w:t>
      </w:r>
      <w:r>
        <w:t xml:space="preserve"> building shell measures) were considered to be retrofit measures with assumed </w:t>
      </w:r>
      <w:r w:rsidR="004851EA">
        <w:t xml:space="preserve">measure </w:t>
      </w:r>
      <w:r>
        <w:t xml:space="preserve">costs equal to the full installation costs.  </w:t>
      </w:r>
      <w:r w:rsidR="004851EA">
        <w:t xml:space="preserve">However, equipment upgrades were generally considered to be replaced upon equipment failure, with measure costs equal to the incremental cost of the efficient technology over standard equipment costs. </w:t>
      </w:r>
      <w:r w:rsidR="00B865DF">
        <w:t xml:space="preserve"> </w:t>
      </w:r>
      <w:r w:rsidR="004851EA">
        <w:t>Under this assumption, the 100% incentive only covers all of the incremental cost, not the full cost of the measure.</w:t>
      </w:r>
    </w:p>
    <w:p w:rsidR="004851EA" w:rsidRDefault="004851EA" w:rsidP="004851EA">
      <w:pPr>
        <w:jc w:val="both"/>
      </w:pPr>
      <w:r>
        <w:t>In an effort to determine the sensitivity of direct install low-income programs that pay 100% of the full cost of both non-equipment and equipment measures, the SWE altered the assumed measure cost of low income-specific equipment costs (i.e.</w:t>
      </w:r>
      <w:r w:rsidR="00B865DF">
        <w:t>,</w:t>
      </w:r>
      <w:r>
        <w:t xml:space="preserve"> residential lighting, heat pump water heaters, heat pumps, room air conditioners, refrigerators, clothes washers, and dehumidifiers) to full costs.   </w:t>
      </w:r>
    </w:p>
    <w:p w:rsidR="00A67B91" w:rsidRDefault="004851EA" w:rsidP="004851EA">
      <w:pPr>
        <w:jc w:val="both"/>
      </w:pPr>
      <w:r>
        <w:t>The SWE estima</w:t>
      </w:r>
      <w:r w:rsidR="00C7016E">
        <w:t>tes that a full cost assumption for all low i</w:t>
      </w:r>
      <w:r w:rsidR="00B865DF">
        <w:t>ncome specific measures and EDC</w:t>
      </w:r>
      <w:r w:rsidR="00C7016E">
        <w:t xml:space="preserve">s paying 100% of the full cost, would have a 2.4%-4.6% increase on the total </w:t>
      </w:r>
      <w:r w:rsidR="003A2929">
        <w:t xml:space="preserve">(all-sectors) </w:t>
      </w:r>
      <w:r w:rsidR="00C7016E">
        <w:t xml:space="preserve">portfolio acquisition costs across the EDCs.  The overall impact on the statewide acquisition cost is a 3.1% increase to the total portfolio acquisition cost.  It is important to note that the full cost assumption causes some low-income specific measures to fall below the threshold for cost-effectiveness utilized for the potential study. </w:t>
      </w:r>
      <w:r w:rsidR="00B865DF">
        <w:t xml:space="preserve"> </w:t>
      </w:r>
      <w:r w:rsidR="00C7016E">
        <w:t>Low income-specific measures with a TRC ratio below 0.25 were not included in estimates of economic, achievable, or program potential.</w:t>
      </w:r>
    </w:p>
    <w:p w:rsidR="00A67B91" w:rsidRDefault="00A67B91">
      <w:r>
        <w:br w:type="page"/>
      </w:r>
    </w:p>
    <w:p w:rsidR="00AD2841" w:rsidRPr="00BE2256" w:rsidRDefault="00BE2256" w:rsidP="00AD2841">
      <w:pPr>
        <w:rPr>
          <w:i/>
        </w:rPr>
      </w:pPr>
      <w:r w:rsidRPr="00BE2256">
        <w:rPr>
          <w:i/>
        </w:rPr>
        <w:lastRenderedPageBreak/>
        <w:t>Q4</w:t>
      </w:r>
      <w:r w:rsidR="00AD2841" w:rsidRPr="00BE2256">
        <w:rPr>
          <w:i/>
        </w:rPr>
        <w:t xml:space="preserve">.       </w:t>
      </w:r>
      <w:r w:rsidRPr="00BE2256">
        <w:rPr>
          <w:i/>
        </w:rPr>
        <w:t>What is the</w:t>
      </w:r>
      <w:r w:rsidR="00AD2841" w:rsidRPr="00BE2256">
        <w:rPr>
          <w:i/>
        </w:rPr>
        <w:t xml:space="preserve"> total acquisition cost of the Low </w:t>
      </w:r>
      <w:r w:rsidR="004D6112" w:rsidRPr="00BE2256">
        <w:rPr>
          <w:i/>
        </w:rPr>
        <w:t>Income 2</w:t>
      </w:r>
      <w:r w:rsidR="00AD2841" w:rsidRPr="00BE2256">
        <w:rPr>
          <w:i/>
        </w:rPr>
        <w:t xml:space="preserve">% </w:t>
      </w:r>
      <w:r w:rsidR="004D6112" w:rsidRPr="00BE2256">
        <w:rPr>
          <w:i/>
        </w:rPr>
        <w:t>direct</w:t>
      </w:r>
      <w:r w:rsidR="00AD2841" w:rsidRPr="00BE2256">
        <w:rPr>
          <w:i/>
        </w:rPr>
        <w:t xml:space="preserve"> install carve out</w:t>
      </w:r>
      <w:r w:rsidRPr="00BE2256">
        <w:rPr>
          <w:i/>
        </w:rPr>
        <w:t>?</w:t>
      </w:r>
    </w:p>
    <w:p w:rsidR="00AD2841" w:rsidRDefault="00AD2841" w:rsidP="00AD2841">
      <w:r>
        <w:t xml:space="preserve">The SWE did not propose </w:t>
      </w:r>
      <w:r w:rsidR="00BE2256">
        <w:t xml:space="preserve">a 2% direct install carve out </w:t>
      </w:r>
      <w:r>
        <w:t>or calculate this as part of the potential study</w:t>
      </w:r>
      <w:r w:rsidR="00BE2256">
        <w:t>.</w:t>
      </w:r>
    </w:p>
    <w:p w:rsidR="00AD2841" w:rsidRPr="00BE2256" w:rsidRDefault="00BE2256" w:rsidP="00AD2841">
      <w:pPr>
        <w:rPr>
          <w:i/>
        </w:rPr>
      </w:pPr>
      <w:r w:rsidRPr="00BE2256">
        <w:rPr>
          <w:i/>
        </w:rPr>
        <w:t>Q</w:t>
      </w:r>
      <w:r>
        <w:rPr>
          <w:i/>
        </w:rPr>
        <w:t>5</w:t>
      </w:r>
      <w:r w:rsidR="00AD2841" w:rsidRPr="00BE2256">
        <w:rPr>
          <w:i/>
        </w:rPr>
        <w:t xml:space="preserve">.       </w:t>
      </w:r>
      <w:r>
        <w:rPr>
          <w:i/>
        </w:rPr>
        <w:t>What is t</w:t>
      </w:r>
      <w:r w:rsidR="00AD2841" w:rsidRPr="00BE2256">
        <w:rPr>
          <w:i/>
        </w:rPr>
        <w:t>he total assumed cost the</w:t>
      </w:r>
      <w:r>
        <w:rPr>
          <w:i/>
        </w:rPr>
        <w:t xml:space="preserve"> SWE </w:t>
      </w:r>
      <w:r w:rsidR="00AD2841" w:rsidRPr="00BE2256">
        <w:rPr>
          <w:i/>
        </w:rPr>
        <w:t>came up with to</w:t>
      </w:r>
      <w:r w:rsidRPr="00BE2256">
        <w:rPr>
          <w:i/>
        </w:rPr>
        <w:t xml:space="preserve"> achieve the 2</w:t>
      </w:r>
      <w:r w:rsidR="003A2929" w:rsidRPr="00BE2256">
        <w:rPr>
          <w:i/>
        </w:rPr>
        <w:t>%,</w:t>
      </w:r>
      <w:r>
        <w:rPr>
          <w:i/>
        </w:rPr>
        <w:t xml:space="preserve"> if available</w:t>
      </w:r>
      <w:r w:rsidRPr="00BE2256">
        <w:rPr>
          <w:i/>
        </w:rPr>
        <w:t>?</w:t>
      </w:r>
    </w:p>
    <w:p w:rsidR="00D74AB9" w:rsidRDefault="00AD2841" w:rsidP="00AD2841">
      <w:r>
        <w:t xml:space="preserve">Again, </w:t>
      </w:r>
      <w:r w:rsidR="00BE2256">
        <w:t xml:space="preserve">this was </w:t>
      </w:r>
      <w:r>
        <w:t>not a SWE potential study calculation.</w:t>
      </w:r>
    </w:p>
    <w:p w:rsidR="00BE2256" w:rsidRDefault="00BE2256" w:rsidP="00BE2256">
      <w:r w:rsidRPr="00BE2256">
        <w:rPr>
          <w:i/>
        </w:rPr>
        <w:t>Q</w:t>
      </w:r>
      <w:r>
        <w:rPr>
          <w:i/>
        </w:rPr>
        <w:t>6</w:t>
      </w:r>
      <w:r w:rsidRPr="00BE2256">
        <w:rPr>
          <w:i/>
        </w:rPr>
        <w:t>.       The acquisition cost related to the total installed cost of measures (this would not include EDC labor and CSP admin costs, this gets funky because M&amp;L of installed measures is also considered an admin cost, but for planning it</w:t>
      </w:r>
      <w:r w:rsidR="00B865DF">
        <w:rPr>
          <w:i/>
        </w:rPr>
        <w:t>’</w:t>
      </w:r>
      <w:r w:rsidRPr="00BE2256">
        <w:rPr>
          <w:i/>
        </w:rPr>
        <w:t>s important to know how much is M&amp;L and how much is Admin</w:t>
      </w:r>
      <w:r>
        <w:t>)</w:t>
      </w:r>
      <w:r w:rsidR="00B865DF">
        <w:t>.</w:t>
      </w:r>
    </w:p>
    <w:p w:rsidR="00BE2256" w:rsidRDefault="004D6112" w:rsidP="00BE2256">
      <w:r>
        <w:t>The SWE did not calculate the acquisition cost related to the total installed cost of measures, excluding EDC labor and CSP administrative costs as part of potential study.</w:t>
      </w:r>
    </w:p>
    <w:p w:rsidR="00BE2256" w:rsidRDefault="00BE2256" w:rsidP="00AD2841"/>
    <w:sectPr w:rsidR="00BE22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91" w:rsidRDefault="00A67B91" w:rsidP="00A67B91">
      <w:pPr>
        <w:spacing w:after="0" w:line="240" w:lineRule="auto"/>
      </w:pPr>
      <w:r>
        <w:separator/>
      </w:r>
    </w:p>
  </w:endnote>
  <w:endnote w:type="continuationSeparator" w:id="0">
    <w:p w:rsidR="00A67B91" w:rsidRDefault="00A67B91" w:rsidP="00A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63746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B91" w:rsidRPr="00A67B91" w:rsidRDefault="00A67B91">
        <w:pPr>
          <w:pStyle w:val="Footer"/>
          <w:jc w:val="center"/>
          <w:rPr>
            <w:rFonts w:ascii="Palatino Linotype" w:hAnsi="Palatino Linotype"/>
          </w:rPr>
        </w:pPr>
        <w:r w:rsidRPr="00A67B91">
          <w:rPr>
            <w:rFonts w:ascii="Palatino Linotype" w:hAnsi="Palatino Linotype"/>
          </w:rPr>
          <w:fldChar w:fldCharType="begin"/>
        </w:r>
        <w:r w:rsidRPr="00A67B91">
          <w:rPr>
            <w:rFonts w:ascii="Palatino Linotype" w:hAnsi="Palatino Linotype"/>
          </w:rPr>
          <w:instrText xml:space="preserve"> PAGE   \* MERGEFORMAT </w:instrText>
        </w:r>
        <w:r w:rsidRPr="00A67B91">
          <w:rPr>
            <w:rFonts w:ascii="Palatino Linotype" w:hAnsi="Palatino Linotype"/>
          </w:rPr>
          <w:fldChar w:fldCharType="separate"/>
        </w:r>
        <w:r w:rsidR="006659EC">
          <w:rPr>
            <w:rFonts w:ascii="Palatino Linotype" w:hAnsi="Palatino Linotype"/>
            <w:noProof/>
          </w:rPr>
          <w:t>1</w:t>
        </w:r>
        <w:r w:rsidRPr="00A67B91">
          <w:rPr>
            <w:rFonts w:ascii="Palatino Linotype" w:hAnsi="Palatino Linotype"/>
            <w:noProof/>
          </w:rPr>
          <w:fldChar w:fldCharType="end"/>
        </w:r>
      </w:p>
    </w:sdtContent>
  </w:sdt>
  <w:p w:rsidR="00A67B91" w:rsidRPr="00A67B91" w:rsidRDefault="00A67B91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91" w:rsidRDefault="00A67B91" w:rsidP="00A67B91">
      <w:pPr>
        <w:spacing w:after="0" w:line="240" w:lineRule="auto"/>
      </w:pPr>
      <w:r>
        <w:separator/>
      </w:r>
    </w:p>
  </w:footnote>
  <w:footnote w:type="continuationSeparator" w:id="0">
    <w:p w:rsidR="00A67B91" w:rsidRDefault="00A67B91" w:rsidP="00A67B91">
      <w:pPr>
        <w:spacing w:after="0" w:line="240" w:lineRule="auto"/>
      </w:pPr>
      <w:r>
        <w:continuationSeparator/>
      </w:r>
    </w:p>
  </w:footnote>
  <w:footnote w:id="1">
    <w:p w:rsidR="00A67B91" w:rsidRPr="00A67B91" w:rsidRDefault="00A67B91" w:rsidP="00A67B91">
      <w:pPr>
        <w:pStyle w:val="FootnoteText"/>
      </w:pPr>
      <w:r>
        <w:rPr>
          <w:rStyle w:val="FootnoteReference"/>
        </w:rPr>
        <w:footnoteRef/>
      </w:r>
      <w:r>
        <w:t xml:space="preserve"> This document was developed by the Commission’s Act 129 Statewide Evaluator, GDS Associates,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al</w:t>
      </w:r>
      <w:proofErr w:type="gramEnd"/>
      <w:r>
        <w:t>, and does not necessarily reflect the views, opinions or directives of the Commission or its staff.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41"/>
    <w:rsid w:val="003118EC"/>
    <w:rsid w:val="003A2929"/>
    <w:rsid w:val="003C3451"/>
    <w:rsid w:val="004339A3"/>
    <w:rsid w:val="00433C48"/>
    <w:rsid w:val="004851EA"/>
    <w:rsid w:val="004D6112"/>
    <w:rsid w:val="004E3488"/>
    <w:rsid w:val="004E7291"/>
    <w:rsid w:val="006438CE"/>
    <w:rsid w:val="006542BD"/>
    <w:rsid w:val="00661647"/>
    <w:rsid w:val="006659EC"/>
    <w:rsid w:val="0077107A"/>
    <w:rsid w:val="0083132D"/>
    <w:rsid w:val="0092595A"/>
    <w:rsid w:val="00A67B91"/>
    <w:rsid w:val="00AD2841"/>
    <w:rsid w:val="00B3010B"/>
    <w:rsid w:val="00B865DF"/>
    <w:rsid w:val="00BD5036"/>
    <w:rsid w:val="00BE2256"/>
    <w:rsid w:val="00C5271A"/>
    <w:rsid w:val="00C7016E"/>
    <w:rsid w:val="00D74AB9"/>
    <w:rsid w:val="00E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C52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1" w:themeFillTint="7F"/>
      </w:tcPr>
    </w:tblStylePr>
  </w:style>
  <w:style w:type="table" w:styleId="MediumGrid2-Accent2">
    <w:name w:val="Medium Grid 2 Accent 2"/>
    <w:basedOn w:val="TableNormal"/>
    <w:uiPriority w:val="68"/>
    <w:rsid w:val="00C527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  <w:insideH w:val="single" w:sz="8" w:space="0" w:color="297FD5" w:themeColor="accent2"/>
        <w:insideV w:val="single" w:sz="8" w:space="0" w:color="297FD5" w:themeColor="accent2"/>
      </w:tblBorders>
    </w:tblPr>
    <w:tcPr>
      <w:shd w:val="clear" w:color="auto" w:fill="C9D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2" w:themeFillTint="33"/>
      </w:tcPr>
    </w:tblStylePr>
    <w:tblStylePr w:type="band1Vert">
      <w:tblPr/>
      <w:tcPr>
        <w:shd w:val="clear" w:color="auto" w:fill="93BEEA" w:themeFill="accent2" w:themeFillTint="7F"/>
      </w:tcPr>
    </w:tblStylePr>
    <w:tblStylePr w:type="band1Horz">
      <w:tblPr/>
      <w:tcPr>
        <w:tcBorders>
          <w:insideH w:val="single" w:sz="6" w:space="0" w:color="297FD5" w:themeColor="accent2"/>
          <w:insideV w:val="single" w:sz="6" w:space="0" w:color="297FD5" w:themeColor="accent2"/>
        </w:tcBorders>
        <w:shd w:val="clear" w:color="auto" w:fill="93BE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6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91"/>
  </w:style>
  <w:style w:type="paragraph" w:styleId="Footer">
    <w:name w:val="footer"/>
    <w:basedOn w:val="Normal"/>
    <w:link w:val="FooterChar"/>
    <w:uiPriority w:val="99"/>
    <w:unhideWhenUsed/>
    <w:rsid w:val="00A6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91"/>
  </w:style>
  <w:style w:type="paragraph" w:styleId="FootnoteText">
    <w:name w:val="footnote text"/>
    <w:basedOn w:val="Normal"/>
    <w:link w:val="FootnoteTextChar"/>
    <w:uiPriority w:val="99"/>
    <w:unhideWhenUsed/>
    <w:rsid w:val="00A67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C527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1" w:themeFillTint="7F"/>
      </w:tcPr>
    </w:tblStylePr>
  </w:style>
  <w:style w:type="table" w:styleId="MediumGrid2-Accent2">
    <w:name w:val="Medium Grid 2 Accent 2"/>
    <w:basedOn w:val="TableNormal"/>
    <w:uiPriority w:val="68"/>
    <w:rsid w:val="00C527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  <w:insideH w:val="single" w:sz="8" w:space="0" w:color="297FD5" w:themeColor="accent2"/>
        <w:insideV w:val="single" w:sz="8" w:space="0" w:color="297FD5" w:themeColor="accent2"/>
      </w:tblBorders>
    </w:tblPr>
    <w:tcPr>
      <w:shd w:val="clear" w:color="auto" w:fill="C9DF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2" w:themeFillTint="33"/>
      </w:tcPr>
    </w:tblStylePr>
    <w:tblStylePr w:type="band1Vert">
      <w:tblPr/>
      <w:tcPr>
        <w:shd w:val="clear" w:color="auto" w:fill="93BEEA" w:themeFill="accent2" w:themeFillTint="7F"/>
      </w:tcPr>
    </w:tblStylePr>
    <w:tblStylePr w:type="band1Horz">
      <w:tblPr/>
      <w:tcPr>
        <w:tcBorders>
          <w:insideH w:val="single" w:sz="6" w:space="0" w:color="297FD5" w:themeColor="accent2"/>
          <w:insideV w:val="single" w:sz="6" w:space="0" w:color="297FD5" w:themeColor="accent2"/>
        </w:tcBorders>
        <w:shd w:val="clear" w:color="auto" w:fill="93BE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6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91"/>
  </w:style>
  <w:style w:type="paragraph" w:styleId="Footer">
    <w:name w:val="footer"/>
    <w:basedOn w:val="Normal"/>
    <w:link w:val="FooterChar"/>
    <w:uiPriority w:val="99"/>
    <w:unhideWhenUsed/>
    <w:rsid w:val="00A6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91"/>
  </w:style>
  <w:style w:type="paragraph" w:styleId="FootnoteText">
    <w:name w:val="footnote text"/>
    <w:basedOn w:val="Normal"/>
    <w:link w:val="FootnoteTextChar"/>
    <w:uiPriority w:val="99"/>
    <w:unhideWhenUsed/>
    <w:rsid w:val="00A67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B571-2573-49C1-9AB0-260E5BA2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 Associates, Inc.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Huber</dc:creator>
  <cp:lastModifiedBy>Page, Cyndi</cp:lastModifiedBy>
  <cp:revision>2</cp:revision>
  <dcterms:created xsi:type="dcterms:W3CDTF">2015-04-22T17:57:00Z</dcterms:created>
  <dcterms:modified xsi:type="dcterms:W3CDTF">2015-04-22T17:57:00Z</dcterms:modified>
</cp:coreProperties>
</file>