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669"/>
        <w:tblW w:w="10008" w:type="dxa"/>
        <w:tblLook w:val="04A0" w:firstRow="1" w:lastRow="0" w:firstColumn="1" w:lastColumn="0" w:noHBand="0" w:noVBand="1"/>
      </w:tblPr>
      <w:tblGrid>
        <w:gridCol w:w="10008"/>
      </w:tblGrid>
      <w:tr w:rsidR="00286939" w:rsidTr="00292485">
        <w:trPr>
          <w:trHeight w:val="4400"/>
        </w:trPr>
        <w:tc>
          <w:tcPr>
            <w:tcW w:w="10008" w:type="dxa"/>
            <w:tcBorders>
              <w:top w:val="nil"/>
              <w:left w:val="nil"/>
              <w:bottom w:val="nil"/>
              <w:right w:val="nil"/>
            </w:tcBorders>
          </w:tcPr>
          <w:p w:rsidR="00580CE2" w:rsidRDefault="00286939" w:rsidP="00292485">
            <w:pPr>
              <w:jc w:val="center"/>
              <w:rPr>
                <w:rFonts w:ascii="Impact" w:hAnsi="Impact"/>
                <w:color w:val="1F497D" w:themeColor="text2"/>
                <w:sz w:val="52"/>
                <w:szCs w:val="52"/>
                <w14:shadow w14:blurRad="50800" w14:dist="38100" w14:dir="2700000" w14:sx="100000" w14:sy="100000" w14:kx="0" w14:ky="0" w14:algn="tl">
                  <w14:srgbClr w14:val="000000">
                    <w14:alpha w14:val="60000"/>
                  </w14:srgbClr>
                </w14:shadow>
              </w:rPr>
            </w:pPr>
            <w:bookmarkStart w:id="0" w:name="_GoBack"/>
            <w:bookmarkEnd w:id="0"/>
            <w:r>
              <w:rPr>
                <w:noProof/>
              </w:rPr>
              <w:drawing>
                <wp:anchor distT="0" distB="0" distL="114300" distR="114300" simplePos="0" relativeHeight="251658240" behindDoc="1" locked="0" layoutInCell="1" allowOverlap="1" wp14:anchorId="576A79FD" wp14:editId="2AD6D287">
                  <wp:simplePos x="0" y="0"/>
                  <wp:positionH relativeFrom="column">
                    <wp:posOffset>152400</wp:posOffset>
                  </wp:positionH>
                  <wp:positionV relativeFrom="paragraph">
                    <wp:posOffset>107950</wp:posOffset>
                  </wp:positionV>
                  <wp:extent cx="5943600" cy="2980690"/>
                  <wp:effectExtent l="304800" t="0" r="3238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50000"/>
                                    </a14:imgEffect>
                                    <a14:imgEffect>
                                      <a14:saturation sat="66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943600" cy="2980690"/>
                          </a:xfrm>
                          <a:prstGeom prst="rect">
                            <a:avLst/>
                          </a:prstGeom>
                          <a:scene3d>
                            <a:camera prst="perspectiveRelaxed"/>
                            <a:lightRig rig="threePt" dir="t"/>
                          </a:scene3d>
                        </pic:spPr>
                      </pic:pic>
                    </a:graphicData>
                  </a:graphic>
                  <wp14:sizeRelH relativeFrom="page">
                    <wp14:pctWidth>0</wp14:pctWidth>
                  </wp14:sizeRelH>
                  <wp14:sizeRelV relativeFrom="page">
                    <wp14:pctHeight>0</wp14:pctHeight>
                  </wp14:sizeRelV>
                </wp:anchor>
              </w:drawing>
            </w:r>
          </w:p>
          <w:p w:rsidR="00286939" w:rsidRPr="00E7520D" w:rsidRDefault="00286939" w:rsidP="00292485">
            <w:pPr>
              <w:jc w:val="center"/>
              <w:rPr>
                <w:rFonts w:ascii="Impact" w:hAnsi="Impact"/>
                <w:noProof/>
                <w:color w:val="1F497D" w:themeColor="text2"/>
                <w:sz w:val="52"/>
                <w:szCs w:val="52"/>
                <w14:shadow w14:blurRad="50800" w14:dist="38100" w14:dir="2700000" w14:sx="100000" w14:sy="100000" w14:kx="0" w14:ky="0" w14:algn="tl">
                  <w14:srgbClr w14:val="000000">
                    <w14:alpha w14:val="60000"/>
                  </w14:srgbClr>
                </w14:shadow>
              </w:rPr>
            </w:pPr>
            <w:r w:rsidRPr="00E7520D">
              <w:rPr>
                <w:rFonts w:ascii="Impact" w:hAnsi="Impact"/>
                <w:color w:val="1F497D" w:themeColor="text2"/>
                <w:sz w:val="52"/>
                <w:szCs w:val="52"/>
                <w14:shadow w14:blurRad="50800" w14:dist="38100" w14:dir="2700000" w14:sx="100000" w14:sy="100000" w14:kx="0" w14:ky="0" w14:algn="tl">
                  <w14:srgbClr w14:val="000000">
                    <w14:alpha w14:val="60000"/>
                  </w14:srgbClr>
                </w14:shadow>
              </w:rPr>
              <w:t>Pennsylvania Public Utility Commission</w:t>
            </w:r>
            <w:r w:rsidRPr="00E7520D">
              <w:rPr>
                <w:rFonts w:ascii="Impact" w:hAnsi="Impact"/>
                <w:noProof/>
                <w:color w:val="1F497D" w:themeColor="text2"/>
                <w:sz w:val="52"/>
                <w:szCs w:val="52"/>
                <w14:shadow w14:blurRad="50800" w14:dist="38100" w14:dir="2700000" w14:sx="100000" w14:sy="100000" w14:kx="0" w14:ky="0" w14:algn="tl">
                  <w14:srgbClr w14:val="000000">
                    <w14:alpha w14:val="60000"/>
                  </w14:srgbClr>
                </w14:shadow>
              </w:rPr>
              <w:t xml:space="preserve"> </w:t>
            </w:r>
          </w:p>
          <w:p w:rsidR="00286939" w:rsidRPr="00E7520D" w:rsidRDefault="00286939" w:rsidP="00292485">
            <w:pPr>
              <w:jc w:val="center"/>
              <w:rPr>
                <w:b/>
                <w:color w:val="000000" w:themeColor="text1"/>
                <w:sz w:val="40"/>
                <w:szCs w:val="40"/>
                <w14:shadow w14:blurRad="50800" w14:dist="38100" w14:dir="2700000" w14:sx="100000" w14:sy="100000" w14:kx="0" w14:ky="0" w14:algn="tl">
                  <w14:srgbClr w14:val="000000">
                    <w14:alpha w14:val="60000"/>
                  </w14:srgbClr>
                </w14:shadow>
              </w:rPr>
            </w:pPr>
            <w:r w:rsidRPr="00E7520D">
              <w:rPr>
                <w:b/>
                <w:color w:val="000000" w:themeColor="text1"/>
                <w:sz w:val="40"/>
                <w:szCs w:val="40"/>
                <w14:shadow w14:blurRad="50800" w14:dist="38100" w14:dir="2700000" w14:sx="100000" w14:sy="100000" w14:kx="0" w14:ky="0" w14:algn="tl">
                  <w14:srgbClr w14:val="000000">
                    <w14:alpha w14:val="60000"/>
                  </w14:srgbClr>
                </w14:shadow>
              </w:rPr>
              <w:t>Office of Competitive Market Oversight</w:t>
            </w:r>
          </w:p>
          <w:p w:rsidR="00286939" w:rsidRDefault="00286939" w:rsidP="00292485">
            <w:pPr>
              <w:jc w:val="center"/>
            </w:pPr>
          </w:p>
          <w:p w:rsidR="00286939" w:rsidRPr="0073441F" w:rsidRDefault="00733CDC" w:rsidP="00292485">
            <w:pPr>
              <w:jc w:val="center"/>
              <w:rPr>
                <w:rFonts w:ascii="Times New Roman" w:hAnsi="Times New Roman" w:cs="Times New Roman"/>
                <w:b/>
                <w:sz w:val="72"/>
                <w:szCs w:val="72"/>
                <w14:shadow w14:blurRad="50800" w14:dist="38100" w14:dir="18900000" w14:sx="100000" w14:sy="100000" w14:kx="0" w14:ky="0" w14:algn="bl">
                  <w14:srgbClr w14:val="000000">
                    <w14:alpha w14:val="60000"/>
                  </w14:srgbClr>
                </w14:shadow>
              </w:rPr>
            </w:pPr>
            <w:r>
              <w:rPr>
                <w:rFonts w:ascii="Times New Roman" w:hAnsi="Times New Roman" w:cs="Times New Roman"/>
                <w:b/>
                <w:sz w:val="72"/>
                <w:szCs w:val="72"/>
                <w14:shadow w14:blurRad="50800" w14:dist="38100" w14:dir="18900000" w14:sx="100000" w14:sy="100000" w14:kx="0" w14:ky="0" w14:algn="bl">
                  <w14:srgbClr w14:val="000000">
                    <w14:alpha w14:val="60000"/>
                  </w14:srgbClr>
                </w14:shadow>
              </w:rPr>
              <w:t xml:space="preserve"> </w:t>
            </w:r>
            <w:r w:rsidR="00836204" w:rsidRPr="0073441F">
              <w:rPr>
                <w:rFonts w:ascii="Times New Roman" w:hAnsi="Times New Roman" w:cs="Times New Roman"/>
                <w:b/>
                <w:sz w:val="72"/>
                <w:szCs w:val="72"/>
                <w14:shadow w14:blurRad="50800" w14:dist="38100" w14:dir="18900000" w14:sx="100000" w14:sy="100000" w14:kx="0" w14:ky="0" w14:algn="bl">
                  <w14:srgbClr w14:val="000000">
                    <w14:alpha w14:val="60000"/>
                  </w14:srgbClr>
                </w14:shadow>
              </w:rPr>
              <w:t>CHARGE Call Agenda</w:t>
            </w:r>
          </w:p>
          <w:p w:rsidR="00286939" w:rsidRDefault="00286939" w:rsidP="00292485"/>
          <w:p w:rsidR="00286939" w:rsidRPr="00836204" w:rsidRDefault="00580CE2" w:rsidP="00292485">
            <w:pPr>
              <w:jc w:val="center"/>
              <w:rPr>
                <w:b/>
                <w:sz w:val="48"/>
                <w:szCs w:val="48"/>
              </w:rPr>
            </w:pPr>
            <w:r>
              <w:rPr>
                <w:b/>
                <w:sz w:val="48"/>
                <w:szCs w:val="48"/>
              </w:rPr>
              <w:t>Friday</w:t>
            </w:r>
            <w:r w:rsidR="00836204" w:rsidRPr="00836204">
              <w:rPr>
                <w:b/>
                <w:sz w:val="48"/>
                <w:szCs w:val="48"/>
              </w:rPr>
              <w:t xml:space="preserve">, </w:t>
            </w:r>
            <w:r>
              <w:rPr>
                <w:b/>
                <w:sz w:val="48"/>
                <w:szCs w:val="48"/>
              </w:rPr>
              <w:t>April</w:t>
            </w:r>
            <w:r w:rsidR="00836204" w:rsidRPr="00836204">
              <w:rPr>
                <w:b/>
                <w:sz w:val="48"/>
                <w:szCs w:val="48"/>
              </w:rPr>
              <w:t xml:space="preserve"> 2</w:t>
            </w:r>
            <w:r>
              <w:rPr>
                <w:b/>
                <w:sz w:val="48"/>
                <w:szCs w:val="48"/>
              </w:rPr>
              <w:t>1</w:t>
            </w:r>
            <w:r w:rsidR="00836204" w:rsidRPr="00836204">
              <w:rPr>
                <w:b/>
                <w:sz w:val="48"/>
                <w:szCs w:val="48"/>
              </w:rPr>
              <w:t>, 201</w:t>
            </w:r>
            <w:r>
              <w:rPr>
                <w:b/>
                <w:sz w:val="48"/>
                <w:szCs w:val="48"/>
              </w:rPr>
              <w:t>7</w:t>
            </w:r>
            <w:r w:rsidR="00836204" w:rsidRPr="00836204">
              <w:rPr>
                <w:b/>
                <w:sz w:val="48"/>
                <w:szCs w:val="48"/>
              </w:rPr>
              <w:t xml:space="preserve">  10:00</w:t>
            </w:r>
            <w:r w:rsidR="00836204">
              <w:rPr>
                <w:b/>
                <w:sz w:val="48"/>
                <w:szCs w:val="48"/>
              </w:rPr>
              <w:t xml:space="preserve"> </w:t>
            </w:r>
            <w:r w:rsidR="00836204" w:rsidRPr="00836204">
              <w:rPr>
                <w:b/>
                <w:sz w:val="48"/>
                <w:szCs w:val="48"/>
              </w:rPr>
              <w:t>am</w:t>
            </w:r>
          </w:p>
          <w:p w:rsidR="00286939" w:rsidRPr="00286939" w:rsidRDefault="00286939" w:rsidP="00292485">
            <w:pPr>
              <w:jc w:val="right"/>
            </w:pPr>
          </w:p>
        </w:tc>
      </w:tr>
    </w:tbl>
    <w:p w:rsidR="00836204" w:rsidRPr="00836204" w:rsidRDefault="00836204" w:rsidP="00836204">
      <w:pPr>
        <w:jc w:val="center"/>
        <w:rPr>
          <w:b/>
          <w:sz w:val="32"/>
          <w:szCs w:val="32"/>
          <w:u w:val="single"/>
        </w:rPr>
      </w:pPr>
      <w:r w:rsidRPr="00836204">
        <w:rPr>
          <w:b/>
          <w:sz w:val="32"/>
          <w:szCs w:val="32"/>
          <w:u w:val="single"/>
        </w:rPr>
        <w:t>Call-in Instructions:</w:t>
      </w:r>
    </w:p>
    <w:p w:rsidR="00836204" w:rsidRPr="00836204" w:rsidRDefault="00836204" w:rsidP="00836204">
      <w:pPr>
        <w:pStyle w:val="PlainText"/>
        <w:ind w:left="720"/>
        <w:rPr>
          <w:b/>
          <w:sz w:val="36"/>
          <w:szCs w:val="36"/>
        </w:rPr>
      </w:pPr>
      <w:r w:rsidRPr="00836204">
        <w:rPr>
          <w:b/>
          <w:sz w:val="36"/>
          <w:szCs w:val="36"/>
        </w:rPr>
        <w:t>Toll-free: 1-855-750-1027</w:t>
      </w:r>
    </w:p>
    <w:p w:rsidR="00836204" w:rsidRPr="00836204" w:rsidRDefault="00836204" w:rsidP="00836204">
      <w:pPr>
        <w:pStyle w:val="PlainText"/>
        <w:ind w:left="720"/>
        <w:rPr>
          <w:b/>
          <w:sz w:val="36"/>
          <w:szCs w:val="36"/>
        </w:rPr>
      </w:pPr>
      <w:r w:rsidRPr="00836204">
        <w:rPr>
          <w:b/>
          <w:sz w:val="36"/>
          <w:szCs w:val="36"/>
        </w:rPr>
        <w:t>PIN:  505632</w:t>
      </w:r>
      <w:r w:rsidR="003016D8">
        <w:rPr>
          <w:b/>
          <w:sz w:val="36"/>
          <w:szCs w:val="36"/>
        </w:rPr>
        <w:t xml:space="preserve"> #</w:t>
      </w:r>
    </w:p>
    <w:p w:rsidR="00836204" w:rsidRDefault="00836204"/>
    <w:p w:rsidR="00DD6774" w:rsidRPr="00836204" w:rsidRDefault="00836204">
      <w:pPr>
        <w:rPr>
          <w:b/>
          <w:sz w:val="32"/>
          <w:szCs w:val="32"/>
        </w:rPr>
      </w:pPr>
      <w:r w:rsidRPr="00836204">
        <w:rPr>
          <w:b/>
          <w:sz w:val="32"/>
          <w:szCs w:val="32"/>
        </w:rPr>
        <w:t xml:space="preserve">1)  </w:t>
      </w:r>
      <w:r w:rsidR="00580CE2">
        <w:rPr>
          <w:b/>
          <w:sz w:val="32"/>
          <w:szCs w:val="32"/>
        </w:rPr>
        <w:t xml:space="preserve">EGS Bonding: </w:t>
      </w:r>
      <w:r w:rsidRPr="00836204">
        <w:rPr>
          <w:b/>
          <w:sz w:val="32"/>
          <w:szCs w:val="32"/>
        </w:rPr>
        <w:t>Guidance on Electric Generation Supplier License</w:t>
      </w:r>
      <w:r w:rsidR="00F50B06">
        <w:rPr>
          <w:b/>
          <w:sz w:val="32"/>
          <w:szCs w:val="32"/>
        </w:rPr>
        <w:t>e</w:t>
      </w:r>
      <w:r w:rsidRPr="00836204">
        <w:rPr>
          <w:b/>
          <w:sz w:val="32"/>
          <w:szCs w:val="32"/>
        </w:rPr>
        <w:t xml:space="preserve"> Financial Security</w:t>
      </w:r>
      <w:r w:rsidR="00F50B06">
        <w:rPr>
          <w:b/>
          <w:sz w:val="32"/>
          <w:szCs w:val="32"/>
        </w:rPr>
        <w:t>:  Renewal of Financial Security and Reduction of Financial Security</w:t>
      </w:r>
      <w:r w:rsidRPr="00836204">
        <w:rPr>
          <w:b/>
          <w:sz w:val="32"/>
          <w:szCs w:val="32"/>
        </w:rPr>
        <w:t>.</w:t>
      </w:r>
    </w:p>
    <w:p w:rsidR="00836204" w:rsidRPr="007F7800" w:rsidRDefault="00836204" w:rsidP="00321B36">
      <w:pPr>
        <w:pStyle w:val="ListParagraph"/>
        <w:numPr>
          <w:ilvl w:val="0"/>
          <w:numId w:val="1"/>
        </w:numPr>
        <w:rPr>
          <w:sz w:val="24"/>
          <w:szCs w:val="24"/>
        </w:rPr>
      </w:pPr>
      <w:r w:rsidRPr="007F7800">
        <w:rPr>
          <w:sz w:val="24"/>
          <w:szCs w:val="24"/>
        </w:rPr>
        <w:t>Docket No. M-2013-2393141</w:t>
      </w:r>
      <w:r w:rsidR="00287B2B" w:rsidRPr="007F7800">
        <w:rPr>
          <w:sz w:val="24"/>
          <w:szCs w:val="24"/>
        </w:rPr>
        <w:br/>
      </w:r>
      <w:hyperlink r:id="rId10" w:history="1">
        <w:r w:rsidR="00321B36" w:rsidRPr="007F7800">
          <w:rPr>
            <w:rStyle w:val="Hyperlink"/>
            <w:sz w:val="24"/>
            <w:szCs w:val="24"/>
          </w:rPr>
          <w:t>http://www.puc.pa.gov/about_puc/consolidated_case_view.aspx?Docket=M-2013-2393141</w:t>
        </w:r>
      </w:hyperlink>
      <w:r w:rsidR="00321B36" w:rsidRPr="007F7800">
        <w:rPr>
          <w:sz w:val="24"/>
          <w:szCs w:val="24"/>
        </w:rPr>
        <w:t xml:space="preserve"> </w:t>
      </w:r>
    </w:p>
    <w:p w:rsidR="00836204" w:rsidRPr="007F7800" w:rsidRDefault="00836204" w:rsidP="00836204">
      <w:pPr>
        <w:pStyle w:val="ListParagraph"/>
        <w:numPr>
          <w:ilvl w:val="0"/>
          <w:numId w:val="1"/>
        </w:numPr>
        <w:rPr>
          <w:sz w:val="24"/>
          <w:szCs w:val="24"/>
        </w:rPr>
      </w:pPr>
      <w:r w:rsidRPr="007F7800">
        <w:rPr>
          <w:sz w:val="24"/>
          <w:szCs w:val="24"/>
        </w:rPr>
        <w:t>Refer to the Commission’s April 8, 2016 Secretarial Letter (</w:t>
      </w:r>
      <w:r w:rsidR="00287B2B" w:rsidRPr="007F7800">
        <w:rPr>
          <w:sz w:val="24"/>
          <w:szCs w:val="24"/>
        </w:rPr>
        <w:t xml:space="preserve">available at </w:t>
      </w:r>
      <w:r w:rsidR="00565A4F">
        <w:rPr>
          <w:sz w:val="24"/>
          <w:szCs w:val="24"/>
        </w:rPr>
        <w:t xml:space="preserve">this </w:t>
      </w:r>
      <w:r w:rsidR="00287B2B" w:rsidRPr="007F7800">
        <w:rPr>
          <w:sz w:val="24"/>
          <w:szCs w:val="24"/>
        </w:rPr>
        <w:t>web link</w:t>
      </w:r>
      <w:r w:rsidR="00565A4F">
        <w:rPr>
          <w:sz w:val="24"/>
          <w:szCs w:val="24"/>
        </w:rPr>
        <w:t>:</w:t>
      </w:r>
      <w:r w:rsidRPr="007F7800">
        <w:rPr>
          <w:sz w:val="24"/>
          <w:szCs w:val="24"/>
        </w:rPr>
        <w:t xml:space="preserve">  </w:t>
      </w:r>
      <w:r w:rsidR="00321B36" w:rsidRPr="007F7800">
        <w:rPr>
          <w:sz w:val="24"/>
          <w:szCs w:val="24"/>
        </w:rPr>
        <w:br/>
      </w:r>
      <w:hyperlink r:id="rId11" w:history="1">
        <w:r w:rsidR="00321B36" w:rsidRPr="007F7800">
          <w:rPr>
            <w:rFonts w:ascii="Helvetica" w:hAnsi="Helvetica"/>
            <w:b/>
            <w:bCs/>
            <w:color w:val="333333"/>
            <w:sz w:val="24"/>
            <w:szCs w:val="24"/>
            <w:u w:val="single"/>
          </w:rPr>
          <w:t>SEC LETTER Guidance on Electric Generation Supplier License Financial Security.docx</w:t>
        </w:r>
      </w:hyperlink>
      <w:r w:rsidR="00565A4F" w:rsidRPr="00565A4F">
        <w:rPr>
          <w:rFonts w:ascii="Helvetica" w:hAnsi="Helvetica"/>
          <w:b/>
          <w:bCs/>
          <w:color w:val="333333"/>
          <w:sz w:val="24"/>
          <w:szCs w:val="24"/>
        </w:rPr>
        <w:t xml:space="preserve"> </w:t>
      </w:r>
      <w:r w:rsidR="00565A4F" w:rsidRPr="00565A4F">
        <w:rPr>
          <w:rFonts w:ascii="Helvetica" w:hAnsi="Helvetica"/>
          <w:bCs/>
          <w:color w:val="333333"/>
          <w:sz w:val="24"/>
          <w:szCs w:val="24"/>
        </w:rPr>
        <w:t>)</w:t>
      </w:r>
    </w:p>
    <w:p w:rsidR="00836204" w:rsidRPr="007F7800" w:rsidRDefault="00836204" w:rsidP="00836204">
      <w:pPr>
        <w:pStyle w:val="ListParagraph"/>
        <w:numPr>
          <w:ilvl w:val="0"/>
          <w:numId w:val="1"/>
        </w:numPr>
        <w:rPr>
          <w:sz w:val="24"/>
          <w:szCs w:val="24"/>
        </w:rPr>
      </w:pPr>
      <w:r w:rsidRPr="007F7800">
        <w:rPr>
          <w:sz w:val="24"/>
          <w:szCs w:val="24"/>
        </w:rPr>
        <w:t xml:space="preserve">Technical Utility Services Deputy Director Darren Gill will discuss the process and will be available for questions.  </w:t>
      </w:r>
    </w:p>
    <w:p w:rsidR="00836204" w:rsidRPr="00836204" w:rsidRDefault="00836204" w:rsidP="00836204">
      <w:pPr>
        <w:rPr>
          <w:b/>
          <w:sz w:val="32"/>
          <w:szCs w:val="32"/>
        </w:rPr>
      </w:pPr>
      <w:r>
        <w:rPr>
          <w:b/>
          <w:sz w:val="32"/>
          <w:szCs w:val="32"/>
        </w:rPr>
        <w:t>2</w:t>
      </w:r>
      <w:r w:rsidRPr="00836204">
        <w:rPr>
          <w:b/>
          <w:sz w:val="32"/>
          <w:szCs w:val="32"/>
        </w:rPr>
        <w:t xml:space="preserve">)  </w:t>
      </w:r>
      <w:r>
        <w:rPr>
          <w:b/>
          <w:sz w:val="32"/>
          <w:szCs w:val="32"/>
        </w:rPr>
        <w:t>Supplier Notification of Changes to the PUC</w:t>
      </w:r>
      <w:r w:rsidRPr="00836204">
        <w:rPr>
          <w:b/>
          <w:sz w:val="32"/>
          <w:szCs w:val="32"/>
        </w:rPr>
        <w:t>.</w:t>
      </w:r>
    </w:p>
    <w:p w:rsidR="00836204" w:rsidRPr="00BA1051" w:rsidRDefault="00836204" w:rsidP="00836204">
      <w:pPr>
        <w:pStyle w:val="ListParagraph"/>
        <w:numPr>
          <w:ilvl w:val="0"/>
          <w:numId w:val="1"/>
        </w:numPr>
      </w:pPr>
      <w:r w:rsidRPr="00836204">
        <w:rPr>
          <w:snapToGrid w:val="0"/>
          <w:sz w:val="24"/>
          <w:szCs w:val="24"/>
        </w:rPr>
        <w:t>It is a</w:t>
      </w:r>
      <w:r w:rsidR="00E95976">
        <w:rPr>
          <w:snapToGrid w:val="0"/>
          <w:sz w:val="24"/>
          <w:szCs w:val="24"/>
        </w:rPr>
        <w:t xml:space="preserve"> supplier’s</w:t>
      </w:r>
      <w:r w:rsidRPr="00836204">
        <w:rPr>
          <w:snapToGrid w:val="0"/>
          <w:sz w:val="24"/>
          <w:szCs w:val="24"/>
        </w:rPr>
        <w:t xml:space="preserve"> responsibility to file any name changes, changes in its current contact information or the structure of its company with the Commission.</w:t>
      </w:r>
    </w:p>
    <w:p w:rsidR="00E95976" w:rsidRPr="00E95976" w:rsidRDefault="00E95976" w:rsidP="00836204">
      <w:pPr>
        <w:pStyle w:val="ListParagraph"/>
        <w:numPr>
          <w:ilvl w:val="0"/>
          <w:numId w:val="1"/>
        </w:numPr>
      </w:pPr>
      <w:r>
        <w:rPr>
          <w:snapToGrid w:val="0"/>
          <w:sz w:val="24"/>
          <w:szCs w:val="24"/>
        </w:rPr>
        <w:t>Mailing address:</w:t>
      </w:r>
    </w:p>
    <w:p w:rsidR="00E95976" w:rsidRPr="00E95976" w:rsidRDefault="00BA1051" w:rsidP="00E95976">
      <w:pPr>
        <w:pStyle w:val="ListParagraph"/>
        <w:numPr>
          <w:ilvl w:val="2"/>
          <w:numId w:val="1"/>
        </w:numPr>
        <w:rPr>
          <w:snapToGrid w:val="0"/>
          <w:sz w:val="24"/>
          <w:szCs w:val="24"/>
        </w:rPr>
      </w:pPr>
      <w:r w:rsidRPr="00BA1051">
        <w:rPr>
          <w:snapToGrid w:val="0"/>
          <w:sz w:val="24"/>
          <w:szCs w:val="24"/>
        </w:rPr>
        <w:t>Secretary of the Commission</w:t>
      </w:r>
      <w:r>
        <w:rPr>
          <w:snapToGrid w:val="0"/>
          <w:sz w:val="24"/>
          <w:szCs w:val="24"/>
        </w:rPr>
        <w:t xml:space="preserve"> </w:t>
      </w:r>
      <w:r w:rsidR="00E95976">
        <w:rPr>
          <w:snapToGrid w:val="0"/>
          <w:sz w:val="24"/>
          <w:szCs w:val="24"/>
        </w:rPr>
        <w:br/>
      </w:r>
      <w:r>
        <w:rPr>
          <w:snapToGrid w:val="0"/>
          <w:sz w:val="24"/>
          <w:szCs w:val="24"/>
        </w:rPr>
        <w:t>Rosemary Chiavetta</w:t>
      </w:r>
      <w:r w:rsidR="00E95976">
        <w:rPr>
          <w:snapToGrid w:val="0"/>
          <w:sz w:val="24"/>
          <w:szCs w:val="24"/>
        </w:rPr>
        <w:br/>
      </w:r>
      <w:r w:rsidR="00E95976" w:rsidRPr="00E95976">
        <w:rPr>
          <w:snapToGrid w:val="0"/>
          <w:sz w:val="24"/>
          <w:szCs w:val="24"/>
        </w:rPr>
        <w:t xml:space="preserve">400 North Street, Harrisburg </w:t>
      </w:r>
      <w:r w:rsidR="00E70A12">
        <w:rPr>
          <w:snapToGrid w:val="0"/>
          <w:sz w:val="24"/>
          <w:szCs w:val="24"/>
        </w:rPr>
        <w:t xml:space="preserve">PA </w:t>
      </w:r>
      <w:r w:rsidR="00E95976" w:rsidRPr="00E95976">
        <w:rPr>
          <w:snapToGrid w:val="0"/>
          <w:sz w:val="24"/>
          <w:szCs w:val="24"/>
        </w:rPr>
        <w:t>17120</w:t>
      </w:r>
    </w:p>
    <w:p w:rsidR="00E95976" w:rsidRPr="00E95976" w:rsidRDefault="00E95976" w:rsidP="00836204">
      <w:pPr>
        <w:pStyle w:val="ListParagraph"/>
        <w:numPr>
          <w:ilvl w:val="0"/>
          <w:numId w:val="1"/>
        </w:numPr>
        <w:rPr>
          <w:snapToGrid w:val="0"/>
          <w:sz w:val="24"/>
          <w:szCs w:val="24"/>
        </w:rPr>
      </w:pPr>
      <w:r>
        <w:rPr>
          <w:snapToGrid w:val="0"/>
          <w:sz w:val="24"/>
          <w:szCs w:val="24"/>
        </w:rPr>
        <w:lastRenderedPageBreak/>
        <w:t xml:space="preserve">To contact Secretary Chiavetta by email:  </w:t>
      </w:r>
      <w:hyperlink r:id="rId12" w:history="1">
        <w:r w:rsidRPr="00E95976">
          <w:rPr>
            <w:snapToGrid w:val="0"/>
            <w:sz w:val="24"/>
            <w:szCs w:val="24"/>
            <w:u w:val="single"/>
          </w:rPr>
          <w:t>rchiavetta@pa.gov</w:t>
        </w:r>
      </w:hyperlink>
      <w:r w:rsidRPr="00E95976">
        <w:rPr>
          <w:snapToGrid w:val="0"/>
          <w:sz w:val="24"/>
          <w:szCs w:val="24"/>
        </w:rPr>
        <w:t>.</w:t>
      </w:r>
    </w:p>
    <w:p w:rsidR="00836204" w:rsidRPr="00836204" w:rsidRDefault="00836204" w:rsidP="00836204">
      <w:pPr>
        <w:pStyle w:val="ListParagraph"/>
        <w:numPr>
          <w:ilvl w:val="0"/>
          <w:numId w:val="1"/>
        </w:numPr>
      </w:pPr>
      <w:r>
        <w:rPr>
          <w:snapToGrid w:val="0"/>
          <w:sz w:val="24"/>
          <w:szCs w:val="24"/>
        </w:rPr>
        <w:t xml:space="preserve">Secretary Chiavetta will be available to discuss these requirements and to answer questions.  </w:t>
      </w:r>
    </w:p>
    <w:p w:rsidR="001903AF" w:rsidRPr="001903AF" w:rsidRDefault="00292485" w:rsidP="001903AF">
      <w:pPr>
        <w:rPr>
          <w:b/>
          <w:sz w:val="32"/>
          <w:szCs w:val="32"/>
        </w:rPr>
      </w:pPr>
      <w:r>
        <w:rPr>
          <w:b/>
          <w:sz w:val="32"/>
          <w:szCs w:val="32"/>
        </w:rPr>
        <w:br/>
      </w:r>
      <w:r w:rsidR="001903AF">
        <w:rPr>
          <w:b/>
          <w:sz w:val="32"/>
          <w:szCs w:val="32"/>
        </w:rPr>
        <w:t>3</w:t>
      </w:r>
      <w:r w:rsidR="001903AF" w:rsidRPr="001903AF">
        <w:rPr>
          <w:b/>
          <w:sz w:val="32"/>
          <w:szCs w:val="32"/>
        </w:rPr>
        <w:t>)  PaPowerSwitch.com and PaGasSwitch.com Update:</w:t>
      </w:r>
    </w:p>
    <w:p w:rsidR="001903AF" w:rsidRPr="001903AF" w:rsidRDefault="001903AF" w:rsidP="00E70A12">
      <w:pPr>
        <w:ind w:left="720"/>
        <w:rPr>
          <w:snapToGrid w:val="0"/>
          <w:sz w:val="24"/>
          <w:szCs w:val="24"/>
        </w:rPr>
      </w:pPr>
      <w:r w:rsidRPr="001903AF">
        <w:rPr>
          <w:snapToGrid w:val="0"/>
          <w:sz w:val="24"/>
          <w:szCs w:val="24"/>
        </w:rPr>
        <w:t>Cyndi Page from the Commission’s Office of Communications will provide an update on PaPowerSwitch.com and PaGasSwitch.com</w:t>
      </w:r>
      <w:r w:rsidR="007F7800">
        <w:rPr>
          <w:snapToGrid w:val="0"/>
          <w:sz w:val="24"/>
          <w:szCs w:val="24"/>
        </w:rPr>
        <w:t xml:space="preserve"> – and will be available to answer questions about the websites</w:t>
      </w:r>
      <w:r w:rsidRPr="001903AF">
        <w:rPr>
          <w:snapToGrid w:val="0"/>
          <w:sz w:val="24"/>
          <w:szCs w:val="24"/>
        </w:rPr>
        <w:t xml:space="preserve">. </w:t>
      </w:r>
    </w:p>
    <w:p w:rsidR="001903AF" w:rsidRPr="001903AF" w:rsidRDefault="003D631C" w:rsidP="001903AF">
      <w:pPr>
        <w:pStyle w:val="ListParagraph"/>
        <w:numPr>
          <w:ilvl w:val="1"/>
          <w:numId w:val="1"/>
        </w:numPr>
        <w:rPr>
          <w:snapToGrid w:val="0"/>
          <w:sz w:val="24"/>
          <w:szCs w:val="24"/>
        </w:rPr>
      </w:pPr>
      <w:hyperlink r:id="rId13" w:history="1">
        <w:r w:rsidR="001903AF" w:rsidRPr="001903AF">
          <w:rPr>
            <w:rStyle w:val="Hyperlink"/>
            <w:snapToGrid w:val="0"/>
            <w:sz w:val="24"/>
            <w:szCs w:val="24"/>
          </w:rPr>
          <w:t>http://www.papowerswitch.com/</w:t>
        </w:r>
      </w:hyperlink>
    </w:p>
    <w:p w:rsidR="001903AF" w:rsidRDefault="003D631C" w:rsidP="001903AF">
      <w:pPr>
        <w:pStyle w:val="ListParagraph"/>
        <w:numPr>
          <w:ilvl w:val="1"/>
          <w:numId w:val="1"/>
        </w:numPr>
        <w:rPr>
          <w:b/>
          <w:sz w:val="32"/>
          <w:szCs w:val="32"/>
        </w:rPr>
      </w:pPr>
      <w:hyperlink r:id="rId14" w:history="1">
        <w:r w:rsidR="001903AF" w:rsidRPr="001903AF">
          <w:rPr>
            <w:rStyle w:val="Hyperlink"/>
            <w:snapToGrid w:val="0"/>
            <w:sz w:val="24"/>
            <w:szCs w:val="24"/>
          </w:rPr>
          <w:t>http://www.pagasswitch.com/</w:t>
        </w:r>
      </w:hyperlink>
      <w:r w:rsidR="0019459D">
        <w:rPr>
          <w:rStyle w:val="Hyperlink"/>
          <w:snapToGrid w:val="0"/>
          <w:sz w:val="24"/>
          <w:szCs w:val="24"/>
        </w:rPr>
        <w:br/>
      </w:r>
    </w:p>
    <w:p w:rsidR="00A01782" w:rsidRPr="001903AF" w:rsidRDefault="001903AF" w:rsidP="001903AF">
      <w:pPr>
        <w:rPr>
          <w:b/>
          <w:sz w:val="32"/>
          <w:szCs w:val="32"/>
        </w:rPr>
      </w:pPr>
      <w:r>
        <w:rPr>
          <w:b/>
          <w:sz w:val="32"/>
          <w:szCs w:val="32"/>
        </w:rPr>
        <w:t>4</w:t>
      </w:r>
      <w:r w:rsidR="00A01782" w:rsidRPr="001903AF">
        <w:rPr>
          <w:b/>
          <w:sz w:val="32"/>
          <w:szCs w:val="32"/>
        </w:rPr>
        <w:t xml:space="preserve">)  Reminder:  Reporting Requirements and Annual Fees:  </w:t>
      </w:r>
    </w:p>
    <w:p w:rsidR="00A01782" w:rsidRDefault="00A01782" w:rsidP="00A01782">
      <w:pPr>
        <w:pStyle w:val="ListParagraph"/>
        <w:numPr>
          <w:ilvl w:val="0"/>
          <w:numId w:val="9"/>
        </w:numPr>
      </w:pPr>
      <w:r>
        <w:t xml:space="preserve">As a result of Act 155 of 2014, the following are due each year to the Commission from </w:t>
      </w:r>
      <w:r w:rsidR="00296550" w:rsidRPr="00296550">
        <w:t xml:space="preserve">each licensed </w:t>
      </w:r>
      <w:r>
        <w:t xml:space="preserve">EGS and </w:t>
      </w:r>
      <w:r w:rsidR="00296550" w:rsidRPr="00296550">
        <w:t xml:space="preserve">each licensed </w:t>
      </w:r>
      <w:r>
        <w:t>NGS:</w:t>
      </w:r>
    </w:p>
    <w:p w:rsidR="00A01782" w:rsidRDefault="00A01782" w:rsidP="00A01782">
      <w:pPr>
        <w:pStyle w:val="ListParagraph"/>
        <w:numPr>
          <w:ilvl w:val="1"/>
          <w:numId w:val="1"/>
        </w:numPr>
        <w:spacing w:after="0" w:line="240" w:lineRule="auto"/>
        <w:contextualSpacing w:val="0"/>
        <w:rPr>
          <w:noProof/>
        </w:rPr>
      </w:pPr>
      <w:r>
        <w:rPr>
          <w:noProof/>
        </w:rPr>
        <w:t>Payment of a $350 annual fee due July 1 of each year.</w:t>
      </w:r>
    </w:p>
    <w:p w:rsidR="00296550" w:rsidRPr="00296550" w:rsidRDefault="00A01782" w:rsidP="00296550">
      <w:pPr>
        <w:pStyle w:val="ListParagraph"/>
        <w:numPr>
          <w:ilvl w:val="1"/>
          <w:numId w:val="1"/>
        </w:numPr>
        <w:spacing w:after="0" w:line="240" w:lineRule="auto"/>
        <w:contextualSpacing w:val="0"/>
        <w:rPr>
          <w:noProof/>
        </w:rPr>
      </w:pPr>
      <w:r>
        <w:rPr>
          <w:noProof/>
        </w:rPr>
        <w:t>The reporting of Pennsylvania Intrastate Revenues on form RR-15 due by April 30</w:t>
      </w:r>
      <w:r w:rsidRPr="00A01782">
        <w:rPr>
          <w:noProof/>
          <w:vertAlign w:val="superscript"/>
        </w:rPr>
        <w:t>th</w:t>
      </w:r>
      <w:r>
        <w:rPr>
          <w:noProof/>
        </w:rPr>
        <w:t>.</w:t>
      </w:r>
      <w:r w:rsidR="00296550">
        <w:rPr>
          <w:noProof/>
        </w:rPr>
        <w:t xml:space="preserve">  This is </w:t>
      </w:r>
      <w:r w:rsidR="00296550" w:rsidRPr="00296550">
        <w:rPr>
          <w:noProof/>
        </w:rPr>
        <w:t>only applicable to “SUPPLIERS” (</w:t>
      </w:r>
      <w:r w:rsidR="00296550">
        <w:rPr>
          <w:noProof/>
        </w:rPr>
        <w:t>licensees</w:t>
      </w:r>
      <w:r w:rsidR="00296550" w:rsidRPr="00296550">
        <w:rPr>
          <w:noProof/>
        </w:rPr>
        <w:t xml:space="preserve"> that are only Broker/Marketers do not report)</w:t>
      </w:r>
      <w:r w:rsidR="00296550">
        <w:rPr>
          <w:noProof/>
        </w:rPr>
        <w:t>.</w:t>
      </w:r>
      <w:r w:rsidR="00296550" w:rsidRPr="00296550">
        <w:rPr>
          <w:noProof/>
        </w:rPr>
        <w:t>  This form</w:t>
      </w:r>
      <w:r w:rsidR="00296550">
        <w:rPr>
          <w:noProof/>
        </w:rPr>
        <w:t xml:space="preserve"> w</w:t>
      </w:r>
      <w:r w:rsidR="00296550" w:rsidRPr="00296550">
        <w:rPr>
          <w:noProof/>
        </w:rPr>
        <w:t>as mailed 3/24/17</w:t>
      </w:r>
      <w:r w:rsidR="00296550">
        <w:rPr>
          <w:noProof/>
        </w:rPr>
        <w:t xml:space="preserve"> and</w:t>
      </w:r>
      <w:r w:rsidR="00296550" w:rsidRPr="00296550">
        <w:rPr>
          <w:noProof/>
        </w:rPr>
        <w:t xml:space="preserve"> is not available on line</w:t>
      </w:r>
      <w:r w:rsidR="00296550">
        <w:rPr>
          <w:noProof/>
        </w:rPr>
        <w:t>.</w:t>
      </w:r>
      <w:r w:rsidR="00296550" w:rsidRPr="00296550">
        <w:rPr>
          <w:noProof/>
        </w:rPr>
        <w:t xml:space="preserve">  Please e-mail </w:t>
      </w:r>
      <w:r w:rsidR="00E70A12">
        <w:rPr>
          <w:noProof/>
        </w:rPr>
        <w:t xml:space="preserve">Yvonne Hess </w:t>
      </w:r>
      <w:hyperlink r:id="rId15" w:history="1">
        <w:r w:rsidR="00296550" w:rsidRPr="00296550">
          <w:rPr>
            <w:rStyle w:val="Hyperlink"/>
            <w:noProof/>
          </w:rPr>
          <w:t>yhess@pa.gov</w:t>
        </w:r>
      </w:hyperlink>
      <w:r w:rsidR="00296550" w:rsidRPr="00296550">
        <w:rPr>
          <w:noProof/>
        </w:rPr>
        <w:t xml:space="preserve"> if you need a copy of th</w:t>
      </w:r>
      <w:r w:rsidR="00296550">
        <w:rPr>
          <w:noProof/>
        </w:rPr>
        <w:t>is form/</w:t>
      </w:r>
      <w:r w:rsidR="00296550" w:rsidRPr="00296550">
        <w:rPr>
          <w:noProof/>
        </w:rPr>
        <w:t>report.</w:t>
      </w:r>
    </w:p>
    <w:p w:rsidR="00A01782" w:rsidRDefault="00A01782" w:rsidP="00A01782">
      <w:pPr>
        <w:pStyle w:val="ListParagraph"/>
        <w:numPr>
          <w:ilvl w:val="1"/>
          <w:numId w:val="1"/>
        </w:numPr>
        <w:spacing w:after="0" w:line="240" w:lineRule="auto"/>
        <w:contextualSpacing w:val="0"/>
      </w:pPr>
      <w:r>
        <w:rPr>
          <w:noProof/>
        </w:rPr>
        <w:t xml:space="preserve">Payment of a supplemental assessment for </w:t>
      </w:r>
      <w:r w:rsidR="00296550">
        <w:rPr>
          <w:noProof/>
        </w:rPr>
        <w:t>SUPPLIERS</w:t>
      </w:r>
      <w:r>
        <w:rPr>
          <w:noProof/>
        </w:rPr>
        <w:t xml:space="preserve"> in September of each year.</w:t>
      </w:r>
    </w:p>
    <w:p w:rsidR="00A01782" w:rsidRPr="00A01782" w:rsidRDefault="00A01782" w:rsidP="00292485">
      <w:pPr>
        <w:pStyle w:val="ListParagraph"/>
        <w:numPr>
          <w:ilvl w:val="0"/>
          <w:numId w:val="1"/>
        </w:numPr>
        <w:rPr>
          <w:rStyle w:val="Hyperlink"/>
          <w:color w:val="auto"/>
          <w:u w:val="none"/>
        </w:rPr>
      </w:pPr>
      <w:r>
        <w:t xml:space="preserve">EDCs and EGSs are also reminded of the reporting requirements at 52 Pa. Code § 54.201 -204 (Retail Electricity Choice Sales Activity Reports).   </w:t>
      </w:r>
      <w:hyperlink r:id="rId16" w:history="1">
        <w:r w:rsidRPr="001B3A33">
          <w:rPr>
            <w:rStyle w:val="Hyperlink"/>
          </w:rPr>
          <w:t>http://www.pacode.com/secure/data/052/chapter54/subchapHtoc.html</w:t>
        </w:r>
      </w:hyperlink>
      <w:r>
        <w:t xml:space="preserve"> </w:t>
      </w:r>
      <w:r>
        <w:br/>
        <w:t xml:space="preserve">52 Pa Code §54.39 (Gross Receipts, electric sold, etc.):  </w:t>
      </w:r>
      <w:hyperlink r:id="rId17" w:history="1">
        <w:r w:rsidRPr="00791382">
          <w:rPr>
            <w:rStyle w:val="Hyperlink"/>
          </w:rPr>
          <w:t>http://www.pacode.com/secure/data/052/chapter54/s54.39.html</w:t>
        </w:r>
      </w:hyperlink>
      <w:r>
        <w:t xml:space="preserve"> </w:t>
      </w:r>
      <w:r>
        <w:br/>
        <w:t xml:space="preserve">Online reporting forms for the electric industry are available:  </w:t>
      </w:r>
      <w:hyperlink r:id="rId18" w:history="1">
        <w:r w:rsidR="00292485" w:rsidRPr="0094356E">
          <w:rPr>
            <w:rStyle w:val="Hyperlink"/>
          </w:rPr>
          <w:t>http://www.puc.pa.gov/filing_resources/electric_online_forms.aspx</w:t>
        </w:r>
      </w:hyperlink>
      <w:r w:rsidR="00292485">
        <w:t xml:space="preserve"> </w:t>
      </w:r>
      <w:r w:rsidR="00292485">
        <w:br/>
        <w:t xml:space="preserve">Information on retail choice activity reports: </w:t>
      </w:r>
      <w:r w:rsidR="00292485">
        <w:rPr>
          <w:rStyle w:val="Hyperlink"/>
        </w:rPr>
        <w:br/>
      </w:r>
      <w:hyperlink r:id="rId19" w:history="1">
        <w:r w:rsidR="00292485" w:rsidRPr="0094356E">
          <w:rPr>
            <w:rStyle w:val="Hyperlink"/>
          </w:rPr>
          <w:t>http://www.puc.pa.gov/utility_industry/electricity/retail_choice_activity_reports.aspx</w:t>
        </w:r>
      </w:hyperlink>
      <w:r w:rsidR="00292485">
        <w:rPr>
          <w:rStyle w:val="Hyperlink"/>
          <w:color w:val="auto"/>
          <w:u w:val="none"/>
        </w:rPr>
        <w:t xml:space="preserve"> </w:t>
      </w:r>
    </w:p>
    <w:p w:rsidR="00A01782" w:rsidRPr="00A01782" w:rsidRDefault="00A01782" w:rsidP="00292485">
      <w:pPr>
        <w:pStyle w:val="ListParagraph"/>
        <w:numPr>
          <w:ilvl w:val="0"/>
          <w:numId w:val="1"/>
        </w:numPr>
      </w:pPr>
      <w:r w:rsidRPr="00A01782">
        <w:t>NGSs</w:t>
      </w:r>
      <w:r>
        <w:t xml:space="preserve"> </w:t>
      </w:r>
      <w:r w:rsidR="00296550">
        <w:t xml:space="preserve">(including Brokers/Marketers) </w:t>
      </w:r>
      <w:r>
        <w:t xml:space="preserve">are reminded of the reporting requirements at 52 Pa Code §62.110 (gross receipts, gas sold, etc.):  </w:t>
      </w:r>
      <w:hyperlink r:id="rId20" w:history="1">
        <w:r w:rsidRPr="00791382">
          <w:rPr>
            <w:rStyle w:val="Hyperlink"/>
          </w:rPr>
          <w:t>http://www.pacode.com/secure/data/052/chapter62/s62.110.html</w:t>
        </w:r>
      </w:hyperlink>
      <w:r>
        <w:t xml:space="preserve"> </w:t>
      </w:r>
      <w:r>
        <w:br/>
        <w:t xml:space="preserve">Online reporting  </w:t>
      </w:r>
      <w:r w:rsidR="00CD2893">
        <w:t xml:space="preserve">forms </w:t>
      </w:r>
      <w:r>
        <w:t>for the gas industry are available:</w:t>
      </w:r>
      <w:r>
        <w:br/>
      </w:r>
      <w:hyperlink r:id="rId21" w:history="1">
        <w:r w:rsidR="00292485" w:rsidRPr="0094356E">
          <w:rPr>
            <w:rStyle w:val="Hyperlink"/>
          </w:rPr>
          <w:t>http://www.puc.pa.gov/filing_resources/online_forms/natural_gas_online_forms.aspx</w:t>
        </w:r>
      </w:hyperlink>
      <w:r w:rsidR="00292485">
        <w:t xml:space="preserve"> </w:t>
      </w:r>
      <w:r>
        <w:t xml:space="preserve"> </w:t>
      </w:r>
      <w:r>
        <w:br/>
        <w:t xml:space="preserve"> </w:t>
      </w:r>
      <w:r w:rsidRPr="00A01782">
        <w:t xml:space="preserve"> </w:t>
      </w:r>
    </w:p>
    <w:p w:rsidR="00836204" w:rsidRPr="00836204" w:rsidRDefault="00A01782" w:rsidP="001903AF">
      <w:pPr>
        <w:rPr>
          <w:b/>
          <w:sz w:val="32"/>
          <w:szCs w:val="32"/>
        </w:rPr>
      </w:pPr>
      <w:r>
        <w:rPr>
          <w:b/>
          <w:sz w:val="32"/>
          <w:szCs w:val="32"/>
        </w:rPr>
        <w:t>5</w:t>
      </w:r>
      <w:r w:rsidR="00763469">
        <w:rPr>
          <w:b/>
          <w:sz w:val="32"/>
          <w:szCs w:val="32"/>
        </w:rPr>
        <w:t>)  D</w:t>
      </w:r>
      <w:r w:rsidR="00836204">
        <w:rPr>
          <w:b/>
          <w:sz w:val="32"/>
          <w:szCs w:val="32"/>
        </w:rPr>
        <w:t>oor – to – Door Marketing Reminders:</w:t>
      </w:r>
    </w:p>
    <w:p w:rsidR="003C633D" w:rsidRPr="003C633D" w:rsidRDefault="00296550" w:rsidP="003C633D">
      <w:pPr>
        <w:pStyle w:val="PlainText"/>
        <w:numPr>
          <w:ilvl w:val="0"/>
          <w:numId w:val="9"/>
        </w:numPr>
        <w:rPr>
          <w:sz w:val="24"/>
          <w:szCs w:val="24"/>
        </w:rPr>
      </w:pPr>
      <w:r w:rsidRPr="003C633D">
        <w:rPr>
          <w:sz w:val="24"/>
          <w:szCs w:val="24"/>
        </w:rPr>
        <w:t>On March 30, the Commission issued a press release</w:t>
      </w:r>
      <w:r w:rsidR="003C633D" w:rsidRPr="003C633D">
        <w:rPr>
          <w:sz w:val="24"/>
          <w:szCs w:val="24"/>
        </w:rPr>
        <w:t xml:space="preserve"> regarding door-to-door sales – available at this web link:  </w:t>
      </w:r>
      <w:hyperlink r:id="rId22" w:history="1">
        <w:r w:rsidR="003C633D" w:rsidRPr="003C633D">
          <w:rPr>
            <w:rStyle w:val="Hyperlink"/>
            <w:sz w:val="24"/>
            <w:szCs w:val="24"/>
          </w:rPr>
          <w:t>http://www.puc.pa.gov/about_puc/press_releases.aspx?ShowPR=3832</w:t>
        </w:r>
      </w:hyperlink>
    </w:p>
    <w:p w:rsidR="00776ED3" w:rsidRPr="00776ED3" w:rsidRDefault="003C633D" w:rsidP="00776ED3">
      <w:pPr>
        <w:pStyle w:val="PlainText"/>
        <w:numPr>
          <w:ilvl w:val="0"/>
          <w:numId w:val="9"/>
        </w:numPr>
        <w:rPr>
          <w:sz w:val="24"/>
          <w:szCs w:val="24"/>
        </w:rPr>
      </w:pPr>
      <w:r w:rsidRPr="003C633D">
        <w:rPr>
          <w:sz w:val="24"/>
          <w:szCs w:val="24"/>
        </w:rPr>
        <w:t>At the same time, the Commission also released a consumer education fact sheet and interview with Chairman Brown- avail</w:t>
      </w:r>
      <w:r w:rsidR="00296550" w:rsidRPr="003C633D">
        <w:rPr>
          <w:sz w:val="24"/>
          <w:szCs w:val="24"/>
        </w:rPr>
        <w:t xml:space="preserve">able at this weblink:  </w:t>
      </w:r>
      <w:hyperlink r:id="rId23" w:history="1">
        <w:r w:rsidRPr="003C633D">
          <w:rPr>
            <w:rStyle w:val="Hyperlink"/>
            <w:sz w:val="24"/>
            <w:szCs w:val="24"/>
          </w:rPr>
          <w:t>http://papuc.isebox.net/electricity/puc-offers-tips-on-door-to-door-sales-by-energy-suppliers</w:t>
        </w:r>
      </w:hyperlink>
      <w:r w:rsidR="00776ED3">
        <w:rPr>
          <w:rStyle w:val="Hyperlink"/>
          <w:sz w:val="24"/>
          <w:szCs w:val="24"/>
        </w:rPr>
        <w:br/>
      </w:r>
      <w:hyperlink r:id="rId24" w:history="1">
        <w:r w:rsidR="00776ED3" w:rsidRPr="00776ED3">
          <w:rPr>
            <w:rStyle w:val="Hyperlink"/>
            <w:sz w:val="24"/>
            <w:szCs w:val="24"/>
          </w:rPr>
          <w:t>http://www.puc.pa.gov/General/consumer_ed/pdf/Door-to-Door_Tips.pdf</w:t>
        </w:r>
      </w:hyperlink>
    </w:p>
    <w:p w:rsidR="00836204" w:rsidRPr="00836204" w:rsidRDefault="00836204" w:rsidP="00836204">
      <w:pPr>
        <w:pStyle w:val="ListParagraph"/>
        <w:numPr>
          <w:ilvl w:val="0"/>
          <w:numId w:val="1"/>
        </w:numPr>
      </w:pPr>
      <w:r w:rsidRPr="003C633D">
        <w:rPr>
          <w:snapToGrid w:val="0"/>
          <w:sz w:val="24"/>
          <w:szCs w:val="24"/>
        </w:rPr>
        <w:t xml:space="preserve">Suppliers engaged in door-to-door residential marketing are reminded of the Commission’s regulations at 52 Pa Code Chapter 111: </w:t>
      </w:r>
      <w:hyperlink r:id="rId25" w:history="1">
        <w:r w:rsidRPr="003C633D">
          <w:rPr>
            <w:rStyle w:val="Hyperlink"/>
            <w:snapToGrid w:val="0"/>
            <w:sz w:val="24"/>
            <w:szCs w:val="24"/>
          </w:rPr>
          <w:t>http://www.pacode.com/secure/data/052/chapter111/chap111toc.html</w:t>
        </w:r>
      </w:hyperlink>
    </w:p>
    <w:p w:rsidR="008C067A" w:rsidRPr="00CD4003" w:rsidRDefault="00836204" w:rsidP="00836204">
      <w:pPr>
        <w:pStyle w:val="ListParagraph"/>
        <w:numPr>
          <w:ilvl w:val="0"/>
          <w:numId w:val="1"/>
        </w:numPr>
      </w:pPr>
      <w:r>
        <w:rPr>
          <w:snapToGrid w:val="0"/>
          <w:sz w:val="24"/>
          <w:szCs w:val="24"/>
        </w:rPr>
        <w:t xml:space="preserve">Suppliers are advised to contact local authorities to let them know who </w:t>
      </w:r>
      <w:r w:rsidR="008C067A">
        <w:rPr>
          <w:snapToGrid w:val="0"/>
          <w:sz w:val="24"/>
          <w:szCs w:val="24"/>
        </w:rPr>
        <w:t xml:space="preserve">you are </w:t>
      </w:r>
      <w:r>
        <w:rPr>
          <w:snapToGrid w:val="0"/>
          <w:sz w:val="24"/>
          <w:szCs w:val="24"/>
        </w:rPr>
        <w:t xml:space="preserve">and what you are doing (some municipalities have permit </w:t>
      </w:r>
      <w:r w:rsidR="008C067A">
        <w:rPr>
          <w:snapToGrid w:val="0"/>
          <w:sz w:val="24"/>
          <w:szCs w:val="24"/>
        </w:rPr>
        <w:t>ordinances</w:t>
      </w:r>
      <w:r>
        <w:rPr>
          <w:snapToGrid w:val="0"/>
          <w:sz w:val="24"/>
          <w:szCs w:val="24"/>
        </w:rPr>
        <w:t xml:space="preserve"> that</w:t>
      </w:r>
      <w:r w:rsidR="008C067A">
        <w:rPr>
          <w:snapToGrid w:val="0"/>
          <w:sz w:val="24"/>
          <w:szCs w:val="24"/>
        </w:rPr>
        <w:t xml:space="preserve"> require this)</w:t>
      </w:r>
      <w:r>
        <w:rPr>
          <w:snapToGrid w:val="0"/>
          <w:sz w:val="24"/>
          <w:szCs w:val="24"/>
        </w:rPr>
        <w:t>.</w:t>
      </w:r>
      <w:r w:rsidR="008C067A">
        <w:rPr>
          <w:snapToGrid w:val="0"/>
          <w:sz w:val="24"/>
          <w:szCs w:val="24"/>
        </w:rPr>
        <w:t xml:space="preserve">  </w:t>
      </w:r>
      <w:r w:rsidR="00BA1051">
        <w:rPr>
          <w:snapToGrid w:val="0"/>
          <w:sz w:val="24"/>
          <w:szCs w:val="24"/>
        </w:rPr>
        <w:t>L</w:t>
      </w:r>
      <w:r w:rsidR="008C067A">
        <w:rPr>
          <w:snapToGrid w:val="0"/>
          <w:sz w:val="24"/>
          <w:szCs w:val="24"/>
        </w:rPr>
        <w:t xml:space="preserve">ocal ordinances supersede </w:t>
      </w:r>
      <w:r w:rsidR="00292485">
        <w:rPr>
          <w:snapToGrid w:val="0"/>
          <w:sz w:val="24"/>
          <w:szCs w:val="24"/>
        </w:rPr>
        <w:t>PUC</w:t>
      </w:r>
      <w:r w:rsidR="008C067A">
        <w:rPr>
          <w:snapToGrid w:val="0"/>
          <w:sz w:val="24"/>
          <w:szCs w:val="24"/>
        </w:rPr>
        <w:t xml:space="preserve"> Chapter 111 regulations.  </w:t>
      </w:r>
    </w:p>
    <w:p w:rsidR="00CD4003" w:rsidRPr="00CD4003" w:rsidRDefault="00CD4003" w:rsidP="00CD4003">
      <w:pPr>
        <w:pStyle w:val="ListParagraph"/>
        <w:numPr>
          <w:ilvl w:val="0"/>
          <w:numId w:val="1"/>
        </w:numPr>
        <w:rPr>
          <w:rStyle w:val="Hyperlink"/>
          <w:snapToGrid w:val="0"/>
          <w:sz w:val="24"/>
          <w:szCs w:val="24"/>
        </w:rPr>
      </w:pPr>
      <w:r w:rsidRPr="00CD4003">
        <w:rPr>
          <w:snapToGrid w:val="0"/>
          <w:sz w:val="24"/>
          <w:szCs w:val="24"/>
        </w:rPr>
        <w:t>All door-to-door agents must have criminal background checks (including the “Megan’s Law”) performed prior to being on the street.  See 52 Pa. Code</w:t>
      </w:r>
      <w:r>
        <w:rPr>
          <w:snapToGrid w:val="0"/>
          <w:sz w:val="24"/>
          <w:szCs w:val="24"/>
        </w:rPr>
        <w:t xml:space="preserve"> §</w:t>
      </w:r>
      <w:r w:rsidRPr="00CD4003">
        <w:rPr>
          <w:snapToGrid w:val="0"/>
          <w:sz w:val="24"/>
          <w:szCs w:val="24"/>
        </w:rPr>
        <w:t xml:space="preserve"> 111.4 – available at this</w:t>
      </w:r>
      <w:r w:rsidRPr="00CD4003">
        <w:rPr>
          <w:rFonts w:ascii="Times New Roman" w:hAnsi="Times New Roman"/>
          <w:color w:val="000000"/>
          <w:sz w:val="26"/>
          <w:szCs w:val="26"/>
        </w:rPr>
        <w:t xml:space="preserve"> </w:t>
      </w:r>
      <w:r w:rsidRPr="00CD4003">
        <w:rPr>
          <w:snapToGrid w:val="0"/>
          <w:sz w:val="24"/>
          <w:szCs w:val="24"/>
        </w:rPr>
        <w:t>weblink:</w:t>
      </w:r>
      <w:r w:rsidRPr="00CD4003">
        <w:rPr>
          <w:rFonts w:ascii="Times New Roman" w:hAnsi="Times New Roman"/>
          <w:color w:val="000000"/>
          <w:sz w:val="26"/>
          <w:szCs w:val="26"/>
        </w:rPr>
        <w:t>   </w:t>
      </w:r>
      <w:hyperlink r:id="rId26" w:history="1">
        <w:r w:rsidRPr="00CD4003">
          <w:rPr>
            <w:rStyle w:val="Hyperlink"/>
            <w:snapToGrid w:val="0"/>
            <w:sz w:val="24"/>
            <w:szCs w:val="24"/>
          </w:rPr>
          <w:t>http://www.pacode.com/secure/data/052/chapter111/s111.4.html</w:t>
        </w:r>
      </w:hyperlink>
      <w:r w:rsidRPr="00CD4003">
        <w:rPr>
          <w:rStyle w:val="Hyperlink"/>
          <w:snapToGrid w:val="0"/>
          <w:sz w:val="24"/>
          <w:szCs w:val="24"/>
        </w:rPr>
        <w:t xml:space="preserve">   </w:t>
      </w:r>
    </w:p>
    <w:p w:rsidR="008C067A" w:rsidRPr="008C067A" w:rsidRDefault="008C067A" w:rsidP="00BA1051">
      <w:pPr>
        <w:pStyle w:val="ListParagraph"/>
        <w:numPr>
          <w:ilvl w:val="0"/>
          <w:numId w:val="1"/>
        </w:numPr>
      </w:pPr>
      <w:r>
        <w:rPr>
          <w:snapToGrid w:val="0"/>
          <w:sz w:val="24"/>
          <w:szCs w:val="24"/>
        </w:rPr>
        <w:t>52 Pa Code §</w:t>
      </w:r>
      <w:r w:rsidR="00CD4003">
        <w:rPr>
          <w:snapToGrid w:val="0"/>
          <w:sz w:val="24"/>
          <w:szCs w:val="24"/>
        </w:rPr>
        <w:t xml:space="preserve"> </w:t>
      </w:r>
      <w:r>
        <w:rPr>
          <w:snapToGrid w:val="0"/>
          <w:sz w:val="24"/>
          <w:szCs w:val="24"/>
        </w:rPr>
        <w:t xml:space="preserve">111.14 requires suppliers to notify the Commission and the local utility of door-to-door operations.  Notices to the Commission should be directed to our door-to-door inbox :  </w:t>
      </w:r>
      <w:hyperlink r:id="rId27" w:history="1">
        <w:r w:rsidRPr="00883184">
          <w:rPr>
            <w:rStyle w:val="Hyperlink"/>
            <w:snapToGrid w:val="0"/>
            <w:sz w:val="24"/>
            <w:szCs w:val="24"/>
          </w:rPr>
          <w:t>RA-PCDOORTODOOR@pa.gov</w:t>
        </w:r>
      </w:hyperlink>
      <w:r>
        <w:rPr>
          <w:snapToGrid w:val="0"/>
          <w:sz w:val="24"/>
          <w:szCs w:val="24"/>
        </w:rPr>
        <w:t xml:space="preserve">.   The notices should include geographic location (municipalities) and dates of operations.   </w:t>
      </w:r>
      <w:r w:rsidR="00BA1051">
        <w:rPr>
          <w:snapToGrid w:val="0"/>
          <w:sz w:val="24"/>
          <w:szCs w:val="24"/>
        </w:rPr>
        <w:t xml:space="preserve">Questions about these notices can be directed to Annette Falcone in the Bureau of Consumer Services at </w:t>
      </w:r>
      <w:hyperlink r:id="rId28" w:history="1">
        <w:r w:rsidR="00BA1051" w:rsidRPr="001B3A33">
          <w:rPr>
            <w:rStyle w:val="Hyperlink"/>
            <w:snapToGrid w:val="0"/>
            <w:sz w:val="24"/>
            <w:szCs w:val="24"/>
          </w:rPr>
          <w:t>anfalcone@pa.gov</w:t>
        </w:r>
      </w:hyperlink>
      <w:r w:rsidR="00BA1051">
        <w:rPr>
          <w:snapToGrid w:val="0"/>
          <w:sz w:val="24"/>
          <w:szCs w:val="24"/>
        </w:rPr>
        <w:t xml:space="preserve">. </w:t>
      </w:r>
    </w:p>
    <w:p w:rsidR="009E74C9" w:rsidRPr="00836204" w:rsidRDefault="00830B87" w:rsidP="009E74C9">
      <w:pPr>
        <w:rPr>
          <w:b/>
          <w:sz w:val="32"/>
          <w:szCs w:val="32"/>
        </w:rPr>
      </w:pPr>
      <w:r>
        <w:rPr>
          <w:b/>
          <w:sz w:val="32"/>
          <w:szCs w:val="32"/>
        </w:rPr>
        <w:t>6</w:t>
      </w:r>
      <w:r w:rsidR="009E74C9">
        <w:rPr>
          <w:b/>
          <w:sz w:val="32"/>
          <w:szCs w:val="32"/>
        </w:rPr>
        <w:t>)  EGS Disclosure Rulemaking:</w:t>
      </w:r>
    </w:p>
    <w:p w:rsidR="00321B36" w:rsidRPr="00321B36" w:rsidRDefault="00321B36" w:rsidP="00321B36">
      <w:pPr>
        <w:pStyle w:val="ListParagraph"/>
        <w:numPr>
          <w:ilvl w:val="0"/>
          <w:numId w:val="1"/>
        </w:numPr>
      </w:pPr>
      <w:r>
        <w:rPr>
          <w:snapToGrid w:val="0"/>
          <w:sz w:val="24"/>
          <w:szCs w:val="24"/>
        </w:rPr>
        <w:t xml:space="preserve">The current EGS disclosure regulations are at 52 Pa. Code § 54.5:  </w:t>
      </w:r>
      <w:hyperlink r:id="rId29" w:history="1">
        <w:r w:rsidRPr="00CB2D1C">
          <w:rPr>
            <w:rStyle w:val="Hyperlink"/>
            <w:snapToGrid w:val="0"/>
            <w:sz w:val="24"/>
            <w:szCs w:val="24"/>
          </w:rPr>
          <w:t>http://www.pacode.com/secure/data/052/chapter54/s54.5.html</w:t>
        </w:r>
      </w:hyperlink>
      <w:r>
        <w:rPr>
          <w:snapToGrid w:val="0"/>
          <w:sz w:val="24"/>
          <w:szCs w:val="24"/>
        </w:rPr>
        <w:t xml:space="preserve">  </w:t>
      </w:r>
    </w:p>
    <w:p w:rsidR="00321B36" w:rsidRPr="00321B36" w:rsidRDefault="00321B36" w:rsidP="00321B36">
      <w:pPr>
        <w:pStyle w:val="ListParagraph"/>
        <w:numPr>
          <w:ilvl w:val="0"/>
          <w:numId w:val="1"/>
        </w:numPr>
      </w:pPr>
      <w:r>
        <w:rPr>
          <w:snapToGrid w:val="0"/>
          <w:sz w:val="24"/>
          <w:szCs w:val="24"/>
        </w:rPr>
        <w:t>These rules were last revised in 2014 as part of the Commission’s Polar Vortex market reforms.</w:t>
      </w:r>
    </w:p>
    <w:p w:rsidR="00321B36" w:rsidRPr="00321B36" w:rsidRDefault="00321B36" w:rsidP="00321B36">
      <w:pPr>
        <w:pStyle w:val="ListParagraph"/>
        <w:numPr>
          <w:ilvl w:val="0"/>
          <w:numId w:val="1"/>
        </w:numPr>
      </w:pPr>
      <w:r>
        <w:rPr>
          <w:snapToGrid w:val="0"/>
          <w:sz w:val="24"/>
          <w:szCs w:val="24"/>
        </w:rPr>
        <w:t xml:space="preserve">The Commission has directed OCMO to revisit these rules – looking at some issues that were not addressed in 2014, but were addressed in the rulemaking that revised the NGS disclosure rules in 2016 (NGS rules </w:t>
      </w:r>
      <w:r w:rsidR="00CD4003">
        <w:rPr>
          <w:snapToGrid w:val="0"/>
          <w:sz w:val="24"/>
          <w:szCs w:val="24"/>
        </w:rPr>
        <w:t>52 Pa. Code § 62.75</w:t>
      </w:r>
      <w:r>
        <w:rPr>
          <w:snapToGrid w:val="0"/>
          <w:sz w:val="24"/>
          <w:szCs w:val="24"/>
        </w:rPr>
        <w:t xml:space="preserve">: </w:t>
      </w:r>
      <w:hyperlink r:id="rId30" w:history="1">
        <w:r w:rsidRPr="00CB2D1C">
          <w:rPr>
            <w:rStyle w:val="Hyperlink"/>
            <w:snapToGrid w:val="0"/>
            <w:sz w:val="24"/>
            <w:szCs w:val="24"/>
          </w:rPr>
          <w:t>http://www.pacode.com/secure/data/052/chapter62/s62.75.html</w:t>
        </w:r>
      </w:hyperlink>
      <w:r>
        <w:rPr>
          <w:snapToGrid w:val="0"/>
          <w:sz w:val="24"/>
          <w:szCs w:val="24"/>
        </w:rPr>
        <w:t xml:space="preserve"> ).</w:t>
      </w:r>
    </w:p>
    <w:p w:rsidR="00321B36" w:rsidRPr="00321B36" w:rsidRDefault="00321B36" w:rsidP="00321B36">
      <w:pPr>
        <w:pStyle w:val="ListParagraph"/>
        <w:numPr>
          <w:ilvl w:val="0"/>
          <w:numId w:val="1"/>
        </w:numPr>
        <w:rPr>
          <w:snapToGrid w:val="0"/>
          <w:sz w:val="24"/>
          <w:szCs w:val="24"/>
        </w:rPr>
      </w:pPr>
      <w:r w:rsidRPr="00321B36">
        <w:rPr>
          <w:snapToGrid w:val="0"/>
          <w:sz w:val="24"/>
          <w:szCs w:val="24"/>
        </w:rPr>
        <w:t>There are now some inconsistencies between the electric and natural gas disclosure rules.</w:t>
      </w:r>
      <w:r>
        <w:rPr>
          <w:snapToGrid w:val="0"/>
          <w:sz w:val="24"/>
          <w:szCs w:val="24"/>
        </w:rPr>
        <w:t xml:space="preserve">   The natural gas rules differences include:</w:t>
      </w:r>
      <w:r w:rsidR="00835EFA">
        <w:rPr>
          <w:snapToGrid w:val="0"/>
          <w:sz w:val="24"/>
          <w:szCs w:val="24"/>
        </w:rPr>
        <w:br/>
      </w:r>
    </w:p>
    <w:p w:rsidR="000F0424" w:rsidRDefault="00321B36" w:rsidP="008F6893">
      <w:pPr>
        <w:pStyle w:val="ListParagraph"/>
        <w:numPr>
          <w:ilvl w:val="1"/>
          <w:numId w:val="1"/>
        </w:numPr>
        <w:rPr>
          <w:snapToGrid w:val="0"/>
          <w:sz w:val="24"/>
          <w:szCs w:val="24"/>
        </w:rPr>
      </w:pPr>
      <w:r w:rsidRPr="000F0424">
        <w:rPr>
          <w:snapToGrid w:val="0"/>
          <w:sz w:val="24"/>
          <w:szCs w:val="24"/>
        </w:rPr>
        <w:t>Introductory Pricing</w:t>
      </w:r>
      <w:r w:rsidR="000F0424" w:rsidRPr="000F0424">
        <w:rPr>
          <w:snapToGrid w:val="0"/>
          <w:sz w:val="24"/>
          <w:szCs w:val="24"/>
        </w:rPr>
        <w:t>:  “</w:t>
      </w:r>
      <w:r w:rsidR="000F0424" w:rsidRPr="000F0424">
        <w:rPr>
          <w:i/>
          <w:sz w:val="24"/>
          <w:szCs w:val="24"/>
        </w:rPr>
        <w:t>If the price is introductory, the variable pricing statement must include a statement that the price is an introductory price, the duration of the introductory period and the price for the first billing cycle after the introductory period</w:t>
      </w:r>
      <w:r w:rsidR="000F0424" w:rsidRPr="000F0424">
        <w:rPr>
          <w:sz w:val="24"/>
          <w:szCs w:val="24"/>
        </w:rPr>
        <w:t>.”</w:t>
      </w:r>
      <w:r w:rsidR="000F0424">
        <w:t xml:space="preserve"> </w:t>
      </w:r>
      <w:r w:rsidRPr="000F0424">
        <w:rPr>
          <w:snapToGrid w:val="0"/>
          <w:sz w:val="24"/>
          <w:szCs w:val="24"/>
        </w:rPr>
        <w:t xml:space="preserve"> </w:t>
      </w:r>
    </w:p>
    <w:p w:rsidR="00321B36" w:rsidRPr="000F0424" w:rsidRDefault="00321B36" w:rsidP="008F6893">
      <w:pPr>
        <w:pStyle w:val="ListParagraph"/>
        <w:numPr>
          <w:ilvl w:val="1"/>
          <w:numId w:val="1"/>
        </w:numPr>
        <w:rPr>
          <w:snapToGrid w:val="0"/>
          <w:sz w:val="24"/>
          <w:szCs w:val="24"/>
        </w:rPr>
      </w:pPr>
      <w:r w:rsidRPr="000F0424">
        <w:rPr>
          <w:snapToGrid w:val="0"/>
          <w:sz w:val="24"/>
          <w:szCs w:val="24"/>
        </w:rPr>
        <w:t>If prices change (variable)…when and how does a customer get informed of this?</w:t>
      </w:r>
      <w:r w:rsidR="000F0424">
        <w:rPr>
          <w:snapToGrid w:val="0"/>
          <w:sz w:val="24"/>
          <w:szCs w:val="24"/>
        </w:rPr>
        <w:t xml:space="preserve">  “</w:t>
      </w:r>
      <w:r w:rsidR="000F0424" w:rsidRPr="000F0424">
        <w:rPr>
          <w:i/>
          <w:snapToGrid w:val="0"/>
          <w:sz w:val="24"/>
          <w:szCs w:val="24"/>
        </w:rPr>
        <w:t>A description of when and how the customer will receive notification of price changes</w:t>
      </w:r>
      <w:r w:rsidR="000F0424" w:rsidRPr="000F0424">
        <w:rPr>
          <w:snapToGrid w:val="0"/>
          <w:sz w:val="24"/>
          <w:szCs w:val="24"/>
        </w:rPr>
        <w:t>.</w:t>
      </w:r>
      <w:r w:rsidR="000F0424">
        <w:rPr>
          <w:snapToGrid w:val="0"/>
          <w:sz w:val="24"/>
          <w:szCs w:val="24"/>
        </w:rPr>
        <w:t>”</w:t>
      </w:r>
    </w:p>
    <w:p w:rsidR="00321B36" w:rsidRPr="000F0424" w:rsidRDefault="00321B36" w:rsidP="008F6893">
      <w:pPr>
        <w:pStyle w:val="ListParagraph"/>
        <w:numPr>
          <w:ilvl w:val="1"/>
          <w:numId w:val="1"/>
        </w:numPr>
        <w:rPr>
          <w:i/>
          <w:snapToGrid w:val="0"/>
          <w:sz w:val="24"/>
          <w:szCs w:val="24"/>
        </w:rPr>
      </w:pPr>
      <w:r w:rsidRPr="00321B36">
        <w:rPr>
          <w:snapToGrid w:val="0"/>
          <w:sz w:val="24"/>
          <w:szCs w:val="24"/>
        </w:rPr>
        <w:t>Assignment of contracts</w:t>
      </w:r>
      <w:r w:rsidR="00CD4003">
        <w:rPr>
          <w:snapToGrid w:val="0"/>
          <w:sz w:val="24"/>
          <w:szCs w:val="24"/>
        </w:rPr>
        <w:t xml:space="preserve">: </w:t>
      </w:r>
      <w:r w:rsidR="000F0424">
        <w:rPr>
          <w:snapToGrid w:val="0"/>
          <w:sz w:val="24"/>
          <w:szCs w:val="24"/>
        </w:rPr>
        <w:t xml:space="preserve">Electric is currently guided by </w:t>
      </w:r>
      <w:r w:rsidRPr="00321B36">
        <w:rPr>
          <w:snapToGrid w:val="0"/>
          <w:sz w:val="24"/>
          <w:szCs w:val="24"/>
        </w:rPr>
        <w:t>1998 Interim Guidelines</w:t>
      </w:r>
      <w:r w:rsidR="00CD4003">
        <w:rPr>
          <w:snapToGrid w:val="0"/>
          <w:sz w:val="24"/>
          <w:szCs w:val="24"/>
        </w:rPr>
        <w:t xml:space="preserve"> -</w:t>
      </w:r>
      <w:r w:rsidR="000F0424">
        <w:rPr>
          <w:snapToGrid w:val="0"/>
          <w:sz w:val="24"/>
          <w:szCs w:val="24"/>
        </w:rPr>
        <w:t xml:space="preserve">   see weblink:  </w:t>
      </w:r>
      <w:hyperlink r:id="rId31" w:tgtFrame="_blank" w:history="1">
        <w:r w:rsidR="000F0424">
          <w:rPr>
            <w:rStyle w:val="Hyperlink"/>
            <w:rFonts w:ascii="Helvetica" w:hAnsi="Helvetica"/>
            <w:b/>
            <w:bCs/>
            <w:color w:val="333333"/>
            <w:sz w:val="18"/>
            <w:szCs w:val="18"/>
          </w:rPr>
          <w:t>Order on Interim Guidelines Regarding Notification by an EGS</w:t>
        </w:r>
      </w:hyperlink>
      <w:r w:rsidR="000F0424">
        <w:rPr>
          <w:rFonts w:ascii="Helvetica" w:hAnsi="Helvetica"/>
          <w:color w:val="333333"/>
          <w:sz w:val="18"/>
          <w:szCs w:val="18"/>
        </w:rPr>
        <w:t xml:space="preserve"> </w:t>
      </w:r>
      <w:r w:rsidRPr="00321B36">
        <w:rPr>
          <w:snapToGrid w:val="0"/>
          <w:sz w:val="24"/>
          <w:szCs w:val="24"/>
        </w:rPr>
        <w:t>.</w:t>
      </w:r>
      <w:r w:rsidR="000F0424">
        <w:rPr>
          <w:snapToGrid w:val="0"/>
          <w:sz w:val="24"/>
          <w:szCs w:val="24"/>
        </w:rPr>
        <w:t xml:space="preserve">  </w:t>
      </w:r>
      <w:r w:rsidR="000F0424">
        <w:rPr>
          <w:snapToGrid w:val="0"/>
          <w:sz w:val="24"/>
          <w:szCs w:val="24"/>
        </w:rPr>
        <w:br/>
        <w:t xml:space="preserve">The NGS rule at 52 Pa. Code § 62.75(j):  </w:t>
      </w:r>
      <w:r w:rsidR="000F0424" w:rsidRPr="000F0424">
        <w:rPr>
          <w:snapToGrid w:val="0"/>
          <w:sz w:val="24"/>
          <w:szCs w:val="24"/>
        </w:rPr>
        <w:t> </w:t>
      </w:r>
      <w:r w:rsidR="000F0424">
        <w:rPr>
          <w:snapToGrid w:val="0"/>
          <w:sz w:val="24"/>
          <w:szCs w:val="24"/>
        </w:rPr>
        <w:t>“</w:t>
      </w:r>
      <w:r w:rsidR="000F0424" w:rsidRPr="000F0424">
        <w:rPr>
          <w:i/>
          <w:snapToGrid w:val="0"/>
          <w:sz w:val="24"/>
          <w:szCs w:val="24"/>
        </w:rPr>
        <w:t>If the contract is assignable, the NGS shall inform the customer at the time the parties enter into the contract. Prior to a contract assignment, the NGS shall provide notice to the affected customer, the affected NGDC and the Commission. The customer notice must include the name of the new NGS, the contact information for the new NGS and language informing the customer that contract terms and conditions remain unchanged.</w:t>
      </w:r>
      <w:r w:rsidR="000F0424">
        <w:rPr>
          <w:i/>
          <w:snapToGrid w:val="0"/>
          <w:sz w:val="24"/>
          <w:szCs w:val="24"/>
        </w:rPr>
        <w:t>”</w:t>
      </w:r>
    </w:p>
    <w:p w:rsidR="009E74C9" w:rsidRPr="000F0424" w:rsidRDefault="000F0424" w:rsidP="000F0424">
      <w:pPr>
        <w:pStyle w:val="ListParagraph"/>
        <w:numPr>
          <w:ilvl w:val="1"/>
          <w:numId w:val="1"/>
        </w:numPr>
      </w:pPr>
      <w:r w:rsidRPr="000F0424">
        <w:rPr>
          <w:snapToGrid w:val="0"/>
          <w:sz w:val="24"/>
          <w:szCs w:val="24"/>
        </w:rPr>
        <w:t>Most references to the NGDC</w:t>
      </w:r>
      <w:r w:rsidR="00321B36" w:rsidRPr="000F0424">
        <w:rPr>
          <w:snapToGrid w:val="0"/>
          <w:sz w:val="24"/>
          <w:szCs w:val="24"/>
        </w:rPr>
        <w:t xml:space="preserve"> </w:t>
      </w:r>
      <w:r w:rsidRPr="000F0424">
        <w:rPr>
          <w:snapToGrid w:val="0"/>
          <w:sz w:val="24"/>
          <w:szCs w:val="24"/>
        </w:rPr>
        <w:t xml:space="preserve">were removed from the NGS disclosure.  </w:t>
      </w:r>
      <w:r w:rsidR="00835EFA">
        <w:rPr>
          <w:snapToGrid w:val="0"/>
          <w:sz w:val="24"/>
          <w:szCs w:val="24"/>
        </w:rPr>
        <w:br/>
      </w:r>
    </w:p>
    <w:p w:rsidR="000F0424" w:rsidRPr="000F0424" w:rsidRDefault="000F0424" w:rsidP="000F0424">
      <w:pPr>
        <w:pStyle w:val="ListParagraph"/>
        <w:numPr>
          <w:ilvl w:val="0"/>
          <w:numId w:val="1"/>
        </w:numPr>
        <w:rPr>
          <w:snapToGrid w:val="0"/>
          <w:sz w:val="24"/>
          <w:szCs w:val="24"/>
        </w:rPr>
      </w:pPr>
      <w:r>
        <w:rPr>
          <w:snapToGrid w:val="0"/>
          <w:sz w:val="24"/>
          <w:szCs w:val="24"/>
        </w:rPr>
        <w:t xml:space="preserve">OCMO is inviting stakeholders to submit </w:t>
      </w:r>
      <w:r w:rsidRPr="000F0424">
        <w:rPr>
          <w:snapToGrid w:val="0"/>
          <w:sz w:val="24"/>
          <w:szCs w:val="24"/>
          <w:u w:val="single"/>
        </w:rPr>
        <w:t>informal</w:t>
      </w:r>
      <w:r>
        <w:rPr>
          <w:snapToGrid w:val="0"/>
          <w:sz w:val="24"/>
          <w:szCs w:val="24"/>
        </w:rPr>
        <w:t xml:space="preserve"> comments on possible revisions to the EGS disclosure rules at 52 Pa. Code § 54.5.  These informal comments can be submitted to the OCMO email inbox at </w:t>
      </w:r>
      <w:hyperlink r:id="rId32" w:history="1">
        <w:r w:rsidRPr="000F0424">
          <w:rPr>
            <w:rStyle w:val="Hyperlink"/>
            <w:snapToGrid w:val="0"/>
            <w:sz w:val="24"/>
            <w:szCs w:val="24"/>
          </w:rPr>
          <w:t>ra-ocmo@pa.gov</w:t>
        </w:r>
      </w:hyperlink>
      <w:r w:rsidR="00C84F79" w:rsidRPr="00C84F79">
        <w:rPr>
          <w:rStyle w:val="Hyperlink"/>
          <w:snapToGrid w:val="0"/>
          <w:sz w:val="24"/>
          <w:szCs w:val="24"/>
          <w:u w:val="none"/>
        </w:rPr>
        <w:t xml:space="preserve"> </w:t>
      </w:r>
      <w:r w:rsidR="00C84F79" w:rsidRPr="00C84F79">
        <w:rPr>
          <w:rStyle w:val="Hyperlink"/>
          <w:snapToGrid w:val="0"/>
          <w:color w:val="000000" w:themeColor="text1"/>
          <w:sz w:val="24"/>
          <w:szCs w:val="24"/>
          <w:u w:val="none"/>
        </w:rPr>
        <w:t>and note in the subject line “</w:t>
      </w:r>
      <w:r w:rsidR="00C84F79" w:rsidRPr="00C84F79">
        <w:rPr>
          <w:rStyle w:val="Hyperlink"/>
          <w:i/>
          <w:snapToGrid w:val="0"/>
          <w:color w:val="000000" w:themeColor="text1"/>
          <w:sz w:val="24"/>
          <w:szCs w:val="24"/>
          <w:u w:val="none"/>
        </w:rPr>
        <w:t>EGS Disclosure Comments</w:t>
      </w:r>
      <w:r w:rsidR="00C84F79" w:rsidRPr="00C84F79">
        <w:rPr>
          <w:snapToGrid w:val="0"/>
          <w:color w:val="000000" w:themeColor="text1"/>
          <w:sz w:val="24"/>
          <w:szCs w:val="24"/>
        </w:rPr>
        <w:t>”</w:t>
      </w:r>
      <w:r w:rsidRPr="00C84F79">
        <w:rPr>
          <w:snapToGrid w:val="0"/>
          <w:color w:val="000000" w:themeColor="text1"/>
          <w:sz w:val="24"/>
          <w:szCs w:val="24"/>
        </w:rPr>
        <w:t xml:space="preserve">  Plea</w:t>
      </w:r>
      <w:r>
        <w:rPr>
          <w:snapToGrid w:val="0"/>
          <w:sz w:val="24"/>
          <w:szCs w:val="24"/>
        </w:rPr>
        <w:t xml:space="preserve">se submit any informal comments by Friday, June </w:t>
      </w:r>
      <w:r w:rsidR="00C84F79">
        <w:rPr>
          <w:snapToGrid w:val="0"/>
          <w:sz w:val="24"/>
          <w:szCs w:val="24"/>
        </w:rPr>
        <w:t>30</w:t>
      </w:r>
      <w:r>
        <w:rPr>
          <w:snapToGrid w:val="0"/>
          <w:sz w:val="24"/>
          <w:szCs w:val="24"/>
        </w:rPr>
        <w:t xml:space="preserve">, 2017.  </w:t>
      </w:r>
    </w:p>
    <w:p w:rsidR="000F0424" w:rsidRPr="00836204" w:rsidRDefault="000F0424" w:rsidP="000F0424">
      <w:pPr>
        <w:pStyle w:val="ListParagraph"/>
        <w:numPr>
          <w:ilvl w:val="0"/>
          <w:numId w:val="1"/>
        </w:numPr>
      </w:pPr>
      <w:r w:rsidRPr="00C84F79">
        <w:rPr>
          <w:snapToGrid w:val="0"/>
          <w:sz w:val="24"/>
          <w:szCs w:val="24"/>
        </w:rPr>
        <w:t xml:space="preserve">Upon review of the informal comments, OCMO intends to submit a proposed NOPR for the Commission’s consideration by the end of 2017.  </w:t>
      </w:r>
    </w:p>
    <w:p w:rsidR="001903AF" w:rsidRPr="00FE5645" w:rsidRDefault="001903AF" w:rsidP="001903AF">
      <w:pPr>
        <w:rPr>
          <w:b/>
          <w:sz w:val="32"/>
          <w:szCs w:val="32"/>
        </w:rPr>
      </w:pPr>
      <w:r>
        <w:rPr>
          <w:b/>
          <w:sz w:val="32"/>
          <w:szCs w:val="32"/>
        </w:rPr>
        <w:t>7</w:t>
      </w:r>
      <w:r w:rsidRPr="00FE5645">
        <w:rPr>
          <w:b/>
          <w:sz w:val="32"/>
          <w:szCs w:val="32"/>
        </w:rPr>
        <w:t xml:space="preserve">)  </w:t>
      </w:r>
      <w:r w:rsidRPr="001903AF">
        <w:rPr>
          <w:b/>
          <w:sz w:val="32"/>
          <w:szCs w:val="32"/>
        </w:rPr>
        <w:t>Informal Review of PJM Non-Market Based Charges</w:t>
      </w:r>
      <w:r>
        <w:rPr>
          <w:b/>
          <w:sz w:val="32"/>
          <w:szCs w:val="32"/>
        </w:rPr>
        <w:t>:</w:t>
      </w:r>
    </w:p>
    <w:p w:rsidR="001903AF" w:rsidRPr="00A81A08" w:rsidRDefault="001903AF" w:rsidP="001903AF">
      <w:pPr>
        <w:pStyle w:val="ListParagraph"/>
        <w:numPr>
          <w:ilvl w:val="0"/>
          <w:numId w:val="10"/>
        </w:numPr>
        <w:rPr>
          <w:b/>
          <w:sz w:val="32"/>
          <w:szCs w:val="32"/>
        </w:rPr>
      </w:pPr>
      <w:r w:rsidRPr="001903AF">
        <w:rPr>
          <w:snapToGrid w:val="0"/>
          <w:sz w:val="24"/>
          <w:szCs w:val="24"/>
        </w:rPr>
        <w:t>See the May 1, 2015 Secretarial Letter attached to this agenda for details of this review.</w:t>
      </w:r>
    </w:p>
    <w:p w:rsidR="00A81A08" w:rsidRPr="00A81A08" w:rsidRDefault="00A81A08" w:rsidP="00A81A08">
      <w:pPr>
        <w:pStyle w:val="ListParagraph"/>
        <w:numPr>
          <w:ilvl w:val="0"/>
          <w:numId w:val="10"/>
        </w:numPr>
        <w:rPr>
          <w:snapToGrid w:val="0"/>
          <w:sz w:val="24"/>
          <w:szCs w:val="24"/>
        </w:rPr>
      </w:pPr>
      <w:r>
        <w:rPr>
          <w:snapToGrid w:val="0"/>
          <w:sz w:val="24"/>
          <w:szCs w:val="24"/>
        </w:rPr>
        <w:t>“</w:t>
      </w:r>
      <w:r w:rsidRPr="007F7800">
        <w:rPr>
          <w:i/>
          <w:snapToGrid w:val="0"/>
          <w:sz w:val="24"/>
          <w:szCs w:val="24"/>
        </w:rPr>
        <w:t>The intent of this informal investigation is to determine if there is a need to address these non-market based wholesale market charges in a more uniform and comprehensive way that would facilitate and enhance the retail electric market during future proceedings</w:t>
      </w:r>
      <w:r w:rsidRPr="00A81A08">
        <w:rPr>
          <w:snapToGrid w:val="0"/>
          <w:sz w:val="24"/>
          <w:szCs w:val="24"/>
        </w:rPr>
        <w:t>.</w:t>
      </w:r>
      <w:r>
        <w:rPr>
          <w:snapToGrid w:val="0"/>
          <w:sz w:val="24"/>
          <w:szCs w:val="24"/>
        </w:rPr>
        <w:t>”</w:t>
      </w:r>
      <w:r w:rsidRPr="00A81A08">
        <w:rPr>
          <w:snapToGrid w:val="0"/>
          <w:sz w:val="24"/>
          <w:szCs w:val="24"/>
        </w:rPr>
        <w:t xml:space="preserve">   </w:t>
      </w:r>
    </w:p>
    <w:p w:rsidR="001903AF" w:rsidRPr="001903AF" w:rsidRDefault="001903AF" w:rsidP="001903AF">
      <w:pPr>
        <w:pStyle w:val="ListParagraph"/>
        <w:numPr>
          <w:ilvl w:val="0"/>
          <w:numId w:val="10"/>
        </w:numPr>
        <w:rPr>
          <w:b/>
          <w:sz w:val="32"/>
          <w:szCs w:val="32"/>
        </w:rPr>
      </w:pPr>
      <w:r>
        <w:rPr>
          <w:snapToGrid w:val="0"/>
          <w:sz w:val="24"/>
          <w:szCs w:val="24"/>
        </w:rPr>
        <w:t xml:space="preserve">OCMO put this review on hold while the most recent round of </w:t>
      </w:r>
      <w:r w:rsidR="00477E65">
        <w:rPr>
          <w:snapToGrid w:val="0"/>
          <w:sz w:val="24"/>
          <w:szCs w:val="24"/>
        </w:rPr>
        <w:t>D</w:t>
      </w:r>
      <w:r>
        <w:rPr>
          <w:snapToGrid w:val="0"/>
          <w:sz w:val="24"/>
          <w:szCs w:val="24"/>
        </w:rPr>
        <w:t xml:space="preserve">efault </w:t>
      </w:r>
      <w:r w:rsidR="00477E65">
        <w:rPr>
          <w:snapToGrid w:val="0"/>
          <w:sz w:val="24"/>
          <w:szCs w:val="24"/>
        </w:rPr>
        <w:t>S</w:t>
      </w:r>
      <w:r>
        <w:rPr>
          <w:snapToGrid w:val="0"/>
          <w:sz w:val="24"/>
          <w:szCs w:val="24"/>
        </w:rPr>
        <w:t xml:space="preserve">ervice </w:t>
      </w:r>
      <w:r w:rsidR="00477E65">
        <w:rPr>
          <w:snapToGrid w:val="0"/>
          <w:sz w:val="24"/>
          <w:szCs w:val="24"/>
        </w:rPr>
        <w:t>P</w:t>
      </w:r>
      <w:r>
        <w:rPr>
          <w:snapToGrid w:val="0"/>
          <w:sz w:val="24"/>
          <w:szCs w:val="24"/>
        </w:rPr>
        <w:t xml:space="preserve">lans </w:t>
      </w:r>
      <w:r w:rsidR="00477E65">
        <w:rPr>
          <w:snapToGrid w:val="0"/>
          <w:sz w:val="24"/>
          <w:szCs w:val="24"/>
        </w:rPr>
        <w:t>(</w:t>
      </w:r>
      <w:r>
        <w:rPr>
          <w:snapToGrid w:val="0"/>
          <w:sz w:val="24"/>
          <w:szCs w:val="24"/>
        </w:rPr>
        <w:t>DSPs) were being litigated.</w:t>
      </w:r>
    </w:p>
    <w:p w:rsidR="001903AF" w:rsidRPr="001903AF" w:rsidRDefault="001903AF" w:rsidP="001903AF">
      <w:pPr>
        <w:pStyle w:val="ListParagraph"/>
        <w:numPr>
          <w:ilvl w:val="0"/>
          <w:numId w:val="10"/>
        </w:numPr>
        <w:rPr>
          <w:b/>
          <w:sz w:val="32"/>
          <w:szCs w:val="32"/>
        </w:rPr>
      </w:pPr>
      <w:r>
        <w:rPr>
          <w:snapToGrid w:val="0"/>
          <w:sz w:val="24"/>
          <w:szCs w:val="24"/>
        </w:rPr>
        <w:t xml:space="preserve">Now that the most recent round of DSP litigation has been concluded, OCMO is resuming this review and would like to broaden it by inviting any interested party to submit </w:t>
      </w:r>
      <w:r w:rsidRPr="00477E65">
        <w:rPr>
          <w:snapToGrid w:val="0"/>
          <w:sz w:val="24"/>
          <w:szCs w:val="24"/>
          <w:u w:val="single"/>
        </w:rPr>
        <w:t>informal</w:t>
      </w:r>
      <w:r>
        <w:rPr>
          <w:snapToGrid w:val="0"/>
          <w:sz w:val="24"/>
          <w:szCs w:val="24"/>
        </w:rPr>
        <w:t xml:space="preserve"> comments on the issues and questions raised in the Secretarial Letter.  </w:t>
      </w:r>
    </w:p>
    <w:p w:rsidR="00477E65" w:rsidRPr="000F0424" w:rsidRDefault="00477E65" w:rsidP="00477E65">
      <w:pPr>
        <w:pStyle w:val="ListParagraph"/>
        <w:numPr>
          <w:ilvl w:val="0"/>
          <w:numId w:val="10"/>
        </w:numPr>
        <w:rPr>
          <w:snapToGrid w:val="0"/>
          <w:sz w:val="24"/>
          <w:szCs w:val="24"/>
        </w:rPr>
      </w:pPr>
      <w:r>
        <w:rPr>
          <w:snapToGrid w:val="0"/>
          <w:sz w:val="24"/>
          <w:szCs w:val="24"/>
        </w:rPr>
        <w:t xml:space="preserve">These informal comments can be submitted to the OCMO email inbox at </w:t>
      </w:r>
      <w:r w:rsidR="00C84F79">
        <w:rPr>
          <w:snapToGrid w:val="0"/>
          <w:sz w:val="24"/>
          <w:szCs w:val="24"/>
        </w:rPr>
        <w:br/>
      </w:r>
      <w:hyperlink r:id="rId33" w:history="1">
        <w:r w:rsidRPr="000F0424">
          <w:rPr>
            <w:rStyle w:val="Hyperlink"/>
            <w:snapToGrid w:val="0"/>
            <w:sz w:val="24"/>
            <w:szCs w:val="24"/>
          </w:rPr>
          <w:t>ra-ocmo@pa.gov</w:t>
        </w:r>
      </w:hyperlink>
      <w:r w:rsidR="00C84F79">
        <w:rPr>
          <w:rStyle w:val="Hyperlink"/>
          <w:snapToGrid w:val="0"/>
          <w:sz w:val="24"/>
          <w:szCs w:val="24"/>
          <w:u w:val="none"/>
        </w:rPr>
        <w:t xml:space="preserve"> </w:t>
      </w:r>
      <w:r w:rsidR="00C84F79" w:rsidRPr="00C84F79">
        <w:rPr>
          <w:rStyle w:val="Hyperlink"/>
          <w:snapToGrid w:val="0"/>
          <w:color w:val="000000" w:themeColor="text1"/>
          <w:sz w:val="24"/>
          <w:szCs w:val="24"/>
          <w:u w:val="none"/>
        </w:rPr>
        <w:t>and note in the subject line “</w:t>
      </w:r>
      <w:r w:rsidR="00C84F79" w:rsidRPr="00C84F79">
        <w:rPr>
          <w:rStyle w:val="Hyperlink"/>
          <w:i/>
          <w:snapToGrid w:val="0"/>
          <w:color w:val="000000" w:themeColor="text1"/>
          <w:sz w:val="24"/>
          <w:szCs w:val="24"/>
          <w:u w:val="none"/>
        </w:rPr>
        <w:t>NMB Charges Review Comments</w:t>
      </w:r>
      <w:r w:rsidR="00C84F79">
        <w:rPr>
          <w:rStyle w:val="Hyperlink"/>
          <w:snapToGrid w:val="0"/>
          <w:color w:val="000000" w:themeColor="text1"/>
          <w:sz w:val="24"/>
          <w:szCs w:val="24"/>
          <w:u w:val="none"/>
        </w:rPr>
        <w:t>.</w:t>
      </w:r>
      <w:r w:rsidR="00C84F79" w:rsidRPr="00C84F79">
        <w:rPr>
          <w:snapToGrid w:val="0"/>
          <w:color w:val="000000" w:themeColor="text1"/>
          <w:sz w:val="24"/>
          <w:szCs w:val="24"/>
        </w:rPr>
        <w:t>”</w:t>
      </w:r>
      <w:r>
        <w:rPr>
          <w:snapToGrid w:val="0"/>
          <w:sz w:val="24"/>
          <w:szCs w:val="24"/>
        </w:rPr>
        <w:t xml:space="preserve">  Please submit any informal comments by </w:t>
      </w:r>
      <w:r w:rsidR="00C84F79">
        <w:rPr>
          <w:snapToGrid w:val="0"/>
          <w:sz w:val="24"/>
          <w:szCs w:val="24"/>
        </w:rPr>
        <w:t>Monday</w:t>
      </w:r>
      <w:r>
        <w:rPr>
          <w:snapToGrid w:val="0"/>
          <w:sz w:val="24"/>
          <w:szCs w:val="24"/>
        </w:rPr>
        <w:t xml:space="preserve">, July </w:t>
      </w:r>
      <w:r w:rsidR="00C84F79">
        <w:rPr>
          <w:snapToGrid w:val="0"/>
          <w:sz w:val="24"/>
          <w:szCs w:val="24"/>
        </w:rPr>
        <w:t>3</w:t>
      </w:r>
      <w:r w:rsidR="00051B2F">
        <w:rPr>
          <w:snapToGrid w:val="0"/>
          <w:sz w:val="24"/>
          <w:szCs w:val="24"/>
        </w:rPr>
        <w:t>1</w:t>
      </w:r>
      <w:r>
        <w:rPr>
          <w:snapToGrid w:val="0"/>
          <w:sz w:val="24"/>
          <w:szCs w:val="24"/>
        </w:rPr>
        <w:t>, 2017 and include contact information with your comments.</w:t>
      </w:r>
    </w:p>
    <w:p w:rsidR="00477E65" w:rsidRPr="000F0424" w:rsidRDefault="00477E65" w:rsidP="00477E65">
      <w:pPr>
        <w:pStyle w:val="ListParagraph"/>
        <w:numPr>
          <w:ilvl w:val="0"/>
          <w:numId w:val="10"/>
        </w:numPr>
      </w:pPr>
      <w:r>
        <w:rPr>
          <w:snapToGrid w:val="0"/>
          <w:sz w:val="24"/>
          <w:szCs w:val="24"/>
        </w:rPr>
        <w:t xml:space="preserve">Upon review of the informal comments, OCMO may follow-up with individual parties for further discussion.    </w:t>
      </w:r>
    </w:p>
    <w:p w:rsidR="0019459D" w:rsidRPr="0019459D" w:rsidRDefault="0019459D" w:rsidP="0019459D">
      <w:pPr>
        <w:rPr>
          <w:b/>
          <w:sz w:val="32"/>
          <w:szCs w:val="32"/>
        </w:rPr>
      </w:pPr>
      <w:r w:rsidRPr="0019459D">
        <w:rPr>
          <w:b/>
          <w:sz w:val="32"/>
          <w:szCs w:val="32"/>
        </w:rPr>
        <w:t>8)  Web Portals – Smart Meter Data Availability:</w:t>
      </w:r>
    </w:p>
    <w:p w:rsidR="00441E08" w:rsidRPr="00441E08" w:rsidRDefault="0019459D" w:rsidP="00441E08">
      <w:pPr>
        <w:pStyle w:val="ListParagraph"/>
        <w:numPr>
          <w:ilvl w:val="0"/>
          <w:numId w:val="10"/>
        </w:numPr>
        <w:rPr>
          <w:b/>
          <w:sz w:val="32"/>
          <w:szCs w:val="32"/>
        </w:rPr>
      </w:pPr>
      <w:r w:rsidRPr="00441E08">
        <w:rPr>
          <w:snapToGrid w:val="0"/>
          <w:sz w:val="24"/>
          <w:szCs w:val="24"/>
        </w:rPr>
        <w:t>A reminder to suppliers that as smart-metering deployment advances among the EDCs – please stay in contact with the EDCs as to what data is available via the web-portals that were established in late 2016.</w:t>
      </w:r>
    </w:p>
    <w:p w:rsidR="008C067A" w:rsidRPr="00441E08" w:rsidRDefault="00441E08" w:rsidP="00441E08">
      <w:pPr>
        <w:rPr>
          <w:b/>
          <w:sz w:val="32"/>
          <w:szCs w:val="32"/>
        </w:rPr>
      </w:pPr>
      <w:r w:rsidRPr="00441E08">
        <w:rPr>
          <w:b/>
          <w:sz w:val="32"/>
          <w:szCs w:val="32"/>
        </w:rPr>
        <w:t>9</w:t>
      </w:r>
      <w:r w:rsidR="008C067A" w:rsidRPr="00441E08">
        <w:rPr>
          <w:b/>
          <w:sz w:val="32"/>
          <w:szCs w:val="32"/>
        </w:rPr>
        <w:t xml:space="preserve">)  Update on </w:t>
      </w:r>
      <w:r w:rsidR="00256D0A" w:rsidRPr="00441E08">
        <w:rPr>
          <w:b/>
          <w:sz w:val="32"/>
          <w:szCs w:val="32"/>
        </w:rPr>
        <w:t xml:space="preserve">Current </w:t>
      </w:r>
      <w:r w:rsidR="008C067A" w:rsidRPr="00441E08">
        <w:rPr>
          <w:b/>
          <w:sz w:val="32"/>
          <w:szCs w:val="32"/>
        </w:rPr>
        <w:t>Commission Proceedings:</w:t>
      </w:r>
    </w:p>
    <w:p w:rsidR="00836204" w:rsidRPr="008C067A" w:rsidRDefault="008C067A" w:rsidP="00464F51">
      <w:pPr>
        <w:pStyle w:val="ListParagraph"/>
        <w:numPr>
          <w:ilvl w:val="0"/>
          <w:numId w:val="2"/>
        </w:numPr>
      </w:pPr>
      <w:r w:rsidRPr="008C067A">
        <w:rPr>
          <w:b/>
          <w:snapToGrid w:val="0"/>
          <w:sz w:val="24"/>
          <w:szCs w:val="24"/>
        </w:rPr>
        <w:t xml:space="preserve">NGS </w:t>
      </w:r>
      <w:r w:rsidR="00E370BB">
        <w:rPr>
          <w:b/>
          <w:snapToGrid w:val="0"/>
          <w:sz w:val="24"/>
          <w:szCs w:val="24"/>
        </w:rPr>
        <w:t xml:space="preserve">Accelerating Switching Rulemaking </w:t>
      </w:r>
      <w:r w:rsidRPr="008C067A">
        <w:rPr>
          <w:b/>
          <w:snapToGrid w:val="0"/>
          <w:sz w:val="24"/>
          <w:szCs w:val="24"/>
        </w:rPr>
        <w:t>(</w:t>
      </w:r>
      <w:r w:rsidR="00E370BB">
        <w:rPr>
          <w:b/>
          <w:snapToGrid w:val="0"/>
          <w:sz w:val="24"/>
          <w:szCs w:val="24"/>
        </w:rPr>
        <w:t>L-2016-2577413</w:t>
      </w:r>
      <w:r w:rsidRPr="008C067A">
        <w:rPr>
          <w:b/>
          <w:snapToGrid w:val="0"/>
          <w:sz w:val="24"/>
          <w:szCs w:val="24"/>
        </w:rPr>
        <w:t>)</w:t>
      </w:r>
      <w:r>
        <w:rPr>
          <w:snapToGrid w:val="0"/>
          <w:sz w:val="24"/>
          <w:szCs w:val="24"/>
        </w:rPr>
        <w:t xml:space="preserve">:  </w:t>
      </w:r>
      <w:r w:rsidR="00464F51">
        <w:rPr>
          <w:snapToGrid w:val="0"/>
          <w:sz w:val="24"/>
          <w:szCs w:val="24"/>
        </w:rPr>
        <w:t>Advance Notice of</w:t>
      </w:r>
      <w:r>
        <w:rPr>
          <w:snapToGrid w:val="0"/>
          <w:sz w:val="24"/>
          <w:szCs w:val="24"/>
        </w:rPr>
        <w:t xml:space="preserve"> Rulemaking Order adopted at the </w:t>
      </w:r>
      <w:r w:rsidR="00464F51">
        <w:rPr>
          <w:snapToGrid w:val="0"/>
          <w:sz w:val="24"/>
          <w:szCs w:val="24"/>
        </w:rPr>
        <w:t>December 22, 2016</w:t>
      </w:r>
      <w:r>
        <w:rPr>
          <w:snapToGrid w:val="0"/>
          <w:sz w:val="24"/>
          <w:szCs w:val="24"/>
        </w:rPr>
        <w:t xml:space="preserve"> Public Meeting</w:t>
      </w:r>
      <w:r w:rsidR="00464F51">
        <w:rPr>
          <w:snapToGrid w:val="0"/>
          <w:sz w:val="24"/>
          <w:szCs w:val="24"/>
        </w:rPr>
        <w:t xml:space="preserve"> to revise the regulations at 52 Pa. Code § 59</w:t>
      </w:r>
      <w:r>
        <w:rPr>
          <w:snapToGrid w:val="0"/>
          <w:sz w:val="24"/>
          <w:szCs w:val="24"/>
        </w:rPr>
        <w:t>.</w:t>
      </w:r>
      <w:r w:rsidR="00464F51">
        <w:rPr>
          <w:snapToGrid w:val="0"/>
          <w:sz w:val="24"/>
          <w:szCs w:val="24"/>
        </w:rPr>
        <w:t xml:space="preserve">91-99.  Initial comments are in.     </w:t>
      </w:r>
      <w:r w:rsidR="00464F51">
        <w:rPr>
          <w:snapToGrid w:val="0"/>
          <w:sz w:val="24"/>
          <w:szCs w:val="24"/>
        </w:rPr>
        <w:br/>
      </w:r>
      <w:hyperlink r:id="rId34" w:history="1">
        <w:r w:rsidR="00464F51" w:rsidRPr="00CB2D1C">
          <w:rPr>
            <w:rStyle w:val="Hyperlink"/>
          </w:rPr>
          <w:t>http://www.puc.pa.gov/about_puc/consolidated_case_view.aspx?Docket=L-2016-2577413</w:t>
        </w:r>
      </w:hyperlink>
      <w:r w:rsidR="00464F51">
        <w:t xml:space="preserve"> </w:t>
      </w:r>
      <w:r w:rsidR="00464F51">
        <w:br/>
      </w:r>
    </w:p>
    <w:p w:rsidR="00B87CB7" w:rsidRDefault="00464F51" w:rsidP="00F7500D">
      <w:pPr>
        <w:pStyle w:val="ListParagraph"/>
        <w:numPr>
          <w:ilvl w:val="0"/>
          <w:numId w:val="2"/>
        </w:numPr>
        <w:rPr>
          <w:sz w:val="24"/>
          <w:szCs w:val="24"/>
        </w:rPr>
      </w:pPr>
      <w:r>
        <w:rPr>
          <w:b/>
          <w:sz w:val="24"/>
          <w:szCs w:val="24"/>
        </w:rPr>
        <w:t xml:space="preserve">Chapter 56 Rulemaking (L-2015-2508421):  </w:t>
      </w:r>
      <w:r w:rsidRPr="00464F51">
        <w:rPr>
          <w:sz w:val="24"/>
          <w:szCs w:val="24"/>
        </w:rPr>
        <w:t>Notice of Proposed Rulemaking Order adopted at the July 21, 2016 Public Meeting to revise the standards and billing practices for residential utility service at 52 Pa. Code § 56.1 – 461.</w:t>
      </w:r>
      <w:r>
        <w:rPr>
          <w:b/>
          <w:sz w:val="24"/>
          <w:szCs w:val="24"/>
        </w:rPr>
        <w:t xml:space="preserve">  </w:t>
      </w:r>
      <w:r w:rsidR="00F7500D">
        <w:rPr>
          <w:sz w:val="24"/>
          <w:szCs w:val="24"/>
        </w:rPr>
        <w:t>Comment window close</w:t>
      </w:r>
      <w:r w:rsidR="002A70C9">
        <w:rPr>
          <w:sz w:val="24"/>
          <w:szCs w:val="24"/>
        </w:rPr>
        <w:t>s this week.</w:t>
      </w:r>
      <w:r w:rsidR="00F7500D">
        <w:rPr>
          <w:sz w:val="24"/>
          <w:szCs w:val="24"/>
        </w:rPr>
        <w:t xml:space="preserve">  </w:t>
      </w:r>
      <w:r w:rsidR="00776ED3">
        <w:rPr>
          <w:sz w:val="24"/>
          <w:szCs w:val="24"/>
        </w:rPr>
        <w:t xml:space="preserve">Staff will now be carefully </w:t>
      </w:r>
      <w:r w:rsidR="00F7500D">
        <w:rPr>
          <w:sz w:val="24"/>
          <w:szCs w:val="24"/>
        </w:rPr>
        <w:t>review</w:t>
      </w:r>
      <w:r w:rsidR="00776ED3">
        <w:rPr>
          <w:sz w:val="24"/>
          <w:szCs w:val="24"/>
        </w:rPr>
        <w:t>ing</w:t>
      </w:r>
      <w:r w:rsidR="00F7500D">
        <w:rPr>
          <w:sz w:val="24"/>
          <w:szCs w:val="24"/>
        </w:rPr>
        <w:t xml:space="preserve"> and consider</w:t>
      </w:r>
      <w:r w:rsidR="00776ED3">
        <w:rPr>
          <w:sz w:val="24"/>
          <w:szCs w:val="24"/>
        </w:rPr>
        <w:t xml:space="preserve">ing </w:t>
      </w:r>
      <w:r w:rsidR="00F7500D">
        <w:rPr>
          <w:sz w:val="24"/>
          <w:szCs w:val="24"/>
        </w:rPr>
        <w:t xml:space="preserve">the comments.   </w:t>
      </w:r>
      <w:hyperlink r:id="rId35" w:history="1">
        <w:r w:rsidR="00F7500D" w:rsidRPr="00CB2D1C">
          <w:rPr>
            <w:rStyle w:val="Hyperlink"/>
          </w:rPr>
          <w:t>http://www.puc.pa.gov/about_puc/consolidated_case_view.aspx?Docket=L-2015-2508421</w:t>
        </w:r>
      </w:hyperlink>
      <w:r w:rsidR="00F7500D">
        <w:t xml:space="preserve"> </w:t>
      </w:r>
      <w:r w:rsidR="00F7500D">
        <w:br/>
      </w:r>
    </w:p>
    <w:p w:rsidR="005C106F" w:rsidRDefault="00DB45B0" w:rsidP="00F7500D">
      <w:pPr>
        <w:pStyle w:val="ListParagraph"/>
        <w:numPr>
          <w:ilvl w:val="0"/>
          <w:numId w:val="2"/>
        </w:numPr>
        <w:rPr>
          <w:sz w:val="24"/>
          <w:szCs w:val="24"/>
        </w:rPr>
      </w:pPr>
      <w:r w:rsidRPr="00824EF6">
        <w:rPr>
          <w:b/>
          <w:sz w:val="24"/>
          <w:szCs w:val="24"/>
        </w:rPr>
        <w:t>PECO CAP Shopping</w:t>
      </w:r>
      <w:r w:rsidRPr="00824EF6">
        <w:rPr>
          <w:sz w:val="24"/>
          <w:szCs w:val="24"/>
        </w:rPr>
        <w:t xml:space="preserve">:  </w:t>
      </w:r>
      <w:r w:rsidRPr="00397B9A">
        <w:rPr>
          <w:b/>
          <w:sz w:val="24"/>
          <w:szCs w:val="24"/>
        </w:rPr>
        <w:t>(</w:t>
      </w:r>
      <w:r w:rsidR="00F7500D" w:rsidRPr="00397B9A">
        <w:rPr>
          <w:b/>
          <w:sz w:val="24"/>
          <w:szCs w:val="24"/>
        </w:rPr>
        <w:t>P-2016-2534980).</w:t>
      </w:r>
      <w:r w:rsidRPr="00824EF6">
        <w:rPr>
          <w:sz w:val="24"/>
          <w:szCs w:val="24"/>
        </w:rPr>
        <w:t xml:space="preserve">  </w:t>
      </w:r>
      <w:r w:rsidR="00830B87" w:rsidRPr="00824EF6">
        <w:rPr>
          <w:sz w:val="24"/>
          <w:szCs w:val="24"/>
        </w:rPr>
        <w:t xml:space="preserve">Order adopted at the March 16, 2017 Public Meeting.  Conclusion:  </w:t>
      </w:r>
      <w:r w:rsidR="00830B87" w:rsidRPr="00824EF6">
        <w:rPr>
          <w:i/>
          <w:sz w:val="24"/>
          <w:szCs w:val="24"/>
        </w:rPr>
        <w:t>“…we shall (1) grant, in part, the Petitions; (2) consolidate the proceeding at Docket No. P-2016-2534980 with the proceeding at Docket No. P</w:t>
      </w:r>
      <w:r w:rsidR="00830B87" w:rsidRPr="00824EF6">
        <w:rPr>
          <w:i/>
          <w:sz w:val="24"/>
          <w:szCs w:val="24"/>
        </w:rPr>
        <w:noBreakHyphen/>
        <w:t>2012-2283641, pursuant to 52 Pa. Code § 5.81(a); and (3) refer the consolidated proceeding to the Office of Administrative Law Judge for further proceedings as may be necessary and a decision on the merits of PECO’s 2016 CAP Rule Change Filing, the CAP-SOP proposed in this DSP IV proceeding, and all issues relating to the ability of CAP customers to shop for electric generation supply in PECO’s service territory.”</w:t>
      </w:r>
      <w:r w:rsidR="00830B87" w:rsidRPr="00824EF6">
        <w:rPr>
          <w:sz w:val="24"/>
          <w:szCs w:val="24"/>
        </w:rPr>
        <w:t xml:space="preserve"> </w:t>
      </w:r>
      <w:r w:rsidR="005C106F">
        <w:rPr>
          <w:sz w:val="24"/>
          <w:szCs w:val="24"/>
        </w:rPr>
        <w:br/>
        <w:t xml:space="preserve">A prehearing conference order was issued on April 12 for a May 1 hearing. </w:t>
      </w:r>
      <w:hyperlink r:id="rId36" w:history="1">
        <w:r w:rsidR="00F7500D" w:rsidRPr="00CB2D1C">
          <w:rPr>
            <w:rStyle w:val="Hyperlink"/>
          </w:rPr>
          <w:t>http://www.puc.pa.gov/about_puc/consolidated_case_view.aspx?Docket=P-2016-2534980</w:t>
        </w:r>
      </w:hyperlink>
      <w:r w:rsidR="00F7500D">
        <w:t xml:space="preserve"> </w:t>
      </w:r>
      <w:r w:rsidRPr="00824EF6">
        <w:rPr>
          <w:sz w:val="24"/>
          <w:szCs w:val="24"/>
        </w:rPr>
        <w:t xml:space="preserve"> </w:t>
      </w:r>
      <w:r w:rsidR="005C106F">
        <w:rPr>
          <w:sz w:val="24"/>
          <w:szCs w:val="24"/>
        </w:rPr>
        <w:br/>
      </w:r>
    </w:p>
    <w:p w:rsidR="00824EF6" w:rsidRDefault="005C106F" w:rsidP="00F7500D">
      <w:pPr>
        <w:pStyle w:val="ListParagraph"/>
        <w:numPr>
          <w:ilvl w:val="0"/>
          <w:numId w:val="2"/>
        </w:numPr>
        <w:rPr>
          <w:sz w:val="24"/>
          <w:szCs w:val="24"/>
        </w:rPr>
      </w:pPr>
      <w:r>
        <w:rPr>
          <w:b/>
          <w:sz w:val="24"/>
          <w:szCs w:val="24"/>
        </w:rPr>
        <w:t>PPL</w:t>
      </w:r>
      <w:r w:rsidRPr="00824EF6">
        <w:rPr>
          <w:b/>
          <w:sz w:val="24"/>
          <w:szCs w:val="24"/>
        </w:rPr>
        <w:t xml:space="preserve"> CAP Shopping</w:t>
      </w:r>
      <w:r w:rsidRPr="00824EF6">
        <w:rPr>
          <w:sz w:val="24"/>
          <w:szCs w:val="24"/>
        </w:rPr>
        <w:t xml:space="preserve">:  </w:t>
      </w:r>
      <w:r w:rsidRPr="00397B9A">
        <w:rPr>
          <w:b/>
          <w:sz w:val="24"/>
          <w:szCs w:val="24"/>
        </w:rPr>
        <w:t>(P-2016-</w:t>
      </w:r>
      <w:r>
        <w:rPr>
          <w:b/>
          <w:sz w:val="24"/>
          <w:szCs w:val="24"/>
        </w:rPr>
        <w:t>2526627</w:t>
      </w:r>
      <w:r w:rsidRPr="00397B9A">
        <w:rPr>
          <w:b/>
          <w:sz w:val="24"/>
          <w:szCs w:val="24"/>
        </w:rPr>
        <w:t>).</w:t>
      </w:r>
      <w:r w:rsidRPr="00824EF6">
        <w:rPr>
          <w:sz w:val="24"/>
          <w:szCs w:val="24"/>
        </w:rPr>
        <w:t xml:space="preserve">  </w:t>
      </w:r>
      <w:r>
        <w:rPr>
          <w:sz w:val="24"/>
          <w:szCs w:val="24"/>
        </w:rPr>
        <w:t xml:space="preserve">PPL has filed petition seeking to delay start of the CAP-Standard Offer Program (SOP) until September 1, 2017.  This petition is pending Commission review.   Collaborative to develop CAP-SOP scripting held on April 7.  </w:t>
      </w:r>
      <w:r>
        <w:rPr>
          <w:sz w:val="24"/>
          <w:szCs w:val="24"/>
        </w:rPr>
        <w:br/>
      </w:r>
      <w:hyperlink r:id="rId37" w:history="1">
        <w:r w:rsidRPr="002B018D">
          <w:rPr>
            <w:rStyle w:val="Hyperlink"/>
            <w:sz w:val="24"/>
            <w:szCs w:val="24"/>
          </w:rPr>
          <w:t>http://www.puc.pa.gov/about_puc/consolidated_case_view.aspx?Docket=P-2016-2526627</w:t>
        </w:r>
      </w:hyperlink>
      <w:r w:rsidR="00686358" w:rsidRPr="00824EF6">
        <w:rPr>
          <w:sz w:val="24"/>
          <w:szCs w:val="24"/>
        </w:rPr>
        <w:br/>
      </w:r>
    </w:p>
    <w:p w:rsidR="00E03F6E" w:rsidRPr="00E03F6E" w:rsidRDefault="00E03F6E" w:rsidP="00397B9A">
      <w:pPr>
        <w:pStyle w:val="ListParagraph"/>
        <w:numPr>
          <w:ilvl w:val="0"/>
          <w:numId w:val="2"/>
        </w:numPr>
        <w:rPr>
          <w:sz w:val="24"/>
          <w:szCs w:val="24"/>
        </w:rPr>
      </w:pPr>
      <w:r w:rsidRPr="00E03F6E">
        <w:rPr>
          <w:b/>
          <w:bCs/>
          <w:sz w:val="24"/>
          <w:szCs w:val="24"/>
        </w:rPr>
        <w:t>Comprehensive Review of Universal Service and Energy Conservation Programs</w:t>
      </w:r>
      <w:r w:rsidRPr="00E03F6E">
        <w:rPr>
          <w:sz w:val="24"/>
          <w:szCs w:val="24"/>
        </w:rPr>
        <w:t>:  (</w:t>
      </w:r>
      <w:hyperlink r:id="rId38" w:history="1">
        <w:r w:rsidRPr="00E03F6E">
          <w:rPr>
            <w:rStyle w:val="Hyperlink"/>
            <w:b/>
            <w:bCs/>
            <w:color w:val="000000" w:themeColor="text1"/>
            <w:sz w:val="24"/>
            <w:szCs w:val="24"/>
            <w:u w:val="none"/>
          </w:rPr>
          <w:t>M-2017-2596907</w:t>
        </w:r>
      </w:hyperlink>
      <w:r w:rsidRPr="00E03F6E">
        <w:rPr>
          <w:sz w:val="24"/>
          <w:szCs w:val="24"/>
        </w:rPr>
        <w:t>).  This review will explore the framework and structure of existing universal service programs and gather stakeholder feedback addressing concerns and suggestions for amending or improving these programs.  The current portfolio of PUC-required universal service programs includes payment programs intended to help reduce the size of monthly bills and make service more affordable</w:t>
      </w:r>
      <w:r>
        <w:rPr>
          <w:sz w:val="24"/>
          <w:szCs w:val="24"/>
        </w:rPr>
        <w:t xml:space="preserve"> (often referred to as CAP)</w:t>
      </w:r>
      <w:r w:rsidRPr="00E03F6E">
        <w:rPr>
          <w:sz w:val="24"/>
          <w:szCs w:val="24"/>
        </w:rPr>
        <w:t>; weatherization and usage reduction programs to assist low-income families in lowering their consumption and energy costs</w:t>
      </w:r>
      <w:r>
        <w:rPr>
          <w:sz w:val="24"/>
          <w:szCs w:val="24"/>
        </w:rPr>
        <w:t xml:space="preserve"> (LIURP)</w:t>
      </w:r>
      <w:r w:rsidRPr="00E03F6E">
        <w:rPr>
          <w:sz w:val="24"/>
          <w:szCs w:val="24"/>
        </w:rPr>
        <w:t>; referral programs to connect consumers with other assistance programs they may be eligible for; and hardship funds.</w:t>
      </w:r>
      <w:r w:rsidR="00397B9A">
        <w:rPr>
          <w:sz w:val="24"/>
          <w:szCs w:val="24"/>
        </w:rPr>
        <w:br/>
      </w:r>
      <w:hyperlink r:id="rId39" w:history="1">
        <w:r w:rsidR="00397B9A" w:rsidRPr="007F3A78">
          <w:rPr>
            <w:rStyle w:val="Hyperlink"/>
            <w:sz w:val="24"/>
            <w:szCs w:val="24"/>
          </w:rPr>
          <w:t>http://www.puc.pa.gov/about_puc/consolidated_case_view.aspx?Docket=M-2017-2596907</w:t>
        </w:r>
      </w:hyperlink>
      <w:r w:rsidR="00397B9A">
        <w:rPr>
          <w:sz w:val="24"/>
          <w:szCs w:val="24"/>
        </w:rPr>
        <w:t xml:space="preserve"> </w:t>
      </w:r>
      <w:r w:rsidR="00397B9A">
        <w:rPr>
          <w:sz w:val="24"/>
          <w:szCs w:val="24"/>
        </w:rPr>
        <w:br/>
      </w:r>
    </w:p>
    <w:p w:rsidR="00824EF6" w:rsidRDefault="00824EF6" w:rsidP="00F7500D">
      <w:pPr>
        <w:pStyle w:val="ListParagraph"/>
        <w:numPr>
          <w:ilvl w:val="0"/>
          <w:numId w:val="2"/>
        </w:numPr>
        <w:rPr>
          <w:sz w:val="24"/>
          <w:szCs w:val="24"/>
        </w:rPr>
      </w:pPr>
      <w:r>
        <w:rPr>
          <w:b/>
          <w:sz w:val="24"/>
          <w:szCs w:val="24"/>
        </w:rPr>
        <w:t>UPCOMING PROCEEDINGS (Natural Gas Retail Markets Investigation)</w:t>
      </w:r>
      <w:r w:rsidRPr="00824EF6">
        <w:rPr>
          <w:sz w:val="24"/>
          <w:szCs w:val="24"/>
        </w:rPr>
        <w:t>:</w:t>
      </w:r>
      <w:r>
        <w:rPr>
          <w:sz w:val="24"/>
          <w:szCs w:val="24"/>
        </w:rPr>
        <w:br/>
      </w:r>
      <w:r>
        <w:rPr>
          <w:sz w:val="24"/>
          <w:szCs w:val="24"/>
        </w:rPr>
        <w:br/>
      </w:r>
      <w:r w:rsidRPr="00824EF6">
        <w:rPr>
          <w:b/>
          <w:sz w:val="24"/>
          <w:szCs w:val="24"/>
        </w:rPr>
        <w:t>Natural Gas Operational Issues</w:t>
      </w:r>
      <w:r>
        <w:rPr>
          <w:sz w:val="24"/>
          <w:szCs w:val="24"/>
        </w:rPr>
        <w:t xml:space="preserve"> (the “Beast” working group from the Retail Markets Investigation):  ANOPR concerning capacity assignment, penalties, imbalances, etc.  </w:t>
      </w:r>
      <w:r>
        <w:rPr>
          <w:sz w:val="24"/>
          <w:szCs w:val="24"/>
        </w:rPr>
        <w:br/>
      </w:r>
      <w:r>
        <w:rPr>
          <w:sz w:val="24"/>
          <w:szCs w:val="24"/>
        </w:rPr>
        <w:br/>
      </w:r>
      <w:r w:rsidRPr="00824EF6">
        <w:rPr>
          <w:b/>
          <w:sz w:val="24"/>
          <w:szCs w:val="24"/>
        </w:rPr>
        <w:t>Natural Gas Seamless Moves – Instant Connects</w:t>
      </w:r>
      <w:r>
        <w:rPr>
          <w:sz w:val="24"/>
          <w:szCs w:val="24"/>
        </w:rPr>
        <w:t>:  Tentative Order.</w:t>
      </w:r>
      <w:r>
        <w:rPr>
          <w:sz w:val="24"/>
          <w:szCs w:val="24"/>
        </w:rPr>
        <w:br/>
      </w:r>
    </w:p>
    <w:p w:rsidR="00903E35" w:rsidRPr="00824EF6" w:rsidRDefault="00903E35" w:rsidP="00824EF6">
      <w:pPr>
        <w:pStyle w:val="ListParagraph"/>
        <w:numPr>
          <w:ilvl w:val="0"/>
          <w:numId w:val="2"/>
        </w:numPr>
        <w:rPr>
          <w:sz w:val="24"/>
          <w:szCs w:val="24"/>
        </w:rPr>
      </w:pPr>
      <w:r w:rsidRPr="00824EF6">
        <w:rPr>
          <w:b/>
          <w:sz w:val="24"/>
          <w:szCs w:val="24"/>
        </w:rPr>
        <w:t>To track a PUC formal case</w:t>
      </w:r>
      <w:r w:rsidR="00A659E8" w:rsidRPr="00824EF6">
        <w:rPr>
          <w:b/>
          <w:sz w:val="24"/>
          <w:szCs w:val="24"/>
        </w:rPr>
        <w:t xml:space="preserve">:  </w:t>
      </w:r>
      <w:r w:rsidR="00A659E8" w:rsidRPr="00824EF6">
        <w:rPr>
          <w:sz w:val="24"/>
          <w:szCs w:val="24"/>
        </w:rPr>
        <w:t xml:space="preserve">set up an e-filing account on the Commission’s website, and use the SUBSCRIPTION service to be notified of filings on specific dockets: </w:t>
      </w:r>
    </w:p>
    <w:p w:rsidR="00A659E8" w:rsidRPr="00A659E8" w:rsidRDefault="003D631C" w:rsidP="00A659E8">
      <w:pPr>
        <w:ind w:firstLine="720"/>
        <w:rPr>
          <w:sz w:val="24"/>
          <w:szCs w:val="24"/>
        </w:rPr>
      </w:pPr>
      <w:hyperlink r:id="rId40" w:history="1">
        <w:r w:rsidR="00824EF6" w:rsidRPr="0094356E">
          <w:rPr>
            <w:rStyle w:val="Hyperlink"/>
          </w:rPr>
          <w:t>http://www.puc.pa.gov/efiling/default.aspx</w:t>
        </w:r>
      </w:hyperlink>
      <w:r w:rsidR="00824EF6">
        <w:t xml:space="preserve"> </w:t>
      </w:r>
      <w:r w:rsidR="00A659E8">
        <w:rPr>
          <w:sz w:val="24"/>
          <w:szCs w:val="24"/>
        </w:rPr>
        <w:t xml:space="preserve"> </w:t>
      </w:r>
    </w:p>
    <w:p w:rsidR="00DA6FDA" w:rsidRPr="00DA6FDA" w:rsidRDefault="00DA6FDA" w:rsidP="00DA6FDA">
      <w:pPr>
        <w:rPr>
          <w:b/>
          <w:sz w:val="24"/>
          <w:szCs w:val="24"/>
          <w:u w:val="single"/>
        </w:rPr>
      </w:pPr>
      <w:r w:rsidRPr="00DA6FDA">
        <w:rPr>
          <w:b/>
          <w:sz w:val="24"/>
          <w:szCs w:val="24"/>
          <w:u w:val="single"/>
        </w:rPr>
        <w:t>General Matters</w:t>
      </w:r>
    </w:p>
    <w:p w:rsidR="00DA6FDA" w:rsidRPr="00DA6FDA" w:rsidRDefault="00DA6FDA" w:rsidP="00DA6FDA">
      <w:pPr>
        <w:numPr>
          <w:ilvl w:val="0"/>
          <w:numId w:val="7"/>
        </w:numPr>
        <w:rPr>
          <w:b/>
          <w:sz w:val="24"/>
          <w:szCs w:val="24"/>
          <w:u w:val="single"/>
        </w:rPr>
      </w:pPr>
      <w:r w:rsidRPr="00DA6FDA">
        <w:rPr>
          <w:b/>
          <w:sz w:val="24"/>
          <w:szCs w:val="24"/>
          <w:u w:val="single"/>
        </w:rPr>
        <w:t>New Issues</w:t>
      </w:r>
    </w:p>
    <w:p w:rsidR="00DA6FDA" w:rsidRPr="00DA6FDA" w:rsidRDefault="00DA6FDA" w:rsidP="00DA6FDA">
      <w:pPr>
        <w:numPr>
          <w:ilvl w:val="0"/>
          <w:numId w:val="6"/>
        </w:numPr>
        <w:rPr>
          <w:sz w:val="24"/>
          <w:szCs w:val="24"/>
        </w:rPr>
      </w:pPr>
      <w:r w:rsidRPr="00DA6FDA">
        <w:rPr>
          <w:sz w:val="24"/>
          <w:szCs w:val="24"/>
        </w:rPr>
        <w:t xml:space="preserve">Any new issues or questions about issues previously discussed on CHARGE calls should be submitted to </w:t>
      </w:r>
      <w:hyperlink r:id="rId41" w:history="1">
        <w:r w:rsidRPr="00DA6FDA">
          <w:rPr>
            <w:rStyle w:val="Hyperlink"/>
            <w:sz w:val="24"/>
            <w:szCs w:val="24"/>
          </w:rPr>
          <w:t>ra-ocmo@pa.gov</w:t>
        </w:r>
      </w:hyperlink>
    </w:p>
    <w:p w:rsidR="00DA6FDA" w:rsidRPr="00DA6FDA" w:rsidRDefault="00DA6FDA" w:rsidP="00DA6FDA">
      <w:pPr>
        <w:numPr>
          <w:ilvl w:val="0"/>
          <w:numId w:val="7"/>
        </w:numPr>
        <w:rPr>
          <w:b/>
          <w:sz w:val="24"/>
          <w:szCs w:val="24"/>
          <w:u w:val="single"/>
        </w:rPr>
      </w:pPr>
      <w:r w:rsidRPr="00DA6FDA">
        <w:rPr>
          <w:b/>
          <w:sz w:val="24"/>
          <w:szCs w:val="24"/>
          <w:u w:val="single"/>
        </w:rPr>
        <w:t>Old Agendas/Recaps</w:t>
      </w:r>
    </w:p>
    <w:p w:rsidR="00DA6FDA" w:rsidRPr="00824EF6" w:rsidRDefault="00DA6FDA" w:rsidP="00DA6FDA">
      <w:pPr>
        <w:rPr>
          <w:sz w:val="24"/>
          <w:szCs w:val="24"/>
        </w:rPr>
      </w:pPr>
      <w:r w:rsidRPr="00DA6FDA">
        <w:rPr>
          <w:sz w:val="24"/>
          <w:szCs w:val="24"/>
        </w:rPr>
        <w:t xml:space="preserve">All agendas and recaps are posted on the CHARGE page of the website along with various other documents that have been distributed or relied upon during CHARGE discussions, at the following link – </w:t>
      </w:r>
      <w:r w:rsidRPr="00DA6FDA">
        <w:rPr>
          <w:sz w:val="24"/>
          <w:szCs w:val="24"/>
        </w:rPr>
        <w:br/>
      </w:r>
      <w:hyperlink r:id="rId42" w:history="1">
        <w:r w:rsidRPr="00DA6FDA">
          <w:rPr>
            <w:rStyle w:val="Hyperlink"/>
            <w:sz w:val="24"/>
            <w:szCs w:val="24"/>
          </w:rPr>
          <w:t>http://www.puc.pa.gov/utility_industry/electricity/office_of_competitive_market_oversight/charge.aspx</w:t>
        </w:r>
      </w:hyperlink>
      <w:r w:rsidRPr="00DA6FDA">
        <w:rPr>
          <w:sz w:val="24"/>
          <w:szCs w:val="24"/>
        </w:rPr>
        <w:t xml:space="preserve"> </w:t>
      </w:r>
      <w:r w:rsidR="00824EF6">
        <w:rPr>
          <w:sz w:val="24"/>
          <w:szCs w:val="24"/>
        </w:rPr>
        <w:br/>
      </w:r>
      <w:r w:rsidRPr="00DA6FDA">
        <w:rPr>
          <w:sz w:val="24"/>
          <w:szCs w:val="24"/>
        </w:rPr>
        <w:br/>
      </w:r>
      <w:r w:rsidR="007D6721">
        <w:rPr>
          <w:sz w:val="24"/>
          <w:szCs w:val="24"/>
        </w:rPr>
        <w:br/>
      </w:r>
      <w:r w:rsidR="00824EF6" w:rsidRPr="00824EF6">
        <w:rPr>
          <w:sz w:val="24"/>
          <w:szCs w:val="24"/>
        </w:rPr>
        <w:t>Office of Competitive Market Oversight webpage:</w:t>
      </w:r>
      <w:r w:rsidR="00824EF6" w:rsidRPr="00824EF6">
        <w:rPr>
          <w:b/>
          <w:sz w:val="24"/>
          <w:szCs w:val="24"/>
        </w:rPr>
        <w:t xml:space="preserve">  </w:t>
      </w:r>
      <w:hyperlink r:id="rId43" w:history="1">
        <w:r w:rsidR="00824EF6" w:rsidRPr="00824EF6">
          <w:rPr>
            <w:rStyle w:val="Hyperlink"/>
            <w:sz w:val="24"/>
            <w:szCs w:val="24"/>
          </w:rPr>
          <w:t>http://www.puc.pa.gov/utility_industry/electricity/electric_competitive_market_oversight.aspx</w:t>
        </w:r>
      </w:hyperlink>
      <w:r w:rsidR="00824EF6" w:rsidRPr="00824EF6">
        <w:rPr>
          <w:sz w:val="24"/>
          <w:szCs w:val="24"/>
        </w:rPr>
        <w:t xml:space="preserve"> </w:t>
      </w:r>
    </w:p>
    <w:p w:rsidR="00824EF6" w:rsidRDefault="00FE4739" w:rsidP="00DA6FDA">
      <w:pPr>
        <w:rPr>
          <w:sz w:val="24"/>
          <w:szCs w:val="24"/>
        </w:rPr>
      </w:pPr>
      <w:r w:rsidRPr="00FE4739">
        <w:rPr>
          <w:sz w:val="24"/>
          <w:szCs w:val="24"/>
        </w:rPr>
        <w:t>Office of Competitive Market Oversight (</w:t>
      </w:r>
      <w:r>
        <w:rPr>
          <w:sz w:val="24"/>
          <w:szCs w:val="24"/>
        </w:rPr>
        <w:t>Natural Gas</w:t>
      </w:r>
      <w:r w:rsidRPr="00FE4739">
        <w:rPr>
          <w:sz w:val="24"/>
          <w:szCs w:val="24"/>
        </w:rPr>
        <w:t>)</w:t>
      </w:r>
      <w:r w:rsidR="0019459D">
        <w:rPr>
          <w:sz w:val="24"/>
          <w:szCs w:val="24"/>
        </w:rPr>
        <w:t xml:space="preserve"> webpage</w:t>
      </w:r>
      <w:r>
        <w:rPr>
          <w:sz w:val="24"/>
          <w:szCs w:val="24"/>
        </w:rPr>
        <w:t>:</w:t>
      </w:r>
      <w:r w:rsidR="0019459D">
        <w:rPr>
          <w:sz w:val="24"/>
          <w:szCs w:val="24"/>
        </w:rPr>
        <w:br/>
      </w:r>
      <w:hyperlink r:id="rId44" w:history="1">
        <w:r w:rsidR="0019459D" w:rsidRPr="009358DF">
          <w:rPr>
            <w:rStyle w:val="Hyperlink"/>
            <w:sz w:val="24"/>
            <w:szCs w:val="24"/>
          </w:rPr>
          <w:t>http://www.puc.pa.gov/utility_industry/natural_gas/committees_and_working_groups/ocmo.aspx</w:t>
        </w:r>
      </w:hyperlink>
      <w:r w:rsidR="0019459D">
        <w:rPr>
          <w:sz w:val="24"/>
          <w:szCs w:val="24"/>
        </w:rPr>
        <w:t xml:space="preserve"> </w:t>
      </w:r>
    </w:p>
    <w:p w:rsidR="0019459D" w:rsidRPr="00FE4739" w:rsidRDefault="0019459D" w:rsidP="00DA6FDA">
      <w:pPr>
        <w:rPr>
          <w:sz w:val="24"/>
          <w:szCs w:val="24"/>
        </w:rPr>
      </w:pPr>
      <w:r w:rsidRPr="0019459D">
        <w:rPr>
          <w:sz w:val="24"/>
          <w:szCs w:val="24"/>
        </w:rPr>
        <w:t xml:space="preserve">Retail Markets Investigation </w:t>
      </w:r>
      <w:r>
        <w:rPr>
          <w:sz w:val="24"/>
          <w:szCs w:val="24"/>
        </w:rPr>
        <w:t>(</w:t>
      </w:r>
      <w:r w:rsidRPr="0019459D">
        <w:rPr>
          <w:sz w:val="24"/>
          <w:szCs w:val="24"/>
        </w:rPr>
        <w:t>Natural Gas</w:t>
      </w:r>
      <w:r>
        <w:rPr>
          <w:sz w:val="24"/>
          <w:szCs w:val="24"/>
        </w:rPr>
        <w:t>) webpage:</w:t>
      </w:r>
      <w:r>
        <w:rPr>
          <w:sz w:val="24"/>
          <w:szCs w:val="24"/>
        </w:rPr>
        <w:br/>
      </w:r>
      <w:hyperlink r:id="rId45" w:history="1">
        <w:r w:rsidRPr="009358DF">
          <w:rPr>
            <w:rStyle w:val="Hyperlink"/>
            <w:sz w:val="24"/>
            <w:szCs w:val="24"/>
          </w:rPr>
          <w:t>http://www.puc.pa.gov/utility_industry/natural_gas/natrual_gas_rmi.aspx</w:t>
        </w:r>
      </w:hyperlink>
      <w:r>
        <w:rPr>
          <w:sz w:val="24"/>
          <w:szCs w:val="24"/>
        </w:rPr>
        <w:t xml:space="preserve"> </w:t>
      </w:r>
    </w:p>
    <w:p w:rsidR="00DA6FDA" w:rsidRPr="00DA6FDA" w:rsidRDefault="00DA6FDA" w:rsidP="00DA6FDA">
      <w:pPr>
        <w:numPr>
          <w:ilvl w:val="0"/>
          <w:numId w:val="7"/>
        </w:numPr>
        <w:rPr>
          <w:b/>
          <w:sz w:val="24"/>
          <w:szCs w:val="24"/>
          <w:u w:val="single"/>
        </w:rPr>
      </w:pPr>
      <w:r w:rsidRPr="00DA6FDA">
        <w:rPr>
          <w:b/>
          <w:sz w:val="24"/>
          <w:szCs w:val="24"/>
          <w:u w:val="single"/>
        </w:rPr>
        <w:t>CHARGE Distribution List</w:t>
      </w:r>
    </w:p>
    <w:p w:rsidR="00DA6FDA" w:rsidRPr="00DA6FDA" w:rsidRDefault="00DA6FDA" w:rsidP="00DA6FDA">
      <w:pPr>
        <w:numPr>
          <w:ilvl w:val="0"/>
          <w:numId w:val="6"/>
        </w:numPr>
        <w:rPr>
          <w:sz w:val="24"/>
          <w:szCs w:val="24"/>
        </w:rPr>
      </w:pPr>
      <w:r w:rsidRPr="00DA6FDA">
        <w:rPr>
          <w:sz w:val="24"/>
          <w:szCs w:val="24"/>
        </w:rPr>
        <w:t xml:space="preserve">To be added to the CHARGE distribution list, please send an email to </w:t>
      </w:r>
      <w:hyperlink r:id="rId46" w:history="1">
        <w:r w:rsidRPr="00DA6FDA">
          <w:rPr>
            <w:rStyle w:val="Hyperlink"/>
            <w:sz w:val="24"/>
            <w:szCs w:val="24"/>
          </w:rPr>
          <w:t>ra-ocmo@pa.gov</w:t>
        </w:r>
      </w:hyperlink>
    </w:p>
    <w:p w:rsidR="00477E65" w:rsidRDefault="00477E65" w:rsidP="00DA6FDA">
      <w:pPr>
        <w:rPr>
          <w:sz w:val="24"/>
          <w:szCs w:val="24"/>
        </w:rPr>
      </w:pPr>
      <w:r>
        <w:rPr>
          <w:sz w:val="24"/>
          <w:szCs w:val="24"/>
        </w:rPr>
        <w:br w:type="page"/>
      </w:r>
    </w:p>
    <w:tbl>
      <w:tblPr>
        <w:tblW w:w="10890" w:type="dxa"/>
        <w:tblInd w:w="-702" w:type="dxa"/>
        <w:tblLayout w:type="fixed"/>
        <w:tblLook w:val="0000" w:firstRow="0" w:lastRow="0" w:firstColumn="0" w:lastColumn="0" w:noHBand="0" w:noVBand="0"/>
      </w:tblPr>
      <w:tblGrid>
        <w:gridCol w:w="1363"/>
        <w:gridCol w:w="8087"/>
        <w:gridCol w:w="1440"/>
      </w:tblGrid>
      <w:tr w:rsidR="00477E65" w:rsidTr="007F3017">
        <w:trPr>
          <w:trHeight w:val="990"/>
        </w:trPr>
        <w:tc>
          <w:tcPr>
            <w:tcW w:w="1363" w:type="dxa"/>
          </w:tcPr>
          <w:p w:rsidR="00477E65" w:rsidRDefault="00477E65" w:rsidP="007F3017">
            <w:r>
              <w:rPr>
                <w:noProof/>
                <w:spacing w:val="-2"/>
              </w:rPr>
              <w:drawing>
                <wp:inline distT="0" distB="0" distL="0" distR="0" wp14:anchorId="6FBF7D52" wp14:editId="2037AFB2">
                  <wp:extent cx="723900" cy="723900"/>
                  <wp:effectExtent l="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477E65" w:rsidRDefault="00477E65" w:rsidP="00477E65">
            <w:pPr>
              <w:suppressAutoHyphens/>
              <w:spacing w:line="240" w:lineRule="auto"/>
              <w:jc w:val="center"/>
              <w:rPr>
                <w:rFonts w:ascii="Arial" w:hAnsi="Arial"/>
                <w:sz w:val="12"/>
              </w:rPr>
            </w:pPr>
            <w:r>
              <w:rPr>
                <w:rFonts w:ascii="Arial" w:hAnsi="Arial"/>
                <w:color w:val="000080"/>
                <w:spacing w:val="-3"/>
                <w:sz w:val="26"/>
              </w:rPr>
              <w:t>COMMONWEALTH OF PENNSYLVANIA</w:t>
            </w:r>
            <w:r>
              <w:rPr>
                <w:rFonts w:ascii="Arial" w:hAnsi="Arial"/>
                <w:color w:val="000080"/>
                <w:spacing w:val="-3"/>
                <w:sz w:val="26"/>
              </w:rPr>
              <w:br/>
              <w:t>PENNSYLVANIA PUBLIC UTILITY COMMISSION</w:t>
            </w:r>
            <w:r>
              <w:rPr>
                <w:rFonts w:ascii="Arial" w:hAnsi="Arial"/>
                <w:color w:val="000080"/>
                <w:spacing w:val="-3"/>
                <w:sz w:val="26"/>
              </w:rPr>
              <w:br/>
              <w:t>P.O. BOX 3265, HARRISBURG, PA 17105-3265</w:t>
            </w:r>
          </w:p>
        </w:tc>
        <w:tc>
          <w:tcPr>
            <w:tcW w:w="1440" w:type="dxa"/>
          </w:tcPr>
          <w:p w:rsidR="00477E65" w:rsidRDefault="00477E65" w:rsidP="007F3017">
            <w:pPr>
              <w:jc w:val="right"/>
              <w:rPr>
                <w:rFonts w:ascii="Arial" w:hAnsi="Arial"/>
                <w:b/>
                <w:spacing w:val="-1"/>
                <w:sz w:val="12"/>
              </w:rPr>
            </w:pPr>
            <w:r>
              <w:rPr>
                <w:rFonts w:ascii="Arial" w:hAnsi="Arial"/>
                <w:b/>
                <w:spacing w:val="-1"/>
                <w:sz w:val="12"/>
              </w:rPr>
              <w:t>IN REPLY PLEASE REFER TO OUR FILE</w:t>
            </w:r>
          </w:p>
          <w:p w:rsidR="00477E65" w:rsidRDefault="00477E65" w:rsidP="007F3017">
            <w:pPr>
              <w:jc w:val="right"/>
              <w:rPr>
                <w:sz w:val="16"/>
                <w:szCs w:val="16"/>
              </w:rPr>
            </w:pPr>
          </w:p>
          <w:p w:rsidR="00477E65" w:rsidRPr="00170283" w:rsidRDefault="00477E65" w:rsidP="007F3017">
            <w:pPr>
              <w:jc w:val="right"/>
              <w:rPr>
                <w:rFonts w:ascii="Arial" w:hAnsi="Arial"/>
                <w:sz w:val="16"/>
                <w:szCs w:val="16"/>
              </w:rPr>
            </w:pPr>
          </w:p>
        </w:tc>
      </w:tr>
    </w:tbl>
    <w:p w:rsidR="00477E65" w:rsidRPr="005D0552" w:rsidRDefault="00477E65" w:rsidP="00477E65">
      <w:pPr>
        <w:jc w:val="center"/>
        <w:rPr>
          <w:rFonts w:ascii="Times New Roman" w:hAnsi="Times New Roman"/>
          <w:b/>
          <w:sz w:val="26"/>
          <w:szCs w:val="26"/>
        </w:rPr>
      </w:pPr>
      <w:r>
        <w:rPr>
          <w:rFonts w:ascii="Times New Roman" w:hAnsi="Times New Roman"/>
          <w:b/>
          <w:sz w:val="26"/>
          <w:szCs w:val="26"/>
        </w:rPr>
        <w:t>May 1, 2015</w:t>
      </w:r>
    </w:p>
    <w:p w:rsidR="00477E65" w:rsidRPr="005D0552" w:rsidRDefault="00477E65" w:rsidP="00477E65">
      <w:pPr>
        <w:jc w:val="right"/>
        <w:rPr>
          <w:rFonts w:ascii="Times New Roman" w:hAnsi="Times New Roman"/>
          <w:sz w:val="26"/>
          <w:szCs w:val="26"/>
        </w:rPr>
      </w:pPr>
    </w:p>
    <w:p w:rsidR="00477E65" w:rsidRPr="005D0552" w:rsidRDefault="00477E65" w:rsidP="00477E65">
      <w:pPr>
        <w:rPr>
          <w:rFonts w:ascii="Times New Roman" w:hAnsi="Times New Roman"/>
          <w:sz w:val="26"/>
          <w:szCs w:val="26"/>
        </w:rPr>
      </w:pPr>
      <w:r w:rsidRPr="005D0552">
        <w:rPr>
          <w:rFonts w:ascii="Times New Roman" w:hAnsi="Times New Roman"/>
          <w:sz w:val="26"/>
          <w:szCs w:val="26"/>
        </w:rPr>
        <w:t>To:</w:t>
      </w:r>
      <w:r w:rsidRPr="005D0552">
        <w:rPr>
          <w:rFonts w:ascii="Times New Roman" w:hAnsi="Times New Roman"/>
          <w:sz w:val="26"/>
          <w:szCs w:val="26"/>
        </w:rPr>
        <w:tab/>
      </w:r>
      <w:r w:rsidRPr="005D0552">
        <w:rPr>
          <w:rFonts w:ascii="Times New Roman" w:hAnsi="Times New Roman"/>
          <w:sz w:val="26"/>
          <w:szCs w:val="26"/>
        </w:rPr>
        <w:tab/>
        <w:t>All Jurisdictional Electric Distribution Companies</w:t>
      </w:r>
      <w:r w:rsidRPr="005D0552">
        <w:rPr>
          <w:rFonts w:ascii="Times New Roman" w:hAnsi="Times New Roman"/>
          <w:sz w:val="26"/>
          <w:szCs w:val="26"/>
        </w:rPr>
        <w:tab/>
      </w:r>
      <w:r w:rsidRPr="005D0552">
        <w:rPr>
          <w:rFonts w:ascii="Times New Roman" w:hAnsi="Times New Roman"/>
          <w:sz w:val="26"/>
          <w:szCs w:val="26"/>
        </w:rPr>
        <w:tab/>
      </w:r>
    </w:p>
    <w:p w:rsidR="00477E65" w:rsidRPr="005D0552" w:rsidRDefault="00477E65" w:rsidP="00477E65">
      <w:pPr>
        <w:rPr>
          <w:rFonts w:ascii="Times New Roman" w:hAnsi="Times New Roman"/>
          <w:sz w:val="26"/>
          <w:szCs w:val="26"/>
        </w:rPr>
      </w:pPr>
      <w:r w:rsidRPr="005D0552">
        <w:rPr>
          <w:rFonts w:ascii="Times New Roman" w:hAnsi="Times New Roman"/>
          <w:sz w:val="26"/>
          <w:szCs w:val="26"/>
        </w:rPr>
        <w:t xml:space="preserve">Re:  </w:t>
      </w:r>
      <w:r w:rsidRPr="005D0552">
        <w:rPr>
          <w:rFonts w:ascii="Times New Roman" w:hAnsi="Times New Roman"/>
          <w:sz w:val="26"/>
          <w:szCs w:val="26"/>
        </w:rPr>
        <w:tab/>
      </w:r>
      <w:r w:rsidRPr="005D0552">
        <w:rPr>
          <w:rFonts w:ascii="Times New Roman" w:hAnsi="Times New Roman"/>
          <w:sz w:val="26"/>
          <w:szCs w:val="26"/>
        </w:rPr>
        <w:tab/>
        <w:t>Informal Review of PJM Non-Market Based Charges</w:t>
      </w:r>
    </w:p>
    <w:p w:rsidR="00477E65" w:rsidRPr="005D0552" w:rsidRDefault="00477E65" w:rsidP="00477E65">
      <w:pPr>
        <w:rPr>
          <w:rFonts w:ascii="Times New Roman" w:hAnsi="Times New Roman"/>
          <w:sz w:val="26"/>
          <w:szCs w:val="26"/>
        </w:rPr>
      </w:pPr>
      <w:r>
        <w:rPr>
          <w:rFonts w:ascii="Times New Roman" w:hAnsi="Times New Roman"/>
          <w:sz w:val="26"/>
          <w:szCs w:val="26"/>
        </w:rPr>
        <w:br/>
      </w:r>
      <w:r w:rsidRPr="005D0552">
        <w:rPr>
          <w:rFonts w:ascii="Times New Roman" w:hAnsi="Times New Roman"/>
          <w:sz w:val="26"/>
          <w:szCs w:val="26"/>
        </w:rPr>
        <w:tab/>
        <w:t xml:space="preserve">The purpose of this Secretarial Letter is to inform the electric distribution companies (EDCs) that the Commission has directed its Office of Competitive Market Oversight (OCMO) to perform an informal review of the non-market based charges imposed on load serving entities (LSEs) by PJM Interconnection, LLC (PJM).  Examples of identified non-market based charges include, but may not be limited to, network integration transmission services (NITS), regional transmission expansion plans (RTEP), expansion cost recovery charges (ECRC), generation deactivation zonal cost allocation (also known as reliability must run or RMR), transmission enhancement costs and non-firm point-to-point transmission service credits.  </w:t>
      </w:r>
    </w:p>
    <w:p w:rsidR="00477E65" w:rsidRPr="005D0552" w:rsidRDefault="00477E65" w:rsidP="00477E65">
      <w:pPr>
        <w:ind w:firstLine="720"/>
        <w:rPr>
          <w:rFonts w:ascii="Times New Roman" w:hAnsi="Times New Roman"/>
          <w:sz w:val="26"/>
          <w:szCs w:val="26"/>
        </w:rPr>
      </w:pPr>
      <w:r w:rsidRPr="005D0552">
        <w:rPr>
          <w:rFonts w:ascii="Times New Roman" w:hAnsi="Times New Roman"/>
          <w:sz w:val="26"/>
          <w:szCs w:val="26"/>
        </w:rPr>
        <w:t>Specifically, the Commission has directed OCMO to perform an informal review that includes, but is not limited to, answering the following questions:</w:t>
      </w:r>
    </w:p>
    <w:p w:rsidR="00477E65" w:rsidRPr="005D0552" w:rsidRDefault="00477E65" w:rsidP="00477E65">
      <w:pPr>
        <w:pStyle w:val="ListParagraph"/>
        <w:numPr>
          <w:ilvl w:val="0"/>
          <w:numId w:val="11"/>
        </w:numPr>
        <w:rPr>
          <w:rFonts w:ascii="Times New Roman" w:hAnsi="Times New Roman"/>
          <w:sz w:val="26"/>
          <w:szCs w:val="26"/>
        </w:rPr>
      </w:pPr>
      <w:r w:rsidRPr="005D0552">
        <w:rPr>
          <w:rFonts w:ascii="Times New Roman" w:hAnsi="Times New Roman"/>
          <w:sz w:val="26"/>
          <w:szCs w:val="26"/>
        </w:rPr>
        <w:t>Are there any other PJM non-market based charges in addition to those noted above?</w:t>
      </w:r>
    </w:p>
    <w:p w:rsidR="00477E65" w:rsidRPr="005D0552" w:rsidRDefault="00477E65" w:rsidP="00477E65">
      <w:pPr>
        <w:pStyle w:val="ListParagraph"/>
        <w:numPr>
          <w:ilvl w:val="0"/>
          <w:numId w:val="11"/>
        </w:numPr>
        <w:rPr>
          <w:rFonts w:ascii="Times New Roman" w:hAnsi="Times New Roman"/>
          <w:sz w:val="26"/>
          <w:szCs w:val="26"/>
        </w:rPr>
      </w:pPr>
      <w:r w:rsidRPr="005D0552">
        <w:rPr>
          <w:rFonts w:ascii="Times New Roman" w:hAnsi="Times New Roman"/>
          <w:sz w:val="26"/>
          <w:szCs w:val="26"/>
        </w:rPr>
        <w:t>Are there any PJM charges that may, for whatever reason, be considered market based in some instances and non-market based in other instances or that are not generally agreed upon as either being market- or non-market based?</w:t>
      </w:r>
    </w:p>
    <w:p w:rsidR="00477E65" w:rsidRDefault="00477E65" w:rsidP="00477E65">
      <w:pPr>
        <w:pStyle w:val="ListParagraph"/>
        <w:numPr>
          <w:ilvl w:val="0"/>
          <w:numId w:val="11"/>
        </w:numPr>
        <w:tabs>
          <w:tab w:val="left" w:pos="2362"/>
        </w:tabs>
        <w:rPr>
          <w:rFonts w:ascii="Times New Roman" w:hAnsi="Times New Roman"/>
          <w:sz w:val="26"/>
          <w:szCs w:val="26"/>
        </w:rPr>
      </w:pPr>
      <w:r w:rsidRPr="00477E65">
        <w:rPr>
          <w:rFonts w:ascii="Times New Roman" w:hAnsi="Times New Roman"/>
          <w:sz w:val="26"/>
          <w:szCs w:val="26"/>
        </w:rPr>
        <w:t>Generally, how often and in what manner are these charges imposed on LSEs?  When do these charges change during the calendar year?</w:t>
      </w:r>
    </w:p>
    <w:p w:rsidR="00477E65" w:rsidRPr="00477E65" w:rsidRDefault="00477E65" w:rsidP="00477E65">
      <w:pPr>
        <w:pStyle w:val="ListParagraph"/>
        <w:numPr>
          <w:ilvl w:val="0"/>
          <w:numId w:val="11"/>
        </w:numPr>
        <w:tabs>
          <w:tab w:val="left" w:pos="2362"/>
        </w:tabs>
        <w:rPr>
          <w:rFonts w:ascii="Times New Roman" w:hAnsi="Times New Roman"/>
          <w:sz w:val="26"/>
          <w:szCs w:val="26"/>
        </w:rPr>
      </w:pPr>
      <w:r w:rsidRPr="00477E65">
        <w:rPr>
          <w:rFonts w:ascii="Times New Roman" w:hAnsi="Times New Roman"/>
          <w:sz w:val="26"/>
          <w:szCs w:val="26"/>
        </w:rPr>
        <w:t>What is the approximate average annual cost of these charges: 1) on an EDC basis, and 2) on a customer class basis?</w:t>
      </w:r>
      <w:r>
        <w:rPr>
          <w:rStyle w:val="FootnoteReference"/>
          <w:rFonts w:ascii="Times New Roman" w:hAnsi="Times New Roman"/>
          <w:sz w:val="26"/>
          <w:szCs w:val="26"/>
        </w:rPr>
        <w:footnoteReference w:id="1"/>
      </w:r>
      <w:r w:rsidRPr="00477E65">
        <w:rPr>
          <w:rFonts w:ascii="Times New Roman" w:hAnsi="Times New Roman"/>
          <w:sz w:val="26"/>
          <w:szCs w:val="26"/>
        </w:rPr>
        <w:t xml:space="preserve">  </w:t>
      </w:r>
    </w:p>
    <w:p w:rsidR="00477E65" w:rsidRPr="002163B1" w:rsidRDefault="00477E65" w:rsidP="00477E65">
      <w:pPr>
        <w:pStyle w:val="ListParagraph"/>
        <w:numPr>
          <w:ilvl w:val="0"/>
          <w:numId w:val="11"/>
        </w:numPr>
        <w:rPr>
          <w:rFonts w:ascii="Times New Roman" w:hAnsi="Times New Roman"/>
          <w:sz w:val="26"/>
          <w:szCs w:val="26"/>
        </w:rPr>
      </w:pPr>
      <w:r w:rsidRPr="002163B1">
        <w:rPr>
          <w:rFonts w:ascii="Times New Roman" w:hAnsi="Times New Roman"/>
          <w:sz w:val="26"/>
          <w:szCs w:val="26"/>
        </w:rPr>
        <w:t>What are the different methods utilized by the EDCs for the recovery of these costs in relation to default service?</w:t>
      </w:r>
    </w:p>
    <w:p w:rsidR="00477E65" w:rsidRPr="00477E65" w:rsidRDefault="00477E65" w:rsidP="00477E65">
      <w:pPr>
        <w:pStyle w:val="ListParagraph"/>
        <w:numPr>
          <w:ilvl w:val="0"/>
          <w:numId w:val="11"/>
        </w:numPr>
        <w:rPr>
          <w:rFonts w:ascii="Times New Roman" w:hAnsi="Times New Roman"/>
          <w:sz w:val="26"/>
          <w:szCs w:val="26"/>
        </w:rPr>
      </w:pPr>
      <w:r w:rsidRPr="00477E65">
        <w:rPr>
          <w:rFonts w:ascii="Times New Roman" w:hAnsi="Times New Roman"/>
          <w:sz w:val="26"/>
          <w:szCs w:val="26"/>
        </w:rPr>
        <w:t xml:space="preserve">Would it be possible, and if so, appropriate, to develop a competitively-neutral methodology for the collection of such charges on behalf of all LSEs serving load in a given EDC service territory? </w:t>
      </w:r>
    </w:p>
    <w:p w:rsidR="00477E65" w:rsidRPr="005D0552" w:rsidRDefault="00477E65" w:rsidP="00477E65">
      <w:pPr>
        <w:rPr>
          <w:rFonts w:ascii="Times New Roman" w:hAnsi="Times New Roman"/>
          <w:sz w:val="26"/>
          <w:szCs w:val="26"/>
        </w:rPr>
      </w:pPr>
      <w:r w:rsidRPr="005D0552">
        <w:rPr>
          <w:rFonts w:ascii="Times New Roman" w:hAnsi="Times New Roman"/>
          <w:sz w:val="26"/>
          <w:szCs w:val="26"/>
        </w:rPr>
        <w:tab/>
        <w:t xml:space="preserve">The Commission recognizes that the recovery of such charges have been litigated and established during the EDCs’ default service plan proceedings.  The intent of this informal investigation is to determine if there is a need to address these non-market based wholesale market charges in a more uniform and comprehensive way that would facilitate and enhance the retail electric market during future proceedings.   </w:t>
      </w:r>
    </w:p>
    <w:p w:rsidR="00477E65" w:rsidRPr="005D0552" w:rsidRDefault="00477E65" w:rsidP="00477E65">
      <w:pPr>
        <w:rPr>
          <w:rFonts w:ascii="Times New Roman" w:hAnsi="Times New Roman"/>
          <w:sz w:val="26"/>
          <w:szCs w:val="26"/>
        </w:rPr>
      </w:pPr>
      <w:r w:rsidRPr="005D0552">
        <w:rPr>
          <w:rFonts w:ascii="Times New Roman" w:hAnsi="Times New Roman"/>
          <w:sz w:val="26"/>
          <w:szCs w:val="26"/>
        </w:rPr>
        <w:tab/>
        <w:t xml:space="preserve">As part of its informal review, OCMO will be contacting the EDCs to discuss their various cost recovery methodologies for non-market based charges and to attain EDC input on the questions included herein.  OCMO </w:t>
      </w:r>
      <w:r>
        <w:rPr>
          <w:rFonts w:ascii="Times New Roman" w:hAnsi="Times New Roman"/>
          <w:sz w:val="26"/>
          <w:szCs w:val="26"/>
        </w:rPr>
        <w:t>anticipates seeking further feedback from</w:t>
      </w:r>
      <w:r w:rsidRPr="005D0552">
        <w:rPr>
          <w:rFonts w:ascii="Times New Roman" w:hAnsi="Times New Roman"/>
          <w:sz w:val="26"/>
          <w:szCs w:val="26"/>
        </w:rPr>
        <w:t xml:space="preserve"> other parties </w:t>
      </w:r>
      <w:r>
        <w:rPr>
          <w:rFonts w:ascii="Times New Roman" w:hAnsi="Times New Roman"/>
          <w:sz w:val="26"/>
          <w:szCs w:val="26"/>
        </w:rPr>
        <w:t>as it progresses with</w:t>
      </w:r>
      <w:r w:rsidRPr="005D0552">
        <w:rPr>
          <w:rFonts w:ascii="Times New Roman" w:hAnsi="Times New Roman"/>
          <w:sz w:val="26"/>
          <w:szCs w:val="26"/>
        </w:rPr>
        <w:t xml:space="preserve"> its review.</w:t>
      </w:r>
    </w:p>
    <w:p w:rsidR="00477E65" w:rsidRPr="005D0552" w:rsidRDefault="00477E65" w:rsidP="00477E65">
      <w:pPr>
        <w:ind w:firstLine="720"/>
        <w:rPr>
          <w:rFonts w:ascii="Times New Roman" w:hAnsi="Times New Roman"/>
          <w:sz w:val="26"/>
          <w:szCs w:val="26"/>
        </w:rPr>
      </w:pPr>
      <w:r w:rsidRPr="005D0552">
        <w:rPr>
          <w:rFonts w:ascii="Times New Roman" w:hAnsi="Times New Roman"/>
          <w:sz w:val="26"/>
          <w:szCs w:val="26"/>
        </w:rPr>
        <w:t xml:space="preserve">Any questions about this Secretarial Letter should be directed to OCMO by email at </w:t>
      </w:r>
      <w:hyperlink r:id="rId48" w:history="1">
        <w:r w:rsidRPr="005D0552">
          <w:rPr>
            <w:rStyle w:val="Hyperlink"/>
            <w:rFonts w:ascii="Times New Roman" w:hAnsi="Times New Roman"/>
            <w:sz w:val="26"/>
            <w:szCs w:val="26"/>
          </w:rPr>
          <w:t>ra-OCMO@</w:t>
        </w:r>
      </w:hyperlink>
      <w:r w:rsidRPr="005D0552">
        <w:rPr>
          <w:rStyle w:val="Hyperlink"/>
          <w:rFonts w:ascii="Times New Roman" w:hAnsi="Times New Roman"/>
          <w:sz w:val="26"/>
          <w:szCs w:val="26"/>
        </w:rPr>
        <w:t>pa.gov.</w:t>
      </w:r>
    </w:p>
    <w:p w:rsidR="00477E65" w:rsidRPr="005D0552" w:rsidRDefault="00477E65" w:rsidP="00477E65">
      <w:pPr>
        <w:keepNext/>
        <w:keepLines/>
        <w:ind w:left="5040"/>
        <w:rPr>
          <w:rFonts w:ascii="Times New Roman" w:hAnsi="Times New Roman"/>
          <w:sz w:val="26"/>
          <w:szCs w:val="26"/>
        </w:rPr>
      </w:pPr>
      <w:r w:rsidRPr="005D0552">
        <w:rPr>
          <w:rFonts w:ascii="Times New Roman" w:hAnsi="Times New Roman"/>
          <w:sz w:val="26"/>
          <w:szCs w:val="26"/>
        </w:rPr>
        <w:t>Sincerely,</w:t>
      </w:r>
    </w:p>
    <w:p w:rsidR="00477E65" w:rsidRPr="005D0552" w:rsidRDefault="00477E65" w:rsidP="00477E65">
      <w:pPr>
        <w:keepNext/>
        <w:keepLines/>
        <w:ind w:left="5040"/>
        <w:rPr>
          <w:rFonts w:ascii="Times New Roman" w:hAnsi="Times New Roman"/>
          <w:sz w:val="26"/>
          <w:szCs w:val="26"/>
        </w:rPr>
      </w:pPr>
      <w:r>
        <w:rPr>
          <w:noProof/>
        </w:rPr>
        <w:drawing>
          <wp:anchor distT="0" distB="0" distL="114300" distR="114300" simplePos="0" relativeHeight="251660288" behindDoc="1" locked="0" layoutInCell="1" allowOverlap="1">
            <wp:simplePos x="0" y="0"/>
            <wp:positionH relativeFrom="column">
              <wp:posOffset>3133725</wp:posOffset>
            </wp:positionH>
            <wp:positionV relativeFrom="paragraph">
              <wp:posOffset>-635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E65" w:rsidRPr="005D0552" w:rsidRDefault="00477E65" w:rsidP="00477E65">
      <w:pPr>
        <w:keepNext/>
        <w:keepLines/>
        <w:ind w:left="5040"/>
        <w:rPr>
          <w:rFonts w:ascii="Times New Roman" w:hAnsi="Times New Roman"/>
          <w:sz w:val="26"/>
          <w:szCs w:val="26"/>
        </w:rPr>
      </w:pPr>
    </w:p>
    <w:p w:rsidR="00477E65" w:rsidRPr="005D0552" w:rsidRDefault="00477E65" w:rsidP="00477E65">
      <w:pPr>
        <w:keepNext/>
        <w:keepLines/>
        <w:ind w:left="5040"/>
        <w:rPr>
          <w:rFonts w:ascii="Times New Roman" w:hAnsi="Times New Roman"/>
          <w:sz w:val="26"/>
          <w:szCs w:val="26"/>
        </w:rPr>
      </w:pPr>
    </w:p>
    <w:p w:rsidR="00477E65" w:rsidRPr="005D0552" w:rsidRDefault="00477E65" w:rsidP="00477E65">
      <w:pPr>
        <w:keepNext/>
        <w:keepLines/>
        <w:ind w:left="5040"/>
        <w:rPr>
          <w:rFonts w:ascii="Times New Roman" w:hAnsi="Times New Roman"/>
          <w:sz w:val="26"/>
          <w:szCs w:val="26"/>
        </w:rPr>
      </w:pPr>
      <w:r w:rsidRPr="005D0552">
        <w:rPr>
          <w:rFonts w:ascii="Times New Roman" w:hAnsi="Times New Roman"/>
          <w:sz w:val="26"/>
          <w:szCs w:val="26"/>
        </w:rPr>
        <w:t>Rosemary Chiavetta</w:t>
      </w:r>
      <w:r w:rsidR="000766EE">
        <w:rPr>
          <w:rFonts w:ascii="Times New Roman" w:hAnsi="Times New Roman"/>
          <w:sz w:val="26"/>
          <w:szCs w:val="26"/>
        </w:rPr>
        <w:br/>
      </w:r>
      <w:r w:rsidRPr="005D0552">
        <w:rPr>
          <w:rFonts w:ascii="Times New Roman" w:hAnsi="Times New Roman"/>
          <w:sz w:val="26"/>
          <w:szCs w:val="26"/>
        </w:rPr>
        <w:t>Secretary</w:t>
      </w:r>
    </w:p>
    <w:p w:rsidR="00477E65" w:rsidRPr="005D0552" w:rsidRDefault="00477E65" w:rsidP="00477E65">
      <w:pPr>
        <w:keepNext/>
        <w:keepLines/>
        <w:ind w:left="5040"/>
        <w:rPr>
          <w:rFonts w:ascii="Times New Roman" w:hAnsi="Times New Roman"/>
          <w:sz w:val="26"/>
          <w:szCs w:val="26"/>
        </w:rPr>
      </w:pPr>
    </w:p>
    <w:p w:rsidR="00477E65" w:rsidRPr="005D0552" w:rsidRDefault="00477E65" w:rsidP="00477E65">
      <w:pPr>
        <w:keepNext/>
        <w:keepLines/>
        <w:rPr>
          <w:rFonts w:ascii="Times New Roman" w:hAnsi="Times New Roman"/>
          <w:sz w:val="26"/>
          <w:szCs w:val="26"/>
        </w:rPr>
      </w:pPr>
    </w:p>
    <w:p w:rsidR="00477E65" w:rsidRPr="005D0552" w:rsidRDefault="00477E65" w:rsidP="00477E65">
      <w:pPr>
        <w:rPr>
          <w:rFonts w:ascii="Times New Roman" w:hAnsi="Times New Roman"/>
          <w:color w:val="000000"/>
          <w:sz w:val="26"/>
          <w:szCs w:val="26"/>
        </w:rPr>
      </w:pPr>
      <w:r w:rsidRPr="005D0552">
        <w:rPr>
          <w:rFonts w:ascii="Times New Roman" w:hAnsi="Times New Roman"/>
          <w:sz w:val="26"/>
          <w:szCs w:val="26"/>
        </w:rPr>
        <w:t xml:space="preserve">cc:  </w:t>
      </w:r>
      <w:r w:rsidRPr="005D0552">
        <w:rPr>
          <w:rFonts w:ascii="Times New Roman" w:hAnsi="Times New Roman"/>
          <w:sz w:val="26"/>
          <w:szCs w:val="26"/>
        </w:rPr>
        <w:tab/>
        <w:t>Office of Competitiv</w:t>
      </w:r>
      <w:r>
        <w:rPr>
          <w:rFonts w:ascii="Times New Roman" w:hAnsi="Times New Roman"/>
          <w:sz w:val="26"/>
          <w:szCs w:val="26"/>
        </w:rPr>
        <w:t>e Market Oversight</w:t>
      </w:r>
    </w:p>
    <w:p w:rsidR="00DA6FDA" w:rsidRPr="00DA6FDA" w:rsidRDefault="00DA6FDA" w:rsidP="00DA6FDA">
      <w:pPr>
        <w:rPr>
          <w:sz w:val="24"/>
          <w:szCs w:val="24"/>
        </w:rPr>
      </w:pPr>
    </w:p>
    <w:sectPr w:rsidR="00DA6FDA" w:rsidRPr="00DA6FDA" w:rsidSect="00DD6774">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A1" w:rsidRDefault="00CB1EA1" w:rsidP="00DB45B0">
      <w:pPr>
        <w:spacing w:after="0" w:line="240" w:lineRule="auto"/>
      </w:pPr>
      <w:r>
        <w:separator/>
      </w:r>
    </w:p>
  </w:endnote>
  <w:endnote w:type="continuationSeparator" w:id="0">
    <w:p w:rsidR="00CB1EA1" w:rsidRDefault="00CB1EA1" w:rsidP="00DB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323230"/>
      <w:docPartObj>
        <w:docPartGallery w:val="Page Numbers (Bottom of Page)"/>
        <w:docPartUnique/>
      </w:docPartObj>
    </w:sdtPr>
    <w:sdtEndPr>
      <w:rPr>
        <w:noProof/>
      </w:rPr>
    </w:sdtEndPr>
    <w:sdtContent>
      <w:p w:rsidR="00DB45B0" w:rsidRDefault="00DB45B0">
        <w:pPr>
          <w:pStyle w:val="Footer"/>
          <w:jc w:val="center"/>
        </w:pPr>
        <w:r>
          <w:fldChar w:fldCharType="begin"/>
        </w:r>
        <w:r>
          <w:instrText xml:space="preserve"> PAGE   \* MERGEFORMAT </w:instrText>
        </w:r>
        <w:r>
          <w:fldChar w:fldCharType="separate"/>
        </w:r>
        <w:r w:rsidR="003D631C">
          <w:rPr>
            <w:noProof/>
          </w:rPr>
          <w:t>1</w:t>
        </w:r>
        <w:r>
          <w:rPr>
            <w:noProof/>
          </w:rPr>
          <w:fldChar w:fldCharType="end"/>
        </w:r>
      </w:p>
    </w:sdtContent>
  </w:sdt>
  <w:p w:rsidR="00DB45B0" w:rsidRDefault="00DB4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A1" w:rsidRDefault="00CB1EA1" w:rsidP="00DB45B0">
      <w:pPr>
        <w:spacing w:after="0" w:line="240" w:lineRule="auto"/>
      </w:pPr>
      <w:r>
        <w:separator/>
      </w:r>
    </w:p>
  </w:footnote>
  <w:footnote w:type="continuationSeparator" w:id="0">
    <w:p w:rsidR="00CB1EA1" w:rsidRDefault="00CB1EA1" w:rsidP="00DB45B0">
      <w:pPr>
        <w:spacing w:after="0" w:line="240" w:lineRule="auto"/>
      </w:pPr>
      <w:r>
        <w:continuationSeparator/>
      </w:r>
    </w:p>
  </w:footnote>
  <w:footnote w:id="1">
    <w:p w:rsidR="00477E65" w:rsidRPr="0055056A" w:rsidRDefault="00477E65" w:rsidP="00477E65">
      <w:pPr>
        <w:pStyle w:val="FootnoteText"/>
        <w:rPr>
          <w:rFonts w:ascii="Times New Roman" w:hAnsi="Times New Roman"/>
          <w:sz w:val="26"/>
          <w:szCs w:val="26"/>
        </w:rPr>
      </w:pPr>
      <w:r w:rsidRPr="0055056A">
        <w:rPr>
          <w:rStyle w:val="FootnoteReference"/>
          <w:rFonts w:ascii="Times New Roman" w:hAnsi="Times New Roman"/>
          <w:sz w:val="26"/>
          <w:szCs w:val="26"/>
        </w:rPr>
        <w:footnoteRef/>
      </w:r>
      <w:r w:rsidRPr="0055056A">
        <w:rPr>
          <w:rFonts w:ascii="Times New Roman" w:hAnsi="Times New Roman"/>
          <w:sz w:val="26"/>
          <w:szCs w:val="26"/>
        </w:rPr>
        <w:t xml:space="preserve"> Express costs in $/MW, if applicable, but in all cases in $/MWH, and state any applicable load factor assumptions.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C9F"/>
    <w:multiLevelType w:val="hybridMultilevel"/>
    <w:tmpl w:val="C0620276"/>
    <w:lvl w:ilvl="0" w:tplc="E73ECB1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1A6806"/>
    <w:multiLevelType w:val="hybridMultilevel"/>
    <w:tmpl w:val="4DAC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27B21"/>
    <w:multiLevelType w:val="hybridMultilevel"/>
    <w:tmpl w:val="B01E0F7C"/>
    <w:lvl w:ilvl="0" w:tplc="42ECDF7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E228A"/>
    <w:multiLevelType w:val="hybridMultilevel"/>
    <w:tmpl w:val="82403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280698"/>
    <w:multiLevelType w:val="hybridMultilevel"/>
    <w:tmpl w:val="9EFC9220"/>
    <w:lvl w:ilvl="0" w:tplc="6922DB76">
      <w:start w:val="1"/>
      <w:numFmt w:val="bullet"/>
      <w:lvlText w:val=""/>
      <w:lvlJc w:val="left"/>
      <w:pPr>
        <w:ind w:left="720" w:hanging="360"/>
      </w:pPr>
      <w:rPr>
        <w:rFonts w:ascii="Symbol" w:hAnsi="Symbol" w:hint="default"/>
        <w:color w:val="000000" w:themeColor="text1"/>
        <w:sz w:val="22"/>
        <w:szCs w:val="22"/>
      </w:rPr>
    </w:lvl>
    <w:lvl w:ilvl="1" w:tplc="65025CE8">
      <w:start w:val="1"/>
      <w:numFmt w:val="bullet"/>
      <w:lvlText w:val=""/>
      <w:lvlJc w:val="left"/>
      <w:pPr>
        <w:ind w:left="1440" w:hanging="360"/>
      </w:pPr>
      <w:rPr>
        <w:rFonts w:ascii="Symbol" w:hAnsi="Symbol" w:hint="default"/>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D4BEF"/>
    <w:multiLevelType w:val="hybridMultilevel"/>
    <w:tmpl w:val="977E3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4EED0FCD"/>
    <w:multiLevelType w:val="hybridMultilevel"/>
    <w:tmpl w:val="C7D2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54097"/>
    <w:multiLevelType w:val="hybridMultilevel"/>
    <w:tmpl w:val="5B8223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55606F"/>
    <w:multiLevelType w:val="hybridMultilevel"/>
    <w:tmpl w:val="A2A0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884D99"/>
    <w:multiLevelType w:val="hybridMultilevel"/>
    <w:tmpl w:val="1DAEF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6"/>
  </w:num>
  <w:num w:numId="5">
    <w:abstractNumId w:val="7"/>
  </w:num>
  <w:num w:numId="6">
    <w:abstractNumId w:val="0"/>
  </w:num>
  <w:num w:numId="7">
    <w:abstractNumId w:val="9"/>
  </w:num>
  <w:num w:numId="8">
    <w:abstractNumId w:val="5"/>
  </w:num>
  <w:num w:numId="9">
    <w:abstractNumId w:val="1"/>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39"/>
    <w:rsid w:val="00051B2F"/>
    <w:rsid w:val="000766EE"/>
    <w:rsid w:val="000F0424"/>
    <w:rsid w:val="001549D9"/>
    <w:rsid w:val="00171DC7"/>
    <w:rsid w:val="001903AF"/>
    <w:rsid w:val="0019459D"/>
    <w:rsid w:val="00197EA5"/>
    <w:rsid w:val="00203C2D"/>
    <w:rsid w:val="00221151"/>
    <w:rsid w:val="002215DD"/>
    <w:rsid w:val="00256D0A"/>
    <w:rsid w:val="0027090E"/>
    <w:rsid w:val="00286939"/>
    <w:rsid w:val="00287B2B"/>
    <w:rsid w:val="00292485"/>
    <w:rsid w:val="00296550"/>
    <w:rsid w:val="002A70C9"/>
    <w:rsid w:val="002C7FF5"/>
    <w:rsid w:val="003016D8"/>
    <w:rsid w:val="003030D2"/>
    <w:rsid w:val="003210D3"/>
    <w:rsid w:val="00321B36"/>
    <w:rsid w:val="00355D32"/>
    <w:rsid w:val="00364E5E"/>
    <w:rsid w:val="00397B9A"/>
    <w:rsid w:val="003B545B"/>
    <w:rsid w:val="003C633D"/>
    <w:rsid w:val="003D631C"/>
    <w:rsid w:val="00441E08"/>
    <w:rsid w:val="004477FF"/>
    <w:rsid w:val="00460773"/>
    <w:rsid w:val="00464F51"/>
    <w:rsid w:val="00477E65"/>
    <w:rsid w:val="004C1A04"/>
    <w:rsid w:val="00502337"/>
    <w:rsid w:val="00516EFE"/>
    <w:rsid w:val="0053182D"/>
    <w:rsid w:val="00565A4F"/>
    <w:rsid w:val="00580CE2"/>
    <w:rsid w:val="00581E4D"/>
    <w:rsid w:val="005A129E"/>
    <w:rsid w:val="005C106F"/>
    <w:rsid w:val="005D6224"/>
    <w:rsid w:val="00616016"/>
    <w:rsid w:val="00686358"/>
    <w:rsid w:val="006C5231"/>
    <w:rsid w:val="00704DC1"/>
    <w:rsid w:val="00733CDC"/>
    <w:rsid w:val="0073441F"/>
    <w:rsid w:val="00763469"/>
    <w:rsid w:val="00776ED3"/>
    <w:rsid w:val="007775A4"/>
    <w:rsid w:val="007A15B4"/>
    <w:rsid w:val="007B3277"/>
    <w:rsid w:val="007D6721"/>
    <w:rsid w:val="007F29E9"/>
    <w:rsid w:val="007F7800"/>
    <w:rsid w:val="0082462C"/>
    <w:rsid w:val="00824EF6"/>
    <w:rsid w:val="00830B87"/>
    <w:rsid w:val="00835EFA"/>
    <w:rsid w:val="00836204"/>
    <w:rsid w:val="00837CEF"/>
    <w:rsid w:val="008652BB"/>
    <w:rsid w:val="008A14C7"/>
    <w:rsid w:val="008C067A"/>
    <w:rsid w:val="008C28E0"/>
    <w:rsid w:val="008F6893"/>
    <w:rsid w:val="00903E35"/>
    <w:rsid w:val="0094780F"/>
    <w:rsid w:val="009662C5"/>
    <w:rsid w:val="00966FC8"/>
    <w:rsid w:val="009B1564"/>
    <w:rsid w:val="009E74C9"/>
    <w:rsid w:val="00A01782"/>
    <w:rsid w:val="00A47C85"/>
    <w:rsid w:val="00A659E8"/>
    <w:rsid w:val="00A81A08"/>
    <w:rsid w:val="00B01CB2"/>
    <w:rsid w:val="00B13030"/>
    <w:rsid w:val="00B47A51"/>
    <w:rsid w:val="00B87CB7"/>
    <w:rsid w:val="00BA1051"/>
    <w:rsid w:val="00C84F79"/>
    <w:rsid w:val="00C969CE"/>
    <w:rsid w:val="00CB1EA1"/>
    <w:rsid w:val="00CD2893"/>
    <w:rsid w:val="00CD4003"/>
    <w:rsid w:val="00CF18E0"/>
    <w:rsid w:val="00D04B7D"/>
    <w:rsid w:val="00D434AC"/>
    <w:rsid w:val="00D632B7"/>
    <w:rsid w:val="00DA15D4"/>
    <w:rsid w:val="00DA2B37"/>
    <w:rsid w:val="00DA6FDA"/>
    <w:rsid w:val="00DB377F"/>
    <w:rsid w:val="00DB45B0"/>
    <w:rsid w:val="00DD6774"/>
    <w:rsid w:val="00E03F6E"/>
    <w:rsid w:val="00E16DD1"/>
    <w:rsid w:val="00E2717F"/>
    <w:rsid w:val="00E370BB"/>
    <w:rsid w:val="00E564DF"/>
    <w:rsid w:val="00E64877"/>
    <w:rsid w:val="00E70A12"/>
    <w:rsid w:val="00E7520D"/>
    <w:rsid w:val="00E9586C"/>
    <w:rsid w:val="00E95976"/>
    <w:rsid w:val="00EA32FF"/>
    <w:rsid w:val="00EB719B"/>
    <w:rsid w:val="00EE31B9"/>
    <w:rsid w:val="00F037FD"/>
    <w:rsid w:val="00F20858"/>
    <w:rsid w:val="00F50B06"/>
    <w:rsid w:val="00F7043C"/>
    <w:rsid w:val="00F7500D"/>
    <w:rsid w:val="00F85F49"/>
    <w:rsid w:val="00FC116A"/>
    <w:rsid w:val="00FE4739"/>
    <w:rsid w:val="00FE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6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39"/>
    <w:rPr>
      <w:rFonts w:ascii="Tahoma" w:hAnsi="Tahoma" w:cs="Tahoma"/>
      <w:sz w:val="16"/>
      <w:szCs w:val="16"/>
    </w:rPr>
  </w:style>
  <w:style w:type="paragraph" w:styleId="PlainText">
    <w:name w:val="Plain Text"/>
    <w:basedOn w:val="Normal"/>
    <w:link w:val="PlainTextChar"/>
    <w:uiPriority w:val="99"/>
    <w:semiHidden/>
    <w:unhideWhenUsed/>
    <w:rsid w:val="0083620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36204"/>
    <w:rPr>
      <w:rFonts w:ascii="Calibri" w:hAnsi="Calibri"/>
      <w:szCs w:val="21"/>
    </w:rPr>
  </w:style>
  <w:style w:type="paragraph" w:styleId="ListParagraph">
    <w:name w:val="List Paragraph"/>
    <w:basedOn w:val="Normal"/>
    <w:uiPriority w:val="34"/>
    <w:qFormat/>
    <w:rsid w:val="00836204"/>
    <w:pPr>
      <w:ind w:left="720"/>
      <w:contextualSpacing/>
    </w:pPr>
  </w:style>
  <w:style w:type="character" w:styleId="Hyperlink">
    <w:name w:val="Hyperlink"/>
    <w:basedOn w:val="DefaultParagraphFont"/>
    <w:uiPriority w:val="99"/>
    <w:unhideWhenUsed/>
    <w:rsid w:val="00836204"/>
    <w:rPr>
      <w:color w:val="0000FF" w:themeColor="hyperlink"/>
      <w:u w:val="single"/>
    </w:rPr>
  </w:style>
  <w:style w:type="paragraph" w:styleId="Header">
    <w:name w:val="header"/>
    <w:basedOn w:val="Normal"/>
    <w:link w:val="HeaderChar"/>
    <w:uiPriority w:val="99"/>
    <w:unhideWhenUsed/>
    <w:rsid w:val="00DB4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5B0"/>
  </w:style>
  <w:style w:type="paragraph" w:styleId="Footer">
    <w:name w:val="footer"/>
    <w:basedOn w:val="Normal"/>
    <w:link w:val="FooterChar"/>
    <w:uiPriority w:val="99"/>
    <w:unhideWhenUsed/>
    <w:rsid w:val="00DB4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5B0"/>
  </w:style>
  <w:style w:type="character" w:styleId="FollowedHyperlink">
    <w:name w:val="FollowedHyperlink"/>
    <w:basedOn w:val="DefaultParagraphFont"/>
    <w:uiPriority w:val="99"/>
    <w:semiHidden/>
    <w:unhideWhenUsed/>
    <w:rsid w:val="00DA6FDA"/>
    <w:rPr>
      <w:color w:val="800080" w:themeColor="followedHyperlink"/>
      <w:u w:val="single"/>
    </w:rPr>
  </w:style>
  <w:style w:type="paragraph" w:styleId="FootnoteText">
    <w:name w:val="footnote text"/>
    <w:basedOn w:val="Normal"/>
    <w:link w:val="FootnoteTextChar"/>
    <w:uiPriority w:val="99"/>
    <w:semiHidden/>
    <w:rsid w:val="00477E65"/>
    <w:pPr>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uiPriority w:val="99"/>
    <w:semiHidden/>
    <w:rsid w:val="00477E65"/>
    <w:rPr>
      <w:rFonts w:ascii="Courier New" w:eastAsia="Times New Roman" w:hAnsi="Courier New" w:cs="Times New Roman"/>
      <w:sz w:val="20"/>
      <w:szCs w:val="20"/>
    </w:rPr>
  </w:style>
  <w:style w:type="character" w:styleId="FootnoteReference">
    <w:name w:val="footnote reference"/>
    <w:uiPriority w:val="99"/>
    <w:rsid w:val="00477E65"/>
    <w:rPr>
      <w:vertAlign w:val="superscript"/>
    </w:rPr>
  </w:style>
  <w:style w:type="character" w:styleId="PageNumber">
    <w:name w:val="page number"/>
    <w:basedOn w:val="DefaultParagraphFont"/>
    <w:rsid w:val="00477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6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39"/>
    <w:rPr>
      <w:rFonts w:ascii="Tahoma" w:hAnsi="Tahoma" w:cs="Tahoma"/>
      <w:sz w:val="16"/>
      <w:szCs w:val="16"/>
    </w:rPr>
  </w:style>
  <w:style w:type="paragraph" w:styleId="PlainText">
    <w:name w:val="Plain Text"/>
    <w:basedOn w:val="Normal"/>
    <w:link w:val="PlainTextChar"/>
    <w:uiPriority w:val="99"/>
    <w:semiHidden/>
    <w:unhideWhenUsed/>
    <w:rsid w:val="0083620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36204"/>
    <w:rPr>
      <w:rFonts w:ascii="Calibri" w:hAnsi="Calibri"/>
      <w:szCs w:val="21"/>
    </w:rPr>
  </w:style>
  <w:style w:type="paragraph" w:styleId="ListParagraph">
    <w:name w:val="List Paragraph"/>
    <w:basedOn w:val="Normal"/>
    <w:uiPriority w:val="34"/>
    <w:qFormat/>
    <w:rsid w:val="00836204"/>
    <w:pPr>
      <w:ind w:left="720"/>
      <w:contextualSpacing/>
    </w:pPr>
  </w:style>
  <w:style w:type="character" w:styleId="Hyperlink">
    <w:name w:val="Hyperlink"/>
    <w:basedOn w:val="DefaultParagraphFont"/>
    <w:uiPriority w:val="99"/>
    <w:unhideWhenUsed/>
    <w:rsid w:val="00836204"/>
    <w:rPr>
      <w:color w:val="0000FF" w:themeColor="hyperlink"/>
      <w:u w:val="single"/>
    </w:rPr>
  </w:style>
  <w:style w:type="paragraph" w:styleId="Header">
    <w:name w:val="header"/>
    <w:basedOn w:val="Normal"/>
    <w:link w:val="HeaderChar"/>
    <w:uiPriority w:val="99"/>
    <w:unhideWhenUsed/>
    <w:rsid w:val="00DB4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5B0"/>
  </w:style>
  <w:style w:type="paragraph" w:styleId="Footer">
    <w:name w:val="footer"/>
    <w:basedOn w:val="Normal"/>
    <w:link w:val="FooterChar"/>
    <w:uiPriority w:val="99"/>
    <w:unhideWhenUsed/>
    <w:rsid w:val="00DB4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5B0"/>
  </w:style>
  <w:style w:type="character" w:styleId="FollowedHyperlink">
    <w:name w:val="FollowedHyperlink"/>
    <w:basedOn w:val="DefaultParagraphFont"/>
    <w:uiPriority w:val="99"/>
    <w:semiHidden/>
    <w:unhideWhenUsed/>
    <w:rsid w:val="00DA6FDA"/>
    <w:rPr>
      <w:color w:val="800080" w:themeColor="followedHyperlink"/>
      <w:u w:val="single"/>
    </w:rPr>
  </w:style>
  <w:style w:type="paragraph" w:styleId="FootnoteText">
    <w:name w:val="footnote text"/>
    <w:basedOn w:val="Normal"/>
    <w:link w:val="FootnoteTextChar"/>
    <w:uiPriority w:val="99"/>
    <w:semiHidden/>
    <w:rsid w:val="00477E65"/>
    <w:pPr>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uiPriority w:val="99"/>
    <w:semiHidden/>
    <w:rsid w:val="00477E65"/>
    <w:rPr>
      <w:rFonts w:ascii="Courier New" w:eastAsia="Times New Roman" w:hAnsi="Courier New" w:cs="Times New Roman"/>
      <w:sz w:val="20"/>
      <w:szCs w:val="20"/>
    </w:rPr>
  </w:style>
  <w:style w:type="character" w:styleId="FootnoteReference">
    <w:name w:val="footnote reference"/>
    <w:uiPriority w:val="99"/>
    <w:rsid w:val="00477E65"/>
    <w:rPr>
      <w:vertAlign w:val="superscript"/>
    </w:rPr>
  </w:style>
  <w:style w:type="character" w:styleId="PageNumber">
    <w:name w:val="page number"/>
    <w:basedOn w:val="DefaultParagraphFont"/>
    <w:rsid w:val="00477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3003">
      <w:bodyDiv w:val="1"/>
      <w:marLeft w:val="0"/>
      <w:marRight w:val="0"/>
      <w:marTop w:val="0"/>
      <w:marBottom w:val="0"/>
      <w:divBdr>
        <w:top w:val="none" w:sz="0" w:space="0" w:color="auto"/>
        <w:left w:val="none" w:sz="0" w:space="0" w:color="auto"/>
        <w:bottom w:val="none" w:sz="0" w:space="0" w:color="auto"/>
        <w:right w:val="none" w:sz="0" w:space="0" w:color="auto"/>
      </w:divBdr>
    </w:div>
    <w:div w:id="598219322">
      <w:bodyDiv w:val="1"/>
      <w:marLeft w:val="0"/>
      <w:marRight w:val="0"/>
      <w:marTop w:val="0"/>
      <w:marBottom w:val="0"/>
      <w:divBdr>
        <w:top w:val="none" w:sz="0" w:space="0" w:color="auto"/>
        <w:left w:val="none" w:sz="0" w:space="0" w:color="auto"/>
        <w:bottom w:val="none" w:sz="0" w:space="0" w:color="auto"/>
        <w:right w:val="none" w:sz="0" w:space="0" w:color="auto"/>
      </w:divBdr>
    </w:div>
    <w:div w:id="609822167">
      <w:bodyDiv w:val="1"/>
      <w:marLeft w:val="0"/>
      <w:marRight w:val="0"/>
      <w:marTop w:val="0"/>
      <w:marBottom w:val="0"/>
      <w:divBdr>
        <w:top w:val="none" w:sz="0" w:space="0" w:color="auto"/>
        <w:left w:val="none" w:sz="0" w:space="0" w:color="auto"/>
        <w:bottom w:val="none" w:sz="0" w:space="0" w:color="auto"/>
        <w:right w:val="none" w:sz="0" w:space="0" w:color="auto"/>
      </w:divBdr>
    </w:div>
    <w:div w:id="728193309">
      <w:bodyDiv w:val="1"/>
      <w:marLeft w:val="0"/>
      <w:marRight w:val="0"/>
      <w:marTop w:val="0"/>
      <w:marBottom w:val="0"/>
      <w:divBdr>
        <w:top w:val="none" w:sz="0" w:space="0" w:color="auto"/>
        <w:left w:val="none" w:sz="0" w:space="0" w:color="auto"/>
        <w:bottom w:val="none" w:sz="0" w:space="0" w:color="auto"/>
        <w:right w:val="none" w:sz="0" w:space="0" w:color="auto"/>
      </w:divBdr>
    </w:div>
    <w:div w:id="1279678479">
      <w:bodyDiv w:val="1"/>
      <w:marLeft w:val="0"/>
      <w:marRight w:val="0"/>
      <w:marTop w:val="0"/>
      <w:marBottom w:val="0"/>
      <w:divBdr>
        <w:top w:val="none" w:sz="0" w:space="0" w:color="auto"/>
        <w:left w:val="none" w:sz="0" w:space="0" w:color="auto"/>
        <w:bottom w:val="none" w:sz="0" w:space="0" w:color="auto"/>
        <w:right w:val="none" w:sz="0" w:space="0" w:color="auto"/>
      </w:divBdr>
    </w:div>
    <w:div w:id="1287354109">
      <w:bodyDiv w:val="1"/>
      <w:marLeft w:val="0"/>
      <w:marRight w:val="0"/>
      <w:marTop w:val="0"/>
      <w:marBottom w:val="0"/>
      <w:divBdr>
        <w:top w:val="none" w:sz="0" w:space="0" w:color="auto"/>
        <w:left w:val="none" w:sz="0" w:space="0" w:color="auto"/>
        <w:bottom w:val="none" w:sz="0" w:space="0" w:color="auto"/>
        <w:right w:val="none" w:sz="0" w:space="0" w:color="auto"/>
      </w:divBdr>
    </w:div>
    <w:div w:id="1551649193">
      <w:bodyDiv w:val="1"/>
      <w:marLeft w:val="0"/>
      <w:marRight w:val="0"/>
      <w:marTop w:val="0"/>
      <w:marBottom w:val="0"/>
      <w:divBdr>
        <w:top w:val="none" w:sz="0" w:space="0" w:color="auto"/>
        <w:left w:val="none" w:sz="0" w:space="0" w:color="auto"/>
        <w:bottom w:val="none" w:sz="0" w:space="0" w:color="auto"/>
        <w:right w:val="none" w:sz="0" w:space="0" w:color="auto"/>
      </w:divBdr>
    </w:div>
    <w:div w:id="1808165441">
      <w:bodyDiv w:val="1"/>
      <w:marLeft w:val="0"/>
      <w:marRight w:val="0"/>
      <w:marTop w:val="0"/>
      <w:marBottom w:val="0"/>
      <w:divBdr>
        <w:top w:val="none" w:sz="0" w:space="0" w:color="auto"/>
        <w:left w:val="none" w:sz="0" w:space="0" w:color="auto"/>
        <w:bottom w:val="none" w:sz="0" w:space="0" w:color="auto"/>
        <w:right w:val="none" w:sz="0" w:space="0" w:color="auto"/>
      </w:divBdr>
    </w:div>
    <w:div w:id="1866752801">
      <w:bodyDiv w:val="1"/>
      <w:marLeft w:val="0"/>
      <w:marRight w:val="0"/>
      <w:marTop w:val="0"/>
      <w:marBottom w:val="0"/>
      <w:divBdr>
        <w:top w:val="none" w:sz="0" w:space="0" w:color="auto"/>
        <w:left w:val="none" w:sz="0" w:space="0" w:color="auto"/>
        <w:bottom w:val="none" w:sz="0" w:space="0" w:color="auto"/>
        <w:right w:val="none" w:sz="0" w:space="0" w:color="auto"/>
      </w:divBdr>
    </w:div>
    <w:div w:id="200365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powerswitch.com/" TargetMode="External"/><Relationship Id="rId18" Type="http://schemas.openxmlformats.org/officeDocument/2006/relationships/hyperlink" Target="http://www.puc.pa.gov/filing_resources/electric_online_forms.aspx" TargetMode="External"/><Relationship Id="rId26" Type="http://schemas.openxmlformats.org/officeDocument/2006/relationships/hyperlink" Target="http://www.pacode.com/secure/data/052/chapter111/s111.4.html" TargetMode="External"/><Relationship Id="rId39" Type="http://schemas.openxmlformats.org/officeDocument/2006/relationships/hyperlink" Target="http://www.puc.pa.gov/about_puc/consolidated_case_view.aspx?Docket=M-2017-2596907" TargetMode="External"/><Relationship Id="rId3" Type="http://schemas.microsoft.com/office/2007/relationships/stylesWithEffects" Target="stylesWithEffects.xml"/><Relationship Id="rId21" Type="http://schemas.openxmlformats.org/officeDocument/2006/relationships/hyperlink" Target="http://www.puc.pa.gov/filing_resources/online_forms/natural_gas_online_forms.aspx" TargetMode="External"/><Relationship Id="rId34" Type="http://schemas.openxmlformats.org/officeDocument/2006/relationships/hyperlink" Target="http://www.puc.pa.gov/about_puc/consolidated_case_view.aspx?Docket=L-2016-2577413" TargetMode="External"/><Relationship Id="rId42" Type="http://schemas.openxmlformats.org/officeDocument/2006/relationships/hyperlink" Target="http://www.puc.pa.gov/utility_industry/electricity/office_of_competitive_market_oversight/charge.aspx" TargetMode="External"/><Relationship Id="rId47" Type="http://schemas.openxmlformats.org/officeDocument/2006/relationships/image" Target="media/image2.pn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chiavetta@pa.gov" TargetMode="External"/><Relationship Id="rId17" Type="http://schemas.openxmlformats.org/officeDocument/2006/relationships/hyperlink" Target="http://www.pacode.com/secure/data/052/chapter54/s54.39.html" TargetMode="External"/><Relationship Id="rId25" Type="http://schemas.openxmlformats.org/officeDocument/2006/relationships/hyperlink" Target="http://www.pacode.com/secure/data/052/chapter111/chap111toc.html" TargetMode="External"/><Relationship Id="rId33" Type="http://schemas.openxmlformats.org/officeDocument/2006/relationships/hyperlink" Target="mailto:ra-ocmo@pa.gov" TargetMode="External"/><Relationship Id="rId38" Type="http://schemas.openxmlformats.org/officeDocument/2006/relationships/hyperlink" Target="http://www.puc.pa.gov/about_puc/consolidated_case_view.aspx?Docket=M-2017-2596907" TargetMode="External"/><Relationship Id="rId46" Type="http://schemas.openxmlformats.org/officeDocument/2006/relationships/hyperlink" Target="mailto:ra-ocmo@pa.gov" TargetMode="External"/><Relationship Id="rId2" Type="http://schemas.openxmlformats.org/officeDocument/2006/relationships/styles" Target="styles.xml"/><Relationship Id="rId16" Type="http://schemas.openxmlformats.org/officeDocument/2006/relationships/hyperlink" Target="http://www.pacode.com/secure/data/052/chapter54/subchapHtoc.html" TargetMode="External"/><Relationship Id="rId20" Type="http://schemas.openxmlformats.org/officeDocument/2006/relationships/hyperlink" Target="http://www.pacode.com/secure/data/052/chapter62/s62.110.html" TargetMode="External"/><Relationship Id="rId29" Type="http://schemas.openxmlformats.org/officeDocument/2006/relationships/hyperlink" Target="http://www.pacode.com/secure/data/052/chapter54/s54.5.html" TargetMode="External"/><Relationship Id="rId41" Type="http://schemas.openxmlformats.org/officeDocument/2006/relationships/hyperlink" Target="mailto:ra-ocmo@p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c.pa.gov/pcdocs/1430562.docx" TargetMode="External"/><Relationship Id="rId24" Type="http://schemas.openxmlformats.org/officeDocument/2006/relationships/hyperlink" Target="http://www.puc.pa.gov/General/consumer_ed/pdf/Door-to-Door_Tips.pdf" TargetMode="External"/><Relationship Id="rId32" Type="http://schemas.openxmlformats.org/officeDocument/2006/relationships/hyperlink" Target="mailto:ra-ocmo@pa.gov" TargetMode="External"/><Relationship Id="rId37" Type="http://schemas.openxmlformats.org/officeDocument/2006/relationships/hyperlink" Target="http://www.puc.pa.gov/about_puc/consolidated_case_view.aspx?Docket=P-2016-2526627" TargetMode="External"/><Relationship Id="rId40" Type="http://schemas.openxmlformats.org/officeDocument/2006/relationships/hyperlink" Target="http://www.puc.pa.gov/efiling/default.aspx" TargetMode="External"/><Relationship Id="rId45" Type="http://schemas.openxmlformats.org/officeDocument/2006/relationships/hyperlink" Target="http://www.puc.pa.gov/utility_industry/natural_gas/natrual_gas_rmi.aspx" TargetMode="External"/><Relationship Id="rId5" Type="http://schemas.openxmlformats.org/officeDocument/2006/relationships/webSettings" Target="webSettings.xml"/><Relationship Id="rId15" Type="http://schemas.openxmlformats.org/officeDocument/2006/relationships/hyperlink" Target="mailto:yhess@pa.gov" TargetMode="External"/><Relationship Id="rId23" Type="http://schemas.openxmlformats.org/officeDocument/2006/relationships/hyperlink" Target="http://papuc.isebox.net/electricity/puc-offers-tips-on-door-to-door-sales-by-energy-suppliers" TargetMode="External"/><Relationship Id="rId28" Type="http://schemas.openxmlformats.org/officeDocument/2006/relationships/hyperlink" Target="mailto:anfalcone@pa.gov" TargetMode="External"/><Relationship Id="rId36" Type="http://schemas.openxmlformats.org/officeDocument/2006/relationships/hyperlink" Target="http://www.puc.pa.gov/about_puc/consolidated_case_view.aspx?Docket=P-2016-2534980" TargetMode="External"/><Relationship Id="rId49" Type="http://schemas.openxmlformats.org/officeDocument/2006/relationships/image" Target="media/image3.png"/><Relationship Id="rId10" Type="http://schemas.openxmlformats.org/officeDocument/2006/relationships/hyperlink" Target="http://www.puc.pa.gov/about_puc/consolidated_case_view.aspx?Docket=M-2013-2393141" TargetMode="External"/><Relationship Id="rId19" Type="http://schemas.openxmlformats.org/officeDocument/2006/relationships/hyperlink" Target="http://www.puc.pa.gov/utility_industry/electricity/retail_choice_activity_reports.aspx" TargetMode="External"/><Relationship Id="rId31" Type="http://schemas.openxmlformats.org/officeDocument/2006/relationships/hyperlink" Target="http://www.puc.pa.gov/electric/pdf/OCMO/Order-IG_Not_EGS_OCACSC081398.pdf" TargetMode="External"/><Relationship Id="rId44" Type="http://schemas.openxmlformats.org/officeDocument/2006/relationships/hyperlink" Target="http://www.puc.pa.gov/utility_industry/natural_gas/committees_and_working_groups/ocmo.aspx" TargetMode="External"/><Relationship Id="rId52"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pagasswitch.com/" TargetMode="External"/><Relationship Id="rId22" Type="http://schemas.openxmlformats.org/officeDocument/2006/relationships/hyperlink" Target="http://www.puc.pa.gov/about_puc/press_releases.aspx?ShowPR=3832" TargetMode="External"/><Relationship Id="rId27" Type="http://schemas.openxmlformats.org/officeDocument/2006/relationships/hyperlink" Target="mailto:RA-PCDOORTODOOR@pa.gov" TargetMode="External"/><Relationship Id="rId30" Type="http://schemas.openxmlformats.org/officeDocument/2006/relationships/hyperlink" Target="http://www.pacode.com/secure/data/052/chapter62/s62.75.html" TargetMode="External"/><Relationship Id="rId35" Type="http://schemas.openxmlformats.org/officeDocument/2006/relationships/hyperlink" Target="http://www.puc.pa.gov/about_puc/consolidated_case_view.aspx?Docket=L-2015-2508421" TargetMode="External"/><Relationship Id="rId43" Type="http://schemas.openxmlformats.org/officeDocument/2006/relationships/hyperlink" Target="http://www.puc.pa.gov/utility_industry/electricity/electric_competitive_market_oversight.aspx" TargetMode="External"/><Relationship Id="rId48" Type="http://schemas.openxmlformats.org/officeDocument/2006/relationships/hyperlink" Target="mailto:ra-OCMO@"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2757</Words>
  <Characters>15719</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dmumford</dc:creator>
  <cp:lastModifiedBy>Page, Cyndi</cp:lastModifiedBy>
  <cp:revision>2</cp:revision>
  <cp:lastPrinted>2017-04-18T18:35:00Z</cp:lastPrinted>
  <dcterms:created xsi:type="dcterms:W3CDTF">2017-04-20T19:23:00Z</dcterms:created>
  <dcterms:modified xsi:type="dcterms:W3CDTF">2017-04-20T19:23:00Z</dcterms:modified>
</cp:coreProperties>
</file>