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3606"/>
        <w:gridCol w:w="5970"/>
      </w:tblGrid>
      <w:tr w:rsidR="00695A56" w:rsidTr="007B4211">
        <w:tc>
          <w:tcPr>
            <w:tcW w:w="3528" w:type="dxa"/>
            <w:vMerge w:val="restart"/>
            <w:shd w:val="clear" w:color="auto" w:fill="365F91" w:themeFill="accent1" w:themeFillShade="BF"/>
          </w:tcPr>
          <w:p w:rsidR="00695A56" w:rsidRDefault="00695A56" w:rsidP="00695A56">
            <w:bookmarkStart w:id="0" w:name="_GoBack"/>
            <w:bookmarkEnd w:id="0"/>
            <w:r w:rsidRPr="001F431C">
              <w:rPr>
                <w:noProof/>
              </w:rPr>
              <w:drawing>
                <wp:anchor distT="0" distB="0" distL="114300" distR="114300" simplePos="0" relativeHeight="251665408" behindDoc="0" locked="0" layoutInCell="1" allowOverlap="1" wp14:anchorId="6441175A" wp14:editId="3029D0A2">
                  <wp:simplePos x="0" y="0"/>
                  <wp:positionH relativeFrom="margin">
                    <wp:posOffset>-66675</wp:posOffset>
                  </wp:positionH>
                  <wp:positionV relativeFrom="margin">
                    <wp:posOffset>152400</wp:posOffset>
                  </wp:positionV>
                  <wp:extent cx="2143125" cy="1624330"/>
                  <wp:effectExtent l="0" t="0" r="9525" b="0"/>
                  <wp:wrapSquare wrapText="bothSides"/>
                  <wp:docPr id="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 name="Picture 1"/>
                          <pic:cNvPicPr>
                            <a:picLocks noChangeAspect="1"/>
                          </pic:cNvPicPr>
                        </pic:nvPicPr>
                        <pic:blipFill rotWithShape="1">
                          <a:blip r:embed="rId8">
                            <a:extLst>
                              <a:ext uri="{28A0092B-C50C-407E-A947-70E740481C1C}">
                                <a14:useLocalDpi xmlns:a14="http://schemas.microsoft.com/office/drawing/2010/main" val="0"/>
                              </a:ext>
                            </a:extLst>
                          </a:blip>
                          <a:srcRect l="-2344" r="35546" b="39062"/>
                          <a:stretch/>
                        </pic:blipFill>
                        <pic:spPr bwMode="auto">
                          <a:xfrm>
                            <a:off x="0" y="0"/>
                            <a:ext cx="2143125" cy="1624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48" w:type="dxa"/>
            <w:shd w:val="clear" w:color="auto" w:fill="365F91" w:themeFill="accent1" w:themeFillShade="BF"/>
          </w:tcPr>
          <w:p w:rsidR="00695A56" w:rsidRPr="00695A56" w:rsidRDefault="00695A56" w:rsidP="00695A56">
            <w:pPr>
              <w:jc w:val="center"/>
              <w:rPr>
                <w:rFonts w:ascii="Gloucester MT Extra Condensed" w:hAnsi="Gloucester MT Extra Condensed"/>
                <w:sz w:val="44"/>
                <w:szCs w:val="44"/>
              </w:rPr>
            </w:pPr>
            <w:r w:rsidRPr="00695A56">
              <w:rPr>
                <w:rFonts w:ascii="Gloucester MT Extra Condensed" w:hAnsi="Gloucester MT Extra Condensed"/>
                <w:color w:val="FFFFFF" w:themeColor="background1"/>
                <w:sz w:val="44"/>
                <w:szCs w:val="44"/>
              </w:rPr>
              <w:t>Pennsylvania Public Utility Commission</w:t>
            </w:r>
          </w:p>
        </w:tc>
      </w:tr>
      <w:tr w:rsidR="00695A56" w:rsidTr="007B4211">
        <w:trPr>
          <w:trHeight w:val="750"/>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695A56" w:rsidP="00695A56">
            <w:pPr>
              <w:jc w:val="center"/>
              <w:rPr>
                <w:rFonts w:ascii="Gloucester MT Extra Condensed" w:hAnsi="Gloucester MT Extra Condensed"/>
                <w:sz w:val="44"/>
                <w:szCs w:val="44"/>
              </w:rPr>
            </w:pPr>
            <w:r w:rsidRPr="00695A56">
              <w:rPr>
                <w:rFonts w:ascii="Gloucester MT Extra Condensed" w:hAnsi="Gloucester MT Extra Condensed"/>
                <w:color w:val="FFFFFF" w:themeColor="background1"/>
                <w:sz w:val="44"/>
                <w:szCs w:val="44"/>
              </w:rPr>
              <w:t>Office of Competitive Market Oversight</w:t>
            </w:r>
          </w:p>
        </w:tc>
      </w:tr>
      <w:tr w:rsidR="00695A56" w:rsidTr="007B4211">
        <w:trPr>
          <w:trHeight w:val="692"/>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7B4211" w:rsidRDefault="00695A56" w:rsidP="00695A56">
            <w:pPr>
              <w:jc w:val="center"/>
              <w:rPr>
                <w:rFonts w:ascii="Rockwell Extra Bold" w:hAnsi="Rockwell Extra Bold"/>
                <w:color w:val="FFFFFF" w:themeColor="background1"/>
                <w:sz w:val="72"/>
                <w:szCs w:val="72"/>
              </w:rPr>
            </w:pPr>
            <w:r w:rsidRPr="007B4211">
              <w:rPr>
                <w:rFonts w:ascii="Rockwell Extra Bold" w:hAnsi="Rockwell Extra Bold"/>
                <w:color w:val="FFFFFF" w:themeColor="background1"/>
                <w:sz w:val="72"/>
                <w:szCs w:val="72"/>
              </w:rPr>
              <w:t xml:space="preserve">CHARGE </w:t>
            </w:r>
          </w:p>
        </w:tc>
      </w:tr>
      <w:tr w:rsidR="00695A56" w:rsidTr="007B4211">
        <w:trPr>
          <w:trHeight w:val="615"/>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695A56" w:rsidP="00695A56">
            <w:pPr>
              <w:jc w:val="center"/>
              <w:rPr>
                <w:rFonts w:ascii="Gloucester MT Extra Condensed" w:hAnsi="Gloucester MT Extra Condensed"/>
                <w:color w:val="FFFFFF" w:themeColor="background1"/>
                <w:sz w:val="44"/>
                <w:szCs w:val="44"/>
              </w:rPr>
            </w:pPr>
            <w:r>
              <w:rPr>
                <w:rFonts w:ascii="Gloucester MT Extra Condensed" w:hAnsi="Gloucester MT Extra Condensed"/>
                <w:color w:val="FFFFFF" w:themeColor="background1"/>
                <w:sz w:val="44"/>
                <w:szCs w:val="44"/>
              </w:rPr>
              <w:t>Agenda</w:t>
            </w:r>
          </w:p>
        </w:tc>
      </w:tr>
      <w:tr w:rsidR="00695A56" w:rsidTr="007B4211">
        <w:trPr>
          <w:trHeight w:val="465"/>
        </w:trPr>
        <w:tc>
          <w:tcPr>
            <w:tcW w:w="3528" w:type="dxa"/>
            <w:vMerge/>
            <w:shd w:val="clear" w:color="auto" w:fill="365F91" w:themeFill="accent1" w:themeFillShade="BF"/>
          </w:tcPr>
          <w:p w:rsidR="00695A56" w:rsidRDefault="00695A56"/>
        </w:tc>
        <w:tc>
          <w:tcPr>
            <w:tcW w:w="6048" w:type="dxa"/>
            <w:shd w:val="clear" w:color="auto" w:fill="365F91" w:themeFill="accent1" w:themeFillShade="BF"/>
          </w:tcPr>
          <w:p w:rsidR="00695A56" w:rsidRPr="00695A56" w:rsidRDefault="00695A56" w:rsidP="00F67E8B">
            <w:pPr>
              <w:jc w:val="center"/>
              <w:rPr>
                <w:rFonts w:ascii="Times New Roman" w:hAnsi="Times New Roman" w:cs="Times New Roman"/>
                <w:color w:val="FFFFFF" w:themeColor="background1"/>
                <w:sz w:val="32"/>
                <w:szCs w:val="32"/>
              </w:rPr>
            </w:pPr>
            <w:r w:rsidRPr="00695A56">
              <w:rPr>
                <w:rFonts w:ascii="Times New Roman" w:hAnsi="Times New Roman" w:cs="Times New Roman"/>
                <w:color w:val="FFFFFF" w:themeColor="background1"/>
                <w:sz w:val="32"/>
                <w:szCs w:val="32"/>
              </w:rPr>
              <w:t>Thursday July 31, 2014</w:t>
            </w:r>
            <w:r w:rsidR="00F67E8B">
              <w:rPr>
                <w:rFonts w:ascii="Times New Roman" w:hAnsi="Times New Roman" w:cs="Times New Roman"/>
                <w:color w:val="FFFFFF" w:themeColor="background1"/>
                <w:sz w:val="32"/>
                <w:szCs w:val="32"/>
              </w:rPr>
              <w:t xml:space="preserve">   9:30 am </w:t>
            </w:r>
          </w:p>
        </w:tc>
      </w:tr>
    </w:tbl>
    <w:p w:rsidR="00DD6774" w:rsidRDefault="00DD6774"/>
    <w:tbl>
      <w:tblPr>
        <w:tblStyle w:val="TableGrid"/>
        <w:tblW w:w="0" w:type="auto"/>
        <w:tblLook w:val="04A0" w:firstRow="1" w:lastRow="0" w:firstColumn="1" w:lastColumn="0" w:noHBand="0" w:noVBand="1"/>
      </w:tblPr>
      <w:tblGrid>
        <w:gridCol w:w="9576"/>
      </w:tblGrid>
      <w:tr w:rsidR="00F67E8B" w:rsidTr="00F67E8B">
        <w:tc>
          <w:tcPr>
            <w:tcW w:w="9576" w:type="dxa"/>
            <w:shd w:val="clear" w:color="auto" w:fill="365F91" w:themeFill="accent1" w:themeFillShade="BF"/>
          </w:tcPr>
          <w:p w:rsidR="00F67E8B" w:rsidRPr="00F67E8B" w:rsidRDefault="00F67E8B" w:rsidP="00F67E8B">
            <w:pPr>
              <w:jc w:val="center"/>
              <w:rPr>
                <w:rFonts w:ascii="Times New Roman" w:hAnsi="Times New Roman" w:cs="Times New Roman"/>
                <w:sz w:val="36"/>
                <w:szCs w:val="36"/>
              </w:rPr>
            </w:pPr>
            <w:r>
              <w:rPr>
                <w:rFonts w:ascii="Times New Roman" w:hAnsi="Times New Roman" w:cs="Times New Roman"/>
                <w:color w:val="FFFFFF" w:themeColor="background1"/>
                <w:sz w:val="36"/>
                <w:szCs w:val="36"/>
              </w:rPr>
              <w:t>Calling</w:t>
            </w:r>
            <w:r w:rsidRPr="00F67E8B">
              <w:rPr>
                <w:rFonts w:ascii="Times New Roman" w:hAnsi="Times New Roman" w:cs="Times New Roman"/>
                <w:color w:val="FFFFFF" w:themeColor="background1"/>
                <w:sz w:val="36"/>
                <w:szCs w:val="36"/>
              </w:rPr>
              <w:t xml:space="preserve"> I</w:t>
            </w:r>
            <w:r>
              <w:rPr>
                <w:rFonts w:ascii="Times New Roman" w:hAnsi="Times New Roman" w:cs="Times New Roman"/>
                <w:color w:val="FFFFFF" w:themeColor="background1"/>
                <w:sz w:val="36"/>
                <w:szCs w:val="36"/>
              </w:rPr>
              <w:t>nstructions:</w:t>
            </w:r>
          </w:p>
        </w:tc>
      </w:tr>
      <w:tr w:rsidR="00F67E8B" w:rsidTr="00F67E8B">
        <w:tc>
          <w:tcPr>
            <w:tcW w:w="9576" w:type="dxa"/>
          </w:tcPr>
          <w:p w:rsidR="00F67E8B" w:rsidRPr="00F67E8B" w:rsidRDefault="00F67E8B" w:rsidP="00F67E8B">
            <w:pPr>
              <w:jc w:val="center"/>
              <w:rPr>
                <w:sz w:val="36"/>
                <w:szCs w:val="36"/>
              </w:rPr>
            </w:pPr>
            <w:r>
              <w:rPr>
                <w:sz w:val="36"/>
                <w:szCs w:val="36"/>
              </w:rPr>
              <w:t xml:space="preserve"> Call:  </w:t>
            </w:r>
            <w:r w:rsidRPr="00F67E8B">
              <w:rPr>
                <w:sz w:val="36"/>
                <w:szCs w:val="36"/>
              </w:rPr>
              <w:t xml:space="preserve">866-528-2256, </w:t>
            </w:r>
            <w:r>
              <w:rPr>
                <w:sz w:val="36"/>
                <w:szCs w:val="36"/>
              </w:rPr>
              <w:t xml:space="preserve">use </w:t>
            </w:r>
            <w:r w:rsidRPr="00F67E8B">
              <w:rPr>
                <w:sz w:val="36"/>
                <w:szCs w:val="36"/>
              </w:rPr>
              <w:t>access code 6486940</w:t>
            </w:r>
          </w:p>
        </w:tc>
      </w:tr>
    </w:tbl>
    <w:p w:rsidR="00F67E8B" w:rsidRDefault="00F67E8B"/>
    <w:p w:rsidR="00F67E8B" w:rsidRPr="00C05324" w:rsidRDefault="00C05324">
      <w:pPr>
        <w:rPr>
          <w:b/>
          <w:sz w:val="26"/>
          <w:szCs w:val="26"/>
        </w:rPr>
      </w:pPr>
      <w:r w:rsidRPr="00C05324">
        <w:rPr>
          <w:b/>
          <w:sz w:val="26"/>
          <w:szCs w:val="26"/>
        </w:rPr>
        <w:t>1.  EGS’S AND FORMAL PROCEDURES AT THE COMMISSION</w:t>
      </w:r>
      <w:r w:rsidR="00E911D6">
        <w:rPr>
          <w:b/>
          <w:sz w:val="26"/>
          <w:szCs w:val="26"/>
        </w:rPr>
        <w:t>:</w:t>
      </w:r>
    </w:p>
    <w:p w:rsidR="00C05324" w:rsidRDefault="00C05324" w:rsidP="00C05324">
      <w:pPr>
        <w:spacing w:before="240"/>
        <w:rPr>
          <w:sz w:val="26"/>
          <w:szCs w:val="26"/>
        </w:rPr>
      </w:pPr>
      <w:r>
        <w:rPr>
          <w:sz w:val="26"/>
          <w:szCs w:val="26"/>
        </w:rPr>
        <w:t xml:space="preserve">PUC Secretary Rosemary Chiavetta will discuss the importance of keeping contact information updated here at the Commission and how to go about doing so.  The benefits of the Commission’s free E-Filing system will also be discussed (see this weblink: </w:t>
      </w:r>
      <w:hyperlink r:id="rId9" w:history="1">
        <w:r w:rsidRPr="002F2AFE">
          <w:rPr>
            <w:rStyle w:val="Hyperlink"/>
            <w:sz w:val="26"/>
            <w:szCs w:val="26"/>
          </w:rPr>
          <w:t>http://www.puc.pa.gov/efiling/default.aspx</w:t>
        </w:r>
      </w:hyperlink>
      <w:r>
        <w:rPr>
          <w:sz w:val="26"/>
          <w:szCs w:val="26"/>
        </w:rPr>
        <w:t xml:space="preserve">.).  </w:t>
      </w:r>
      <w:r w:rsidR="00387FBB">
        <w:rPr>
          <w:sz w:val="26"/>
          <w:szCs w:val="26"/>
        </w:rPr>
        <w:t>An additional topic will be EGSs receiving electronic service of Commission Orders, Secretarial Letters, etc.</w:t>
      </w:r>
      <w:r>
        <w:rPr>
          <w:sz w:val="26"/>
          <w:szCs w:val="26"/>
        </w:rPr>
        <w:t xml:space="preserve"> </w:t>
      </w:r>
      <w:r w:rsidR="00E911D6">
        <w:rPr>
          <w:sz w:val="26"/>
          <w:szCs w:val="26"/>
        </w:rPr>
        <w:br/>
      </w:r>
      <w:r w:rsidR="00946298">
        <w:rPr>
          <w:sz w:val="26"/>
          <w:szCs w:val="26"/>
        </w:rPr>
        <w:br/>
      </w:r>
    </w:p>
    <w:p w:rsidR="00946298" w:rsidRPr="00C05324" w:rsidRDefault="00946298" w:rsidP="00946298">
      <w:pPr>
        <w:rPr>
          <w:b/>
          <w:sz w:val="26"/>
          <w:szCs w:val="26"/>
        </w:rPr>
      </w:pPr>
      <w:r>
        <w:rPr>
          <w:b/>
          <w:sz w:val="26"/>
          <w:szCs w:val="26"/>
        </w:rPr>
        <w:t>2</w:t>
      </w:r>
      <w:r w:rsidRPr="00C05324">
        <w:rPr>
          <w:b/>
          <w:sz w:val="26"/>
          <w:szCs w:val="26"/>
        </w:rPr>
        <w:t xml:space="preserve">.  EGS’S AND </w:t>
      </w:r>
      <w:r>
        <w:rPr>
          <w:b/>
          <w:sz w:val="26"/>
          <w:szCs w:val="26"/>
        </w:rPr>
        <w:t>IN</w:t>
      </w:r>
      <w:r w:rsidRPr="00C05324">
        <w:rPr>
          <w:b/>
          <w:sz w:val="26"/>
          <w:szCs w:val="26"/>
        </w:rPr>
        <w:t>FORMAL PROCEDURES AT THE COMMISSION</w:t>
      </w:r>
      <w:r>
        <w:rPr>
          <w:b/>
          <w:sz w:val="26"/>
          <w:szCs w:val="26"/>
        </w:rPr>
        <w:t xml:space="preserve"> – RESPONDING TO INFORMAL COMPLAINTS:</w:t>
      </w:r>
    </w:p>
    <w:p w:rsidR="00946298" w:rsidRDefault="00946298" w:rsidP="00946298">
      <w:pPr>
        <w:spacing w:line="240" w:lineRule="auto"/>
        <w:rPr>
          <w:sz w:val="26"/>
          <w:szCs w:val="26"/>
        </w:rPr>
      </w:pPr>
      <w:r>
        <w:rPr>
          <w:sz w:val="26"/>
          <w:szCs w:val="26"/>
        </w:rPr>
        <w:t>Informal Complaint Unit Manager Matt Hrivnak will discuss how suppliers should respond to informal complaints filed with the Commission’s Bureau of Consumer Services (BCS).  Information provided in response to the informal complaint should include the following:</w:t>
      </w:r>
    </w:p>
    <w:p w:rsidR="00946298" w:rsidRPr="00946298" w:rsidRDefault="00946298" w:rsidP="00946298">
      <w:pPr>
        <w:pStyle w:val="ListParagraph"/>
        <w:numPr>
          <w:ilvl w:val="0"/>
          <w:numId w:val="5"/>
        </w:numPr>
        <w:spacing w:line="240" w:lineRule="auto"/>
        <w:rPr>
          <w:sz w:val="26"/>
          <w:szCs w:val="26"/>
        </w:rPr>
      </w:pPr>
      <w:r w:rsidRPr="00946298">
        <w:rPr>
          <w:sz w:val="26"/>
          <w:szCs w:val="26"/>
        </w:rPr>
        <w:t xml:space="preserve">Any contact with the complainant before and after the filing of the complaint; </w:t>
      </w:r>
      <w:r>
        <w:rPr>
          <w:sz w:val="26"/>
          <w:szCs w:val="26"/>
        </w:rPr>
        <w:t>a</w:t>
      </w:r>
      <w:r w:rsidRPr="00946298">
        <w:rPr>
          <w:sz w:val="26"/>
          <w:szCs w:val="26"/>
        </w:rPr>
        <w:t>n explanation of what occurred, what was said, etc</w:t>
      </w:r>
      <w:r>
        <w:rPr>
          <w:sz w:val="26"/>
          <w:szCs w:val="26"/>
        </w:rPr>
        <w:t>.</w:t>
      </w:r>
    </w:p>
    <w:p w:rsidR="00946298" w:rsidRDefault="00946298" w:rsidP="00946298">
      <w:pPr>
        <w:pStyle w:val="ListParagraph"/>
        <w:numPr>
          <w:ilvl w:val="0"/>
          <w:numId w:val="5"/>
        </w:numPr>
        <w:spacing w:line="240" w:lineRule="auto"/>
        <w:rPr>
          <w:sz w:val="26"/>
          <w:szCs w:val="26"/>
        </w:rPr>
      </w:pPr>
      <w:r w:rsidRPr="00946298">
        <w:rPr>
          <w:sz w:val="26"/>
          <w:szCs w:val="26"/>
        </w:rPr>
        <w:t>Provide BCS with supporting evidence and documentation (audio files, signed enrollment forms, disclosure statements, marketing materials, etc.)</w:t>
      </w:r>
    </w:p>
    <w:p w:rsidR="00946298" w:rsidRDefault="00946298" w:rsidP="00946298">
      <w:pPr>
        <w:pStyle w:val="ListParagraph"/>
        <w:numPr>
          <w:ilvl w:val="0"/>
          <w:numId w:val="5"/>
        </w:numPr>
        <w:spacing w:line="240" w:lineRule="auto"/>
        <w:rPr>
          <w:sz w:val="26"/>
          <w:szCs w:val="26"/>
        </w:rPr>
      </w:pPr>
      <w:r w:rsidRPr="00946298">
        <w:rPr>
          <w:sz w:val="26"/>
          <w:szCs w:val="26"/>
        </w:rPr>
        <w:t>If the complaint involves billing/payment- an account statement should be provided.</w:t>
      </w:r>
    </w:p>
    <w:p w:rsidR="00946298" w:rsidRDefault="00946298" w:rsidP="00946298">
      <w:pPr>
        <w:pStyle w:val="ListParagraph"/>
        <w:numPr>
          <w:ilvl w:val="0"/>
          <w:numId w:val="5"/>
        </w:numPr>
        <w:spacing w:line="240" w:lineRule="auto"/>
        <w:rPr>
          <w:sz w:val="26"/>
          <w:szCs w:val="26"/>
        </w:rPr>
      </w:pPr>
      <w:r w:rsidRPr="00946298">
        <w:rPr>
          <w:sz w:val="26"/>
          <w:szCs w:val="26"/>
        </w:rPr>
        <w:lastRenderedPageBreak/>
        <w:t>The suppliers ‘final position’ on the matter.</w:t>
      </w:r>
    </w:p>
    <w:p w:rsidR="00946298" w:rsidRPr="00946298" w:rsidRDefault="00946298" w:rsidP="00946298">
      <w:pPr>
        <w:pStyle w:val="ListParagraph"/>
        <w:numPr>
          <w:ilvl w:val="0"/>
          <w:numId w:val="5"/>
        </w:numPr>
        <w:spacing w:line="240" w:lineRule="auto"/>
        <w:rPr>
          <w:sz w:val="26"/>
          <w:szCs w:val="26"/>
        </w:rPr>
      </w:pPr>
      <w:r w:rsidRPr="00946298">
        <w:rPr>
          <w:sz w:val="26"/>
          <w:szCs w:val="26"/>
        </w:rPr>
        <w:t xml:space="preserve">The </w:t>
      </w:r>
      <w:r>
        <w:rPr>
          <w:sz w:val="26"/>
          <w:szCs w:val="26"/>
        </w:rPr>
        <w:t>supplier</w:t>
      </w:r>
      <w:r w:rsidRPr="00946298">
        <w:rPr>
          <w:sz w:val="26"/>
          <w:szCs w:val="26"/>
        </w:rPr>
        <w:t xml:space="preserve"> should provide the BCS investigator with enough information to consider the matter</w:t>
      </w:r>
      <w:r>
        <w:rPr>
          <w:sz w:val="26"/>
          <w:szCs w:val="26"/>
        </w:rPr>
        <w:t>.  I</w:t>
      </w:r>
      <w:r w:rsidRPr="00946298">
        <w:rPr>
          <w:sz w:val="26"/>
          <w:szCs w:val="26"/>
        </w:rPr>
        <w:t>f allegations are made by the complainant</w:t>
      </w:r>
      <w:r>
        <w:rPr>
          <w:sz w:val="26"/>
          <w:szCs w:val="26"/>
        </w:rPr>
        <w:t>,</w:t>
      </w:r>
      <w:r w:rsidRPr="00946298">
        <w:rPr>
          <w:sz w:val="26"/>
          <w:szCs w:val="26"/>
        </w:rPr>
        <w:t xml:space="preserve"> the </w:t>
      </w:r>
      <w:r>
        <w:rPr>
          <w:sz w:val="26"/>
          <w:szCs w:val="26"/>
        </w:rPr>
        <w:t>supplier</w:t>
      </w:r>
      <w:r w:rsidRPr="00946298">
        <w:rPr>
          <w:sz w:val="26"/>
          <w:szCs w:val="26"/>
        </w:rPr>
        <w:t xml:space="preserve"> should demonstrate compliance with the applicable rules</w:t>
      </w:r>
      <w:r>
        <w:rPr>
          <w:sz w:val="26"/>
          <w:szCs w:val="26"/>
        </w:rPr>
        <w:t xml:space="preserve"> (switching/slamming, deception, misrepresentation, etc.)</w:t>
      </w:r>
      <w:r w:rsidRPr="00946298">
        <w:rPr>
          <w:sz w:val="26"/>
          <w:szCs w:val="26"/>
        </w:rPr>
        <w:t>.</w:t>
      </w:r>
    </w:p>
    <w:p w:rsidR="00C05324" w:rsidRPr="00E911D6" w:rsidRDefault="00946298" w:rsidP="00946298">
      <w:pPr>
        <w:rPr>
          <w:b/>
          <w:sz w:val="26"/>
          <w:szCs w:val="26"/>
        </w:rPr>
      </w:pPr>
      <w:r>
        <w:rPr>
          <w:sz w:val="26"/>
          <w:szCs w:val="26"/>
        </w:rPr>
        <w:t xml:space="preserve">  </w:t>
      </w:r>
      <w:r>
        <w:rPr>
          <w:sz w:val="26"/>
          <w:szCs w:val="26"/>
        </w:rPr>
        <w:br/>
      </w:r>
      <w:r>
        <w:rPr>
          <w:b/>
          <w:sz w:val="26"/>
          <w:szCs w:val="26"/>
        </w:rPr>
        <w:br/>
        <w:t>3</w:t>
      </w:r>
      <w:r w:rsidR="00E911D6" w:rsidRPr="00E911D6">
        <w:rPr>
          <w:b/>
          <w:sz w:val="26"/>
          <w:szCs w:val="26"/>
        </w:rPr>
        <w:t>.  PAPowerSwitch.com UPDATE:</w:t>
      </w:r>
    </w:p>
    <w:p w:rsidR="00E911D6" w:rsidRDefault="00E911D6">
      <w:pPr>
        <w:rPr>
          <w:sz w:val="26"/>
          <w:szCs w:val="26"/>
        </w:rPr>
      </w:pPr>
      <w:r>
        <w:rPr>
          <w:sz w:val="26"/>
          <w:szCs w:val="26"/>
        </w:rPr>
        <w:t>Cyndi Page, with the Commission’s Office of Communications, will provide an update on recent additions to the PAPowerSwitch.com website.</w:t>
      </w:r>
    </w:p>
    <w:p w:rsidR="00E911D6" w:rsidRDefault="00E911D6">
      <w:pPr>
        <w:rPr>
          <w:sz w:val="26"/>
          <w:szCs w:val="26"/>
        </w:rPr>
      </w:pPr>
    </w:p>
    <w:p w:rsidR="00E911D6" w:rsidRPr="00E911D6" w:rsidRDefault="00946298">
      <w:pPr>
        <w:rPr>
          <w:b/>
          <w:sz w:val="26"/>
          <w:szCs w:val="26"/>
        </w:rPr>
      </w:pPr>
      <w:r>
        <w:rPr>
          <w:b/>
          <w:sz w:val="26"/>
          <w:szCs w:val="26"/>
        </w:rPr>
        <w:t>4</w:t>
      </w:r>
      <w:r w:rsidR="00E911D6" w:rsidRPr="00E911D6">
        <w:rPr>
          <w:b/>
          <w:sz w:val="26"/>
          <w:szCs w:val="26"/>
        </w:rPr>
        <w:t xml:space="preserve">.  ACCELERATING SWITCHING (IMPLEMENTING THE 3-DAY SWITCH):   </w:t>
      </w:r>
    </w:p>
    <w:p w:rsidR="00E911D6" w:rsidRDefault="00E911D6">
      <w:pPr>
        <w:rPr>
          <w:sz w:val="26"/>
          <w:szCs w:val="26"/>
        </w:rPr>
      </w:pPr>
      <w:r>
        <w:rPr>
          <w:sz w:val="26"/>
          <w:szCs w:val="26"/>
        </w:rPr>
        <w:t xml:space="preserve">The new supplier switching regulations, including the 3-day switch, </w:t>
      </w:r>
      <w:r w:rsidR="00261C36">
        <w:rPr>
          <w:sz w:val="26"/>
          <w:szCs w:val="26"/>
        </w:rPr>
        <w:t>went into</w:t>
      </w:r>
      <w:r>
        <w:rPr>
          <w:sz w:val="26"/>
          <w:szCs w:val="26"/>
        </w:rPr>
        <w:t xml:space="preserve"> effect </w:t>
      </w:r>
      <w:r w:rsidR="00261C36">
        <w:rPr>
          <w:sz w:val="26"/>
          <w:szCs w:val="26"/>
        </w:rPr>
        <w:t xml:space="preserve">on publication, June 14, 2014.  The implementation deadline for 3-business day switching is </w:t>
      </w:r>
      <w:r>
        <w:rPr>
          <w:sz w:val="26"/>
          <w:szCs w:val="26"/>
        </w:rPr>
        <w:t xml:space="preserve">December 14, 2014.  While there has been much attention given to the EDCs role in implementing these new rules, EGSs also have a critical role in complying with the new regulations to ensure that customer switches are not delayed unnecessarily.   </w:t>
      </w:r>
    </w:p>
    <w:p w:rsidR="00E911D6" w:rsidRDefault="00E911D6">
      <w:pPr>
        <w:rPr>
          <w:sz w:val="26"/>
          <w:szCs w:val="26"/>
        </w:rPr>
      </w:pPr>
    </w:p>
    <w:p w:rsidR="00E911D6" w:rsidRPr="00E911D6" w:rsidRDefault="00946298">
      <w:pPr>
        <w:rPr>
          <w:b/>
          <w:sz w:val="26"/>
          <w:szCs w:val="26"/>
        </w:rPr>
      </w:pPr>
      <w:r>
        <w:rPr>
          <w:b/>
          <w:sz w:val="26"/>
          <w:szCs w:val="26"/>
        </w:rPr>
        <w:t>5</w:t>
      </w:r>
      <w:r w:rsidR="00E911D6" w:rsidRPr="00E911D6">
        <w:rPr>
          <w:b/>
          <w:sz w:val="26"/>
          <w:szCs w:val="26"/>
        </w:rPr>
        <w:t>.  DOOR-TO-DOOR MARKETING REMINDER:</w:t>
      </w:r>
    </w:p>
    <w:p w:rsidR="00E911D6" w:rsidRDefault="00E911D6">
      <w:pPr>
        <w:rPr>
          <w:sz w:val="26"/>
          <w:szCs w:val="26"/>
        </w:rPr>
      </w:pPr>
      <w:r>
        <w:rPr>
          <w:sz w:val="26"/>
          <w:szCs w:val="26"/>
        </w:rPr>
        <w:t>All EGSs engaging in residential door-to-door marketing are reminded that per Section 111.14</w:t>
      </w:r>
      <w:r w:rsidR="00FD65A0">
        <w:rPr>
          <w:sz w:val="26"/>
          <w:szCs w:val="26"/>
        </w:rPr>
        <w:t>, they</w:t>
      </w:r>
      <w:r>
        <w:rPr>
          <w:sz w:val="26"/>
          <w:szCs w:val="26"/>
        </w:rPr>
        <w:t xml:space="preserve"> are to notify the Commission of such activities:</w:t>
      </w:r>
    </w:p>
    <w:p w:rsidR="00E911D6" w:rsidRDefault="00E911D6" w:rsidP="00E911D6">
      <w:pPr>
        <w:ind w:left="720"/>
        <w:rPr>
          <w:rFonts w:ascii="Times New Roman" w:hAnsi="Times New Roman" w:cs="Times New Roman"/>
        </w:rPr>
      </w:pPr>
      <w:r w:rsidRPr="00E911D6">
        <w:rPr>
          <w:rFonts w:ascii="Times New Roman" w:hAnsi="Times New Roman" w:cs="Times New Roman"/>
        </w:rPr>
        <w:t>When a supplier engages in door-to-door sales and marketing activity, the supplier shall notify the Bureau of Consumer Services no later than the morning of the day that the activity begins. The notification shall include general, nonproprietary information about the activity, the period involved and a general description of the geographical area.</w:t>
      </w:r>
    </w:p>
    <w:p w:rsidR="00E911D6" w:rsidRDefault="00E911D6" w:rsidP="00E911D6">
      <w:pPr>
        <w:rPr>
          <w:sz w:val="26"/>
          <w:szCs w:val="26"/>
        </w:rPr>
      </w:pPr>
      <w:r w:rsidRPr="00E911D6">
        <w:rPr>
          <w:sz w:val="26"/>
          <w:szCs w:val="26"/>
        </w:rPr>
        <w:t>These notifications should include time periods (starting date and approximate end date) and the municipalities involved (city, borough, townships, etc.).</w:t>
      </w:r>
      <w:r>
        <w:rPr>
          <w:sz w:val="26"/>
          <w:szCs w:val="26"/>
        </w:rPr>
        <w:t xml:space="preserve">  </w:t>
      </w:r>
    </w:p>
    <w:p w:rsidR="00E911D6" w:rsidRDefault="00E911D6" w:rsidP="00E911D6">
      <w:pPr>
        <w:rPr>
          <w:sz w:val="26"/>
          <w:szCs w:val="26"/>
        </w:rPr>
      </w:pPr>
      <w:r>
        <w:rPr>
          <w:sz w:val="26"/>
          <w:szCs w:val="26"/>
        </w:rPr>
        <w:t xml:space="preserve">The PUC has an inbox for these notices:  </w:t>
      </w:r>
      <w:hyperlink r:id="rId10" w:history="1">
        <w:r w:rsidRPr="002F2AFE">
          <w:rPr>
            <w:rStyle w:val="Hyperlink"/>
            <w:sz w:val="26"/>
            <w:szCs w:val="26"/>
          </w:rPr>
          <w:t>RA-PCDOORTODOOR@pa.gov</w:t>
        </w:r>
      </w:hyperlink>
      <w:r>
        <w:rPr>
          <w:sz w:val="26"/>
          <w:szCs w:val="26"/>
        </w:rPr>
        <w:t xml:space="preserve">  (this inbox will soon appear on the OCMO webpage).</w:t>
      </w:r>
    </w:p>
    <w:p w:rsidR="00FD65A0" w:rsidRPr="00E911D6" w:rsidRDefault="00FD65A0" w:rsidP="00E911D6">
      <w:pPr>
        <w:rPr>
          <w:sz w:val="26"/>
          <w:szCs w:val="26"/>
        </w:rPr>
      </w:pPr>
      <w:r>
        <w:rPr>
          <w:sz w:val="26"/>
          <w:szCs w:val="26"/>
        </w:rPr>
        <w:lastRenderedPageBreak/>
        <w:t xml:space="preserve">Questions about these notices can be directed to Annette Falcone in the Bureau of Consumer Services at </w:t>
      </w:r>
      <w:hyperlink r:id="rId11" w:history="1">
        <w:r w:rsidRPr="002F2AFE">
          <w:rPr>
            <w:rStyle w:val="Hyperlink"/>
            <w:sz w:val="26"/>
            <w:szCs w:val="26"/>
          </w:rPr>
          <w:t>anfalcone@pa.gov</w:t>
        </w:r>
      </w:hyperlink>
      <w:r>
        <w:rPr>
          <w:sz w:val="26"/>
          <w:szCs w:val="26"/>
        </w:rPr>
        <w:t xml:space="preserve"> or 717-783-9088.  </w:t>
      </w:r>
    </w:p>
    <w:p w:rsidR="00E911D6" w:rsidRDefault="00E911D6" w:rsidP="00E911D6">
      <w:pPr>
        <w:rPr>
          <w:sz w:val="26"/>
          <w:szCs w:val="26"/>
        </w:rPr>
      </w:pPr>
    </w:p>
    <w:p w:rsidR="00C60D5B" w:rsidRPr="00C60D5B" w:rsidRDefault="00946298" w:rsidP="00E911D6">
      <w:pPr>
        <w:rPr>
          <w:b/>
          <w:sz w:val="26"/>
          <w:szCs w:val="26"/>
        </w:rPr>
      </w:pPr>
      <w:r>
        <w:rPr>
          <w:b/>
          <w:sz w:val="26"/>
          <w:szCs w:val="26"/>
        </w:rPr>
        <w:t>6</w:t>
      </w:r>
      <w:r w:rsidR="00C60D5B" w:rsidRPr="00C60D5B">
        <w:rPr>
          <w:b/>
          <w:sz w:val="26"/>
          <w:szCs w:val="26"/>
        </w:rPr>
        <w:t>.  STANDARD OFFER PROGRAM STATISTICS:</w:t>
      </w:r>
    </w:p>
    <w:p w:rsidR="00C60D5B" w:rsidRDefault="00C60D5B" w:rsidP="00C60D5B">
      <w:r>
        <w:rPr>
          <w:sz w:val="26"/>
          <w:szCs w:val="26"/>
        </w:rPr>
        <w:t xml:space="preserve">Now posted on the PAPowerSwitch.com website:  </w:t>
      </w:r>
      <w:hyperlink r:id="rId12" w:history="1">
        <w:r>
          <w:rPr>
            <w:rStyle w:val="Hyperlink"/>
          </w:rPr>
          <w:t>http://www.papowerswitch.com/standard-offer-program</w:t>
        </w:r>
      </w:hyperlink>
      <w:r>
        <w:t>.</w:t>
      </w:r>
    </w:p>
    <w:p w:rsidR="00C60D5B" w:rsidRDefault="00C60D5B" w:rsidP="00E911D6">
      <w:pPr>
        <w:rPr>
          <w:sz w:val="26"/>
          <w:szCs w:val="26"/>
        </w:rPr>
      </w:pPr>
      <w:r>
        <w:rPr>
          <w:sz w:val="26"/>
          <w:szCs w:val="26"/>
        </w:rPr>
        <w:t xml:space="preserve">   </w:t>
      </w:r>
    </w:p>
    <w:p w:rsidR="00FD65A0" w:rsidRPr="00FD65A0" w:rsidRDefault="00946298" w:rsidP="00E911D6">
      <w:pPr>
        <w:rPr>
          <w:b/>
          <w:sz w:val="26"/>
          <w:szCs w:val="26"/>
        </w:rPr>
      </w:pPr>
      <w:r w:rsidRPr="00574BCD">
        <w:rPr>
          <w:b/>
          <w:sz w:val="26"/>
          <w:szCs w:val="26"/>
        </w:rPr>
        <w:t>7</w:t>
      </w:r>
      <w:r w:rsidR="00FD65A0" w:rsidRPr="00574BCD">
        <w:rPr>
          <w:b/>
          <w:sz w:val="26"/>
          <w:szCs w:val="26"/>
        </w:rPr>
        <w:t>.</w:t>
      </w:r>
      <w:r w:rsidR="00FD65A0">
        <w:rPr>
          <w:sz w:val="26"/>
          <w:szCs w:val="26"/>
        </w:rPr>
        <w:t xml:space="preserve">  </w:t>
      </w:r>
      <w:r w:rsidR="00FD65A0" w:rsidRPr="00FD65A0">
        <w:rPr>
          <w:b/>
          <w:sz w:val="26"/>
          <w:szCs w:val="26"/>
        </w:rPr>
        <w:t>UPDATES ON CURRENT PROCEEDINGS:</w:t>
      </w:r>
    </w:p>
    <w:p w:rsidR="00FD65A0" w:rsidRDefault="00342009" w:rsidP="00FD65A0">
      <w:pPr>
        <w:pStyle w:val="ListParagraph"/>
        <w:numPr>
          <w:ilvl w:val="0"/>
          <w:numId w:val="4"/>
        </w:numPr>
        <w:rPr>
          <w:sz w:val="26"/>
          <w:szCs w:val="26"/>
        </w:rPr>
      </w:pPr>
      <w:hyperlink r:id="rId13" w:history="1">
        <w:r w:rsidR="00FD65A0" w:rsidRPr="00FD65A0">
          <w:rPr>
            <w:rStyle w:val="Hyperlink"/>
            <w:b/>
            <w:bCs/>
            <w:sz w:val="26"/>
            <w:szCs w:val="26"/>
          </w:rPr>
          <w:t>Tentative Order on the Interim Guidelines for Eligible Customer Lists</w:t>
        </w:r>
      </w:hyperlink>
      <w:r w:rsidR="00FD65A0" w:rsidRPr="00FD65A0">
        <w:rPr>
          <w:b/>
          <w:sz w:val="26"/>
          <w:szCs w:val="26"/>
        </w:rPr>
        <w:t>:</w:t>
      </w:r>
      <w:r w:rsidR="00FD65A0">
        <w:rPr>
          <w:sz w:val="26"/>
          <w:szCs w:val="26"/>
        </w:rPr>
        <w:t xml:space="preserve">  (</w:t>
      </w:r>
      <w:r w:rsidR="00FD65A0" w:rsidRPr="00FD65A0">
        <w:rPr>
          <w:sz w:val="26"/>
          <w:szCs w:val="26"/>
        </w:rPr>
        <w:t>Public Meeting of June 19, 2014. Docket No. M-2010-2183412.</w:t>
      </w:r>
      <w:r w:rsidR="00FD65A0">
        <w:rPr>
          <w:sz w:val="26"/>
          <w:szCs w:val="26"/>
        </w:rPr>
        <w:t>)  Reply comment period closes August 4.</w:t>
      </w:r>
      <w:r w:rsidR="00FD65A0">
        <w:rPr>
          <w:sz w:val="26"/>
          <w:szCs w:val="26"/>
        </w:rPr>
        <w:br/>
      </w:r>
    </w:p>
    <w:p w:rsidR="00FD65A0" w:rsidRDefault="00342009" w:rsidP="00FD65A0">
      <w:pPr>
        <w:pStyle w:val="ListParagraph"/>
        <w:numPr>
          <w:ilvl w:val="0"/>
          <w:numId w:val="4"/>
        </w:numPr>
        <w:rPr>
          <w:sz w:val="26"/>
          <w:szCs w:val="26"/>
        </w:rPr>
      </w:pPr>
      <w:hyperlink r:id="rId14" w:history="1">
        <w:r w:rsidR="00FD65A0" w:rsidRPr="00FD65A0">
          <w:rPr>
            <w:rStyle w:val="Hyperlink"/>
            <w:b/>
            <w:bCs/>
            <w:sz w:val="26"/>
            <w:szCs w:val="26"/>
          </w:rPr>
          <w:t>Tentative Order on Request for Clarification on Notice Requirements for Combined Electricity &amp; Natural Gas Disclosure Statements</w:t>
        </w:r>
      </w:hyperlink>
      <w:r w:rsidR="00FD65A0" w:rsidRPr="00FD65A0">
        <w:rPr>
          <w:sz w:val="26"/>
          <w:szCs w:val="26"/>
        </w:rPr>
        <w:t xml:space="preserve"> - Public Meeting of July 9, 2014. Docket No. L-2014-2409385. Clarification on 52 Pa. Code, Sections 54.5, 54.10 and 62.75.</w:t>
      </w:r>
      <w:r w:rsidR="00FD65A0">
        <w:rPr>
          <w:sz w:val="26"/>
          <w:szCs w:val="26"/>
        </w:rPr>
        <w:t>:  Comment period is closed.  Look for Final Order at an upcoming Public Meeting.</w:t>
      </w:r>
      <w:r w:rsidR="00FD65A0">
        <w:rPr>
          <w:sz w:val="26"/>
          <w:szCs w:val="26"/>
        </w:rPr>
        <w:br/>
      </w:r>
    </w:p>
    <w:p w:rsidR="00FD65A0" w:rsidRDefault="00342009" w:rsidP="00FD65A0">
      <w:pPr>
        <w:pStyle w:val="ListParagraph"/>
        <w:numPr>
          <w:ilvl w:val="0"/>
          <w:numId w:val="4"/>
        </w:numPr>
        <w:rPr>
          <w:sz w:val="26"/>
          <w:szCs w:val="26"/>
        </w:rPr>
      </w:pPr>
      <w:hyperlink r:id="rId15" w:history="1">
        <w:r w:rsidR="00FD65A0" w:rsidRPr="00FD65A0">
          <w:rPr>
            <w:rStyle w:val="Hyperlink"/>
            <w:b/>
            <w:bCs/>
            <w:sz w:val="26"/>
            <w:szCs w:val="26"/>
          </w:rPr>
          <w:t>Order on the Review of Rules, Policies &amp; Consumer Education Measures Regarding Variable Rate Retail Electric Products</w:t>
        </w:r>
      </w:hyperlink>
      <w:r w:rsidR="00FD65A0" w:rsidRPr="00FD65A0">
        <w:rPr>
          <w:sz w:val="26"/>
          <w:szCs w:val="26"/>
        </w:rPr>
        <w:t xml:space="preserve"> - Public Meeting of February 20, 2014. Docket No. M-2014-2406134.</w:t>
      </w:r>
      <w:r w:rsidR="00FD65A0">
        <w:rPr>
          <w:sz w:val="26"/>
          <w:szCs w:val="26"/>
        </w:rPr>
        <w:t>:  Commission staff considering what more needs to be done in addition to accelerat</w:t>
      </w:r>
      <w:r w:rsidR="00387FBB">
        <w:rPr>
          <w:sz w:val="26"/>
          <w:szCs w:val="26"/>
        </w:rPr>
        <w:t>ed</w:t>
      </w:r>
      <w:r w:rsidR="00FD65A0">
        <w:rPr>
          <w:sz w:val="26"/>
          <w:szCs w:val="26"/>
        </w:rPr>
        <w:t xml:space="preserve"> switching and new disclosure rules.</w:t>
      </w:r>
      <w:r w:rsidR="00FD65A0">
        <w:rPr>
          <w:sz w:val="26"/>
          <w:szCs w:val="26"/>
        </w:rPr>
        <w:br/>
      </w:r>
    </w:p>
    <w:p w:rsidR="00FD65A0" w:rsidRDefault="00342009" w:rsidP="00FD65A0">
      <w:pPr>
        <w:pStyle w:val="ListParagraph"/>
        <w:numPr>
          <w:ilvl w:val="0"/>
          <w:numId w:val="4"/>
        </w:numPr>
        <w:rPr>
          <w:sz w:val="26"/>
          <w:szCs w:val="26"/>
        </w:rPr>
      </w:pPr>
      <w:hyperlink r:id="rId16" w:history="1">
        <w:r w:rsidR="003D7FF1" w:rsidRPr="003D7FF1">
          <w:rPr>
            <w:rStyle w:val="Hyperlink"/>
            <w:b/>
            <w:bCs/>
            <w:sz w:val="26"/>
            <w:szCs w:val="26"/>
          </w:rPr>
          <w:t>Final Order on Requirements for Electric Generation Suppliers; Acceptable Security Instruments</w:t>
        </w:r>
      </w:hyperlink>
      <w:r w:rsidR="003D7FF1" w:rsidRPr="003D7FF1">
        <w:rPr>
          <w:rStyle w:val="Hyperlink"/>
          <w:b/>
          <w:bCs/>
          <w:sz w:val="26"/>
          <w:szCs w:val="26"/>
        </w:rPr>
        <w:t xml:space="preserve"> - Public Meeting of July 24, 2014. Docket Number M-2013-2393141.</w:t>
      </w:r>
      <w:r w:rsidR="00C60D5B" w:rsidRPr="003D7FF1">
        <w:rPr>
          <w:rStyle w:val="Hyperlink"/>
          <w:b/>
          <w:bCs/>
        </w:rPr>
        <w:t xml:space="preserve"> </w:t>
      </w:r>
      <w:r w:rsidR="003D7FF1">
        <w:rPr>
          <w:rStyle w:val="Hyperlink"/>
          <w:b/>
          <w:bCs/>
        </w:rPr>
        <w:t xml:space="preserve"> </w:t>
      </w:r>
      <w:r w:rsidR="00387FBB">
        <w:rPr>
          <w:sz w:val="26"/>
          <w:szCs w:val="26"/>
        </w:rPr>
        <w:t>Note that EGSs will need to fi</w:t>
      </w:r>
      <w:r w:rsidR="003D7FF1">
        <w:rPr>
          <w:sz w:val="26"/>
          <w:szCs w:val="26"/>
        </w:rPr>
        <w:t>le</w:t>
      </w:r>
      <w:r w:rsidR="00387FBB">
        <w:rPr>
          <w:sz w:val="26"/>
          <w:szCs w:val="26"/>
        </w:rPr>
        <w:t xml:space="preserve"> amendments with accompanying financial information </w:t>
      </w:r>
      <w:r w:rsidR="00C84F6B">
        <w:rPr>
          <w:sz w:val="26"/>
          <w:szCs w:val="26"/>
        </w:rPr>
        <w:t>along with a $35</w:t>
      </w:r>
      <w:r w:rsidR="001343DB">
        <w:rPr>
          <w:sz w:val="26"/>
          <w:szCs w:val="26"/>
        </w:rPr>
        <w:t>0</w:t>
      </w:r>
      <w:r w:rsidR="00C84F6B">
        <w:rPr>
          <w:sz w:val="26"/>
          <w:szCs w:val="26"/>
        </w:rPr>
        <w:t xml:space="preserve"> fee, </w:t>
      </w:r>
      <w:r w:rsidR="00387FBB">
        <w:rPr>
          <w:sz w:val="26"/>
          <w:szCs w:val="26"/>
        </w:rPr>
        <w:t xml:space="preserve">for staff review before the security amounts can be reduced.  </w:t>
      </w:r>
      <w:r w:rsidR="00FD65A0">
        <w:rPr>
          <w:sz w:val="26"/>
          <w:szCs w:val="26"/>
        </w:rPr>
        <w:t xml:space="preserve"> </w:t>
      </w:r>
      <w:r w:rsidR="00C60D5B">
        <w:rPr>
          <w:sz w:val="26"/>
          <w:szCs w:val="26"/>
        </w:rPr>
        <w:br/>
      </w:r>
    </w:p>
    <w:p w:rsidR="00C60D5B" w:rsidRDefault="00C60D5B" w:rsidP="00FD65A0">
      <w:pPr>
        <w:pStyle w:val="ListParagraph"/>
        <w:numPr>
          <w:ilvl w:val="0"/>
          <w:numId w:val="4"/>
        </w:numPr>
        <w:rPr>
          <w:sz w:val="26"/>
          <w:szCs w:val="26"/>
        </w:rPr>
      </w:pPr>
      <w:r w:rsidRPr="00C60D5B">
        <w:rPr>
          <w:b/>
          <w:sz w:val="26"/>
          <w:szCs w:val="26"/>
        </w:rPr>
        <w:t>Investigation of Pennsylvania’s</w:t>
      </w:r>
      <w:r>
        <w:rPr>
          <w:b/>
          <w:sz w:val="26"/>
          <w:szCs w:val="26"/>
        </w:rPr>
        <w:t xml:space="preserve"> </w:t>
      </w:r>
      <w:r w:rsidRPr="00C60D5B">
        <w:rPr>
          <w:b/>
          <w:sz w:val="26"/>
          <w:szCs w:val="26"/>
        </w:rPr>
        <w:t>Retail Natural Gas Supply Market</w:t>
      </w:r>
      <w:r>
        <w:rPr>
          <w:sz w:val="26"/>
          <w:szCs w:val="26"/>
        </w:rPr>
        <w:t xml:space="preserve">, Public Meeting of September 12, 2013.  I-2013-2381742:  Upcoming Public Meeting. </w:t>
      </w:r>
    </w:p>
    <w:p w:rsidR="003D7FF1" w:rsidRDefault="003D7FF1" w:rsidP="00F67E8B">
      <w:pPr>
        <w:spacing w:after="0" w:line="240" w:lineRule="auto"/>
        <w:rPr>
          <w:b/>
          <w:u w:val="single"/>
        </w:rPr>
      </w:pPr>
    </w:p>
    <w:p w:rsidR="00AD3595" w:rsidRDefault="00AD3595" w:rsidP="00F67E8B">
      <w:pPr>
        <w:spacing w:after="0" w:line="240" w:lineRule="auto"/>
        <w:rPr>
          <w:b/>
          <w:sz w:val="26"/>
          <w:szCs w:val="26"/>
        </w:rPr>
      </w:pPr>
      <w:r>
        <w:rPr>
          <w:b/>
          <w:sz w:val="26"/>
          <w:szCs w:val="26"/>
        </w:rPr>
        <w:t>8</w:t>
      </w:r>
      <w:r w:rsidRPr="00AD3595">
        <w:rPr>
          <w:b/>
          <w:sz w:val="26"/>
          <w:szCs w:val="26"/>
        </w:rPr>
        <w:t xml:space="preserve">.  </w:t>
      </w:r>
      <w:r>
        <w:rPr>
          <w:b/>
          <w:sz w:val="26"/>
          <w:szCs w:val="26"/>
        </w:rPr>
        <w:t>AGENDA TOPIC SUBMITTED BY CHARGE PARTICIPANT:</w:t>
      </w:r>
    </w:p>
    <w:p w:rsidR="00AD3595" w:rsidRDefault="00AD3595" w:rsidP="00F67E8B">
      <w:pPr>
        <w:spacing w:after="0" w:line="240" w:lineRule="auto"/>
        <w:rPr>
          <w:b/>
          <w:sz w:val="26"/>
          <w:szCs w:val="26"/>
        </w:rPr>
      </w:pPr>
    </w:p>
    <w:p w:rsidR="00AD3595" w:rsidRPr="00AD3595" w:rsidRDefault="00AD3595" w:rsidP="00AD3595">
      <w:pPr>
        <w:pStyle w:val="ListParagraph"/>
        <w:numPr>
          <w:ilvl w:val="0"/>
          <w:numId w:val="6"/>
        </w:numPr>
        <w:spacing w:after="0" w:line="240" w:lineRule="auto"/>
        <w:rPr>
          <w:sz w:val="26"/>
          <w:szCs w:val="26"/>
        </w:rPr>
      </w:pPr>
      <w:r w:rsidRPr="00AD3595">
        <w:rPr>
          <w:sz w:val="26"/>
          <w:szCs w:val="26"/>
        </w:rPr>
        <w:t>Issue:  Processing by EDCs of Customer/EGS Disputes and Ability to Place Hold on Account</w:t>
      </w:r>
    </w:p>
    <w:p w:rsidR="00AD3595" w:rsidRPr="00AD3595" w:rsidRDefault="00AD3595" w:rsidP="00AD3595">
      <w:pPr>
        <w:spacing w:after="0" w:line="240" w:lineRule="auto"/>
        <w:rPr>
          <w:sz w:val="26"/>
          <w:szCs w:val="26"/>
        </w:rPr>
      </w:pPr>
    </w:p>
    <w:p w:rsidR="00AD3595" w:rsidRPr="00AD3595" w:rsidRDefault="00AD3595" w:rsidP="00AD3595">
      <w:pPr>
        <w:spacing w:after="0" w:line="240" w:lineRule="auto"/>
        <w:ind w:left="360"/>
        <w:rPr>
          <w:sz w:val="26"/>
          <w:szCs w:val="26"/>
        </w:rPr>
      </w:pPr>
      <w:r w:rsidRPr="00AD3595">
        <w:rPr>
          <w:sz w:val="26"/>
          <w:szCs w:val="26"/>
        </w:rPr>
        <w:t>Background:  The pricing events of early 2014 resulted in customers disputing EGS charges for a variety of reasons (e.g., inconsistency with contract terms, misleading marketing, etc.).  When a customer's contract with the EGS permits the customer to withhold disputed amounts, there does not appear to be clear direction to the customer regarding any necessary interaction with the EDC to provide notice of the dispute.  Also, there does not appear to be a mechanism for the customer to ensure that the EGS does not send a drop notice to the EDC while the dispute is pending.  Finally, based on our review of some of the supplier tariffs and POR programs, it isn't clear that the EDC can obtain reimbursement from the EGS if the dispute is resolved in the customer's favor.  The retail supply market in Pennsylvania would function more efficiently if these issues, and other relevant issues related to the processing of customer/EGS disputes, were clarified and standardized.</w:t>
      </w:r>
    </w:p>
    <w:p w:rsidR="00AD3595" w:rsidRPr="00AD3595" w:rsidRDefault="00AD3595" w:rsidP="00F67E8B">
      <w:pPr>
        <w:spacing w:after="0" w:line="240" w:lineRule="auto"/>
        <w:rPr>
          <w:b/>
          <w:sz w:val="26"/>
          <w:szCs w:val="26"/>
        </w:rPr>
      </w:pPr>
    </w:p>
    <w:p w:rsidR="00AD3595" w:rsidRPr="00AD3595" w:rsidRDefault="00AD3595" w:rsidP="00F67E8B">
      <w:pPr>
        <w:spacing w:after="0" w:line="240" w:lineRule="auto"/>
        <w:rPr>
          <w:b/>
          <w:sz w:val="26"/>
          <w:szCs w:val="26"/>
        </w:rPr>
      </w:pPr>
    </w:p>
    <w:p w:rsidR="00AD3595" w:rsidRDefault="00AD3595" w:rsidP="00F67E8B">
      <w:pPr>
        <w:spacing w:after="0" w:line="240" w:lineRule="auto"/>
        <w:rPr>
          <w:b/>
          <w:sz w:val="26"/>
          <w:szCs w:val="26"/>
          <w:u w:val="single"/>
        </w:rPr>
      </w:pPr>
    </w:p>
    <w:p w:rsidR="00F67E8B" w:rsidRPr="003D7FF1" w:rsidRDefault="00F67E8B" w:rsidP="00F67E8B">
      <w:pPr>
        <w:spacing w:after="0" w:line="240" w:lineRule="auto"/>
        <w:rPr>
          <w:b/>
          <w:sz w:val="26"/>
          <w:szCs w:val="26"/>
          <w:u w:val="single"/>
        </w:rPr>
      </w:pPr>
      <w:r w:rsidRPr="003D7FF1">
        <w:rPr>
          <w:b/>
          <w:sz w:val="26"/>
          <w:szCs w:val="26"/>
          <w:u w:val="single"/>
        </w:rPr>
        <w:t>General Matters</w:t>
      </w:r>
    </w:p>
    <w:p w:rsidR="00F67E8B" w:rsidRPr="003D7FF1" w:rsidRDefault="00F67E8B" w:rsidP="00F67E8B">
      <w:pPr>
        <w:spacing w:after="0" w:line="240" w:lineRule="auto"/>
        <w:rPr>
          <w:b/>
          <w:sz w:val="26"/>
          <w:szCs w:val="26"/>
          <w:u w:val="single"/>
        </w:rPr>
      </w:pPr>
    </w:p>
    <w:p w:rsidR="00F67E8B" w:rsidRPr="003D7FF1" w:rsidRDefault="00F67E8B" w:rsidP="00F67E8B">
      <w:pPr>
        <w:numPr>
          <w:ilvl w:val="0"/>
          <w:numId w:val="3"/>
        </w:numPr>
        <w:rPr>
          <w:b/>
          <w:sz w:val="26"/>
          <w:szCs w:val="26"/>
          <w:u w:val="single"/>
        </w:rPr>
      </w:pPr>
      <w:r w:rsidRPr="003D7FF1">
        <w:rPr>
          <w:b/>
          <w:sz w:val="26"/>
          <w:szCs w:val="26"/>
          <w:u w:val="single"/>
        </w:rPr>
        <w:t>New Issues</w:t>
      </w:r>
    </w:p>
    <w:p w:rsidR="00F67E8B" w:rsidRPr="003D7FF1" w:rsidRDefault="00F67E8B" w:rsidP="00F67E8B">
      <w:pPr>
        <w:numPr>
          <w:ilvl w:val="0"/>
          <w:numId w:val="2"/>
        </w:numPr>
        <w:rPr>
          <w:sz w:val="26"/>
          <w:szCs w:val="26"/>
        </w:rPr>
      </w:pPr>
      <w:r w:rsidRPr="003D7FF1">
        <w:rPr>
          <w:sz w:val="26"/>
          <w:szCs w:val="26"/>
        </w:rPr>
        <w:t xml:space="preserve">Any new issues or questions about issues previously discussed on CHARGE calls should be submitted to </w:t>
      </w:r>
      <w:hyperlink r:id="rId17" w:history="1">
        <w:r w:rsidRPr="003D7FF1">
          <w:rPr>
            <w:rStyle w:val="Hyperlink"/>
            <w:sz w:val="26"/>
            <w:szCs w:val="26"/>
          </w:rPr>
          <w:t>ra-ocmo@pa.gov</w:t>
        </w:r>
      </w:hyperlink>
    </w:p>
    <w:p w:rsidR="00F67E8B" w:rsidRPr="003D7FF1" w:rsidRDefault="00F67E8B" w:rsidP="00F67E8B">
      <w:pPr>
        <w:keepNext/>
        <w:keepLines/>
        <w:numPr>
          <w:ilvl w:val="0"/>
          <w:numId w:val="3"/>
        </w:numPr>
        <w:rPr>
          <w:b/>
          <w:sz w:val="26"/>
          <w:szCs w:val="26"/>
          <w:u w:val="single"/>
        </w:rPr>
      </w:pPr>
      <w:r w:rsidRPr="003D7FF1">
        <w:rPr>
          <w:b/>
          <w:sz w:val="26"/>
          <w:szCs w:val="26"/>
          <w:u w:val="single"/>
        </w:rPr>
        <w:t>Old Agendas/Recaps</w:t>
      </w:r>
    </w:p>
    <w:p w:rsidR="00F67E8B" w:rsidRPr="003D7FF1" w:rsidRDefault="00F67E8B" w:rsidP="00F67E8B">
      <w:pPr>
        <w:keepNext/>
        <w:keepLines/>
        <w:numPr>
          <w:ilvl w:val="0"/>
          <w:numId w:val="2"/>
        </w:numPr>
        <w:rPr>
          <w:rStyle w:val="Hyperlink"/>
          <w:sz w:val="26"/>
          <w:szCs w:val="26"/>
        </w:rPr>
      </w:pPr>
      <w:r w:rsidRPr="003D7FF1">
        <w:rPr>
          <w:sz w:val="26"/>
          <w:szCs w:val="26"/>
        </w:rPr>
        <w:t xml:space="preserve">All agendas and recaps are posted on the OCMO page of the website along with various other documents that have been distributed or relied upon during CHARGE discussions, at the following link - </w:t>
      </w:r>
      <w:hyperlink r:id="rId18" w:history="1">
        <w:r w:rsidRPr="003D7FF1">
          <w:rPr>
            <w:rStyle w:val="Hyperlink"/>
            <w:sz w:val="26"/>
            <w:szCs w:val="26"/>
          </w:rPr>
          <w:t>http://www.puc.pa.gov/utility_industry/electricity/electric_competitive_market_oversight.aspx</w:t>
        </w:r>
      </w:hyperlink>
    </w:p>
    <w:p w:rsidR="00F67E8B" w:rsidRPr="003D7FF1" w:rsidRDefault="00F67E8B" w:rsidP="00F67E8B">
      <w:pPr>
        <w:pStyle w:val="ListParagraph"/>
        <w:numPr>
          <w:ilvl w:val="0"/>
          <w:numId w:val="3"/>
        </w:numPr>
        <w:spacing w:after="0" w:line="240" w:lineRule="auto"/>
        <w:rPr>
          <w:b/>
          <w:sz w:val="26"/>
          <w:szCs w:val="26"/>
          <w:u w:val="single"/>
        </w:rPr>
      </w:pPr>
      <w:r w:rsidRPr="003D7FF1">
        <w:rPr>
          <w:b/>
          <w:sz w:val="26"/>
          <w:szCs w:val="26"/>
          <w:u w:val="single"/>
        </w:rPr>
        <w:t>CHARGE Distribution List</w:t>
      </w:r>
    </w:p>
    <w:p w:rsidR="00F67E8B" w:rsidRPr="003D7FF1" w:rsidRDefault="00F67E8B" w:rsidP="00F67E8B">
      <w:pPr>
        <w:numPr>
          <w:ilvl w:val="0"/>
          <w:numId w:val="2"/>
        </w:numPr>
        <w:rPr>
          <w:sz w:val="26"/>
          <w:szCs w:val="26"/>
        </w:rPr>
      </w:pPr>
      <w:r w:rsidRPr="003D7FF1">
        <w:rPr>
          <w:sz w:val="26"/>
          <w:szCs w:val="26"/>
        </w:rPr>
        <w:t xml:space="preserve">To be added to the CHARGE distribution list, please send an email to </w:t>
      </w:r>
      <w:hyperlink r:id="rId19" w:history="1">
        <w:r w:rsidRPr="003D7FF1">
          <w:rPr>
            <w:rStyle w:val="Hyperlink"/>
            <w:sz w:val="26"/>
            <w:szCs w:val="26"/>
          </w:rPr>
          <w:t>ra-ocmo@pa.gov</w:t>
        </w:r>
      </w:hyperlink>
    </w:p>
    <w:p w:rsidR="00F67E8B" w:rsidRPr="003D7FF1" w:rsidRDefault="00F67E8B" w:rsidP="00F67E8B">
      <w:pPr>
        <w:numPr>
          <w:ilvl w:val="0"/>
          <w:numId w:val="3"/>
        </w:numPr>
        <w:rPr>
          <w:b/>
          <w:sz w:val="26"/>
          <w:szCs w:val="26"/>
          <w:u w:val="single"/>
        </w:rPr>
      </w:pPr>
      <w:r w:rsidRPr="003D7FF1">
        <w:rPr>
          <w:b/>
          <w:sz w:val="26"/>
          <w:szCs w:val="26"/>
          <w:u w:val="single"/>
        </w:rPr>
        <w:lastRenderedPageBreak/>
        <w:t>CHARGE Contact List</w:t>
      </w:r>
    </w:p>
    <w:p w:rsidR="00F67E8B" w:rsidRPr="003D7FF1" w:rsidRDefault="00F67E8B" w:rsidP="00F67E8B">
      <w:pPr>
        <w:numPr>
          <w:ilvl w:val="0"/>
          <w:numId w:val="1"/>
        </w:numPr>
        <w:rPr>
          <w:b/>
          <w:sz w:val="26"/>
          <w:szCs w:val="26"/>
          <w:u w:val="single"/>
        </w:rPr>
      </w:pPr>
      <w:r w:rsidRPr="003D7FF1">
        <w:rPr>
          <w:sz w:val="26"/>
          <w:szCs w:val="26"/>
        </w:rPr>
        <w:t>Contact list is on website at the following link:</w:t>
      </w:r>
    </w:p>
    <w:p w:rsidR="00F67E8B" w:rsidRPr="003D7FF1" w:rsidRDefault="00342009" w:rsidP="00F67E8B">
      <w:pPr>
        <w:ind w:left="1080"/>
        <w:rPr>
          <w:b/>
          <w:sz w:val="26"/>
          <w:szCs w:val="26"/>
          <w:u w:val="single"/>
        </w:rPr>
      </w:pPr>
      <w:hyperlink r:id="rId20" w:history="1">
        <w:r w:rsidR="00F67E8B" w:rsidRPr="003D7FF1">
          <w:rPr>
            <w:rStyle w:val="Hyperlink"/>
            <w:sz w:val="26"/>
            <w:szCs w:val="26"/>
          </w:rPr>
          <w:t>http://www.puc.pa.gov/utility_industry/electricity/electric_competitive_market_oversight.aspx</w:t>
        </w:r>
      </w:hyperlink>
    </w:p>
    <w:p w:rsidR="00F67E8B" w:rsidRPr="003D7FF1" w:rsidRDefault="00F67E8B" w:rsidP="00F67E8B">
      <w:pPr>
        <w:numPr>
          <w:ilvl w:val="0"/>
          <w:numId w:val="1"/>
        </w:numPr>
        <w:spacing w:after="0" w:line="240" w:lineRule="auto"/>
        <w:rPr>
          <w:rStyle w:val="Hyperlink"/>
          <w:b/>
          <w:sz w:val="26"/>
          <w:szCs w:val="26"/>
        </w:rPr>
      </w:pPr>
      <w:r w:rsidRPr="003D7FF1">
        <w:rPr>
          <w:sz w:val="26"/>
          <w:szCs w:val="26"/>
        </w:rPr>
        <w:t xml:space="preserve">Please send contact information or updates to </w:t>
      </w:r>
      <w:hyperlink r:id="rId21" w:history="1">
        <w:r w:rsidRPr="003D7FF1">
          <w:rPr>
            <w:rStyle w:val="Hyperlink"/>
            <w:sz w:val="26"/>
            <w:szCs w:val="26"/>
          </w:rPr>
          <w:t>ra-ocmo@pa.gov</w:t>
        </w:r>
      </w:hyperlink>
    </w:p>
    <w:p w:rsidR="00F67E8B" w:rsidRPr="003D7FF1" w:rsidRDefault="00F67E8B" w:rsidP="00F67E8B">
      <w:pPr>
        <w:pStyle w:val="ListParagraph"/>
        <w:numPr>
          <w:ilvl w:val="0"/>
          <w:numId w:val="3"/>
        </w:numPr>
        <w:spacing w:before="100" w:beforeAutospacing="1" w:after="0" w:line="240" w:lineRule="auto"/>
        <w:rPr>
          <w:b/>
          <w:sz w:val="26"/>
          <w:szCs w:val="26"/>
          <w:u w:val="single"/>
        </w:rPr>
      </w:pPr>
      <w:r w:rsidRPr="003D7FF1">
        <w:rPr>
          <w:b/>
          <w:sz w:val="26"/>
          <w:szCs w:val="26"/>
          <w:u w:val="single"/>
        </w:rPr>
        <w:t xml:space="preserve">Meeting Schedule for Remainder of </w:t>
      </w:r>
      <w:r w:rsidR="00C60D5B" w:rsidRPr="003D7FF1">
        <w:rPr>
          <w:b/>
          <w:sz w:val="26"/>
          <w:szCs w:val="26"/>
          <w:u w:val="single"/>
        </w:rPr>
        <w:t>2014</w:t>
      </w:r>
    </w:p>
    <w:p w:rsidR="00F67E8B" w:rsidRDefault="00F67E8B" w:rsidP="00F67E8B">
      <w:pPr>
        <w:ind w:right="-720" w:firstLine="720"/>
      </w:pPr>
    </w:p>
    <w:p w:rsidR="00F67E8B" w:rsidRPr="001E5D7E" w:rsidRDefault="001E5D7E" w:rsidP="001E5D7E">
      <w:pPr>
        <w:pStyle w:val="ListParagraph"/>
        <w:numPr>
          <w:ilvl w:val="0"/>
          <w:numId w:val="1"/>
        </w:numPr>
        <w:rPr>
          <w:rFonts w:asciiTheme="minorHAnsi" w:eastAsiaTheme="minorHAnsi" w:hAnsiTheme="minorHAnsi" w:cstheme="minorBidi"/>
          <w:sz w:val="26"/>
          <w:szCs w:val="26"/>
        </w:rPr>
      </w:pPr>
      <w:r w:rsidRPr="001E5D7E">
        <w:rPr>
          <w:rFonts w:asciiTheme="minorHAnsi" w:eastAsiaTheme="minorHAnsi" w:hAnsiTheme="minorHAnsi" w:cstheme="minorBidi"/>
          <w:sz w:val="26"/>
          <w:szCs w:val="26"/>
        </w:rPr>
        <w:t xml:space="preserve">September 25, 2014 at 9:30 am.  </w:t>
      </w:r>
    </w:p>
    <w:p w:rsidR="00AD3595" w:rsidRDefault="00AD3595"/>
    <w:sectPr w:rsidR="00AD3595" w:rsidSect="00DD6774">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009" w:rsidRDefault="00342009" w:rsidP="00C05324">
      <w:pPr>
        <w:spacing w:after="0" w:line="240" w:lineRule="auto"/>
      </w:pPr>
      <w:r>
        <w:separator/>
      </w:r>
    </w:p>
  </w:endnote>
  <w:endnote w:type="continuationSeparator" w:id="0">
    <w:p w:rsidR="00342009" w:rsidRDefault="00342009" w:rsidP="00C05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loucester MT Extra Condensed">
    <w:panose1 w:val="02030808020601010101"/>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324" w:rsidRDefault="00342009">
    <w:pPr>
      <w:pStyle w:val="Footer"/>
      <w:rPr>
        <w:color w:val="000000" w:themeColor="text1"/>
        <w:sz w:val="24"/>
        <w:szCs w:val="24"/>
      </w:rPr>
    </w:pPr>
    <w:sdt>
      <w:sdtPr>
        <w:rPr>
          <w:color w:val="000000" w:themeColor="text1"/>
          <w:sz w:val="24"/>
          <w:szCs w:val="24"/>
        </w:rPr>
        <w:alias w:val="Author"/>
        <w:id w:val="54214575"/>
        <w:placeholder>
          <w:docPart w:val="A3F339E62E4E42929FEB3E6161305A2C"/>
        </w:placeholder>
        <w:dataBinding w:prefixMappings="xmlns:ns0='http://schemas.openxmlformats.org/package/2006/metadata/core-properties' xmlns:ns1='http://purl.org/dc/elements/1.1/'" w:xpath="/ns0:coreProperties[1]/ns1:creator[1]" w:storeItemID="{6C3C8BC8-F283-45AE-878A-BAB7291924A1}"/>
        <w:text/>
      </w:sdtPr>
      <w:sdtEndPr/>
      <w:sdtContent>
        <w:r w:rsidR="00C05324">
          <w:rPr>
            <w:color w:val="000000" w:themeColor="text1"/>
            <w:sz w:val="24"/>
            <w:szCs w:val="24"/>
          </w:rPr>
          <w:t>CHARGE Agenda July 31, 2014</w:t>
        </w:r>
      </w:sdtContent>
    </w:sdt>
  </w:p>
  <w:p w:rsidR="00C05324" w:rsidRDefault="00C05324">
    <w:pPr>
      <w:pStyle w:val="Footer"/>
    </w:pPr>
    <w:r>
      <w:rPr>
        <w:noProof/>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C05324" w:rsidRDefault="00C05324">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D83B8B">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C05324" w:rsidRDefault="00C05324">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D83B8B">
                      <w:rPr>
                        <w:rFonts w:asciiTheme="majorHAnsi" w:hAnsiTheme="majorHAnsi"/>
                        <w:noProof/>
                        <w:color w:val="000000" w:themeColor="text1"/>
                        <w:sz w:val="40"/>
                        <w:szCs w:val="40"/>
                      </w:rPr>
                      <w:t>1</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009" w:rsidRDefault="00342009" w:rsidP="00C05324">
      <w:pPr>
        <w:spacing w:after="0" w:line="240" w:lineRule="auto"/>
      </w:pPr>
      <w:r>
        <w:separator/>
      </w:r>
    </w:p>
  </w:footnote>
  <w:footnote w:type="continuationSeparator" w:id="0">
    <w:p w:rsidR="00342009" w:rsidRDefault="00342009" w:rsidP="00C053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042375"/>
    <w:multiLevelType w:val="hybridMultilevel"/>
    <w:tmpl w:val="FE5A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C045D4"/>
    <w:multiLevelType w:val="hybridMultilevel"/>
    <w:tmpl w:val="3838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D54097"/>
    <w:multiLevelType w:val="hybridMultilevel"/>
    <w:tmpl w:val="5B8223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C405746"/>
    <w:multiLevelType w:val="hybridMultilevel"/>
    <w:tmpl w:val="3C9E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56"/>
    <w:rsid w:val="001343DB"/>
    <w:rsid w:val="00171DC7"/>
    <w:rsid w:val="001E5D7E"/>
    <w:rsid w:val="002215DD"/>
    <w:rsid w:val="00261C36"/>
    <w:rsid w:val="002B4CA9"/>
    <w:rsid w:val="00307481"/>
    <w:rsid w:val="00342009"/>
    <w:rsid w:val="00355D32"/>
    <w:rsid w:val="00364E5E"/>
    <w:rsid w:val="00387FBB"/>
    <w:rsid w:val="003D7FF1"/>
    <w:rsid w:val="003F0F29"/>
    <w:rsid w:val="00515EF8"/>
    <w:rsid w:val="00574BCD"/>
    <w:rsid w:val="005963B0"/>
    <w:rsid w:val="00616016"/>
    <w:rsid w:val="00641748"/>
    <w:rsid w:val="00695A56"/>
    <w:rsid w:val="006F6108"/>
    <w:rsid w:val="007A15B4"/>
    <w:rsid w:val="007B4211"/>
    <w:rsid w:val="00837CEF"/>
    <w:rsid w:val="00946298"/>
    <w:rsid w:val="009662C5"/>
    <w:rsid w:val="00966FC8"/>
    <w:rsid w:val="00A7677B"/>
    <w:rsid w:val="00A92D44"/>
    <w:rsid w:val="00AD3595"/>
    <w:rsid w:val="00AF12DC"/>
    <w:rsid w:val="00BB2E0D"/>
    <w:rsid w:val="00C05324"/>
    <w:rsid w:val="00C60D5B"/>
    <w:rsid w:val="00C84F6B"/>
    <w:rsid w:val="00D030E0"/>
    <w:rsid w:val="00D434AC"/>
    <w:rsid w:val="00D63CA0"/>
    <w:rsid w:val="00D83B8B"/>
    <w:rsid w:val="00DD6774"/>
    <w:rsid w:val="00E911D6"/>
    <w:rsid w:val="00E9586C"/>
    <w:rsid w:val="00F20858"/>
    <w:rsid w:val="00F67E8B"/>
    <w:rsid w:val="00F85F49"/>
    <w:rsid w:val="00FC116A"/>
    <w:rsid w:val="00FD6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56"/>
    <w:rPr>
      <w:rFonts w:ascii="Tahoma" w:hAnsi="Tahoma" w:cs="Tahoma"/>
      <w:sz w:val="16"/>
      <w:szCs w:val="16"/>
    </w:rPr>
  </w:style>
  <w:style w:type="paragraph" w:styleId="ListParagraph">
    <w:name w:val="List Paragraph"/>
    <w:basedOn w:val="Normal"/>
    <w:uiPriority w:val="34"/>
    <w:qFormat/>
    <w:rsid w:val="00F67E8B"/>
    <w:pPr>
      <w:ind w:left="720"/>
      <w:contextualSpacing/>
    </w:pPr>
    <w:rPr>
      <w:rFonts w:ascii="Calibri" w:eastAsia="Calibri" w:hAnsi="Calibri" w:cs="Times New Roman"/>
    </w:rPr>
  </w:style>
  <w:style w:type="character" w:styleId="Hyperlink">
    <w:name w:val="Hyperlink"/>
    <w:basedOn w:val="DefaultParagraphFont"/>
    <w:uiPriority w:val="99"/>
    <w:unhideWhenUsed/>
    <w:rsid w:val="00F67E8B"/>
    <w:rPr>
      <w:color w:val="0000FF"/>
      <w:u w:val="single"/>
    </w:rPr>
  </w:style>
  <w:style w:type="paragraph" w:styleId="Header">
    <w:name w:val="header"/>
    <w:basedOn w:val="Normal"/>
    <w:link w:val="HeaderChar"/>
    <w:uiPriority w:val="99"/>
    <w:unhideWhenUsed/>
    <w:rsid w:val="00C0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324"/>
  </w:style>
  <w:style w:type="paragraph" w:styleId="Footer">
    <w:name w:val="footer"/>
    <w:basedOn w:val="Normal"/>
    <w:link w:val="FooterChar"/>
    <w:uiPriority w:val="99"/>
    <w:unhideWhenUsed/>
    <w:rsid w:val="00C0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24"/>
  </w:style>
  <w:style w:type="paragraph" w:styleId="NoSpacing">
    <w:name w:val="No Spacing"/>
    <w:link w:val="NoSpacingChar"/>
    <w:uiPriority w:val="1"/>
    <w:qFormat/>
    <w:rsid w:val="00C053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05324"/>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56"/>
    <w:rPr>
      <w:rFonts w:ascii="Tahoma" w:hAnsi="Tahoma" w:cs="Tahoma"/>
      <w:sz w:val="16"/>
      <w:szCs w:val="16"/>
    </w:rPr>
  </w:style>
  <w:style w:type="paragraph" w:styleId="ListParagraph">
    <w:name w:val="List Paragraph"/>
    <w:basedOn w:val="Normal"/>
    <w:uiPriority w:val="34"/>
    <w:qFormat/>
    <w:rsid w:val="00F67E8B"/>
    <w:pPr>
      <w:ind w:left="720"/>
      <w:contextualSpacing/>
    </w:pPr>
    <w:rPr>
      <w:rFonts w:ascii="Calibri" w:eastAsia="Calibri" w:hAnsi="Calibri" w:cs="Times New Roman"/>
    </w:rPr>
  </w:style>
  <w:style w:type="character" w:styleId="Hyperlink">
    <w:name w:val="Hyperlink"/>
    <w:basedOn w:val="DefaultParagraphFont"/>
    <w:uiPriority w:val="99"/>
    <w:unhideWhenUsed/>
    <w:rsid w:val="00F67E8B"/>
    <w:rPr>
      <w:color w:val="0000FF"/>
      <w:u w:val="single"/>
    </w:rPr>
  </w:style>
  <w:style w:type="paragraph" w:styleId="Header">
    <w:name w:val="header"/>
    <w:basedOn w:val="Normal"/>
    <w:link w:val="HeaderChar"/>
    <w:uiPriority w:val="99"/>
    <w:unhideWhenUsed/>
    <w:rsid w:val="00C0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324"/>
  </w:style>
  <w:style w:type="paragraph" w:styleId="Footer">
    <w:name w:val="footer"/>
    <w:basedOn w:val="Normal"/>
    <w:link w:val="FooterChar"/>
    <w:uiPriority w:val="99"/>
    <w:unhideWhenUsed/>
    <w:rsid w:val="00C0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324"/>
  </w:style>
  <w:style w:type="paragraph" w:styleId="NoSpacing">
    <w:name w:val="No Spacing"/>
    <w:link w:val="NoSpacingChar"/>
    <w:uiPriority w:val="1"/>
    <w:qFormat/>
    <w:rsid w:val="00C0532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05324"/>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965841">
      <w:bodyDiv w:val="1"/>
      <w:marLeft w:val="0"/>
      <w:marRight w:val="0"/>
      <w:marTop w:val="0"/>
      <w:marBottom w:val="0"/>
      <w:divBdr>
        <w:top w:val="none" w:sz="0" w:space="0" w:color="auto"/>
        <w:left w:val="none" w:sz="0" w:space="0" w:color="auto"/>
        <w:bottom w:val="none" w:sz="0" w:space="0" w:color="auto"/>
        <w:right w:val="none" w:sz="0" w:space="0" w:color="auto"/>
      </w:divBdr>
    </w:div>
    <w:div w:id="1667586944">
      <w:bodyDiv w:val="1"/>
      <w:marLeft w:val="0"/>
      <w:marRight w:val="0"/>
      <w:marTop w:val="0"/>
      <w:marBottom w:val="0"/>
      <w:divBdr>
        <w:top w:val="none" w:sz="0" w:space="0" w:color="auto"/>
        <w:left w:val="none" w:sz="0" w:space="0" w:color="auto"/>
        <w:bottom w:val="none" w:sz="0" w:space="0" w:color="auto"/>
        <w:right w:val="none" w:sz="0" w:space="0" w:color="auto"/>
      </w:divBdr>
    </w:div>
    <w:div w:id="20834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pcdocs/1292829.docx" TargetMode="External"/><Relationship Id="rId18" Type="http://schemas.openxmlformats.org/officeDocument/2006/relationships/hyperlink" Target="http://www.puc.pa.gov/utility_industry/electricity/electric_competitive_market_oversight.aspx" TargetMode="External"/><Relationship Id="rId3" Type="http://schemas.microsoft.com/office/2007/relationships/stylesWithEffects" Target="stylesWithEffects.xml"/><Relationship Id="rId21" Type="http://schemas.openxmlformats.org/officeDocument/2006/relationships/hyperlink" Target="mailto:ra-ocmo@pa.gov" TargetMode="External"/><Relationship Id="rId7" Type="http://schemas.openxmlformats.org/officeDocument/2006/relationships/endnotes" Target="endnotes.xml"/><Relationship Id="rId12" Type="http://schemas.openxmlformats.org/officeDocument/2006/relationships/hyperlink" Target="http://www.papowerswitch.com/standard-offer-program" TargetMode="External"/><Relationship Id="rId17" Type="http://schemas.openxmlformats.org/officeDocument/2006/relationships/hyperlink" Target="mailto:ra-ocmo@pa.go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uc.pa.gov/pcdocs/1299164.docx" TargetMode="External"/><Relationship Id="rId20" Type="http://schemas.openxmlformats.org/officeDocument/2006/relationships/hyperlink" Target="http://www.puc.pa.gov/utility_industry/electricity/electric_competitive_market_oversight.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falcone@pa.gov"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puc.pa.gov/pcdocs/1273602.docx" TargetMode="External"/><Relationship Id="rId23" Type="http://schemas.openxmlformats.org/officeDocument/2006/relationships/fontTable" Target="fontTable.xml"/><Relationship Id="rId10" Type="http://schemas.openxmlformats.org/officeDocument/2006/relationships/hyperlink" Target="mailto:RA-PCDOORTODOOR@pa.gov" TargetMode="External"/><Relationship Id="rId19" Type="http://schemas.openxmlformats.org/officeDocument/2006/relationships/hyperlink" Target="mailto:ra-ocmo@pa.gov"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yperlink" Target="http://www.puc.pa.gov/pcdocs/1296329.docx"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F339E62E4E42929FEB3E6161305A2C"/>
        <w:category>
          <w:name w:val="General"/>
          <w:gallery w:val="placeholder"/>
        </w:category>
        <w:types>
          <w:type w:val="bbPlcHdr"/>
        </w:types>
        <w:behaviors>
          <w:behavior w:val="content"/>
        </w:behaviors>
        <w:guid w:val="{3AF5D990-78C4-4489-B09C-FB30480D5621}"/>
      </w:docPartPr>
      <w:docPartBody>
        <w:p w:rsidR="007543E5" w:rsidRDefault="005F70C3" w:rsidP="005F70C3">
          <w:pPr>
            <w:pStyle w:val="A3F339E62E4E42929FEB3E6161305A2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loucester MT Extra Condensed">
    <w:panose1 w:val="02030808020601010101"/>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0C3"/>
    <w:rsid w:val="003B30A3"/>
    <w:rsid w:val="0045323C"/>
    <w:rsid w:val="00463D59"/>
    <w:rsid w:val="004F61C8"/>
    <w:rsid w:val="005D5E59"/>
    <w:rsid w:val="005F70C3"/>
    <w:rsid w:val="00744C58"/>
    <w:rsid w:val="007543E5"/>
    <w:rsid w:val="00AA66BA"/>
    <w:rsid w:val="00B865A6"/>
    <w:rsid w:val="00BB7ED7"/>
    <w:rsid w:val="00E4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339E62E4E42929FEB3E6161305A2C">
    <w:name w:val="A3F339E62E4E42929FEB3E6161305A2C"/>
    <w:rsid w:val="005F70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339E62E4E42929FEB3E6161305A2C">
    <w:name w:val="A3F339E62E4E42929FEB3E6161305A2C"/>
    <w:rsid w:val="005F70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CHARGE Agenda July 31, 2014</dc:creator>
  <cp:lastModifiedBy>dmumford</cp:lastModifiedBy>
  <cp:revision>2</cp:revision>
  <dcterms:created xsi:type="dcterms:W3CDTF">2014-07-29T13:21:00Z</dcterms:created>
  <dcterms:modified xsi:type="dcterms:W3CDTF">2014-07-29T13:21:00Z</dcterms:modified>
</cp:coreProperties>
</file>