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3606"/>
        <w:gridCol w:w="5970"/>
      </w:tblGrid>
      <w:tr w:rsidR="00695A56" w:rsidTr="007B4211">
        <w:tc>
          <w:tcPr>
            <w:tcW w:w="3528" w:type="dxa"/>
            <w:vMerge w:val="restart"/>
            <w:shd w:val="clear" w:color="auto" w:fill="365F91" w:themeFill="accent1" w:themeFillShade="BF"/>
          </w:tcPr>
          <w:p w:rsidR="00695A56" w:rsidRDefault="00695A56" w:rsidP="00695A56">
            <w:r w:rsidRPr="001F431C">
              <w:rPr>
                <w:noProof/>
              </w:rPr>
              <w:drawing>
                <wp:anchor distT="0" distB="0" distL="114300" distR="114300" simplePos="0" relativeHeight="251665408" behindDoc="0" locked="0" layoutInCell="1" allowOverlap="1" wp14:anchorId="6441175A" wp14:editId="3029D0A2">
                  <wp:simplePos x="0" y="0"/>
                  <wp:positionH relativeFrom="margin">
                    <wp:posOffset>-66675</wp:posOffset>
                  </wp:positionH>
                  <wp:positionV relativeFrom="margin">
                    <wp:posOffset>152400</wp:posOffset>
                  </wp:positionV>
                  <wp:extent cx="2143125" cy="1624330"/>
                  <wp:effectExtent l="0" t="0" r="9525" b="0"/>
                  <wp:wrapSquare wrapText="bothSides"/>
                  <wp:docPr id="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1"/>
                          <pic:cNvPicPr>
                            <a:picLocks noChangeAspect="1"/>
                          </pic:cNvPicPr>
                        </pic:nvPicPr>
                        <pic:blipFill rotWithShape="1">
                          <a:blip r:embed="rId8">
                            <a:extLst>
                              <a:ext uri="{28A0092B-C50C-407E-A947-70E740481C1C}">
                                <a14:useLocalDpi xmlns:a14="http://schemas.microsoft.com/office/drawing/2010/main" val="0"/>
                              </a:ext>
                            </a:extLst>
                          </a:blip>
                          <a:srcRect l="-2344" r="35546" b="39062"/>
                          <a:stretch/>
                        </pic:blipFill>
                        <pic:spPr bwMode="auto">
                          <a:xfrm>
                            <a:off x="0" y="0"/>
                            <a:ext cx="2143125" cy="1624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Pennsylvania Public Utility Commission</w:t>
            </w:r>
          </w:p>
        </w:tc>
      </w:tr>
      <w:tr w:rsidR="00695A56" w:rsidTr="007B4211">
        <w:trPr>
          <w:trHeight w:val="750"/>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Office of Competitive Market Oversight</w:t>
            </w:r>
          </w:p>
        </w:tc>
      </w:tr>
      <w:tr w:rsidR="00695A56" w:rsidTr="007B4211">
        <w:trPr>
          <w:trHeight w:val="692"/>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7B4211" w:rsidRDefault="00695A56" w:rsidP="00695A56">
            <w:pPr>
              <w:jc w:val="center"/>
              <w:rPr>
                <w:rFonts w:ascii="Rockwell Extra Bold" w:hAnsi="Rockwell Extra Bold"/>
                <w:color w:val="FFFFFF" w:themeColor="background1"/>
                <w:sz w:val="72"/>
                <w:szCs w:val="72"/>
              </w:rPr>
            </w:pPr>
            <w:r w:rsidRPr="007B4211">
              <w:rPr>
                <w:rFonts w:ascii="Rockwell Extra Bold" w:hAnsi="Rockwell Extra Bold"/>
                <w:color w:val="FFFFFF" w:themeColor="background1"/>
                <w:sz w:val="72"/>
                <w:szCs w:val="72"/>
              </w:rPr>
              <w:t xml:space="preserve">CHARGE </w:t>
            </w:r>
          </w:p>
        </w:tc>
        <w:bookmarkStart w:id="0" w:name="_GoBack"/>
        <w:bookmarkEnd w:id="0"/>
      </w:tr>
      <w:tr w:rsidR="00695A56" w:rsidTr="007B4211">
        <w:trPr>
          <w:trHeight w:val="61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A90BA7" w:rsidP="00695A56">
            <w:pPr>
              <w:jc w:val="center"/>
              <w:rPr>
                <w:rFonts w:ascii="Gloucester MT Extra Condensed" w:hAnsi="Gloucester MT Extra Condensed"/>
                <w:color w:val="FFFFFF" w:themeColor="background1"/>
                <w:sz w:val="44"/>
                <w:szCs w:val="44"/>
              </w:rPr>
            </w:pPr>
            <w:r>
              <w:rPr>
                <w:rFonts w:ascii="Gloucester MT Extra Condensed" w:hAnsi="Gloucester MT Extra Condensed"/>
                <w:color w:val="FFFFFF" w:themeColor="background1"/>
                <w:sz w:val="44"/>
                <w:szCs w:val="44"/>
              </w:rPr>
              <w:t>Agenda</w:t>
            </w:r>
          </w:p>
        </w:tc>
      </w:tr>
      <w:tr w:rsidR="00695A56" w:rsidTr="007B4211">
        <w:trPr>
          <w:trHeight w:val="46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D9258E">
            <w:pPr>
              <w:jc w:val="center"/>
              <w:rPr>
                <w:rFonts w:ascii="Times New Roman" w:hAnsi="Times New Roman" w:cs="Times New Roman"/>
                <w:color w:val="FFFFFF" w:themeColor="background1"/>
                <w:sz w:val="32"/>
                <w:szCs w:val="32"/>
              </w:rPr>
            </w:pPr>
            <w:r w:rsidRPr="00695A56">
              <w:rPr>
                <w:rFonts w:ascii="Times New Roman" w:hAnsi="Times New Roman" w:cs="Times New Roman"/>
                <w:color w:val="FFFFFF" w:themeColor="background1"/>
                <w:sz w:val="32"/>
                <w:szCs w:val="32"/>
              </w:rPr>
              <w:t xml:space="preserve">Thursday </w:t>
            </w:r>
            <w:r w:rsidR="00D9258E">
              <w:rPr>
                <w:rFonts w:ascii="Times New Roman" w:hAnsi="Times New Roman" w:cs="Times New Roman"/>
                <w:color w:val="FFFFFF" w:themeColor="background1"/>
                <w:sz w:val="32"/>
                <w:szCs w:val="32"/>
              </w:rPr>
              <w:t>November</w:t>
            </w:r>
            <w:r w:rsidRPr="00695A56">
              <w:rPr>
                <w:rFonts w:ascii="Times New Roman" w:hAnsi="Times New Roman" w:cs="Times New Roman"/>
                <w:color w:val="FFFFFF" w:themeColor="background1"/>
                <w:sz w:val="32"/>
                <w:szCs w:val="32"/>
              </w:rPr>
              <w:t xml:space="preserve"> </w:t>
            </w:r>
            <w:r w:rsidR="00D9258E">
              <w:rPr>
                <w:rFonts w:ascii="Times New Roman" w:hAnsi="Times New Roman" w:cs="Times New Roman"/>
                <w:color w:val="FFFFFF" w:themeColor="background1"/>
                <w:sz w:val="32"/>
                <w:szCs w:val="32"/>
              </w:rPr>
              <w:t>20</w:t>
            </w:r>
            <w:r w:rsidRPr="00695A56">
              <w:rPr>
                <w:rFonts w:ascii="Times New Roman" w:hAnsi="Times New Roman" w:cs="Times New Roman"/>
                <w:color w:val="FFFFFF" w:themeColor="background1"/>
                <w:sz w:val="32"/>
                <w:szCs w:val="32"/>
              </w:rPr>
              <w:t>, 2014</w:t>
            </w:r>
            <w:r w:rsidR="00F67E8B">
              <w:rPr>
                <w:rFonts w:ascii="Times New Roman" w:hAnsi="Times New Roman" w:cs="Times New Roman"/>
                <w:color w:val="FFFFFF" w:themeColor="background1"/>
                <w:sz w:val="32"/>
                <w:szCs w:val="32"/>
              </w:rPr>
              <w:t xml:space="preserve">   9:30 am </w:t>
            </w:r>
          </w:p>
        </w:tc>
      </w:tr>
    </w:tbl>
    <w:p w:rsidR="00DD6774" w:rsidRDefault="00DD6774"/>
    <w:tbl>
      <w:tblPr>
        <w:tblStyle w:val="TableGrid"/>
        <w:tblW w:w="0" w:type="auto"/>
        <w:tblLook w:val="04A0" w:firstRow="1" w:lastRow="0" w:firstColumn="1" w:lastColumn="0" w:noHBand="0" w:noVBand="1"/>
      </w:tblPr>
      <w:tblGrid>
        <w:gridCol w:w="9576"/>
      </w:tblGrid>
      <w:tr w:rsidR="00B57382" w:rsidTr="003E6C6B">
        <w:tc>
          <w:tcPr>
            <w:tcW w:w="9576" w:type="dxa"/>
            <w:shd w:val="clear" w:color="auto" w:fill="365F91" w:themeFill="accent1" w:themeFillShade="BF"/>
          </w:tcPr>
          <w:p w:rsidR="00B57382" w:rsidRPr="00F67E8B" w:rsidRDefault="00B57382" w:rsidP="003E6C6B">
            <w:pPr>
              <w:jc w:val="center"/>
              <w:rPr>
                <w:rFonts w:ascii="Times New Roman" w:hAnsi="Times New Roman" w:cs="Times New Roman"/>
                <w:sz w:val="36"/>
                <w:szCs w:val="36"/>
              </w:rPr>
            </w:pPr>
            <w:r>
              <w:rPr>
                <w:rFonts w:ascii="Times New Roman" w:hAnsi="Times New Roman" w:cs="Times New Roman"/>
                <w:color w:val="FFFFFF" w:themeColor="background1"/>
                <w:sz w:val="36"/>
                <w:szCs w:val="36"/>
              </w:rPr>
              <w:t>Calling</w:t>
            </w:r>
            <w:r w:rsidRPr="00F67E8B">
              <w:rPr>
                <w:rFonts w:ascii="Times New Roman" w:hAnsi="Times New Roman" w:cs="Times New Roman"/>
                <w:color w:val="FFFFFF" w:themeColor="background1"/>
                <w:sz w:val="36"/>
                <w:szCs w:val="36"/>
              </w:rPr>
              <w:t xml:space="preserve"> I</w:t>
            </w:r>
            <w:r>
              <w:rPr>
                <w:rFonts w:ascii="Times New Roman" w:hAnsi="Times New Roman" w:cs="Times New Roman"/>
                <w:color w:val="FFFFFF" w:themeColor="background1"/>
                <w:sz w:val="36"/>
                <w:szCs w:val="36"/>
              </w:rPr>
              <w:t>nstructions:</w:t>
            </w:r>
          </w:p>
        </w:tc>
      </w:tr>
      <w:tr w:rsidR="00B57382" w:rsidTr="003E6C6B">
        <w:tc>
          <w:tcPr>
            <w:tcW w:w="9576" w:type="dxa"/>
          </w:tcPr>
          <w:p w:rsidR="00B57382" w:rsidRPr="00F67E8B" w:rsidRDefault="00B57382" w:rsidP="003E6C6B">
            <w:pPr>
              <w:jc w:val="center"/>
              <w:rPr>
                <w:sz w:val="36"/>
                <w:szCs w:val="36"/>
              </w:rPr>
            </w:pPr>
            <w:r>
              <w:rPr>
                <w:sz w:val="36"/>
                <w:szCs w:val="36"/>
              </w:rPr>
              <w:t xml:space="preserve"> Call:  </w:t>
            </w:r>
            <w:r w:rsidRPr="00F67E8B">
              <w:rPr>
                <w:sz w:val="36"/>
                <w:szCs w:val="36"/>
              </w:rPr>
              <w:t xml:space="preserve">866-528-2256, </w:t>
            </w:r>
            <w:r>
              <w:rPr>
                <w:sz w:val="36"/>
                <w:szCs w:val="36"/>
              </w:rPr>
              <w:t xml:space="preserve">use </w:t>
            </w:r>
            <w:r w:rsidRPr="00F67E8B">
              <w:rPr>
                <w:sz w:val="36"/>
                <w:szCs w:val="36"/>
              </w:rPr>
              <w:t>access code 6486940</w:t>
            </w:r>
          </w:p>
        </w:tc>
      </w:tr>
    </w:tbl>
    <w:p w:rsidR="00B57382" w:rsidRDefault="00B57382"/>
    <w:p w:rsidR="00C05324" w:rsidRPr="00E911D6" w:rsidRDefault="00A90BA7" w:rsidP="00946298">
      <w:pPr>
        <w:rPr>
          <w:b/>
          <w:sz w:val="26"/>
          <w:szCs w:val="26"/>
        </w:rPr>
      </w:pPr>
      <w:r>
        <w:rPr>
          <w:b/>
          <w:sz w:val="26"/>
          <w:szCs w:val="26"/>
        </w:rPr>
        <w:t>1</w:t>
      </w:r>
      <w:r w:rsidR="00E911D6" w:rsidRPr="00E911D6">
        <w:rPr>
          <w:b/>
          <w:sz w:val="26"/>
          <w:szCs w:val="26"/>
        </w:rPr>
        <w:t>.  PAPowerSwitch.com UPDATE:</w:t>
      </w:r>
    </w:p>
    <w:p w:rsidR="00E911D6" w:rsidRDefault="0040661E">
      <w:pPr>
        <w:rPr>
          <w:sz w:val="26"/>
          <w:szCs w:val="26"/>
        </w:rPr>
      </w:pPr>
      <w:r>
        <w:rPr>
          <w:sz w:val="26"/>
          <w:szCs w:val="26"/>
        </w:rPr>
        <w:t xml:space="preserve">Reminder:  PaPowerSwitch.com now has a “SIGN UP FOR THIS OFFER” feature now available: </w:t>
      </w:r>
      <w:r w:rsidR="00D9258E">
        <w:rPr>
          <w:sz w:val="26"/>
          <w:szCs w:val="26"/>
        </w:rPr>
        <w:t xml:space="preserve"> </w:t>
      </w:r>
    </w:p>
    <w:p w:rsidR="0040661E" w:rsidRDefault="0040661E" w:rsidP="00913DD8">
      <w:pPr>
        <w:rPr>
          <w:sz w:val="26"/>
          <w:szCs w:val="26"/>
        </w:rPr>
      </w:pPr>
      <w:r>
        <w:rPr>
          <w:noProof/>
        </w:rPr>
        <w:drawing>
          <wp:inline distT="0" distB="0" distL="0" distR="0" wp14:anchorId="13030DF5" wp14:editId="361FD113">
            <wp:extent cx="17430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43075" cy="904875"/>
                    </a:xfrm>
                    <a:prstGeom prst="rect">
                      <a:avLst/>
                    </a:prstGeom>
                  </pic:spPr>
                </pic:pic>
              </a:graphicData>
            </a:graphic>
          </wp:inline>
        </w:drawing>
      </w:r>
    </w:p>
    <w:p w:rsidR="0040661E" w:rsidRPr="0040661E" w:rsidRDefault="0040661E" w:rsidP="0040661E">
      <w:pPr>
        <w:rPr>
          <w:sz w:val="26"/>
          <w:szCs w:val="26"/>
        </w:rPr>
      </w:pPr>
      <w:r w:rsidRPr="0040661E">
        <w:rPr>
          <w:sz w:val="26"/>
          <w:szCs w:val="26"/>
        </w:rPr>
        <w:t xml:space="preserve">“Sign Up for This Offer” is designed for PAPowerSwitch shoppers who have already reviewed and evaluated supplier offers (on PAPowerSwitch) and are ready to enroll with a preferred product.  The Commission’s intent is for the electric shopper to click on “Sign Up for This Offer” and be linked to the supplier’s online enrollment page in the fewest </w:t>
      </w:r>
      <w:r w:rsidR="00E35219">
        <w:rPr>
          <w:sz w:val="26"/>
          <w:szCs w:val="26"/>
        </w:rPr>
        <w:t>number</w:t>
      </w:r>
      <w:r w:rsidRPr="0040661E">
        <w:rPr>
          <w:sz w:val="26"/>
          <w:szCs w:val="26"/>
        </w:rPr>
        <w:t xml:space="preserve"> of steps possible.  The Commission does </w:t>
      </w:r>
      <w:r w:rsidRPr="0040661E">
        <w:rPr>
          <w:sz w:val="26"/>
          <w:szCs w:val="26"/>
          <w:u w:val="single"/>
        </w:rPr>
        <w:t>not</w:t>
      </w:r>
      <w:r w:rsidRPr="0040661E">
        <w:rPr>
          <w:sz w:val="26"/>
          <w:szCs w:val="26"/>
        </w:rPr>
        <w:t xml:space="preserve"> want the shopper directed to the supplier’s home page – which is the same as clicking on the supplier’s name on PAPowerSwitch – or to a webpage where all the supplier’s offers are listed again – which is the same as clicking on the “View All Offers” link on PAPowerSwitch. </w:t>
      </w:r>
    </w:p>
    <w:p w:rsidR="0040661E" w:rsidRPr="0040661E" w:rsidRDefault="0040661E" w:rsidP="0040661E">
      <w:pPr>
        <w:rPr>
          <w:sz w:val="26"/>
          <w:szCs w:val="26"/>
        </w:rPr>
      </w:pPr>
      <w:r w:rsidRPr="0040661E">
        <w:rPr>
          <w:sz w:val="26"/>
          <w:szCs w:val="26"/>
        </w:rPr>
        <w:t xml:space="preserve">The Commission appreciates that a supplier may wish to screen a prospective shopper by having them first enter their zip code or electric distribution company.  That is fine.  However, after that initial screening process is completed, the shopper should be </w:t>
      </w:r>
      <w:r w:rsidRPr="0040661E">
        <w:rPr>
          <w:sz w:val="26"/>
          <w:szCs w:val="26"/>
        </w:rPr>
        <w:lastRenderedPageBreak/>
        <w:t xml:space="preserve">directed immediately to a page where </w:t>
      </w:r>
      <w:r w:rsidRPr="0040661E">
        <w:rPr>
          <w:i/>
          <w:iCs/>
          <w:sz w:val="26"/>
          <w:szCs w:val="26"/>
          <w:u w:val="single"/>
        </w:rPr>
        <w:t>only</w:t>
      </w:r>
      <w:r w:rsidRPr="0040661E">
        <w:rPr>
          <w:sz w:val="26"/>
          <w:szCs w:val="26"/>
        </w:rPr>
        <w:t xml:space="preserve"> the preferred product is displayed and customer enrollment (for the preferred product) occurs.  We want to avoid forcing a shopper – who has already made their decision on a preferred product - to sort through yet another list of other offerings – a process previously completed on PAPowerSwitch.</w:t>
      </w:r>
    </w:p>
    <w:p w:rsidR="0040661E" w:rsidRDefault="0040661E" w:rsidP="00913DD8">
      <w:pPr>
        <w:rPr>
          <w:sz w:val="26"/>
          <w:szCs w:val="26"/>
        </w:rPr>
      </w:pPr>
      <w:r w:rsidRPr="0040661E">
        <w:rPr>
          <w:sz w:val="26"/>
          <w:szCs w:val="26"/>
        </w:rPr>
        <w:t>Suppliers listing product offers on PAPowerSwitch are not required to populate their offerings with the “Sign Up for This Offer” link – it is optional.  However, should you decide to do so, please take the necessary steps to ensure we can direct the shopping customer to your online enrollment page as quickly and efficiently as possible.  </w:t>
      </w:r>
    </w:p>
    <w:p w:rsidR="00913DD8" w:rsidRPr="00913DD8" w:rsidRDefault="00913DD8" w:rsidP="00913DD8">
      <w:pPr>
        <w:rPr>
          <w:sz w:val="26"/>
          <w:szCs w:val="26"/>
        </w:rPr>
      </w:pPr>
      <w:r>
        <w:rPr>
          <w:sz w:val="26"/>
          <w:szCs w:val="26"/>
        </w:rPr>
        <w:t xml:space="preserve">Questions about PAPowerSwitch.com can be directed to Cyndi Page at </w:t>
      </w:r>
      <w:hyperlink r:id="rId10" w:history="1">
        <w:r w:rsidRPr="00FF1776">
          <w:rPr>
            <w:rStyle w:val="Hyperlink"/>
            <w:sz w:val="26"/>
            <w:szCs w:val="26"/>
          </w:rPr>
          <w:t>CYPAGE@pa.gov</w:t>
        </w:r>
      </w:hyperlink>
      <w:r>
        <w:rPr>
          <w:sz w:val="26"/>
          <w:szCs w:val="26"/>
        </w:rPr>
        <w:t xml:space="preserve">.  </w:t>
      </w:r>
    </w:p>
    <w:p w:rsidR="00A90BA7" w:rsidRDefault="00A90BA7" w:rsidP="00913DD8">
      <w:pPr>
        <w:rPr>
          <w:b/>
          <w:sz w:val="26"/>
          <w:szCs w:val="26"/>
        </w:rPr>
      </w:pPr>
    </w:p>
    <w:p w:rsidR="00913DD8" w:rsidRDefault="00A90BA7" w:rsidP="00913DD8">
      <w:pPr>
        <w:rPr>
          <w:b/>
          <w:sz w:val="26"/>
          <w:szCs w:val="26"/>
        </w:rPr>
      </w:pPr>
      <w:r>
        <w:rPr>
          <w:b/>
          <w:sz w:val="26"/>
          <w:szCs w:val="26"/>
        </w:rPr>
        <w:t>2.  NEW SUPPLIER PRODUCTS OFFERINGS:  OBSTACLES?</w:t>
      </w:r>
    </w:p>
    <w:p w:rsidR="00D9258E" w:rsidRDefault="008F74AE" w:rsidP="00014E32">
      <w:pPr>
        <w:rPr>
          <w:sz w:val="26"/>
          <w:szCs w:val="26"/>
        </w:rPr>
      </w:pPr>
      <w:r>
        <w:rPr>
          <w:sz w:val="26"/>
          <w:szCs w:val="26"/>
        </w:rPr>
        <w:t xml:space="preserve">In September, the Office of Competitive Market Oversight </w:t>
      </w:r>
      <w:r w:rsidR="00014E32">
        <w:rPr>
          <w:sz w:val="26"/>
          <w:szCs w:val="26"/>
        </w:rPr>
        <w:t>ask</w:t>
      </w:r>
      <w:r w:rsidR="00D9258E">
        <w:rPr>
          <w:sz w:val="26"/>
          <w:szCs w:val="26"/>
        </w:rPr>
        <w:t>ed fo</w:t>
      </w:r>
      <w:r w:rsidR="00014E32">
        <w:rPr>
          <w:sz w:val="26"/>
          <w:szCs w:val="26"/>
        </w:rPr>
        <w:t xml:space="preserve">r </w:t>
      </w:r>
      <w:r w:rsidR="00014E32" w:rsidRPr="00014E32">
        <w:rPr>
          <w:sz w:val="26"/>
          <w:szCs w:val="26"/>
          <w:u w:val="single"/>
        </w:rPr>
        <w:t>informal</w:t>
      </w:r>
      <w:r w:rsidR="00014E32">
        <w:rPr>
          <w:sz w:val="26"/>
          <w:szCs w:val="26"/>
        </w:rPr>
        <w:t xml:space="preserve"> comments</w:t>
      </w:r>
      <w:r>
        <w:rPr>
          <w:sz w:val="26"/>
          <w:szCs w:val="26"/>
        </w:rPr>
        <w:t xml:space="preserve"> regarding ways in which PaPowerSwitch.com presented obstacles to suppliers interested in presenting new and innovative products to customers.  We also noted that comments could address additional obstacles beyond those found in PaPowerSwitch.  We received several comments in response</w:t>
      </w:r>
      <w:r w:rsidR="00D9258E">
        <w:rPr>
          <w:sz w:val="26"/>
          <w:szCs w:val="26"/>
        </w:rPr>
        <w:t>.</w:t>
      </w:r>
    </w:p>
    <w:p w:rsidR="00D9258E" w:rsidRDefault="00D9258E" w:rsidP="00014E32">
      <w:pPr>
        <w:rPr>
          <w:sz w:val="26"/>
          <w:szCs w:val="26"/>
        </w:rPr>
      </w:pPr>
      <w:r>
        <w:rPr>
          <w:sz w:val="26"/>
          <w:szCs w:val="26"/>
        </w:rPr>
        <w:t>The issues raised by the commenters include the following:</w:t>
      </w:r>
    </w:p>
    <w:p w:rsidR="00D9258E" w:rsidRDefault="00D9258E" w:rsidP="00014E32">
      <w:pPr>
        <w:rPr>
          <w:sz w:val="26"/>
          <w:szCs w:val="26"/>
        </w:rPr>
      </w:pPr>
      <w:r>
        <w:rPr>
          <w:sz w:val="26"/>
          <w:szCs w:val="26"/>
        </w:rPr>
        <w:t>REGARDING PaPowerSwitch:</w:t>
      </w:r>
    </w:p>
    <w:p w:rsidR="00D9258E" w:rsidRDefault="00D9258E" w:rsidP="00D9258E">
      <w:pPr>
        <w:pStyle w:val="ListParagraph"/>
        <w:numPr>
          <w:ilvl w:val="0"/>
          <w:numId w:val="14"/>
        </w:numPr>
        <w:rPr>
          <w:sz w:val="26"/>
          <w:szCs w:val="26"/>
        </w:rPr>
      </w:pPr>
      <w:r>
        <w:rPr>
          <w:sz w:val="26"/>
          <w:szCs w:val="26"/>
        </w:rPr>
        <w:t>Expand character space in general information section.</w:t>
      </w:r>
    </w:p>
    <w:p w:rsidR="00D9258E" w:rsidRDefault="00D9258E" w:rsidP="00D9258E">
      <w:pPr>
        <w:pStyle w:val="ListParagraph"/>
        <w:numPr>
          <w:ilvl w:val="0"/>
          <w:numId w:val="14"/>
        </w:numPr>
        <w:rPr>
          <w:sz w:val="26"/>
          <w:szCs w:val="26"/>
        </w:rPr>
      </w:pPr>
      <w:r>
        <w:rPr>
          <w:sz w:val="26"/>
          <w:szCs w:val="26"/>
        </w:rPr>
        <w:t>Make space available for “incentives.”</w:t>
      </w:r>
    </w:p>
    <w:p w:rsidR="00D9258E" w:rsidRDefault="00D9258E" w:rsidP="00D9258E">
      <w:pPr>
        <w:pStyle w:val="ListParagraph"/>
        <w:numPr>
          <w:ilvl w:val="0"/>
          <w:numId w:val="14"/>
        </w:numPr>
        <w:rPr>
          <w:sz w:val="26"/>
          <w:szCs w:val="26"/>
        </w:rPr>
      </w:pPr>
      <w:r>
        <w:rPr>
          <w:sz w:val="26"/>
          <w:szCs w:val="26"/>
        </w:rPr>
        <w:t>Make the renewable energy field more flexible – to include things like the purchase of renewable energy credits, carbon offsets, various levels of renewable energy, etc.</w:t>
      </w:r>
    </w:p>
    <w:p w:rsidR="00D9258E" w:rsidRDefault="00D9258E" w:rsidP="00D9258E">
      <w:pPr>
        <w:pStyle w:val="ListParagraph"/>
        <w:numPr>
          <w:ilvl w:val="0"/>
          <w:numId w:val="14"/>
        </w:numPr>
        <w:rPr>
          <w:sz w:val="26"/>
          <w:szCs w:val="26"/>
        </w:rPr>
      </w:pPr>
      <w:r>
        <w:rPr>
          <w:sz w:val="26"/>
          <w:szCs w:val="26"/>
        </w:rPr>
        <w:t xml:space="preserve">“Term End Date” is possibly confusing – especially since “Term Length” is already provided for.  </w:t>
      </w:r>
    </w:p>
    <w:p w:rsidR="00D9258E" w:rsidRDefault="00D9258E" w:rsidP="00D9258E">
      <w:pPr>
        <w:pStyle w:val="ListParagraph"/>
        <w:numPr>
          <w:ilvl w:val="0"/>
          <w:numId w:val="14"/>
        </w:numPr>
        <w:rPr>
          <w:sz w:val="26"/>
          <w:szCs w:val="26"/>
        </w:rPr>
      </w:pPr>
      <w:r>
        <w:rPr>
          <w:sz w:val="26"/>
          <w:szCs w:val="26"/>
        </w:rPr>
        <w:t>Usage default of 700</w:t>
      </w:r>
      <w:r w:rsidR="004A5346">
        <w:rPr>
          <w:sz w:val="26"/>
          <w:szCs w:val="26"/>
        </w:rPr>
        <w:t xml:space="preserve"> kWh</w:t>
      </w:r>
      <w:r>
        <w:rPr>
          <w:sz w:val="26"/>
          <w:szCs w:val="26"/>
        </w:rPr>
        <w:t xml:space="preserve"> is possibly misleading.  Require customers to enter their own usage level.  </w:t>
      </w:r>
    </w:p>
    <w:p w:rsidR="00D9258E" w:rsidRDefault="00D9258E" w:rsidP="00D9258E">
      <w:pPr>
        <w:pStyle w:val="ListParagraph"/>
        <w:numPr>
          <w:ilvl w:val="0"/>
          <w:numId w:val="14"/>
        </w:numPr>
        <w:rPr>
          <w:sz w:val="26"/>
          <w:szCs w:val="26"/>
        </w:rPr>
      </w:pPr>
      <w:r w:rsidRPr="00D9258E">
        <w:rPr>
          <w:sz w:val="26"/>
          <w:szCs w:val="26"/>
        </w:rPr>
        <w:t>More flexibility for non-traditional products (flat rate, fixed-variable hybrids, etc.).</w:t>
      </w:r>
    </w:p>
    <w:p w:rsidR="00D9258E" w:rsidRDefault="00D9258E" w:rsidP="00D9258E">
      <w:pPr>
        <w:pStyle w:val="ListParagraph"/>
        <w:numPr>
          <w:ilvl w:val="0"/>
          <w:numId w:val="14"/>
        </w:numPr>
        <w:rPr>
          <w:sz w:val="26"/>
          <w:szCs w:val="26"/>
        </w:rPr>
      </w:pPr>
      <w:r>
        <w:rPr>
          <w:sz w:val="26"/>
          <w:szCs w:val="26"/>
        </w:rPr>
        <w:t>More flexibility re: cancellation fee.</w:t>
      </w:r>
    </w:p>
    <w:p w:rsidR="00D9258E" w:rsidRDefault="00D9258E" w:rsidP="00D9258E">
      <w:pPr>
        <w:pStyle w:val="ListParagraph"/>
        <w:numPr>
          <w:ilvl w:val="0"/>
          <w:numId w:val="14"/>
        </w:numPr>
        <w:rPr>
          <w:sz w:val="26"/>
          <w:szCs w:val="26"/>
        </w:rPr>
      </w:pPr>
      <w:r>
        <w:rPr>
          <w:sz w:val="26"/>
          <w:szCs w:val="26"/>
        </w:rPr>
        <w:lastRenderedPageBreak/>
        <w:t>More information for suppliers re: customer usage, click-rates, etc.</w:t>
      </w:r>
    </w:p>
    <w:p w:rsidR="004A5346" w:rsidRDefault="00D9258E" w:rsidP="00D9258E">
      <w:pPr>
        <w:pStyle w:val="ListParagraph"/>
        <w:numPr>
          <w:ilvl w:val="0"/>
          <w:numId w:val="14"/>
        </w:numPr>
        <w:rPr>
          <w:sz w:val="26"/>
          <w:szCs w:val="26"/>
        </w:rPr>
      </w:pPr>
      <w:r>
        <w:rPr>
          <w:sz w:val="26"/>
          <w:szCs w:val="26"/>
        </w:rPr>
        <w:t>Ability to list the same offer with different/optional term lengths</w:t>
      </w:r>
      <w:r w:rsidR="004A5346">
        <w:rPr>
          <w:sz w:val="26"/>
          <w:szCs w:val="26"/>
        </w:rPr>
        <w:t xml:space="preserve"> – instead of having to list those as different products/offers</w:t>
      </w:r>
      <w:r>
        <w:rPr>
          <w:sz w:val="26"/>
          <w:szCs w:val="26"/>
        </w:rPr>
        <w:t>.</w:t>
      </w:r>
    </w:p>
    <w:p w:rsidR="004A5346" w:rsidRDefault="004A5346" w:rsidP="004A5346">
      <w:pPr>
        <w:pStyle w:val="ListParagraph"/>
        <w:numPr>
          <w:ilvl w:val="0"/>
          <w:numId w:val="14"/>
        </w:numPr>
        <w:rPr>
          <w:sz w:val="26"/>
          <w:szCs w:val="26"/>
        </w:rPr>
      </w:pPr>
      <w:r w:rsidRPr="004A5346">
        <w:rPr>
          <w:sz w:val="26"/>
          <w:szCs w:val="26"/>
        </w:rPr>
        <w:t>Create a place in the supplier product description, where the supplier can list all attributes of the product, in addition to the commodity, that adds value to customers</w:t>
      </w:r>
      <w:r>
        <w:rPr>
          <w:sz w:val="26"/>
          <w:szCs w:val="26"/>
        </w:rPr>
        <w:t>.</w:t>
      </w:r>
    </w:p>
    <w:p w:rsidR="004A5346" w:rsidRPr="004A5346" w:rsidRDefault="004A5346" w:rsidP="004A5346">
      <w:pPr>
        <w:pStyle w:val="ListParagraph"/>
        <w:numPr>
          <w:ilvl w:val="0"/>
          <w:numId w:val="14"/>
        </w:numPr>
        <w:rPr>
          <w:sz w:val="26"/>
          <w:szCs w:val="26"/>
        </w:rPr>
      </w:pPr>
      <w:r>
        <w:rPr>
          <w:sz w:val="26"/>
          <w:szCs w:val="26"/>
        </w:rPr>
        <w:t>A</w:t>
      </w:r>
      <w:r w:rsidRPr="004A5346">
        <w:rPr>
          <w:sz w:val="26"/>
          <w:szCs w:val="26"/>
        </w:rPr>
        <w:t>dd a link labeled “Additional products and services” that will allow suppliers to show other services by linking back to the supplier’s website. However, it’s important to note that these additional products and services might include products and services from a supplier’s affiliates, subsidiaries, parent companies, etc. rather than the licensed supplier itself.</w:t>
      </w:r>
    </w:p>
    <w:p w:rsidR="004A5346" w:rsidRDefault="004A5346" w:rsidP="00D9258E">
      <w:pPr>
        <w:pStyle w:val="ListParagraph"/>
        <w:numPr>
          <w:ilvl w:val="0"/>
          <w:numId w:val="14"/>
        </w:numPr>
        <w:rPr>
          <w:sz w:val="26"/>
          <w:szCs w:val="26"/>
        </w:rPr>
      </w:pPr>
      <w:r w:rsidRPr="004A5346">
        <w:rPr>
          <w:sz w:val="26"/>
          <w:szCs w:val="26"/>
        </w:rPr>
        <w:t>Create a filter function where consumers can choose to search for commodity products only but also have the option to search for products that have additional value added services. </w:t>
      </w:r>
    </w:p>
    <w:p w:rsidR="00D9258E" w:rsidRPr="004A5346" w:rsidRDefault="004A5346" w:rsidP="00D9258E">
      <w:pPr>
        <w:pStyle w:val="ListParagraph"/>
        <w:numPr>
          <w:ilvl w:val="0"/>
          <w:numId w:val="14"/>
        </w:numPr>
        <w:rPr>
          <w:sz w:val="26"/>
          <w:szCs w:val="26"/>
        </w:rPr>
      </w:pPr>
      <w:r w:rsidRPr="004A5346">
        <w:rPr>
          <w:sz w:val="26"/>
          <w:szCs w:val="26"/>
        </w:rPr>
        <w:t>When the PA Power Switch website sorts products from highest to lowest, it appears to only take price per kWh into consideration and not the monthly estimate. We believe price should be sorted based on the monthly estimate, which takes into consideration monthly service fees.</w:t>
      </w:r>
      <w:r w:rsidRPr="004A5346">
        <w:rPr>
          <w:sz w:val="26"/>
          <w:szCs w:val="26"/>
        </w:rPr>
        <w:br/>
      </w:r>
    </w:p>
    <w:p w:rsidR="00D9258E" w:rsidRDefault="00D9258E" w:rsidP="00D9258E">
      <w:pPr>
        <w:rPr>
          <w:sz w:val="26"/>
          <w:szCs w:val="26"/>
        </w:rPr>
      </w:pPr>
      <w:r>
        <w:rPr>
          <w:sz w:val="26"/>
          <w:szCs w:val="26"/>
        </w:rPr>
        <w:t xml:space="preserve">Other </w:t>
      </w:r>
      <w:r w:rsidR="004A5346">
        <w:rPr>
          <w:sz w:val="26"/>
          <w:szCs w:val="26"/>
        </w:rPr>
        <w:t xml:space="preserve">market </w:t>
      </w:r>
      <w:r w:rsidR="00056842">
        <w:rPr>
          <w:sz w:val="26"/>
          <w:szCs w:val="26"/>
        </w:rPr>
        <w:t>issues/</w:t>
      </w:r>
      <w:r>
        <w:rPr>
          <w:sz w:val="26"/>
          <w:szCs w:val="26"/>
        </w:rPr>
        <w:t>limitations:</w:t>
      </w:r>
    </w:p>
    <w:p w:rsidR="00D9258E" w:rsidRDefault="00D9258E" w:rsidP="00D9258E">
      <w:pPr>
        <w:pStyle w:val="ListParagraph"/>
        <w:numPr>
          <w:ilvl w:val="0"/>
          <w:numId w:val="15"/>
        </w:numPr>
        <w:rPr>
          <w:sz w:val="26"/>
          <w:szCs w:val="26"/>
        </w:rPr>
      </w:pPr>
      <w:r>
        <w:rPr>
          <w:sz w:val="26"/>
          <w:szCs w:val="26"/>
        </w:rPr>
        <w:t>Utility inability to bill for flat-rate products; or to display them properly without confusing the customer.</w:t>
      </w:r>
    </w:p>
    <w:p w:rsidR="00056842" w:rsidRDefault="00056842" w:rsidP="00D9258E">
      <w:pPr>
        <w:pStyle w:val="ListParagraph"/>
        <w:numPr>
          <w:ilvl w:val="0"/>
          <w:numId w:val="15"/>
        </w:numPr>
        <w:rPr>
          <w:sz w:val="26"/>
          <w:szCs w:val="26"/>
        </w:rPr>
      </w:pPr>
      <w:r>
        <w:rPr>
          <w:sz w:val="26"/>
          <w:szCs w:val="26"/>
        </w:rPr>
        <w:t xml:space="preserve">Increased flexibility in POR:  allow for additional products, charges.  </w:t>
      </w:r>
    </w:p>
    <w:p w:rsidR="004A5346" w:rsidRDefault="00056842" w:rsidP="00D9258E">
      <w:pPr>
        <w:pStyle w:val="ListParagraph"/>
        <w:numPr>
          <w:ilvl w:val="0"/>
          <w:numId w:val="15"/>
        </w:numPr>
        <w:rPr>
          <w:sz w:val="26"/>
          <w:szCs w:val="26"/>
        </w:rPr>
      </w:pPr>
      <w:r>
        <w:rPr>
          <w:sz w:val="26"/>
          <w:szCs w:val="26"/>
        </w:rPr>
        <w:t xml:space="preserve">On-bill financing. </w:t>
      </w:r>
    </w:p>
    <w:p w:rsidR="00D9258E" w:rsidRDefault="004A5346" w:rsidP="00D9258E">
      <w:pPr>
        <w:pStyle w:val="ListParagraph"/>
        <w:numPr>
          <w:ilvl w:val="0"/>
          <w:numId w:val="15"/>
        </w:numPr>
        <w:rPr>
          <w:sz w:val="26"/>
          <w:szCs w:val="26"/>
        </w:rPr>
      </w:pPr>
      <w:r w:rsidRPr="004A5346">
        <w:rPr>
          <w:sz w:val="26"/>
          <w:szCs w:val="26"/>
        </w:rPr>
        <w:t xml:space="preserve">Allow suppliers to bill for non-commodity energy related products and services through the utility consolidated bill.  </w:t>
      </w:r>
      <w:r>
        <w:rPr>
          <w:sz w:val="26"/>
          <w:szCs w:val="26"/>
        </w:rPr>
        <w:t>T</w:t>
      </w:r>
      <w:r w:rsidRPr="004A5346">
        <w:rPr>
          <w:sz w:val="26"/>
          <w:szCs w:val="26"/>
        </w:rPr>
        <w:t xml:space="preserve">he non-commodity services need to be excluded from the utility purchase of receivables program and non-payment of these charges should not trigger customer </w:t>
      </w:r>
      <w:r>
        <w:rPr>
          <w:sz w:val="26"/>
          <w:szCs w:val="26"/>
        </w:rPr>
        <w:t xml:space="preserve">termination.  </w:t>
      </w:r>
    </w:p>
    <w:p w:rsidR="008F74AE" w:rsidRDefault="004A5346" w:rsidP="008F74AE">
      <w:pPr>
        <w:pStyle w:val="ListParagraph"/>
        <w:numPr>
          <w:ilvl w:val="0"/>
          <w:numId w:val="15"/>
        </w:numPr>
        <w:rPr>
          <w:sz w:val="26"/>
          <w:szCs w:val="26"/>
        </w:rPr>
      </w:pPr>
      <w:r w:rsidRPr="004A5346">
        <w:rPr>
          <w:sz w:val="26"/>
          <w:szCs w:val="26"/>
        </w:rPr>
        <w:t xml:space="preserve">Another option would be to simply allow for supplier consolidated billing (SCB), where the alternative supplier is the billing agent for both generation and distribution charges, and the utility is no longer the billing agent.  </w:t>
      </w:r>
      <w:r>
        <w:rPr>
          <w:sz w:val="26"/>
          <w:szCs w:val="26"/>
        </w:rPr>
        <w:t>T</w:t>
      </w:r>
      <w:r w:rsidRPr="004A5346">
        <w:rPr>
          <w:sz w:val="26"/>
          <w:szCs w:val="26"/>
        </w:rPr>
        <w:t>ransitioning to SCB may take some time, so in the interim, competitive suppliers should be allowed to utilize the UCB to bill for non-commodity energy related charges.</w:t>
      </w:r>
    </w:p>
    <w:p w:rsidR="008F74AE" w:rsidRPr="008F74AE" w:rsidRDefault="008F74AE" w:rsidP="00531160">
      <w:pPr>
        <w:jc w:val="both"/>
        <w:rPr>
          <w:sz w:val="26"/>
          <w:szCs w:val="26"/>
        </w:rPr>
      </w:pPr>
      <w:r>
        <w:rPr>
          <w:sz w:val="26"/>
          <w:szCs w:val="26"/>
        </w:rPr>
        <w:lastRenderedPageBreak/>
        <w:t xml:space="preserve">Staff is currently reviewing the comments to determine </w:t>
      </w:r>
      <w:r w:rsidR="00413EBB">
        <w:rPr>
          <w:sz w:val="26"/>
          <w:szCs w:val="26"/>
        </w:rPr>
        <w:t>priority items, feasibility and actions needed to move forward.  We will provide updates as the circumstances warrant.</w:t>
      </w:r>
    </w:p>
    <w:p w:rsidR="00A90BA7" w:rsidRPr="00913DD8" w:rsidRDefault="00D9258E" w:rsidP="00913DD8">
      <w:pPr>
        <w:rPr>
          <w:b/>
          <w:sz w:val="26"/>
          <w:szCs w:val="26"/>
        </w:rPr>
      </w:pPr>
      <w:r>
        <w:rPr>
          <w:sz w:val="26"/>
          <w:szCs w:val="26"/>
        </w:rPr>
        <w:t xml:space="preserve"> </w:t>
      </w:r>
    </w:p>
    <w:p w:rsidR="00E911D6" w:rsidRPr="00913DD8" w:rsidRDefault="00E24C9C" w:rsidP="00913DD8">
      <w:pPr>
        <w:rPr>
          <w:b/>
          <w:sz w:val="26"/>
          <w:szCs w:val="26"/>
        </w:rPr>
      </w:pPr>
      <w:r>
        <w:rPr>
          <w:b/>
          <w:sz w:val="26"/>
          <w:szCs w:val="26"/>
        </w:rPr>
        <w:t>3</w:t>
      </w:r>
      <w:r w:rsidR="00E911D6" w:rsidRPr="00913DD8">
        <w:rPr>
          <w:b/>
          <w:sz w:val="26"/>
          <w:szCs w:val="26"/>
        </w:rPr>
        <w:t xml:space="preserve">.  ACCELERATING SWITCHING (IMPLEMENTING THE 3-DAY SWITCH):   </w:t>
      </w:r>
    </w:p>
    <w:p w:rsidR="00056842" w:rsidRDefault="00E911D6" w:rsidP="00056842">
      <w:pPr>
        <w:rPr>
          <w:sz w:val="26"/>
          <w:szCs w:val="26"/>
        </w:rPr>
      </w:pPr>
      <w:r>
        <w:rPr>
          <w:sz w:val="26"/>
          <w:szCs w:val="26"/>
        </w:rPr>
        <w:t xml:space="preserve">The new supplier switching regulations, including the 3-day switch, </w:t>
      </w:r>
      <w:r w:rsidR="00261C36">
        <w:rPr>
          <w:sz w:val="26"/>
          <w:szCs w:val="26"/>
        </w:rPr>
        <w:t>went into</w:t>
      </w:r>
      <w:r>
        <w:rPr>
          <w:sz w:val="26"/>
          <w:szCs w:val="26"/>
        </w:rPr>
        <w:t xml:space="preserve"> effect </w:t>
      </w:r>
      <w:r w:rsidR="00261C36">
        <w:rPr>
          <w:sz w:val="26"/>
          <w:szCs w:val="26"/>
        </w:rPr>
        <w:t xml:space="preserve">on publication, June 14, 2014.  The implementation deadline for 3-business day switching is </w:t>
      </w:r>
      <w:r>
        <w:rPr>
          <w:sz w:val="26"/>
          <w:szCs w:val="26"/>
        </w:rPr>
        <w:t xml:space="preserve">December </w:t>
      </w:r>
      <w:r w:rsidR="00025B35">
        <w:rPr>
          <w:sz w:val="26"/>
          <w:szCs w:val="26"/>
        </w:rPr>
        <w:t>15</w:t>
      </w:r>
      <w:r>
        <w:rPr>
          <w:sz w:val="26"/>
          <w:szCs w:val="26"/>
        </w:rPr>
        <w:t xml:space="preserve">, 2014.  </w:t>
      </w:r>
      <w:r w:rsidR="00077A94">
        <w:rPr>
          <w:sz w:val="26"/>
          <w:szCs w:val="26"/>
        </w:rPr>
        <w:t>Both</w:t>
      </w:r>
      <w:r>
        <w:rPr>
          <w:sz w:val="26"/>
          <w:szCs w:val="26"/>
        </w:rPr>
        <w:t xml:space="preserve"> EDCs </w:t>
      </w:r>
      <w:r w:rsidR="00077A94">
        <w:rPr>
          <w:sz w:val="26"/>
          <w:szCs w:val="26"/>
        </w:rPr>
        <w:t>and</w:t>
      </w:r>
      <w:r>
        <w:rPr>
          <w:sz w:val="26"/>
          <w:szCs w:val="26"/>
        </w:rPr>
        <w:t xml:space="preserve"> EGSs have critical role</w:t>
      </w:r>
      <w:r w:rsidR="00077A94">
        <w:rPr>
          <w:sz w:val="26"/>
          <w:szCs w:val="26"/>
        </w:rPr>
        <w:t>s</w:t>
      </w:r>
      <w:r>
        <w:rPr>
          <w:sz w:val="26"/>
          <w:szCs w:val="26"/>
        </w:rPr>
        <w:t xml:space="preserve"> in complying with the new regulations to ensure that customer switches are not delayed unnecessarily.   </w:t>
      </w:r>
      <w:r w:rsidR="00077A94">
        <w:rPr>
          <w:sz w:val="26"/>
          <w:szCs w:val="26"/>
        </w:rPr>
        <w:br/>
      </w:r>
      <w:r w:rsidR="00077A94">
        <w:rPr>
          <w:sz w:val="26"/>
          <w:szCs w:val="26"/>
        </w:rPr>
        <w:br/>
      </w:r>
      <w:r w:rsidR="00056842">
        <w:rPr>
          <w:sz w:val="26"/>
          <w:szCs w:val="26"/>
        </w:rPr>
        <w:t xml:space="preserve">All of the major EDCs have filed petitions seeking limited waivers of various provisions related to accelerating switching.  The Commission has addressed </w:t>
      </w:r>
      <w:r w:rsidR="00413EBB">
        <w:rPr>
          <w:sz w:val="26"/>
          <w:szCs w:val="26"/>
        </w:rPr>
        <w:t xml:space="preserve">a part of </w:t>
      </w:r>
      <w:r w:rsidR="00056842">
        <w:rPr>
          <w:sz w:val="26"/>
          <w:szCs w:val="26"/>
        </w:rPr>
        <w:t>PPL</w:t>
      </w:r>
      <w:r w:rsidR="00413EBB">
        <w:rPr>
          <w:sz w:val="26"/>
          <w:szCs w:val="26"/>
        </w:rPr>
        <w:t xml:space="preserve">’s Petition </w:t>
      </w:r>
      <w:r w:rsidR="00BA1184">
        <w:rPr>
          <w:sz w:val="26"/>
          <w:szCs w:val="26"/>
        </w:rPr>
        <w:t xml:space="preserve">and </w:t>
      </w:r>
      <w:r w:rsidR="00413EBB">
        <w:rPr>
          <w:sz w:val="26"/>
          <w:szCs w:val="26"/>
        </w:rPr>
        <w:t xml:space="preserve">the final Order on </w:t>
      </w:r>
      <w:r w:rsidR="00056842">
        <w:rPr>
          <w:sz w:val="26"/>
          <w:szCs w:val="26"/>
        </w:rPr>
        <w:t xml:space="preserve">Pike County’s </w:t>
      </w:r>
      <w:r w:rsidR="00413EBB">
        <w:rPr>
          <w:sz w:val="26"/>
          <w:szCs w:val="26"/>
        </w:rPr>
        <w:t>P</w:t>
      </w:r>
      <w:r w:rsidR="00056842">
        <w:rPr>
          <w:sz w:val="26"/>
          <w:szCs w:val="26"/>
        </w:rPr>
        <w:t>etition</w:t>
      </w:r>
      <w:r w:rsidR="00413EBB">
        <w:rPr>
          <w:sz w:val="26"/>
          <w:szCs w:val="26"/>
        </w:rPr>
        <w:t xml:space="preserve"> is expected shortly.  The remaining Petitions </w:t>
      </w:r>
      <w:r w:rsidR="00056842">
        <w:rPr>
          <w:sz w:val="26"/>
          <w:szCs w:val="26"/>
        </w:rPr>
        <w:t>are still pending.  Docket numbers for these proceedings</w:t>
      </w:r>
      <w:r w:rsidR="00413EBB">
        <w:rPr>
          <w:sz w:val="26"/>
          <w:szCs w:val="26"/>
        </w:rPr>
        <w:t xml:space="preserve"> are</w:t>
      </w:r>
      <w:r w:rsidR="00056842">
        <w:rPr>
          <w:sz w:val="26"/>
          <w:szCs w:val="26"/>
        </w:rPr>
        <w:t>:</w:t>
      </w:r>
    </w:p>
    <w:p w:rsidR="001A43BE" w:rsidRDefault="00056842" w:rsidP="001A43BE">
      <w:pPr>
        <w:pStyle w:val="ListParagraph"/>
        <w:numPr>
          <w:ilvl w:val="0"/>
          <w:numId w:val="17"/>
        </w:numPr>
      </w:pPr>
      <w:r w:rsidRPr="006C3227">
        <w:rPr>
          <w:b/>
          <w:sz w:val="26"/>
          <w:szCs w:val="26"/>
        </w:rPr>
        <w:t>PECO</w:t>
      </w:r>
      <w:r w:rsidRPr="001A43BE">
        <w:rPr>
          <w:sz w:val="26"/>
          <w:szCs w:val="26"/>
        </w:rPr>
        <w:t xml:space="preserve">:  </w:t>
      </w:r>
      <w:r w:rsidRPr="001A43BE">
        <w:rPr>
          <w:bCs/>
          <w:sz w:val="26"/>
          <w:szCs w:val="26"/>
        </w:rPr>
        <w:t>P-2014-2446292 (waiver of Chapter 56 billing frequency regulations).</w:t>
      </w:r>
      <w:r w:rsidR="001A43BE" w:rsidRPr="001A43BE">
        <w:rPr>
          <w:bCs/>
          <w:sz w:val="26"/>
          <w:szCs w:val="26"/>
        </w:rPr>
        <w:br/>
      </w:r>
      <w:hyperlink r:id="rId11" w:history="1">
        <w:r w:rsidR="001A43BE" w:rsidRPr="00C44E74">
          <w:rPr>
            <w:rStyle w:val="Hyperlink"/>
          </w:rPr>
          <w:t>http://www.puc.pa.gov/about_puc/consolidated_case_view.aspx?Docket=P-2014-2446292</w:t>
        </w:r>
      </w:hyperlink>
    </w:p>
    <w:p w:rsidR="00056842" w:rsidRPr="00056842" w:rsidRDefault="00056842" w:rsidP="00056842">
      <w:pPr>
        <w:pStyle w:val="ListParagraph"/>
        <w:numPr>
          <w:ilvl w:val="0"/>
          <w:numId w:val="16"/>
        </w:numPr>
        <w:rPr>
          <w:sz w:val="26"/>
          <w:szCs w:val="26"/>
        </w:rPr>
      </w:pPr>
      <w:r w:rsidRPr="006C3227">
        <w:rPr>
          <w:b/>
          <w:sz w:val="26"/>
          <w:szCs w:val="26"/>
        </w:rPr>
        <w:t>PPL</w:t>
      </w:r>
      <w:r>
        <w:rPr>
          <w:sz w:val="26"/>
          <w:szCs w:val="26"/>
        </w:rPr>
        <w:t xml:space="preserve">:  </w:t>
      </w:r>
      <w:r w:rsidRPr="00056842">
        <w:rPr>
          <w:sz w:val="26"/>
          <w:szCs w:val="26"/>
        </w:rPr>
        <w:t>P-2014-2445072</w:t>
      </w:r>
      <w:r w:rsidR="001A43BE">
        <w:rPr>
          <w:sz w:val="26"/>
          <w:szCs w:val="26"/>
        </w:rPr>
        <w:br/>
      </w:r>
      <w:hyperlink r:id="rId12" w:history="1">
        <w:r w:rsidR="001A43BE" w:rsidRPr="00C44E74">
          <w:rPr>
            <w:rStyle w:val="Hyperlink"/>
          </w:rPr>
          <w:t>http://www.puc.pa.gov/about_puc/consolidated_case_view.aspx?Docket=P-2014-2445072</w:t>
        </w:r>
      </w:hyperlink>
    </w:p>
    <w:p w:rsidR="00056842" w:rsidRPr="006C3227" w:rsidRDefault="00056842" w:rsidP="00056842">
      <w:pPr>
        <w:pStyle w:val="ListParagraph"/>
        <w:numPr>
          <w:ilvl w:val="0"/>
          <w:numId w:val="16"/>
        </w:numPr>
        <w:rPr>
          <w:b/>
          <w:sz w:val="26"/>
          <w:szCs w:val="26"/>
        </w:rPr>
      </w:pPr>
      <w:r w:rsidRPr="006C3227">
        <w:rPr>
          <w:b/>
          <w:sz w:val="26"/>
          <w:szCs w:val="26"/>
        </w:rPr>
        <w:t>FIRSTENERGY:</w:t>
      </w:r>
    </w:p>
    <w:p w:rsidR="00056842" w:rsidRDefault="00056842" w:rsidP="00056842">
      <w:pPr>
        <w:pStyle w:val="ListParagraph"/>
        <w:numPr>
          <w:ilvl w:val="1"/>
          <w:numId w:val="16"/>
        </w:numPr>
        <w:rPr>
          <w:sz w:val="26"/>
          <w:szCs w:val="26"/>
        </w:rPr>
      </w:pPr>
      <w:r w:rsidRPr="006C3227">
        <w:rPr>
          <w:b/>
          <w:sz w:val="26"/>
          <w:szCs w:val="26"/>
        </w:rPr>
        <w:t xml:space="preserve">Met Ed: </w:t>
      </w:r>
      <w:r w:rsidRPr="00056842">
        <w:rPr>
          <w:sz w:val="26"/>
          <w:szCs w:val="26"/>
        </w:rPr>
        <w:t xml:space="preserve"> P-2014-2449010:  </w:t>
      </w:r>
      <w:r w:rsidR="001A43BE">
        <w:rPr>
          <w:sz w:val="26"/>
          <w:szCs w:val="26"/>
        </w:rPr>
        <w:br/>
      </w:r>
      <w:hyperlink r:id="rId13" w:history="1">
        <w:r w:rsidR="001A43BE" w:rsidRPr="00B664AF">
          <w:rPr>
            <w:rStyle w:val="Hyperlink"/>
            <w:bCs/>
          </w:rPr>
          <w:t>http://www.puc.pa.gov/about_puc/consolidated_case_view.aspx?Docket=P-2014-2449010</w:t>
        </w:r>
      </w:hyperlink>
    </w:p>
    <w:p w:rsidR="00056842" w:rsidRDefault="00056842" w:rsidP="00056842">
      <w:pPr>
        <w:pStyle w:val="ListParagraph"/>
        <w:numPr>
          <w:ilvl w:val="1"/>
          <w:numId w:val="16"/>
        </w:numPr>
        <w:rPr>
          <w:sz w:val="26"/>
          <w:szCs w:val="26"/>
        </w:rPr>
      </w:pPr>
      <w:r w:rsidRPr="006C3227">
        <w:rPr>
          <w:b/>
          <w:sz w:val="26"/>
          <w:szCs w:val="26"/>
        </w:rPr>
        <w:t>Penelec</w:t>
      </w:r>
      <w:r w:rsidRPr="00056842">
        <w:rPr>
          <w:sz w:val="26"/>
          <w:szCs w:val="26"/>
        </w:rPr>
        <w:t xml:space="preserve">:  P-2014-2449015: </w:t>
      </w:r>
      <w:r w:rsidR="001A43BE">
        <w:rPr>
          <w:sz w:val="26"/>
          <w:szCs w:val="26"/>
        </w:rPr>
        <w:br/>
      </w:r>
      <w:hyperlink r:id="rId14" w:history="1">
        <w:r w:rsidR="001A43BE" w:rsidRPr="00CE1619">
          <w:rPr>
            <w:rStyle w:val="Hyperlink"/>
            <w:bCs/>
          </w:rPr>
          <w:t>http://www.puc.pa.gov/about_puc/consolidated_case_view.aspx?Docket=P-2014-2449015</w:t>
        </w:r>
      </w:hyperlink>
    </w:p>
    <w:p w:rsidR="00056842" w:rsidRDefault="00056842" w:rsidP="00056842">
      <w:pPr>
        <w:pStyle w:val="ListParagraph"/>
        <w:numPr>
          <w:ilvl w:val="1"/>
          <w:numId w:val="16"/>
        </w:numPr>
        <w:rPr>
          <w:sz w:val="26"/>
          <w:szCs w:val="26"/>
        </w:rPr>
      </w:pPr>
      <w:r w:rsidRPr="006C3227">
        <w:rPr>
          <w:b/>
          <w:sz w:val="26"/>
          <w:szCs w:val="26"/>
        </w:rPr>
        <w:t>Penn Power</w:t>
      </w:r>
      <w:r w:rsidRPr="00056842">
        <w:rPr>
          <w:sz w:val="26"/>
          <w:szCs w:val="26"/>
        </w:rPr>
        <w:t xml:space="preserve">:   P-2014-2449017: </w:t>
      </w:r>
      <w:r w:rsidR="001A43BE">
        <w:rPr>
          <w:sz w:val="26"/>
          <w:szCs w:val="26"/>
        </w:rPr>
        <w:br/>
      </w:r>
      <w:hyperlink r:id="rId15" w:history="1">
        <w:r w:rsidR="001A43BE" w:rsidRPr="00CE1619">
          <w:rPr>
            <w:rStyle w:val="Hyperlink"/>
            <w:bCs/>
          </w:rPr>
          <w:t>http://www.puc.pa.gov/about_puc/consolidated_case_view.aspx?Docket=P-2014-2449017</w:t>
        </w:r>
      </w:hyperlink>
      <w:r w:rsidRPr="00056842">
        <w:rPr>
          <w:sz w:val="26"/>
          <w:szCs w:val="26"/>
        </w:rPr>
        <w:t xml:space="preserve"> </w:t>
      </w:r>
    </w:p>
    <w:p w:rsidR="00D4025D" w:rsidRPr="00056842" w:rsidRDefault="00056842" w:rsidP="00056842">
      <w:pPr>
        <w:pStyle w:val="ListParagraph"/>
        <w:numPr>
          <w:ilvl w:val="1"/>
          <w:numId w:val="16"/>
        </w:numPr>
        <w:rPr>
          <w:sz w:val="26"/>
          <w:szCs w:val="26"/>
        </w:rPr>
      </w:pPr>
      <w:r w:rsidRPr="006C3227">
        <w:rPr>
          <w:b/>
          <w:sz w:val="26"/>
          <w:szCs w:val="26"/>
        </w:rPr>
        <w:t>West Penn Power</w:t>
      </w:r>
      <w:r w:rsidRPr="00056842">
        <w:rPr>
          <w:sz w:val="26"/>
          <w:szCs w:val="26"/>
        </w:rPr>
        <w:t xml:space="preserve">:  P-2014-2449027  </w:t>
      </w:r>
      <w:r w:rsidR="001A43BE">
        <w:rPr>
          <w:sz w:val="26"/>
          <w:szCs w:val="26"/>
        </w:rPr>
        <w:br/>
      </w:r>
      <w:hyperlink r:id="rId16" w:history="1">
        <w:r w:rsidR="001A43BE" w:rsidRPr="00CE1619">
          <w:rPr>
            <w:rStyle w:val="Hyperlink"/>
            <w:rFonts w:ascii="Helvetica" w:hAnsi="Helvetica" w:cs="Helvetica"/>
            <w:bCs/>
            <w:sz w:val="18"/>
            <w:szCs w:val="18"/>
          </w:rPr>
          <w:t>http://www.puc.pa.gov/about_puc/consolidated_case_view.aspx?Docket=P-2014-2449027</w:t>
        </w:r>
      </w:hyperlink>
    </w:p>
    <w:p w:rsidR="00056842" w:rsidRPr="00056842" w:rsidRDefault="00056842" w:rsidP="00056842">
      <w:pPr>
        <w:pStyle w:val="ListParagraph"/>
        <w:numPr>
          <w:ilvl w:val="0"/>
          <w:numId w:val="16"/>
        </w:numPr>
        <w:rPr>
          <w:sz w:val="26"/>
          <w:szCs w:val="26"/>
        </w:rPr>
      </w:pPr>
      <w:r w:rsidRPr="006C3227">
        <w:rPr>
          <w:b/>
          <w:sz w:val="26"/>
          <w:szCs w:val="26"/>
        </w:rPr>
        <w:t>DUQUESNE LIGHT:</w:t>
      </w:r>
      <w:r>
        <w:rPr>
          <w:sz w:val="26"/>
          <w:szCs w:val="26"/>
        </w:rPr>
        <w:t xml:space="preserve">  </w:t>
      </w:r>
      <w:r w:rsidRPr="00056842">
        <w:rPr>
          <w:sz w:val="26"/>
          <w:szCs w:val="26"/>
        </w:rPr>
        <w:t>P-2014-2448863</w:t>
      </w:r>
      <w:r w:rsidR="001A43BE">
        <w:rPr>
          <w:sz w:val="26"/>
          <w:szCs w:val="26"/>
        </w:rPr>
        <w:br/>
      </w:r>
      <w:hyperlink r:id="rId17" w:history="1">
        <w:r w:rsidR="001A43BE">
          <w:rPr>
            <w:rStyle w:val="Hyperlink"/>
          </w:rPr>
          <w:t>http://www.puc.pa.gov/about_puc/consolidated_case_view.aspx?Docket=P-2014-2448863</w:t>
        </w:r>
      </w:hyperlink>
    </w:p>
    <w:p w:rsidR="00056842" w:rsidRPr="001A43BE" w:rsidRDefault="00056842" w:rsidP="00056842">
      <w:pPr>
        <w:pStyle w:val="ListParagraph"/>
        <w:numPr>
          <w:ilvl w:val="0"/>
          <w:numId w:val="16"/>
        </w:numPr>
        <w:rPr>
          <w:rStyle w:val="Hyperlink"/>
          <w:bCs/>
          <w:color w:val="auto"/>
          <w:sz w:val="26"/>
          <w:szCs w:val="26"/>
          <w:u w:val="none"/>
        </w:rPr>
      </w:pPr>
      <w:r w:rsidRPr="006C3227">
        <w:rPr>
          <w:b/>
          <w:sz w:val="26"/>
          <w:szCs w:val="26"/>
        </w:rPr>
        <w:t>UGI</w:t>
      </w:r>
      <w:r>
        <w:rPr>
          <w:sz w:val="26"/>
          <w:szCs w:val="26"/>
        </w:rPr>
        <w:t xml:space="preserve">:  </w:t>
      </w:r>
      <w:r w:rsidRPr="00056842">
        <w:rPr>
          <w:bCs/>
          <w:sz w:val="26"/>
          <w:szCs w:val="26"/>
        </w:rPr>
        <w:t>P-2014-2449397</w:t>
      </w:r>
      <w:r w:rsidR="001A43BE">
        <w:rPr>
          <w:bCs/>
          <w:sz w:val="26"/>
          <w:szCs w:val="26"/>
        </w:rPr>
        <w:br/>
      </w:r>
      <w:hyperlink r:id="rId18" w:history="1">
        <w:r w:rsidR="001A43BE" w:rsidRPr="00CE1619">
          <w:rPr>
            <w:rStyle w:val="Hyperlink"/>
          </w:rPr>
          <w:t>http://www.puc.pa.gov/about_puc/consolidated_case_view.aspx?Docket=P-2014-2449397</w:t>
        </w:r>
      </w:hyperlink>
    </w:p>
    <w:p w:rsidR="001A43BE" w:rsidRPr="001A43BE" w:rsidRDefault="001A43BE" w:rsidP="001A43BE">
      <w:pPr>
        <w:pStyle w:val="ListParagraph"/>
        <w:numPr>
          <w:ilvl w:val="0"/>
          <w:numId w:val="16"/>
        </w:numPr>
        <w:rPr>
          <w:bCs/>
          <w:sz w:val="26"/>
          <w:szCs w:val="26"/>
        </w:rPr>
      </w:pPr>
      <w:r w:rsidRPr="006C3227">
        <w:rPr>
          <w:b/>
          <w:sz w:val="26"/>
          <w:szCs w:val="26"/>
        </w:rPr>
        <w:lastRenderedPageBreak/>
        <w:t>PIKE COUNTY:</w:t>
      </w:r>
      <w:r w:rsidRPr="001A43BE">
        <w:rPr>
          <w:sz w:val="26"/>
          <w:szCs w:val="26"/>
        </w:rPr>
        <w:t xml:space="preserve">  </w:t>
      </w:r>
      <w:r w:rsidRPr="001A43BE">
        <w:rPr>
          <w:bCs/>
          <w:sz w:val="26"/>
          <w:szCs w:val="26"/>
        </w:rPr>
        <w:t>P-2014-2437967</w:t>
      </w:r>
      <w:r>
        <w:rPr>
          <w:bCs/>
          <w:sz w:val="26"/>
          <w:szCs w:val="26"/>
        </w:rPr>
        <w:br/>
      </w:r>
      <w:hyperlink r:id="rId19" w:history="1">
        <w:r w:rsidRPr="00CE1619">
          <w:rPr>
            <w:rStyle w:val="Hyperlink"/>
          </w:rPr>
          <w:t>http://www.puc.pa.gov/about_puc/consolidated_case_view.aspx?Docket=P-2014-2437967</w:t>
        </w:r>
      </w:hyperlink>
    </w:p>
    <w:p w:rsidR="001A43BE" w:rsidRDefault="00056842" w:rsidP="001A43BE">
      <w:pPr>
        <w:ind w:left="120"/>
        <w:rPr>
          <w:sz w:val="26"/>
          <w:szCs w:val="26"/>
        </w:rPr>
      </w:pPr>
      <w:r>
        <w:rPr>
          <w:sz w:val="26"/>
          <w:szCs w:val="26"/>
        </w:rPr>
        <w:t>The switching procedures and capabilities of each of the EDCs will vary significantly.  EGSs are urged to follow the outcome of the above-mentioned waiver proceedings – and to stay in contact with each EDC</w:t>
      </w:r>
      <w:r w:rsidR="001A43BE">
        <w:rPr>
          <w:sz w:val="26"/>
          <w:szCs w:val="26"/>
        </w:rPr>
        <w:t xml:space="preserve"> – and participate in any EDC outreach efforts</w:t>
      </w:r>
      <w:r>
        <w:rPr>
          <w:sz w:val="26"/>
          <w:szCs w:val="26"/>
        </w:rPr>
        <w:t>.</w:t>
      </w:r>
    </w:p>
    <w:p w:rsidR="001D0828" w:rsidRPr="001D0828" w:rsidRDefault="001D0828" w:rsidP="001A43BE">
      <w:pPr>
        <w:ind w:left="120"/>
        <w:rPr>
          <w:sz w:val="26"/>
          <w:szCs w:val="26"/>
        </w:rPr>
      </w:pPr>
      <w:r>
        <w:rPr>
          <w:sz w:val="26"/>
          <w:szCs w:val="26"/>
        </w:rPr>
        <w:t xml:space="preserve">Questions about these matters can be directed to Dan Mumford at </w:t>
      </w:r>
      <w:hyperlink r:id="rId20" w:history="1">
        <w:r w:rsidRPr="00FF1776">
          <w:rPr>
            <w:rStyle w:val="Hyperlink"/>
            <w:sz w:val="26"/>
            <w:szCs w:val="26"/>
          </w:rPr>
          <w:t>dmumford@pa.gov</w:t>
        </w:r>
      </w:hyperlink>
      <w:r>
        <w:rPr>
          <w:sz w:val="26"/>
          <w:szCs w:val="26"/>
        </w:rPr>
        <w:t xml:space="preserve">. </w:t>
      </w:r>
      <w:r>
        <w:rPr>
          <w:sz w:val="26"/>
          <w:szCs w:val="26"/>
        </w:rPr>
        <w:br/>
      </w:r>
    </w:p>
    <w:p w:rsidR="00E24C9C" w:rsidRPr="00077A94" w:rsidRDefault="00E24C9C" w:rsidP="00077A94">
      <w:pPr>
        <w:spacing w:after="0" w:line="240" w:lineRule="auto"/>
        <w:rPr>
          <w:b/>
          <w:sz w:val="26"/>
          <w:szCs w:val="26"/>
        </w:rPr>
      </w:pPr>
      <w:r w:rsidRPr="00077A94">
        <w:rPr>
          <w:b/>
          <w:sz w:val="26"/>
          <w:szCs w:val="26"/>
        </w:rPr>
        <w:t xml:space="preserve">4.  </w:t>
      </w:r>
      <w:r w:rsidR="00C60D5B" w:rsidRPr="00077A94">
        <w:rPr>
          <w:b/>
          <w:sz w:val="26"/>
          <w:szCs w:val="26"/>
        </w:rPr>
        <w:t xml:space="preserve"> </w:t>
      </w:r>
      <w:r w:rsidRPr="00077A94">
        <w:rPr>
          <w:b/>
          <w:sz w:val="26"/>
          <w:szCs w:val="26"/>
        </w:rPr>
        <w:t xml:space="preserve">Processing by EDCs of Customer/EGS Disputes.   </w:t>
      </w:r>
    </w:p>
    <w:p w:rsidR="00E24C9C" w:rsidRPr="00AD3595" w:rsidRDefault="00E24C9C" w:rsidP="00E24C9C">
      <w:pPr>
        <w:spacing w:after="0" w:line="240" w:lineRule="auto"/>
        <w:rPr>
          <w:sz w:val="26"/>
          <w:szCs w:val="26"/>
        </w:rPr>
      </w:pPr>
    </w:p>
    <w:p w:rsidR="00077A94" w:rsidRDefault="00E24C9C" w:rsidP="00531160">
      <w:pPr>
        <w:spacing w:after="0"/>
        <w:ind w:firstLine="720"/>
        <w:rPr>
          <w:sz w:val="26"/>
          <w:szCs w:val="26"/>
        </w:rPr>
      </w:pPr>
      <w:r w:rsidRPr="00AD3595">
        <w:rPr>
          <w:sz w:val="26"/>
          <w:szCs w:val="26"/>
        </w:rPr>
        <w:t>Background</w:t>
      </w:r>
      <w:r>
        <w:rPr>
          <w:sz w:val="26"/>
          <w:szCs w:val="26"/>
        </w:rPr>
        <w:t xml:space="preserve"> (raised by a participant at the July CHARGE call)</w:t>
      </w:r>
      <w:r w:rsidRPr="00AD3595">
        <w:rPr>
          <w:sz w:val="26"/>
          <w:szCs w:val="26"/>
        </w:rPr>
        <w:t xml:space="preserve">:  The pricing events of early 2014 resulted in customers disputing EGS charges for a variety of reasons (e.g., inconsistency with contract terms, misleading marketing, etc.).  When a customer's contract with the EGS permits the customer to withhold disputed amounts, there does not appear to be clear direction to the customer regarding any necessary interaction with the EDC to provide notice of the dispute.  Also, there does not appear to be a mechanism for the customer to ensure that the EGS does not send a drop notice to the EDC while the dispute is pending.  </w:t>
      </w:r>
      <w:r>
        <w:rPr>
          <w:sz w:val="26"/>
          <w:szCs w:val="26"/>
        </w:rPr>
        <w:t>A</w:t>
      </w:r>
      <w:r w:rsidRPr="00AD3595">
        <w:rPr>
          <w:sz w:val="26"/>
          <w:szCs w:val="26"/>
        </w:rPr>
        <w:t xml:space="preserve"> review of some of the supplier tariffs and POR programs, it isn't clear that the EDC can obtain reimbursement from the EGS if the dispute is resolved in the customer's favor.  </w:t>
      </w:r>
      <w:r w:rsidR="00531160">
        <w:rPr>
          <w:sz w:val="26"/>
          <w:szCs w:val="26"/>
        </w:rPr>
        <w:br/>
      </w:r>
    </w:p>
    <w:p w:rsidR="00077A94" w:rsidRDefault="00413EBB" w:rsidP="00E24C9C">
      <w:pPr>
        <w:rPr>
          <w:sz w:val="26"/>
          <w:szCs w:val="26"/>
        </w:rPr>
      </w:pPr>
      <w:r>
        <w:rPr>
          <w:sz w:val="26"/>
          <w:szCs w:val="26"/>
        </w:rPr>
        <w:tab/>
      </w:r>
      <w:r w:rsidR="00077A94">
        <w:rPr>
          <w:sz w:val="26"/>
          <w:szCs w:val="26"/>
        </w:rPr>
        <w:t xml:space="preserve">A </w:t>
      </w:r>
      <w:r w:rsidR="00E24C9C">
        <w:rPr>
          <w:sz w:val="26"/>
          <w:szCs w:val="26"/>
        </w:rPr>
        <w:t xml:space="preserve">working group </w:t>
      </w:r>
      <w:r>
        <w:rPr>
          <w:sz w:val="26"/>
          <w:szCs w:val="26"/>
        </w:rPr>
        <w:t>has been</w:t>
      </w:r>
      <w:r w:rsidR="00077A94">
        <w:rPr>
          <w:sz w:val="26"/>
          <w:szCs w:val="26"/>
        </w:rPr>
        <w:t xml:space="preserve"> formed to </w:t>
      </w:r>
      <w:r w:rsidR="00E24C9C">
        <w:rPr>
          <w:sz w:val="26"/>
          <w:szCs w:val="26"/>
        </w:rPr>
        <w:t>discuss and develop a proposal</w:t>
      </w:r>
      <w:r>
        <w:rPr>
          <w:sz w:val="26"/>
          <w:szCs w:val="26"/>
        </w:rPr>
        <w:t xml:space="preserve"> to resolve this issue.  The group is chaired by Pam Polacek, Esq.  Pam intends to get the working group started after Thanksgiving.  Anyone interested in participating that has not yet indicated their interest can email Pam at </w:t>
      </w:r>
      <w:r w:rsidRPr="00E35219">
        <w:rPr>
          <w:sz w:val="26"/>
          <w:szCs w:val="26"/>
          <w:u w:val="single"/>
        </w:rPr>
        <w:t>PPolacek@mwn.com</w:t>
      </w:r>
      <w:r w:rsidR="00077A94">
        <w:rPr>
          <w:sz w:val="26"/>
          <w:szCs w:val="26"/>
        </w:rPr>
        <w:t xml:space="preserve">.  </w:t>
      </w:r>
    </w:p>
    <w:p w:rsidR="00C60D5B" w:rsidRDefault="00077A94" w:rsidP="00E24C9C">
      <w:pPr>
        <w:rPr>
          <w:sz w:val="26"/>
          <w:szCs w:val="26"/>
        </w:rPr>
      </w:pPr>
      <w:r>
        <w:rPr>
          <w:sz w:val="26"/>
          <w:szCs w:val="26"/>
        </w:rPr>
        <w:t xml:space="preserve"> </w:t>
      </w:r>
      <w:r w:rsidR="00E24C9C">
        <w:rPr>
          <w:sz w:val="26"/>
          <w:szCs w:val="26"/>
        </w:rPr>
        <w:t xml:space="preserve">  </w:t>
      </w:r>
      <w:r w:rsidR="00C60D5B">
        <w:rPr>
          <w:sz w:val="26"/>
          <w:szCs w:val="26"/>
        </w:rPr>
        <w:t xml:space="preserve">  </w:t>
      </w:r>
    </w:p>
    <w:p w:rsidR="00FD65A0" w:rsidRPr="00FD65A0" w:rsidRDefault="00077A94" w:rsidP="00E911D6">
      <w:pPr>
        <w:rPr>
          <w:b/>
          <w:sz w:val="26"/>
          <w:szCs w:val="26"/>
        </w:rPr>
      </w:pPr>
      <w:r>
        <w:rPr>
          <w:b/>
          <w:sz w:val="26"/>
          <w:szCs w:val="26"/>
        </w:rPr>
        <w:t>5</w:t>
      </w:r>
      <w:r w:rsidR="00FD65A0" w:rsidRPr="00574BCD">
        <w:rPr>
          <w:b/>
          <w:sz w:val="26"/>
          <w:szCs w:val="26"/>
        </w:rPr>
        <w:t>.</w:t>
      </w:r>
      <w:r w:rsidR="00FD65A0">
        <w:rPr>
          <w:sz w:val="26"/>
          <w:szCs w:val="26"/>
        </w:rPr>
        <w:t xml:space="preserve">  </w:t>
      </w:r>
      <w:r w:rsidR="00FD65A0" w:rsidRPr="00FD65A0">
        <w:rPr>
          <w:b/>
          <w:sz w:val="26"/>
          <w:szCs w:val="26"/>
        </w:rPr>
        <w:t>UPDATES ON CURRENT PROCEEDINGS:</w:t>
      </w:r>
    </w:p>
    <w:p w:rsidR="00FD65A0" w:rsidRDefault="00460D6A" w:rsidP="00FD65A0">
      <w:pPr>
        <w:pStyle w:val="ListParagraph"/>
        <w:numPr>
          <w:ilvl w:val="0"/>
          <w:numId w:val="4"/>
        </w:numPr>
        <w:rPr>
          <w:sz w:val="26"/>
          <w:szCs w:val="26"/>
        </w:rPr>
      </w:pPr>
      <w:hyperlink r:id="rId21" w:history="1">
        <w:r w:rsidR="001A43BE" w:rsidRPr="00971988">
          <w:rPr>
            <w:rStyle w:val="Hyperlink"/>
            <w:b/>
            <w:bCs/>
            <w:sz w:val="26"/>
            <w:szCs w:val="26"/>
          </w:rPr>
          <w:t>Final Order on Interim Guidelines for Eligible Customer Lists</w:t>
        </w:r>
      </w:hyperlink>
      <w:r w:rsidR="00FD65A0" w:rsidRPr="00971988">
        <w:rPr>
          <w:b/>
          <w:sz w:val="26"/>
          <w:szCs w:val="26"/>
        </w:rPr>
        <w:t>:</w:t>
      </w:r>
      <w:r w:rsidR="00FD65A0">
        <w:rPr>
          <w:sz w:val="26"/>
          <w:szCs w:val="26"/>
        </w:rPr>
        <w:t xml:space="preserve">  </w:t>
      </w:r>
      <w:r w:rsidR="00FD65A0" w:rsidRPr="00FD65A0">
        <w:rPr>
          <w:sz w:val="26"/>
          <w:szCs w:val="26"/>
        </w:rPr>
        <w:t>Docket No. M-2010-2183412.</w:t>
      </w:r>
      <w:r w:rsidR="00FD65A0">
        <w:rPr>
          <w:sz w:val="26"/>
          <w:szCs w:val="26"/>
        </w:rPr>
        <w:t xml:space="preserve">  </w:t>
      </w:r>
      <w:r w:rsidR="00E24C9C">
        <w:rPr>
          <w:sz w:val="26"/>
          <w:szCs w:val="26"/>
        </w:rPr>
        <w:t xml:space="preserve"> Final Order at </w:t>
      </w:r>
      <w:r w:rsidR="001A43BE">
        <w:rPr>
          <w:sz w:val="26"/>
          <w:szCs w:val="26"/>
        </w:rPr>
        <w:t xml:space="preserve">October 23, 2014 </w:t>
      </w:r>
      <w:r w:rsidR="00E24C9C">
        <w:rPr>
          <w:sz w:val="26"/>
          <w:szCs w:val="26"/>
        </w:rPr>
        <w:t>Public Meeting.</w:t>
      </w:r>
      <w:r w:rsidR="00FD65A0">
        <w:rPr>
          <w:sz w:val="26"/>
          <w:szCs w:val="26"/>
        </w:rPr>
        <w:br/>
      </w:r>
    </w:p>
    <w:p w:rsidR="00FD65A0" w:rsidRDefault="00460D6A" w:rsidP="00FD65A0">
      <w:pPr>
        <w:pStyle w:val="ListParagraph"/>
        <w:numPr>
          <w:ilvl w:val="0"/>
          <w:numId w:val="4"/>
        </w:numPr>
        <w:rPr>
          <w:sz w:val="26"/>
          <w:szCs w:val="26"/>
        </w:rPr>
      </w:pPr>
      <w:hyperlink r:id="rId22" w:history="1">
        <w:r w:rsidR="001A43BE">
          <w:rPr>
            <w:rStyle w:val="Hyperlink"/>
            <w:b/>
            <w:bCs/>
            <w:sz w:val="26"/>
            <w:szCs w:val="26"/>
          </w:rPr>
          <w:t>Final</w:t>
        </w:r>
        <w:r w:rsidR="00FD65A0" w:rsidRPr="00FD65A0">
          <w:rPr>
            <w:rStyle w:val="Hyperlink"/>
            <w:b/>
            <w:bCs/>
            <w:sz w:val="26"/>
            <w:szCs w:val="26"/>
          </w:rPr>
          <w:t xml:space="preserve"> Order on Request for Clarification on Notice Requirements for Combined Electricity &amp; Natural Gas Disclosure Statements</w:t>
        </w:r>
      </w:hyperlink>
      <w:r w:rsidR="00FD65A0" w:rsidRPr="00FD65A0">
        <w:rPr>
          <w:sz w:val="26"/>
          <w:szCs w:val="26"/>
        </w:rPr>
        <w:t xml:space="preserve"> - Public Meeting of </w:t>
      </w:r>
      <w:r w:rsidR="001A43BE">
        <w:rPr>
          <w:sz w:val="26"/>
          <w:szCs w:val="26"/>
        </w:rPr>
        <w:t>October</w:t>
      </w:r>
      <w:r w:rsidR="00FD65A0" w:rsidRPr="00FD65A0">
        <w:rPr>
          <w:sz w:val="26"/>
          <w:szCs w:val="26"/>
        </w:rPr>
        <w:t xml:space="preserve"> </w:t>
      </w:r>
      <w:r w:rsidR="001A43BE">
        <w:rPr>
          <w:sz w:val="26"/>
          <w:szCs w:val="26"/>
        </w:rPr>
        <w:t>2</w:t>
      </w:r>
      <w:r w:rsidR="00FD65A0" w:rsidRPr="00FD65A0">
        <w:rPr>
          <w:sz w:val="26"/>
          <w:szCs w:val="26"/>
        </w:rPr>
        <w:t xml:space="preserve">, </w:t>
      </w:r>
      <w:r w:rsidR="00FD65A0" w:rsidRPr="00FD65A0">
        <w:rPr>
          <w:sz w:val="26"/>
          <w:szCs w:val="26"/>
        </w:rPr>
        <w:lastRenderedPageBreak/>
        <w:t>2014. Docket No. L-2014-2409385. Clarification on 52 Pa. Code, Sections 54.5, 54.10 and 62.75.</w:t>
      </w:r>
      <w:r w:rsidR="00FD65A0">
        <w:rPr>
          <w:sz w:val="26"/>
          <w:szCs w:val="26"/>
        </w:rPr>
        <w:t xml:space="preserve">:  </w:t>
      </w:r>
      <w:r w:rsidR="00971988">
        <w:rPr>
          <w:sz w:val="26"/>
          <w:szCs w:val="26"/>
        </w:rPr>
        <w:br/>
      </w:r>
    </w:p>
    <w:p w:rsidR="00971988" w:rsidRPr="00F7179E" w:rsidRDefault="00C60D5B" w:rsidP="00971988">
      <w:pPr>
        <w:pStyle w:val="ListParagraph"/>
        <w:numPr>
          <w:ilvl w:val="0"/>
          <w:numId w:val="4"/>
        </w:numPr>
        <w:rPr>
          <w:sz w:val="26"/>
          <w:szCs w:val="26"/>
        </w:rPr>
      </w:pPr>
      <w:r w:rsidRPr="00C60D5B">
        <w:rPr>
          <w:b/>
          <w:sz w:val="26"/>
          <w:szCs w:val="26"/>
        </w:rPr>
        <w:t>Investigation of Pennsylvania’s</w:t>
      </w:r>
      <w:r>
        <w:rPr>
          <w:b/>
          <w:sz w:val="26"/>
          <w:szCs w:val="26"/>
        </w:rPr>
        <w:t xml:space="preserve"> </w:t>
      </w:r>
      <w:r w:rsidRPr="00C60D5B">
        <w:rPr>
          <w:b/>
          <w:sz w:val="26"/>
          <w:szCs w:val="26"/>
        </w:rPr>
        <w:t>Retail Natural Gas Supply Market</w:t>
      </w:r>
      <w:r>
        <w:rPr>
          <w:sz w:val="26"/>
          <w:szCs w:val="26"/>
        </w:rPr>
        <w:t xml:space="preserve">, Public Meeting of September 12, 2013.  I-2013-2381742: </w:t>
      </w:r>
      <w:r w:rsidR="00E24C9C">
        <w:rPr>
          <w:sz w:val="26"/>
          <w:szCs w:val="26"/>
        </w:rPr>
        <w:br/>
      </w:r>
      <w:r w:rsidR="00E24C9C">
        <w:rPr>
          <w:sz w:val="26"/>
          <w:szCs w:val="26"/>
        </w:rPr>
        <w:br/>
      </w:r>
      <w:hyperlink r:id="rId23" w:history="1">
        <w:r w:rsidR="00E24C9C" w:rsidRPr="00E24C9C">
          <w:rPr>
            <w:rStyle w:val="Hyperlink"/>
            <w:b/>
            <w:bCs/>
            <w:sz w:val="26"/>
            <w:szCs w:val="26"/>
          </w:rPr>
          <w:t>Tentative Order on the Investigation of Pennsylvania's Retail Natural Gas Supply Market</w:t>
        </w:r>
      </w:hyperlink>
      <w:r w:rsidR="00E24C9C" w:rsidRPr="00E24C9C">
        <w:rPr>
          <w:sz w:val="26"/>
          <w:szCs w:val="26"/>
        </w:rPr>
        <w:t xml:space="preserve"> - Public Meeting of August 21, 2104. Docket No. I-2013-2381742.</w:t>
      </w:r>
      <w:r w:rsidR="00E24C9C">
        <w:rPr>
          <w:sz w:val="26"/>
          <w:szCs w:val="26"/>
        </w:rPr>
        <w:t xml:space="preserve">  </w:t>
      </w:r>
    </w:p>
    <w:p w:rsidR="00E24C9C" w:rsidRDefault="00971988" w:rsidP="00D4025D">
      <w:pPr>
        <w:ind w:left="720"/>
        <w:rPr>
          <w:sz w:val="26"/>
          <w:szCs w:val="26"/>
        </w:rPr>
      </w:pPr>
      <w:r>
        <w:rPr>
          <w:sz w:val="26"/>
          <w:szCs w:val="26"/>
        </w:rPr>
        <w:t>Look for</w:t>
      </w:r>
      <w:r w:rsidR="00E35219">
        <w:rPr>
          <w:sz w:val="26"/>
          <w:szCs w:val="26"/>
        </w:rPr>
        <w:t xml:space="preserve"> a</w:t>
      </w:r>
      <w:r w:rsidR="00413EBB">
        <w:rPr>
          <w:sz w:val="26"/>
          <w:szCs w:val="26"/>
        </w:rPr>
        <w:t xml:space="preserve"> </w:t>
      </w:r>
      <w:r>
        <w:rPr>
          <w:sz w:val="26"/>
          <w:szCs w:val="26"/>
        </w:rPr>
        <w:t xml:space="preserve">Final Order detailing the topics of the investigation and procedural issues – possibly in December.  </w:t>
      </w:r>
      <w:r>
        <w:rPr>
          <w:sz w:val="26"/>
          <w:szCs w:val="26"/>
        </w:rPr>
        <w:br/>
      </w:r>
      <w:r w:rsidR="00E24C9C" w:rsidRPr="00F7179E">
        <w:rPr>
          <w:sz w:val="26"/>
          <w:szCs w:val="26"/>
        </w:rPr>
        <w:br/>
        <w:t>There is a now a webpage for this investigation at:</w:t>
      </w:r>
      <w:r w:rsidR="00E24C9C" w:rsidRPr="00F7179E">
        <w:rPr>
          <w:sz w:val="26"/>
          <w:szCs w:val="26"/>
        </w:rPr>
        <w:br/>
      </w:r>
      <w:hyperlink r:id="rId24" w:history="1">
        <w:r w:rsidR="00E24C9C" w:rsidRPr="00F7179E">
          <w:rPr>
            <w:rStyle w:val="Hyperlink"/>
            <w:sz w:val="26"/>
            <w:szCs w:val="26"/>
          </w:rPr>
          <w:t>http://www.puc.pa.gov/utility_industry/natural_gas/natrual_gas_rmi.aspx</w:t>
        </w:r>
      </w:hyperlink>
      <w:r w:rsidR="00E24C9C" w:rsidRPr="00F7179E">
        <w:rPr>
          <w:sz w:val="26"/>
          <w:szCs w:val="26"/>
        </w:rPr>
        <w:t xml:space="preserve">  </w:t>
      </w:r>
      <w:r w:rsidR="00C60D5B" w:rsidRPr="00F7179E">
        <w:rPr>
          <w:sz w:val="26"/>
          <w:szCs w:val="26"/>
        </w:rPr>
        <w:t xml:space="preserve"> </w:t>
      </w:r>
      <w:r w:rsidR="00D4025D">
        <w:rPr>
          <w:sz w:val="26"/>
          <w:szCs w:val="26"/>
        </w:rPr>
        <w:br/>
      </w:r>
    </w:p>
    <w:p w:rsidR="00077A94" w:rsidRPr="00014E32" w:rsidRDefault="00077A94" w:rsidP="00077A94">
      <w:pPr>
        <w:pStyle w:val="ListParagraph"/>
        <w:numPr>
          <w:ilvl w:val="0"/>
          <w:numId w:val="4"/>
        </w:numPr>
        <w:rPr>
          <w:b/>
          <w:sz w:val="26"/>
          <w:szCs w:val="26"/>
        </w:rPr>
      </w:pPr>
      <w:r w:rsidRPr="00014E32">
        <w:rPr>
          <w:b/>
          <w:sz w:val="26"/>
          <w:szCs w:val="26"/>
        </w:rPr>
        <w:t>Seamless Moves and Instant Connects:</w:t>
      </w:r>
    </w:p>
    <w:p w:rsidR="00077A94" w:rsidRPr="00D4025D" w:rsidRDefault="00460D6A" w:rsidP="00014E32">
      <w:pPr>
        <w:spacing w:before="100" w:beforeAutospacing="1" w:after="100" w:afterAutospacing="1" w:line="240" w:lineRule="atLeast"/>
        <w:ind w:left="720"/>
        <w:rPr>
          <w:rFonts w:ascii="Helvetica" w:eastAsia="Times New Roman" w:hAnsi="Helvetica" w:cs="Helvetica"/>
          <w:color w:val="333333"/>
          <w:sz w:val="24"/>
          <w:szCs w:val="24"/>
        </w:rPr>
      </w:pPr>
      <w:hyperlink r:id="rId25" w:history="1">
        <w:r w:rsidR="00077A94" w:rsidRPr="00D4025D">
          <w:rPr>
            <w:rStyle w:val="Hyperlink"/>
            <w:rFonts w:ascii="Helvetica" w:eastAsia="Times New Roman" w:hAnsi="Helvetica" w:cs="Helvetica"/>
            <w:b/>
            <w:bCs/>
            <w:sz w:val="24"/>
            <w:szCs w:val="24"/>
          </w:rPr>
          <w:t>Secretarial Letter</w:t>
        </w:r>
      </w:hyperlink>
      <w:r w:rsidR="00077A94" w:rsidRPr="00D4025D">
        <w:rPr>
          <w:rFonts w:ascii="Helvetica" w:eastAsia="Times New Roman" w:hAnsi="Helvetica" w:cs="Helvetica"/>
          <w:color w:val="333333"/>
          <w:sz w:val="24"/>
          <w:szCs w:val="24"/>
        </w:rPr>
        <w:t xml:space="preserve"> - Letter regarding the EDC plan filings for Seamless Moves and Instant Connects. Dated August 13, 2014. Docket Numbers:</w:t>
      </w:r>
    </w:p>
    <w:tbl>
      <w:tblPr>
        <w:tblW w:w="9000" w:type="dxa"/>
        <w:tblCellSpacing w:w="7" w:type="dxa"/>
        <w:tblInd w:w="720" w:type="dxa"/>
        <w:tblCellMar>
          <w:top w:w="15" w:type="dxa"/>
          <w:left w:w="15" w:type="dxa"/>
          <w:bottom w:w="15" w:type="dxa"/>
          <w:right w:w="15" w:type="dxa"/>
        </w:tblCellMar>
        <w:tblLook w:val="04A0" w:firstRow="1" w:lastRow="0" w:firstColumn="1" w:lastColumn="0" w:noHBand="0" w:noVBand="1"/>
      </w:tblPr>
      <w:tblGrid>
        <w:gridCol w:w="3039"/>
        <w:gridCol w:w="2726"/>
        <w:gridCol w:w="3235"/>
      </w:tblGrid>
      <w:tr w:rsidR="00077A94" w:rsidRPr="00077A94" w:rsidTr="00014E32">
        <w:trPr>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Duquesne Light: M-2014-2401127</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PECO: M-2014-2401085</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PPL: M-2014-2401103</w:t>
            </w:r>
          </w:p>
        </w:tc>
      </w:tr>
      <w:tr w:rsidR="00077A94" w:rsidRPr="00077A94" w:rsidTr="00D4025D">
        <w:trPr>
          <w:trHeight w:val="500"/>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Pike County: M-2014-2401119</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UGI: M-2014-2401126</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Met-Ed: M-2014-2401130</w:t>
            </w:r>
          </w:p>
        </w:tc>
      </w:tr>
      <w:tr w:rsidR="00077A94" w:rsidRPr="00077A94" w:rsidTr="00014E32">
        <w:trPr>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Penelec: M-2014-2401151</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Penn Power: M-2014-2401151</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West Penn Power: M-2014-2401148</w:t>
            </w:r>
          </w:p>
        </w:tc>
      </w:tr>
    </w:tbl>
    <w:p w:rsidR="00077A94" w:rsidRDefault="00077A94" w:rsidP="00077A94">
      <w:pPr>
        <w:rPr>
          <w:sz w:val="26"/>
          <w:szCs w:val="26"/>
        </w:rPr>
      </w:pPr>
    </w:p>
    <w:p w:rsidR="00D4025D" w:rsidRDefault="00D4025D" w:rsidP="008A16C8">
      <w:pPr>
        <w:spacing w:line="240" w:lineRule="auto"/>
        <w:ind w:left="720"/>
        <w:rPr>
          <w:sz w:val="26"/>
          <w:szCs w:val="26"/>
        </w:rPr>
      </w:pPr>
      <w:r>
        <w:rPr>
          <w:sz w:val="26"/>
          <w:szCs w:val="26"/>
        </w:rPr>
        <w:t xml:space="preserve">“The Commission, by means of this Secretarial Letter, will allow EDCs to delay the development of </w:t>
      </w:r>
      <w:r w:rsidRPr="00681FF1">
        <w:rPr>
          <w:i/>
          <w:sz w:val="26"/>
          <w:szCs w:val="26"/>
        </w:rPr>
        <w:t>instant connects</w:t>
      </w:r>
      <w:r>
        <w:rPr>
          <w:sz w:val="26"/>
          <w:szCs w:val="26"/>
        </w:rPr>
        <w:t xml:space="preserve"> and </w:t>
      </w:r>
      <w:r w:rsidRPr="00681FF1">
        <w:rPr>
          <w:i/>
          <w:sz w:val="26"/>
          <w:szCs w:val="26"/>
        </w:rPr>
        <w:t>seamless moves</w:t>
      </w:r>
      <w:r>
        <w:rPr>
          <w:sz w:val="26"/>
          <w:szCs w:val="26"/>
        </w:rPr>
        <w:t xml:space="preserve"> if an EDC determines that developing these processes at this time could hinder or delay the development of 3-business day supplier switching.  This delay is at the option of the EDC; the EDCs are encouraged to proceed with the development of </w:t>
      </w:r>
      <w:r w:rsidRPr="00681FF1">
        <w:rPr>
          <w:i/>
          <w:sz w:val="26"/>
          <w:szCs w:val="26"/>
        </w:rPr>
        <w:t>instant connects</w:t>
      </w:r>
      <w:r>
        <w:rPr>
          <w:sz w:val="26"/>
          <w:szCs w:val="26"/>
        </w:rPr>
        <w:t xml:space="preserve"> and </w:t>
      </w:r>
      <w:r w:rsidRPr="00681FF1">
        <w:rPr>
          <w:i/>
          <w:sz w:val="26"/>
          <w:szCs w:val="26"/>
        </w:rPr>
        <w:t>seamless moves</w:t>
      </w:r>
      <w:r>
        <w:rPr>
          <w:sz w:val="26"/>
          <w:szCs w:val="26"/>
        </w:rPr>
        <w:t xml:space="preserve"> if doing so does not impede the development of 3-business day switching.  The previously stated June 2015 deadline is no longer in effect.”</w:t>
      </w:r>
    </w:p>
    <w:p w:rsidR="00D4025D" w:rsidRDefault="008A16C8" w:rsidP="008A16C8">
      <w:pPr>
        <w:spacing w:line="240" w:lineRule="auto"/>
        <w:ind w:left="720"/>
        <w:rPr>
          <w:sz w:val="26"/>
          <w:szCs w:val="26"/>
        </w:rPr>
      </w:pPr>
      <w:r>
        <w:rPr>
          <w:sz w:val="26"/>
          <w:szCs w:val="26"/>
        </w:rPr>
        <w:t xml:space="preserve">“Notably, while we are allowing a delay in the creation of these two market enhancements, those two mechanisms have merit to enhance Pennsylvania’s retail electric market.  Accordingly, we will direct the OCMO to submit a recommendation to the Commission no later than December 31, 2014, with a </w:t>
      </w:r>
      <w:r>
        <w:rPr>
          <w:sz w:val="26"/>
          <w:szCs w:val="26"/>
        </w:rPr>
        <w:lastRenderedPageBreak/>
        <w:t xml:space="preserve">proposed implementation timeframe for </w:t>
      </w:r>
      <w:r w:rsidRPr="00404881">
        <w:rPr>
          <w:i/>
          <w:sz w:val="26"/>
          <w:szCs w:val="26"/>
        </w:rPr>
        <w:t>seamless moves</w:t>
      </w:r>
      <w:r>
        <w:rPr>
          <w:sz w:val="26"/>
          <w:szCs w:val="26"/>
        </w:rPr>
        <w:t xml:space="preserve"> and </w:t>
      </w:r>
      <w:r w:rsidRPr="0008483B">
        <w:rPr>
          <w:i/>
          <w:sz w:val="26"/>
          <w:szCs w:val="26"/>
        </w:rPr>
        <w:t>instant connects</w:t>
      </w:r>
      <w:r>
        <w:rPr>
          <w:sz w:val="26"/>
          <w:szCs w:val="26"/>
        </w:rPr>
        <w:t>.”</w:t>
      </w:r>
      <w:r w:rsidR="00D4025D">
        <w:rPr>
          <w:sz w:val="26"/>
          <w:szCs w:val="26"/>
        </w:rPr>
        <w:t xml:space="preserve">  </w:t>
      </w:r>
    </w:p>
    <w:p w:rsidR="00971988" w:rsidRDefault="00971988" w:rsidP="00077A94">
      <w:pPr>
        <w:rPr>
          <w:sz w:val="26"/>
          <w:szCs w:val="26"/>
        </w:rPr>
      </w:pPr>
      <w:r>
        <w:rPr>
          <w:sz w:val="26"/>
          <w:szCs w:val="26"/>
        </w:rPr>
        <w:t>EDCs have delayed implementation per this Secretarial Letter.  New timeframes will be considered and announced as soon as possible.</w:t>
      </w:r>
      <w:r>
        <w:rPr>
          <w:sz w:val="26"/>
          <w:szCs w:val="26"/>
        </w:rPr>
        <w:br/>
      </w:r>
    </w:p>
    <w:p w:rsidR="00971988" w:rsidRPr="00CE4C88" w:rsidRDefault="00971988" w:rsidP="00971988">
      <w:pPr>
        <w:pStyle w:val="ListParagraph"/>
        <w:numPr>
          <w:ilvl w:val="0"/>
          <w:numId w:val="4"/>
        </w:numPr>
        <w:rPr>
          <w:b/>
          <w:sz w:val="26"/>
          <w:szCs w:val="26"/>
        </w:rPr>
      </w:pPr>
      <w:r w:rsidRPr="00CE4C88">
        <w:rPr>
          <w:b/>
          <w:sz w:val="26"/>
          <w:szCs w:val="26"/>
        </w:rPr>
        <w:t>COMMISSION STATEMENTS MADE AT THE NOVEMBER 13 PUBLIC MEETING ADDRESSING THE COMMISSION’S AUTHORITY OVER EGS CONTRACTUAL, DISCLOSURE, BILLING AND MARKETING ISSUES:</w:t>
      </w:r>
      <w:r w:rsidRPr="00CE4C88">
        <w:rPr>
          <w:b/>
          <w:sz w:val="26"/>
          <w:szCs w:val="26"/>
        </w:rPr>
        <w:br/>
      </w:r>
    </w:p>
    <w:p w:rsidR="00971988" w:rsidRDefault="00971988" w:rsidP="00971988">
      <w:pPr>
        <w:pStyle w:val="ListParagraph"/>
        <w:numPr>
          <w:ilvl w:val="0"/>
          <w:numId w:val="4"/>
        </w:numPr>
        <w:rPr>
          <w:rFonts w:ascii="Times New Roman" w:hAnsi="Times New Roman"/>
          <w:bCs/>
        </w:rPr>
      </w:pPr>
      <w:r w:rsidRPr="00971988">
        <w:rPr>
          <w:rFonts w:ascii="Times New Roman" w:hAnsi="Times New Roman"/>
          <w:bCs/>
        </w:rPr>
        <w:t>P-2014-2421556</w:t>
      </w:r>
      <w:r>
        <w:rPr>
          <w:rFonts w:ascii="Times New Roman" w:hAnsi="Times New Roman"/>
          <w:bCs/>
        </w:rPr>
        <w:t xml:space="preserve"> : </w:t>
      </w:r>
      <w:r w:rsidRPr="00971988">
        <w:rPr>
          <w:rFonts w:ascii="Times New Roman" w:hAnsi="Times New Roman"/>
          <w:bCs/>
        </w:rPr>
        <w:t>JOHN R EVANS SMALL BUSINESS ADVOCATE VS FIRSTENERGY SOLUTIONS CORPORATION</w:t>
      </w:r>
      <w:r>
        <w:rPr>
          <w:rFonts w:ascii="Times New Roman" w:hAnsi="Times New Roman"/>
          <w:bCs/>
        </w:rPr>
        <w:t xml:space="preserve">:  </w:t>
      </w:r>
      <w:hyperlink r:id="rId26" w:history="1">
        <w:r w:rsidRPr="00D938EE">
          <w:rPr>
            <w:rStyle w:val="Hyperlink"/>
            <w:rFonts w:ascii="Times New Roman" w:hAnsi="Times New Roman"/>
            <w:bCs/>
          </w:rPr>
          <w:t>http://www.puc.pa.gov/about_puc/consolidated_case_view.aspx?Docket=P-2014-2421556</w:t>
        </w:r>
      </w:hyperlink>
      <w:r>
        <w:rPr>
          <w:rFonts w:ascii="Times New Roman" w:hAnsi="Times New Roman"/>
          <w:bCs/>
        </w:rPr>
        <w:t xml:space="preserve">  </w:t>
      </w:r>
    </w:p>
    <w:p w:rsidR="00971988" w:rsidRDefault="00971988" w:rsidP="00CE4C88">
      <w:pPr>
        <w:pStyle w:val="ListParagraph"/>
        <w:numPr>
          <w:ilvl w:val="0"/>
          <w:numId w:val="4"/>
        </w:numPr>
        <w:rPr>
          <w:rFonts w:ascii="Times New Roman" w:hAnsi="Times New Roman"/>
          <w:bCs/>
        </w:rPr>
      </w:pPr>
      <w:r>
        <w:rPr>
          <w:rFonts w:ascii="Times New Roman" w:hAnsi="Times New Roman"/>
          <w:bCs/>
        </w:rPr>
        <w:t xml:space="preserve">C-2014-2425989 :  </w:t>
      </w:r>
      <w:r w:rsidRPr="00971988">
        <w:rPr>
          <w:rFonts w:ascii="Times New Roman" w:hAnsi="Times New Roman"/>
          <w:bCs/>
        </w:rPr>
        <w:t>FES INDUSTRIAL &amp; COMMERCIAL CUSTOMER COALITION VS FIRSTENERGY SOLUTIONS CORP</w:t>
      </w:r>
      <w:r w:rsidR="00CE4C88">
        <w:rPr>
          <w:rFonts w:ascii="Times New Roman" w:hAnsi="Times New Roman"/>
          <w:bCs/>
        </w:rPr>
        <w:t>:</w:t>
      </w:r>
      <w:r w:rsidR="00CE4C88">
        <w:rPr>
          <w:rFonts w:ascii="Times New Roman" w:hAnsi="Times New Roman"/>
          <w:bCs/>
        </w:rPr>
        <w:br/>
      </w:r>
      <w:hyperlink r:id="rId27" w:history="1">
        <w:r w:rsidR="00CE4C88" w:rsidRPr="00D938EE">
          <w:rPr>
            <w:rStyle w:val="Hyperlink"/>
            <w:rFonts w:ascii="Times New Roman" w:hAnsi="Times New Roman"/>
            <w:bCs/>
          </w:rPr>
          <w:t>http://www.puc.pa.gov/about_puc/consolidated_case_view.aspx?Docket=C-2014-2425989</w:t>
        </w:r>
      </w:hyperlink>
      <w:r w:rsidR="00CE4C88">
        <w:rPr>
          <w:rFonts w:ascii="Times New Roman" w:hAnsi="Times New Roman"/>
          <w:bCs/>
        </w:rPr>
        <w:t xml:space="preserve"> </w:t>
      </w:r>
    </w:p>
    <w:p w:rsidR="00CE4C88" w:rsidRDefault="00CE4C88" w:rsidP="00CE4C88">
      <w:pPr>
        <w:pStyle w:val="ListParagraph"/>
        <w:numPr>
          <w:ilvl w:val="0"/>
          <w:numId w:val="4"/>
        </w:numPr>
        <w:rPr>
          <w:rFonts w:ascii="Times New Roman" w:hAnsi="Times New Roman"/>
          <w:bCs/>
        </w:rPr>
      </w:pPr>
      <w:r>
        <w:rPr>
          <w:rFonts w:ascii="Times New Roman" w:hAnsi="Times New Roman"/>
          <w:bCs/>
        </w:rPr>
        <w:t xml:space="preserve">C-2014-2427655 :  </w:t>
      </w:r>
      <w:r w:rsidRPr="00CE4C88">
        <w:rPr>
          <w:rFonts w:ascii="Times New Roman" w:hAnsi="Times New Roman"/>
          <w:bCs/>
        </w:rPr>
        <w:t>ATTORNEY GENERAL PA &amp; OFFICE OF CONSUMER ADVOCATE VS BLUE PILOT ENERGY LLC</w:t>
      </w:r>
      <w:r>
        <w:rPr>
          <w:rFonts w:ascii="Times New Roman" w:hAnsi="Times New Roman"/>
          <w:bCs/>
        </w:rPr>
        <w:t>:</w:t>
      </w:r>
      <w:r>
        <w:rPr>
          <w:rFonts w:ascii="Times New Roman" w:hAnsi="Times New Roman"/>
          <w:bCs/>
        </w:rPr>
        <w:br/>
      </w:r>
      <w:hyperlink r:id="rId28" w:history="1">
        <w:r w:rsidRPr="00D938EE">
          <w:rPr>
            <w:rStyle w:val="Hyperlink"/>
            <w:rFonts w:ascii="Times New Roman" w:hAnsi="Times New Roman"/>
            <w:bCs/>
          </w:rPr>
          <w:t>http://www.puc.pa.gov/about_puc/consolidated_case_view.aspx?Docket=C-2014-2427655</w:t>
        </w:r>
      </w:hyperlink>
    </w:p>
    <w:p w:rsidR="00CE4C88" w:rsidRPr="00CE4C88" w:rsidRDefault="00CE4C88" w:rsidP="00CE4C88">
      <w:pPr>
        <w:pStyle w:val="ListParagraph"/>
        <w:numPr>
          <w:ilvl w:val="0"/>
          <w:numId w:val="4"/>
        </w:numPr>
        <w:rPr>
          <w:rFonts w:ascii="Times New Roman" w:hAnsi="Times New Roman"/>
          <w:bCs/>
        </w:rPr>
      </w:pPr>
      <w:r w:rsidRPr="00CE4C88">
        <w:rPr>
          <w:rFonts w:ascii="Times New Roman" w:hAnsi="Times New Roman"/>
          <w:bCs/>
        </w:rPr>
        <w:t>C-2014-2429159</w:t>
      </w:r>
      <w:r w:rsidR="00E35219">
        <w:rPr>
          <w:rFonts w:ascii="Times New Roman" w:hAnsi="Times New Roman"/>
          <w:bCs/>
        </w:rPr>
        <w:t xml:space="preserve"> </w:t>
      </w:r>
      <w:r>
        <w:rPr>
          <w:rFonts w:ascii="Times New Roman" w:hAnsi="Times New Roman"/>
          <w:bCs/>
        </w:rPr>
        <w:t xml:space="preserve">:  </w:t>
      </w:r>
      <w:r w:rsidRPr="00CE4C88">
        <w:rPr>
          <w:rFonts w:ascii="Times New Roman" w:hAnsi="Times New Roman"/>
          <w:bCs/>
        </w:rPr>
        <w:t>JOSEPH NADAV VS RESPOND POWER LLC</w:t>
      </w:r>
      <w:r>
        <w:rPr>
          <w:rFonts w:ascii="Times New Roman" w:hAnsi="Times New Roman"/>
          <w:bCs/>
        </w:rPr>
        <w:t>:</w:t>
      </w:r>
      <w:r>
        <w:rPr>
          <w:rFonts w:ascii="Times New Roman" w:hAnsi="Times New Roman"/>
          <w:bCs/>
        </w:rPr>
        <w:br/>
      </w:r>
      <w:hyperlink r:id="rId29" w:history="1">
        <w:r w:rsidRPr="00D938EE">
          <w:rPr>
            <w:rStyle w:val="Hyperlink"/>
            <w:rFonts w:ascii="Times New Roman" w:hAnsi="Times New Roman"/>
            <w:bCs/>
          </w:rPr>
          <w:t>http://www.puc.pa.gov/about_puc/consolidated_case_view.aspx?Docket=C-2014-2429159</w:t>
        </w:r>
      </w:hyperlink>
      <w:r>
        <w:rPr>
          <w:rFonts w:ascii="Times New Roman" w:hAnsi="Times New Roman"/>
          <w:bCs/>
        </w:rPr>
        <w:t xml:space="preserve"> </w:t>
      </w:r>
    </w:p>
    <w:p w:rsidR="00CE4C88" w:rsidRPr="00CE4C88" w:rsidRDefault="00CE4C88" w:rsidP="00CE4C88">
      <w:pPr>
        <w:pStyle w:val="ListParagraph"/>
        <w:numPr>
          <w:ilvl w:val="0"/>
          <w:numId w:val="4"/>
        </w:numPr>
        <w:rPr>
          <w:rFonts w:ascii="Times New Roman" w:hAnsi="Times New Roman"/>
          <w:bCs/>
        </w:rPr>
      </w:pPr>
      <w:r w:rsidRPr="00CE4C88">
        <w:rPr>
          <w:rFonts w:ascii="Times New Roman" w:hAnsi="Times New Roman"/>
          <w:bCs/>
        </w:rPr>
        <w:t>M-2013-2320112 :  Pennsylvania Public Utility Commission, Bureau of Investigation and Enforcement v. ResCom Energy LLC:</w:t>
      </w:r>
      <w:r w:rsidRPr="00CE4C88">
        <w:rPr>
          <w:rFonts w:ascii="Times New Roman" w:hAnsi="Times New Roman"/>
          <w:bCs/>
        </w:rPr>
        <w:br/>
      </w:r>
      <w:hyperlink r:id="rId30" w:history="1">
        <w:r w:rsidRPr="00CE4C88">
          <w:rPr>
            <w:rStyle w:val="Hyperlink"/>
            <w:rFonts w:ascii="Times New Roman" w:hAnsi="Times New Roman"/>
            <w:bCs/>
          </w:rPr>
          <w:t>http://www.puc.pa.gov/about_puc/consolidated_case_view.aspx?Docket=M-2013-2320112</w:t>
        </w:r>
      </w:hyperlink>
      <w:r w:rsidRPr="00CE4C88">
        <w:rPr>
          <w:rFonts w:ascii="Times New Roman" w:hAnsi="Times New Roman"/>
          <w:bCs/>
        </w:rPr>
        <w:t xml:space="preserve"> </w:t>
      </w:r>
    </w:p>
    <w:p w:rsidR="00CE4C88" w:rsidRPr="00CE4C88" w:rsidRDefault="00CE4C88" w:rsidP="00CE4C88">
      <w:pPr>
        <w:ind w:left="360"/>
        <w:rPr>
          <w:rFonts w:ascii="Times New Roman" w:hAnsi="Times New Roman"/>
          <w:bCs/>
        </w:rPr>
      </w:pPr>
    </w:p>
    <w:p w:rsidR="00971988" w:rsidRDefault="00CE4C88" w:rsidP="00077A94">
      <w:pPr>
        <w:rPr>
          <w:sz w:val="26"/>
          <w:szCs w:val="26"/>
        </w:rPr>
      </w:pPr>
      <w:r w:rsidRPr="00B414F1">
        <w:rPr>
          <w:b/>
          <w:sz w:val="26"/>
          <w:szCs w:val="26"/>
        </w:rPr>
        <w:t>6.  PROCEDURES</w:t>
      </w:r>
      <w:r w:rsidRPr="00CE4C88">
        <w:rPr>
          <w:b/>
          <w:sz w:val="26"/>
          <w:szCs w:val="26"/>
        </w:rPr>
        <w:t xml:space="preserve"> FOR REQUESTING A REDUCTION IN PUC BONDING AMOUNTS:  </w:t>
      </w:r>
    </w:p>
    <w:p w:rsidR="00CE4C88" w:rsidRDefault="00460D6A" w:rsidP="00CE4C88">
      <w:pPr>
        <w:spacing w:after="0" w:line="240" w:lineRule="auto"/>
        <w:rPr>
          <w:sz w:val="26"/>
          <w:szCs w:val="26"/>
        </w:rPr>
      </w:pPr>
      <w:hyperlink r:id="rId31" w:history="1">
        <w:r w:rsidR="00CE4C88" w:rsidRPr="0054380C">
          <w:rPr>
            <w:rStyle w:val="Hyperlink"/>
            <w:b/>
            <w:bCs/>
            <w:sz w:val="26"/>
            <w:szCs w:val="26"/>
          </w:rPr>
          <w:t>Final Order on Requirements for Electric Generation Suppliers; Acceptable Security Instruments</w:t>
        </w:r>
      </w:hyperlink>
      <w:r w:rsidR="00CE4C88" w:rsidRPr="0054380C">
        <w:rPr>
          <w:sz w:val="26"/>
          <w:szCs w:val="26"/>
        </w:rPr>
        <w:t xml:space="preserve"> - Public Meeting of July 24, 2014. Docket Number M-2013-2393141.</w:t>
      </w:r>
    </w:p>
    <w:p w:rsidR="00CE4C88" w:rsidRDefault="00CE4C88" w:rsidP="00CE4C88">
      <w:pPr>
        <w:spacing w:after="0" w:line="240" w:lineRule="auto"/>
        <w:rPr>
          <w:sz w:val="26"/>
          <w:szCs w:val="26"/>
        </w:rPr>
      </w:pPr>
    </w:p>
    <w:p w:rsidR="00CE4C88" w:rsidRPr="00077A94" w:rsidRDefault="00CE4C88" w:rsidP="00CE4C88">
      <w:pPr>
        <w:spacing w:after="0" w:line="240" w:lineRule="auto"/>
        <w:rPr>
          <w:sz w:val="26"/>
          <w:szCs w:val="26"/>
        </w:rPr>
      </w:pPr>
      <w:r>
        <w:rPr>
          <w:sz w:val="26"/>
          <w:szCs w:val="26"/>
        </w:rPr>
        <w:t>A few suppliers have already submitted requests.  Commission staff is evaluating the format and mechanisms – and is in consultation with the Department of Revenue.  We will provide more definitive information as soon as possible via the OCMO/CHARGE distribution list.</w:t>
      </w:r>
    </w:p>
    <w:p w:rsidR="00AD3595" w:rsidRPr="001D0828" w:rsidRDefault="00AD3595" w:rsidP="00F67E8B">
      <w:pPr>
        <w:spacing w:after="0" w:line="240" w:lineRule="auto"/>
        <w:rPr>
          <w:sz w:val="26"/>
          <w:szCs w:val="26"/>
        </w:rPr>
      </w:pPr>
    </w:p>
    <w:p w:rsidR="00F67E8B" w:rsidRPr="003D7FF1" w:rsidRDefault="00F67E8B" w:rsidP="00F67E8B">
      <w:pPr>
        <w:spacing w:after="0" w:line="240" w:lineRule="auto"/>
        <w:rPr>
          <w:b/>
          <w:sz w:val="26"/>
          <w:szCs w:val="26"/>
          <w:u w:val="single"/>
        </w:rPr>
      </w:pPr>
      <w:r w:rsidRPr="003D7FF1">
        <w:rPr>
          <w:b/>
          <w:sz w:val="26"/>
          <w:szCs w:val="26"/>
          <w:u w:val="single"/>
        </w:rPr>
        <w:t>General Matters</w:t>
      </w:r>
    </w:p>
    <w:p w:rsidR="00F67E8B" w:rsidRPr="003D7FF1" w:rsidRDefault="00F67E8B" w:rsidP="00F67E8B">
      <w:pPr>
        <w:spacing w:after="0" w:line="240" w:lineRule="auto"/>
        <w:rPr>
          <w:b/>
          <w:sz w:val="26"/>
          <w:szCs w:val="26"/>
          <w:u w:val="single"/>
        </w:rPr>
      </w:pPr>
    </w:p>
    <w:p w:rsidR="00F67E8B" w:rsidRPr="003D7FF1" w:rsidRDefault="00F67E8B" w:rsidP="00F67E8B">
      <w:pPr>
        <w:numPr>
          <w:ilvl w:val="0"/>
          <w:numId w:val="3"/>
        </w:numPr>
        <w:rPr>
          <w:b/>
          <w:sz w:val="26"/>
          <w:szCs w:val="26"/>
          <w:u w:val="single"/>
        </w:rPr>
      </w:pPr>
      <w:r w:rsidRPr="003D7FF1">
        <w:rPr>
          <w:b/>
          <w:sz w:val="26"/>
          <w:szCs w:val="26"/>
          <w:u w:val="single"/>
        </w:rPr>
        <w:t>New Issues</w:t>
      </w:r>
    </w:p>
    <w:p w:rsidR="00F67E8B" w:rsidRPr="003D7FF1" w:rsidRDefault="00F67E8B" w:rsidP="00F67E8B">
      <w:pPr>
        <w:numPr>
          <w:ilvl w:val="0"/>
          <w:numId w:val="2"/>
        </w:numPr>
        <w:rPr>
          <w:sz w:val="26"/>
          <w:szCs w:val="26"/>
        </w:rPr>
      </w:pPr>
      <w:r w:rsidRPr="003D7FF1">
        <w:rPr>
          <w:sz w:val="26"/>
          <w:szCs w:val="26"/>
        </w:rPr>
        <w:t xml:space="preserve">Any new issues or questions about issues previously discussed on CHARGE </w:t>
      </w:r>
      <w:r w:rsidRPr="003D7FF1">
        <w:rPr>
          <w:sz w:val="26"/>
          <w:szCs w:val="26"/>
        </w:rPr>
        <w:lastRenderedPageBreak/>
        <w:t xml:space="preserve">calls should be submitted to </w:t>
      </w:r>
      <w:hyperlink r:id="rId32" w:history="1">
        <w:r w:rsidRPr="003D7FF1">
          <w:rPr>
            <w:rStyle w:val="Hyperlink"/>
            <w:sz w:val="26"/>
            <w:szCs w:val="26"/>
          </w:rPr>
          <w:t>ra-ocmo@pa.gov</w:t>
        </w:r>
      </w:hyperlink>
    </w:p>
    <w:p w:rsidR="00F67E8B" w:rsidRPr="003D7FF1" w:rsidRDefault="00F67E8B" w:rsidP="00F67E8B">
      <w:pPr>
        <w:keepNext/>
        <w:keepLines/>
        <w:numPr>
          <w:ilvl w:val="0"/>
          <w:numId w:val="3"/>
        </w:numPr>
        <w:rPr>
          <w:b/>
          <w:sz w:val="26"/>
          <w:szCs w:val="26"/>
          <w:u w:val="single"/>
        </w:rPr>
      </w:pPr>
      <w:r w:rsidRPr="003D7FF1">
        <w:rPr>
          <w:b/>
          <w:sz w:val="26"/>
          <w:szCs w:val="26"/>
          <w:u w:val="single"/>
        </w:rPr>
        <w:t>Old Agendas/Recaps</w:t>
      </w:r>
    </w:p>
    <w:p w:rsidR="00077A94" w:rsidRPr="00077A94" w:rsidRDefault="00077A94" w:rsidP="00077A94">
      <w:pPr>
        <w:keepNext/>
        <w:keepLines/>
        <w:spacing w:after="0" w:line="240" w:lineRule="auto"/>
        <w:ind w:left="720"/>
        <w:rPr>
          <w:b/>
          <w:sz w:val="26"/>
          <w:szCs w:val="26"/>
          <w:u w:val="single"/>
        </w:rPr>
      </w:pPr>
      <w:r w:rsidRPr="00077A94">
        <w:rPr>
          <w:b/>
          <w:sz w:val="26"/>
          <w:szCs w:val="26"/>
        </w:rPr>
        <w:t>NEW WEBPAGE:</w:t>
      </w:r>
      <w:r>
        <w:rPr>
          <w:sz w:val="26"/>
          <w:szCs w:val="26"/>
        </w:rPr>
        <w:t xml:space="preserve">   </w:t>
      </w:r>
      <w:r w:rsidR="00F67E8B" w:rsidRPr="00077A94">
        <w:rPr>
          <w:sz w:val="26"/>
          <w:szCs w:val="26"/>
        </w:rPr>
        <w:t xml:space="preserve">All agendas and recaps are posted on the </w:t>
      </w:r>
      <w:r w:rsidRPr="00077A94">
        <w:rPr>
          <w:sz w:val="26"/>
          <w:szCs w:val="26"/>
        </w:rPr>
        <w:t>CHARGE</w:t>
      </w:r>
      <w:r w:rsidR="00F67E8B" w:rsidRPr="00077A94">
        <w:rPr>
          <w:sz w:val="26"/>
          <w:szCs w:val="26"/>
        </w:rPr>
        <w:t xml:space="preserve"> page of the website along with various other documents that have been distributed or relied upon during CHARGE discussions, at the following link </w:t>
      </w:r>
      <w:r>
        <w:rPr>
          <w:sz w:val="26"/>
          <w:szCs w:val="26"/>
        </w:rPr>
        <w:t>–</w:t>
      </w:r>
      <w:r w:rsidR="00F67E8B" w:rsidRPr="00077A94">
        <w:rPr>
          <w:sz w:val="26"/>
          <w:szCs w:val="26"/>
        </w:rPr>
        <w:t xml:space="preserve"> </w:t>
      </w:r>
      <w:r>
        <w:rPr>
          <w:sz w:val="26"/>
          <w:szCs w:val="26"/>
        </w:rPr>
        <w:br/>
      </w:r>
      <w:hyperlink r:id="rId33" w:history="1">
        <w:r w:rsidRPr="00AA3DD7">
          <w:rPr>
            <w:rStyle w:val="Hyperlink"/>
            <w:sz w:val="26"/>
            <w:szCs w:val="26"/>
          </w:rPr>
          <w:t>http://www.puc.pa.gov/utility_industry/electricity/office_of_competitive_market_oversight/charge.aspx</w:t>
        </w:r>
      </w:hyperlink>
      <w:r>
        <w:rPr>
          <w:sz w:val="26"/>
          <w:szCs w:val="26"/>
        </w:rPr>
        <w:t xml:space="preserve"> </w:t>
      </w:r>
      <w:r>
        <w:rPr>
          <w:sz w:val="26"/>
          <w:szCs w:val="26"/>
        </w:rPr>
        <w:br/>
      </w:r>
    </w:p>
    <w:p w:rsidR="00F67E8B" w:rsidRPr="00077A94" w:rsidRDefault="00F67E8B" w:rsidP="00F67E8B">
      <w:pPr>
        <w:keepNext/>
        <w:keepLines/>
        <w:numPr>
          <w:ilvl w:val="0"/>
          <w:numId w:val="3"/>
        </w:numPr>
        <w:spacing w:after="0" w:line="240" w:lineRule="auto"/>
        <w:rPr>
          <w:b/>
          <w:sz w:val="26"/>
          <w:szCs w:val="26"/>
          <w:u w:val="single"/>
        </w:rPr>
      </w:pPr>
      <w:r w:rsidRPr="00077A94">
        <w:rPr>
          <w:b/>
          <w:sz w:val="26"/>
          <w:szCs w:val="26"/>
          <w:u w:val="single"/>
        </w:rPr>
        <w:t>CHARGE Distribution List</w:t>
      </w:r>
      <w:r w:rsidR="00082827">
        <w:rPr>
          <w:b/>
          <w:sz w:val="26"/>
          <w:szCs w:val="26"/>
          <w:u w:val="single"/>
        </w:rPr>
        <w:br/>
      </w:r>
    </w:p>
    <w:p w:rsidR="00F67E8B" w:rsidRPr="003D7FF1" w:rsidRDefault="00F67E8B" w:rsidP="00F67E8B">
      <w:pPr>
        <w:numPr>
          <w:ilvl w:val="0"/>
          <w:numId w:val="2"/>
        </w:numPr>
        <w:rPr>
          <w:sz w:val="26"/>
          <w:szCs w:val="26"/>
        </w:rPr>
      </w:pPr>
      <w:r w:rsidRPr="003D7FF1">
        <w:rPr>
          <w:sz w:val="26"/>
          <w:szCs w:val="26"/>
        </w:rPr>
        <w:t xml:space="preserve">To be added to the CHARGE distribution list, please send an email to </w:t>
      </w:r>
      <w:hyperlink r:id="rId34" w:history="1">
        <w:r w:rsidRPr="003D7FF1">
          <w:rPr>
            <w:rStyle w:val="Hyperlink"/>
            <w:sz w:val="26"/>
            <w:szCs w:val="26"/>
          </w:rPr>
          <w:t>ra-ocmo@pa.gov</w:t>
        </w:r>
      </w:hyperlink>
    </w:p>
    <w:p w:rsidR="00F67E8B" w:rsidRPr="003D7FF1" w:rsidRDefault="00F67E8B" w:rsidP="00F67E8B">
      <w:pPr>
        <w:numPr>
          <w:ilvl w:val="0"/>
          <w:numId w:val="3"/>
        </w:numPr>
        <w:rPr>
          <w:b/>
          <w:sz w:val="26"/>
          <w:szCs w:val="26"/>
          <w:u w:val="single"/>
        </w:rPr>
      </w:pPr>
      <w:r w:rsidRPr="003D7FF1">
        <w:rPr>
          <w:b/>
          <w:sz w:val="26"/>
          <w:szCs w:val="26"/>
          <w:u w:val="single"/>
        </w:rPr>
        <w:t>CHARGE Contact List</w:t>
      </w:r>
    </w:p>
    <w:p w:rsidR="00F67E8B" w:rsidRPr="003D7FF1" w:rsidRDefault="00F67E8B" w:rsidP="00F67E8B">
      <w:pPr>
        <w:numPr>
          <w:ilvl w:val="0"/>
          <w:numId w:val="1"/>
        </w:numPr>
        <w:rPr>
          <w:b/>
          <w:sz w:val="26"/>
          <w:szCs w:val="26"/>
          <w:u w:val="single"/>
        </w:rPr>
      </w:pPr>
      <w:r w:rsidRPr="003D7FF1">
        <w:rPr>
          <w:sz w:val="26"/>
          <w:szCs w:val="26"/>
        </w:rPr>
        <w:t>Contact list is on website at the following link:</w:t>
      </w:r>
    </w:p>
    <w:p w:rsidR="00F67E8B" w:rsidRPr="003D7FF1" w:rsidRDefault="00460D6A" w:rsidP="00F67E8B">
      <w:pPr>
        <w:ind w:left="1080"/>
        <w:rPr>
          <w:b/>
          <w:sz w:val="26"/>
          <w:szCs w:val="26"/>
          <w:u w:val="single"/>
        </w:rPr>
      </w:pPr>
      <w:hyperlink r:id="rId35" w:history="1">
        <w:r w:rsidR="00F67E8B" w:rsidRPr="003D7FF1">
          <w:rPr>
            <w:rStyle w:val="Hyperlink"/>
            <w:sz w:val="26"/>
            <w:szCs w:val="26"/>
          </w:rPr>
          <w:t>http://www.puc.pa.gov/utility_industry/electricity/electric_competitive_market_oversight.aspx</w:t>
        </w:r>
      </w:hyperlink>
    </w:p>
    <w:p w:rsidR="00F67E8B" w:rsidRPr="003D7FF1" w:rsidRDefault="00F67E8B" w:rsidP="00F67E8B">
      <w:pPr>
        <w:numPr>
          <w:ilvl w:val="0"/>
          <w:numId w:val="1"/>
        </w:numPr>
        <w:spacing w:after="0" w:line="240" w:lineRule="auto"/>
        <w:rPr>
          <w:rStyle w:val="Hyperlink"/>
          <w:b/>
          <w:sz w:val="26"/>
          <w:szCs w:val="26"/>
        </w:rPr>
      </w:pPr>
      <w:r w:rsidRPr="003D7FF1">
        <w:rPr>
          <w:sz w:val="26"/>
          <w:szCs w:val="26"/>
        </w:rPr>
        <w:t xml:space="preserve">Please send contact information or updates to </w:t>
      </w:r>
      <w:hyperlink r:id="rId36" w:history="1">
        <w:r w:rsidRPr="003D7FF1">
          <w:rPr>
            <w:rStyle w:val="Hyperlink"/>
            <w:sz w:val="26"/>
            <w:szCs w:val="26"/>
          </w:rPr>
          <w:t>ra-ocmo@pa.gov</w:t>
        </w:r>
      </w:hyperlink>
    </w:p>
    <w:p w:rsidR="00F67E8B" w:rsidRPr="003D7FF1" w:rsidRDefault="00B414F1" w:rsidP="00F67E8B">
      <w:pPr>
        <w:pStyle w:val="ListParagraph"/>
        <w:numPr>
          <w:ilvl w:val="0"/>
          <w:numId w:val="3"/>
        </w:numPr>
        <w:spacing w:before="100" w:beforeAutospacing="1" w:after="0" w:line="240" w:lineRule="auto"/>
        <w:rPr>
          <w:b/>
          <w:sz w:val="26"/>
          <w:szCs w:val="26"/>
          <w:u w:val="single"/>
        </w:rPr>
      </w:pPr>
      <w:r>
        <w:rPr>
          <w:b/>
          <w:sz w:val="26"/>
          <w:szCs w:val="26"/>
          <w:u w:val="single"/>
        </w:rPr>
        <w:t xml:space="preserve">Next </w:t>
      </w:r>
      <w:r w:rsidR="00F67E8B" w:rsidRPr="003D7FF1">
        <w:rPr>
          <w:b/>
          <w:sz w:val="26"/>
          <w:szCs w:val="26"/>
          <w:u w:val="single"/>
        </w:rPr>
        <w:t>Meeting</w:t>
      </w:r>
    </w:p>
    <w:p w:rsidR="00F67E8B" w:rsidRDefault="00F67E8B" w:rsidP="00F67E8B">
      <w:pPr>
        <w:ind w:right="-720" w:firstLine="720"/>
      </w:pPr>
    </w:p>
    <w:p w:rsidR="00F67E8B" w:rsidRPr="001E5D7E" w:rsidRDefault="00B414F1" w:rsidP="001E5D7E">
      <w:pPr>
        <w:pStyle w:val="ListParagraph"/>
        <w:numPr>
          <w:ilvl w:val="0"/>
          <w:numId w:val="1"/>
        </w:numPr>
        <w:rPr>
          <w:rFonts w:asciiTheme="minorHAnsi" w:eastAsiaTheme="minorHAnsi" w:hAnsiTheme="minorHAnsi" w:cstheme="minorBidi"/>
          <w:sz w:val="26"/>
          <w:szCs w:val="26"/>
        </w:rPr>
      </w:pPr>
      <w:r>
        <w:rPr>
          <w:rFonts w:asciiTheme="minorHAnsi" w:eastAsiaTheme="minorHAnsi" w:hAnsiTheme="minorHAnsi" w:cstheme="minorBidi"/>
          <w:sz w:val="26"/>
          <w:szCs w:val="26"/>
        </w:rPr>
        <w:t>TBA</w:t>
      </w:r>
      <w:r w:rsidR="001E5D7E" w:rsidRPr="001E5D7E">
        <w:rPr>
          <w:rFonts w:asciiTheme="minorHAnsi" w:eastAsiaTheme="minorHAnsi" w:hAnsiTheme="minorHAnsi" w:cstheme="minorBidi"/>
          <w:sz w:val="26"/>
          <w:szCs w:val="26"/>
        </w:rPr>
        <w:t>, 201</w:t>
      </w:r>
      <w:r>
        <w:rPr>
          <w:rFonts w:asciiTheme="minorHAnsi" w:eastAsiaTheme="minorHAnsi" w:hAnsiTheme="minorHAnsi" w:cstheme="minorBidi"/>
          <w:sz w:val="26"/>
          <w:szCs w:val="26"/>
        </w:rPr>
        <w:t>5</w:t>
      </w:r>
      <w:r w:rsidR="001E5D7E" w:rsidRPr="001E5D7E">
        <w:rPr>
          <w:rFonts w:asciiTheme="minorHAnsi" w:eastAsiaTheme="minorHAnsi" w:hAnsiTheme="minorHAnsi" w:cstheme="minorBidi"/>
          <w:sz w:val="26"/>
          <w:szCs w:val="26"/>
        </w:rPr>
        <w:t xml:space="preserve"> at 9:30 am.  </w:t>
      </w:r>
    </w:p>
    <w:p w:rsidR="00AD3595" w:rsidRDefault="00AD3595"/>
    <w:sectPr w:rsidR="00AD3595" w:rsidSect="00DD6774">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484" w:rsidRDefault="00123484" w:rsidP="00C05324">
      <w:pPr>
        <w:spacing w:after="0" w:line="240" w:lineRule="auto"/>
      </w:pPr>
      <w:r>
        <w:separator/>
      </w:r>
    </w:p>
  </w:endnote>
  <w:endnote w:type="continuationSeparator" w:id="0">
    <w:p w:rsidR="00123484" w:rsidRDefault="00123484" w:rsidP="00C0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24" w:rsidRDefault="00460D6A">
    <w:pPr>
      <w:pStyle w:val="Footer"/>
      <w:rPr>
        <w:color w:val="000000" w:themeColor="text1"/>
        <w:sz w:val="24"/>
        <w:szCs w:val="24"/>
      </w:rPr>
    </w:pPr>
    <w:sdt>
      <w:sdtPr>
        <w:rPr>
          <w:color w:val="000000" w:themeColor="text1"/>
          <w:sz w:val="24"/>
          <w:szCs w:val="24"/>
        </w:rPr>
        <w:alias w:val="Author"/>
        <w:id w:val="54214575"/>
        <w:placeholder>
          <w:docPart w:val="A3F339E62E4E42929FEB3E6161305A2C"/>
        </w:placeholder>
        <w:dataBinding w:prefixMappings="xmlns:ns0='http://schemas.openxmlformats.org/package/2006/metadata/core-properties' xmlns:ns1='http://purl.org/dc/elements/1.1/'" w:xpath="/ns0:coreProperties[1]/ns1:creator[1]" w:storeItemID="{6C3C8BC8-F283-45AE-878A-BAB7291924A1}"/>
        <w:text/>
      </w:sdtPr>
      <w:sdtEndPr/>
      <w:sdtContent>
        <w:r w:rsidR="00C05324">
          <w:rPr>
            <w:color w:val="000000" w:themeColor="text1"/>
            <w:sz w:val="24"/>
            <w:szCs w:val="24"/>
          </w:rPr>
          <w:t xml:space="preserve">CHARGE </w:t>
        </w:r>
        <w:r w:rsidR="00E24C9C">
          <w:rPr>
            <w:color w:val="000000" w:themeColor="text1"/>
            <w:sz w:val="24"/>
            <w:szCs w:val="24"/>
          </w:rPr>
          <w:t>Agenda</w:t>
        </w:r>
        <w:r w:rsidR="00C05324">
          <w:rPr>
            <w:color w:val="000000" w:themeColor="text1"/>
            <w:sz w:val="24"/>
            <w:szCs w:val="24"/>
          </w:rPr>
          <w:t xml:space="preserve"> </w:t>
        </w:r>
        <w:r w:rsidR="001A43BE">
          <w:rPr>
            <w:color w:val="000000" w:themeColor="text1"/>
            <w:sz w:val="24"/>
            <w:szCs w:val="24"/>
          </w:rPr>
          <w:t>November</w:t>
        </w:r>
        <w:r w:rsidR="00E24C9C">
          <w:rPr>
            <w:color w:val="000000" w:themeColor="text1"/>
            <w:sz w:val="24"/>
            <w:szCs w:val="24"/>
          </w:rPr>
          <w:t xml:space="preserve"> 2</w:t>
        </w:r>
        <w:r w:rsidR="001A43BE">
          <w:rPr>
            <w:color w:val="000000" w:themeColor="text1"/>
            <w:sz w:val="24"/>
            <w:szCs w:val="24"/>
          </w:rPr>
          <w:t>0</w:t>
        </w:r>
        <w:r w:rsidR="00C05324">
          <w:rPr>
            <w:color w:val="000000" w:themeColor="text1"/>
            <w:sz w:val="24"/>
            <w:szCs w:val="24"/>
          </w:rPr>
          <w:t>, 2014</w:t>
        </w:r>
      </w:sdtContent>
    </w:sdt>
  </w:p>
  <w:p w:rsidR="00C05324" w:rsidRDefault="00C05324">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460D6A">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460D6A">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484" w:rsidRDefault="00123484" w:rsidP="00C05324">
      <w:pPr>
        <w:spacing w:after="0" w:line="240" w:lineRule="auto"/>
      </w:pPr>
      <w:r>
        <w:separator/>
      </w:r>
    </w:p>
  </w:footnote>
  <w:footnote w:type="continuationSeparator" w:id="0">
    <w:p w:rsidR="00123484" w:rsidRDefault="00123484" w:rsidP="00C05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0046"/>
    <w:multiLevelType w:val="hybridMultilevel"/>
    <w:tmpl w:val="34EC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D3628A"/>
    <w:multiLevelType w:val="hybridMultilevel"/>
    <w:tmpl w:val="51CA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42375"/>
    <w:multiLevelType w:val="hybridMultilevel"/>
    <w:tmpl w:val="59BA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E645EA"/>
    <w:multiLevelType w:val="hybridMultilevel"/>
    <w:tmpl w:val="BEA8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21574"/>
    <w:multiLevelType w:val="hybridMultilevel"/>
    <w:tmpl w:val="8E92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33D2F"/>
    <w:multiLevelType w:val="hybridMultilevel"/>
    <w:tmpl w:val="EA0A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045D4"/>
    <w:multiLevelType w:val="hybridMultilevel"/>
    <w:tmpl w:val="9B58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9D4EA0"/>
    <w:multiLevelType w:val="hybridMultilevel"/>
    <w:tmpl w:val="257A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54097"/>
    <w:multiLevelType w:val="hybridMultilevel"/>
    <w:tmpl w:val="5B8223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8F1D30"/>
    <w:multiLevelType w:val="hybridMultilevel"/>
    <w:tmpl w:val="C5B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405746"/>
    <w:multiLevelType w:val="hybridMultilevel"/>
    <w:tmpl w:val="3C9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E9459F"/>
    <w:multiLevelType w:val="hybridMultilevel"/>
    <w:tmpl w:val="7112256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6AE80F20"/>
    <w:multiLevelType w:val="hybridMultilevel"/>
    <w:tmpl w:val="D8C0C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D93331"/>
    <w:multiLevelType w:val="hybridMultilevel"/>
    <w:tmpl w:val="415C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2"/>
  </w:num>
  <w:num w:numId="4">
    <w:abstractNumId w:val="3"/>
  </w:num>
  <w:num w:numId="5">
    <w:abstractNumId w:val="11"/>
  </w:num>
  <w:num w:numId="6">
    <w:abstractNumId w:val="7"/>
  </w:num>
  <w:num w:numId="7">
    <w:abstractNumId w:val="8"/>
  </w:num>
  <w:num w:numId="8">
    <w:abstractNumId w:val="5"/>
  </w:num>
  <w:num w:numId="9">
    <w:abstractNumId w:val="6"/>
  </w:num>
  <w:num w:numId="10">
    <w:abstractNumId w:val="10"/>
  </w:num>
  <w:num w:numId="11">
    <w:abstractNumId w:val="2"/>
  </w:num>
  <w:num w:numId="12">
    <w:abstractNumId w:val="4"/>
  </w:num>
  <w:num w:numId="13">
    <w:abstractNumId w:val="2"/>
  </w:num>
  <w:num w:numId="14">
    <w:abstractNumId w:val="15"/>
  </w:num>
  <w:num w:numId="15">
    <w:abstractNumId w:val="1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56"/>
    <w:rsid w:val="00014E32"/>
    <w:rsid w:val="00025B35"/>
    <w:rsid w:val="00056842"/>
    <w:rsid w:val="000745D0"/>
    <w:rsid w:val="00077A94"/>
    <w:rsid w:val="00082827"/>
    <w:rsid w:val="000D4B56"/>
    <w:rsid w:val="00123484"/>
    <w:rsid w:val="001343DB"/>
    <w:rsid w:val="0013657E"/>
    <w:rsid w:val="00141FCB"/>
    <w:rsid w:val="00142CA8"/>
    <w:rsid w:val="00171DC7"/>
    <w:rsid w:val="00186A63"/>
    <w:rsid w:val="001A43BE"/>
    <w:rsid w:val="001D0828"/>
    <w:rsid w:val="001E5D7E"/>
    <w:rsid w:val="002035A6"/>
    <w:rsid w:val="002215DD"/>
    <w:rsid w:val="00261C36"/>
    <w:rsid w:val="00280FBE"/>
    <w:rsid w:val="002B4CA9"/>
    <w:rsid w:val="00307481"/>
    <w:rsid w:val="00342009"/>
    <w:rsid w:val="00355D32"/>
    <w:rsid w:val="00364E5E"/>
    <w:rsid w:val="00384968"/>
    <w:rsid w:val="00387FBB"/>
    <w:rsid w:val="003D7FF1"/>
    <w:rsid w:val="003F0F29"/>
    <w:rsid w:val="0040661E"/>
    <w:rsid w:val="00413EBB"/>
    <w:rsid w:val="00425C33"/>
    <w:rsid w:val="00460D6A"/>
    <w:rsid w:val="004A5346"/>
    <w:rsid w:val="00515EF8"/>
    <w:rsid w:val="00531160"/>
    <w:rsid w:val="00574BCD"/>
    <w:rsid w:val="0057689A"/>
    <w:rsid w:val="005963B0"/>
    <w:rsid w:val="005D604E"/>
    <w:rsid w:val="00616016"/>
    <w:rsid w:val="00641748"/>
    <w:rsid w:val="006667A9"/>
    <w:rsid w:val="00695A56"/>
    <w:rsid w:val="006C3227"/>
    <w:rsid w:val="006E5082"/>
    <w:rsid w:val="006E7253"/>
    <w:rsid w:val="006F6108"/>
    <w:rsid w:val="00742C5F"/>
    <w:rsid w:val="00785275"/>
    <w:rsid w:val="007A15B4"/>
    <w:rsid w:val="007B4211"/>
    <w:rsid w:val="007D64A0"/>
    <w:rsid w:val="00837CEF"/>
    <w:rsid w:val="008569A9"/>
    <w:rsid w:val="008A16C8"/>
    <w:rsid w:val="008D3DEA"/>
    <w:rsid w:val="008F598A"/>
    <w:rsid w:val="008F74AE"/>
    <w:rsid w:val="00913DD8"/>
    <w:rsid w:val="00924BEF"/>
    <w:rsid w:val="00933789"/>
    <w:rsid w:val="00946298"/>
    <w:rsid w:val="009662C5"/>
    <w:rsid w:val="00966FC8"/>
    <w:rsid w:val="00971988"/>
    <w:rsid w:val="00A22AC0"/>
    <w:rsid w:val="00A7677B"/>
    <w:rsid w:val="00A90BA7"/>
    <w:rsid w:val="00A92D44"/>
    <w:rsid w:val="00AD3595"/>
    <w:rsid w:val="00AF12DC"/>
    <w:rsid w:val="00B414F1"/>
    <w:rsid w:val="00B57382"/>
    <w:rsid w:val="00B91763"/>
    <w:rsid w:val="00BA1184"/>
    <w:rsid w:val="00BB2E0D"/>
    <w:rsid w:val="00C05324"/>
    <w:rsid w:val="00C60D5B"/>
    <w:rsid w:val="00C84F6B"/>
    <w:rsid w:val="00C923AD"/>
    <w:rsid w:val="00CE3F7A"/>
    <w:rsid w:val="00CE4C88"/>
    <w:rsid w:val="00D030E0"/>
    <w:rsid w:val="00D16C25"/>
    <w:rsid w:val="00D4025D"/>
    <w:rsid w:val="00D434AC"/>
    <w:rsid w:val="00D63CA0"/>
    <w:rsid w:val="00D73684"/>
    <w:rsid w:val="00D83B8B"/>
    <w:rsid w:val="00D9258E"/>
    <w:rsid w:val="00DD6774"/>
    <w:rsid w:val="00DF60B6"/>
    <w:rsid w:val="00E24C9C"/>
    <w:rsid w:val="00E35219"/>
    <w:rsid w:val="00E71D26"/>
    <w:rsid w:val="00E911D6"/>
    <w:rsid w:val="00E9586C"/>
    <w:rsid w:val="00F20858"/>
    <w:rsid w:val="00F31D30"/>
    <w:rsid w:val="00F346BC"/>
    <w:rsid w:val="00F67E8B"/>
    <w:rsid w:val="00F7179E"/>
    <w:rsid w:val="00F85F49"/>
    <w:rsid w:val="00FC116A"/>
    <w:rsid w:val="00FD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 w:type="character" w:styleId="FollowedHyperlink">
    <w:name w:val="FollowedHyperlink"/>
    <w:basedOn w:val="DefaultParagraphFont"/>
    <w:uiPriority w:val="99"/>
    <w:semiHidden/>
    <w:unhideWhenUsed/>
    <w:rsid w:val="0057689A"/>
    <w:rPr>
      <w:color w:val="800080" w:themeColor="followedHyperlink"/>
      <w:u w:val="single"/>
    </w:rPr>
  </w:style>
  <w:style w:type="paragraph" w:styleId="NormalWeb">
    <w:name w:val="Normal (Web)"/>
    <w:basedOn w:val="Normal"/>
    <w:uiPriority w:val="99"/>
    <w:semiHidden/>
    <w:unhideWhenUsed/>
    <w:rsid w:val="00077A9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5684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56842"/>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 w:type="character" w:styleId="FollowedHyperlink">
    <w:name w:val="FollowedHyperlink"/>
    <w:basedOn w:val="DefaultParagraphFont"/>
    <w:uiPriority w:val="99"/>
    <w:semiHidden/>
    <w:unhideWhenUsed/>
    <w:rsid w:val="0057689A"/>
    <w:rPr>
      <w:color w:val="800080" w:themeColor="followedHyperlink"/>
      <w:u w:val="single"/>
    </w:rPr>
  </w:style>
  <w:style w:type="paragraph" w:styleId="NormalWeb">
    <w:name w:val="Normal (Web)"/>
    <w:basedOn w:val="Normal"/>
    <w:uiPriority w:val="99"/>
    <w:semiHidden/>
    <w:unhideWhenUsed/>
    <w:rsid w:val="00077A9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5684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5684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3783">
      <w:bodyDiv w:val="1"/>
      <w:marLeft w:val="0"/>
      <w:marRight w:val="0"/>
      <w:marTop w:val="0"/>
      <w:marBottom w:val="0"/>
      <w:divBdr>
        <w:top w:val="none" w:sz="0" w:space="0" w:color="auto"/>
        <w:left w:val="none" w:sz="0" w:space="0" w:color="auto"/>
        <w:bottom w:val="none" w:sz="0" w:space="0" w:color="auto"/>
        <w:right w:val="none" w:sz="0" w:space="0" w:color="auto"/>
      </w:divBdr>
    </w:div>
    <w:div w:id="73406584">
      <w:bodyDiv w:val="1"/>
      <w:marLeft w:val="0"/>
      <w:marRight w:val="0"/>
      <w:marTop w:val="0"/>
      <w:marBottom w:val="0"/>
      <w:divBdr>
        <w:top w:val="none" w:sz="0" w:space="0" w:color="auto"/>
        <w:left w:val="none" w:sz="0" w:space="0" w:color="auto"/>
        <w:bottom w:val="none" w:sz="0" w:space="0" w:color="auto"/>
        <w:right w:val="none" w:sz="0" w:space="0" w:color="auto"/>
      </w:divBdr>
    </w:div>
    <w:div w:id="77791753">
      <w:bodyDiv w:val="1"/>
      <w:marLeft w:val="0"/>
      <w:marRight w:val="0"/>
      <w:marTop w:val="0"/>
      <w:marBottom w:val="0"/>
      <w:divBdr>
        <w:top w:val="none" w:sz="0" w:space="0" w:color="auto"/>
        <w:left w:val="none" w:sz="0" w:space="0" w:color="auto"/>
        <w:bottom w:val="none" w:sz="0" w:space="0" w:color="auto"/>
        <w:right w:val="none" w:sz="0" w:space="0" w:color="auto"/>
      </w:divBdr>
    </w:div>
    <w:div w:id="163473349">
      <w:bodyDiv w:val="1"/>
      <w:marLeft w:val="0"/>
      <w:marRight w:val="0"/>
      <w:marTop w:val="0"/>
      <w:marBottom w:val="0"/>
      <w:divBdr>
        <w:top w:val="none" w:sz="0" w:space="0" w:color="auto"/>
        <w:left w:val="none" w:sz="0" w:space="0" w:color="auto"/>
        <w:bottom w:val="none" w:sz="0" w:space="0" w:color="auto"/>
        <w:right w:val="none" w:sz="0" w:space="0" w:color="auto"/>
      </w:divBdr>
    </w:div>
    <w:div w:id="19955860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2">
          <w:marLeft w:val="0"/>
          <w:marRight w:val="0"/>
          <w:marTop w:val="0"/>
          <w:marBottom w:val="0"/>
          <w:divBdr>
            <w:top w:val="none" w:sz="0" w:space="0" w:color="auto"/>
            <w:left w:val="none" w:sz="0" w:space="0" w:color="auto"/>
            <w:bottom w:val="none" w:sz="0" w:space="0" w:color="auto"/>
            <w:right w:val="none" w:sz="0" w:space="0" w:color="auto"/>
          </w:divBdr>
          <w:divsChild>
            <w:div w:id="2107800025">
              <w:marLeft w:val="0"/>
              <w:marRight w:val="0"/>
              <w:marTop w:val="0"/>
              <w:marBottom w:val="0"/>
              <w:divBdr>
                <w:top w:val="none" w:sz="0" w:space="0" w:color="auto"/>
                <w:left w:val="none" w:sz="0" w:space="0" w:color="auto"/>
                <w:bottom w:val="none" w:sz="0" w:space="0" w:color="auto"/>
                <w:right w:val="none" w:sz="0" w:space="0" w:color="auto"/>
              </w:divBdr>
              <w:divsChild>
                <w:div w:id="261377466">
                  <w:marLeft w:val="0"/>
                  <w:marRight w:val="0"/>
                  <w:marTop w:val="0"/>
                  <w:marBottom w:val="0"/>
                  <w:divBdr>
                    <w:top w:val="none" w:sz="0" w:space="0" w:color="auto"/>
                    <w:left w:val="none" w:sz="0" w:space="0" w:color="auto"/>
                    <w:bottom w:val="none" w:sz="0" w:space="0" w:color="auto"/>
                    <w:right w:val="none" w:sz="0" w:space="0" w:color="auto"/>
                  </w:divBdr>
                  <w:divsChild>
                    <w:div w:id="2449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96173">
      <w:bodyDiv w:val="1"/>
      <w:marLeft w:val="0"/>
      <w:marRight w:val="0"/>
      <w:marTop w:val="0"/>
      <w:marBottom w:val="0"/>
      <w:divBdr>
        <w:top w:val="none" w:sz="0" w:space="0" w:color="auto"/>
        <w:left w:val="none" w:sz="0" w:space="0" w:color="auto"/>
        <w:bottom w:val="none" w:sz="0" w:space="0" w:color="auto"/>
        <w:right w:val="none" w:sz="0" w:space="0" w:color="auto"/>
      </w:divBdr>
    </w:div>
    <w:div w:id="451942259">
      <w:bodyDiv w:val="1"/>
      <w:marLeft w:val="0"/>
      <w:marRight w:val="0"/>
      <w:marTop w:val="0"/>
      <w:marBottom w:val="0"/>
      <w:divBdr>
        <w:top w:val="none" w:sz="0" w:space="0" w:color="auto"/>
        <w:left w:val="none" w:sz="0" w:space="0" w:color="auto"/>
        <w:bottom w:val="none" w:sz="0" w:space="0" w:color="auto"/>
        <w:right w:val="none" w:sz="0" w:space="0" w:color="auto"/>
      </w:divBdr>
    </w:div>
    <w:div w:id="1011491661">
      <w:bodyDiv w:val="1"/>
      <w:marLeft w:val="0"/>
      <w:marRight w:val="0"/>
      <w:marTop w:val="0"/>
      <w:marBottom w:val="0"/>
      <w:divBdr>
        <w:top w:val="none" w:sz="0" w:space="0" w:color="auto"/>
        <w:left w:val="none" w:sz="0" w:space="0" w:color="auto"/>
        <w:bottom w:val="none" w:sz="0" w:space="0" w:color="auto"/>
        <w:right w:val="none" w:sz="0" w:space="0" w:color="auto"/>
      </w:divBdr>
      <w:divsChild>
        <w:div w:id="1780833808">
          <w:marLeft w:val="0"/>
          <w:marRight w:val="0"/>
          <w:marTop w:val="0"/>
          <w:marBottom w:val="0"/>
          <w:divBdr>
            <w:top w:val="none" w:sz="0" w:space="0" w:color="auto"/>
            <w:left w:val="none" w:sz="0" w:space="0" w:color="auto"/>
            <w:bottom w:val="none" w:sz="0" w:space="0" w:color="auto"/>
            <w:right w:val="none" w:sz="0" w:space="0" w:color="auto"/>
          </w:divBdr>
          <w:divsChild>
            <w:div w:id="1597057240">
              <w:marLeft w:val="0"/>
              <w:marRight w:val="0"/>
              <w:marTop w:val="0"/>
              <w:marBottom w:val="0"/>
              <w:divBdr>
                <w:top w:val="none" w:sz="0" w:space="0" w:color="auto"/>
                <w:left w:val="none" w:sz="0" w:space="0" w:color="auto"/>
                <w:bottom w:val="none" w:sz="0" w:space="0" w:color="auto"/>
                <w:right w:val="none" w:sz="0" w:space="0" w:color="auto"/>
              </w:divBdr>
              <w:divsChild>
                <w:div w:id="2045254227">
                  <w:marLeft w:val="0"/>
                  <w:marRight w:val="0"/>
                  <w:marTop w:val="0"/>
                  <w:marBottom w:val="0"/>
                  <w:divBdr>
                    <w:top w:val="none" w:sz="0" w:space="0" w:color="auto"/>
                    <w:left w:val="none" w:sz="0" w:space="0" w:color="auto"/>
                    <w:bottom w:val="none" w:sz="0" w:space="0" w:color="auto"/>
                    <w:right w:val="none" w:sz="0" w:space="0" w:color="auto"/>
                  </w:divBdr>
                  <w:divsChild>
                    <w:div w:id="716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2912">
      <w:bodyDiv w:val="1"/>
      <w:marLeft w:val="0"/>
      <w:marRight w:val="0"/>
      <w:marTop w:val="0"/>
      <w:marBottom w:val="0"/>
      <w:divBdr>
        <w:top w:val="none" w:sz="0" w:space="0" w:color="auto"/>
        <w:left w:val="none" w:sz="0" w:space="0" w:color="auto"/>
        <w:bottom w:val="none" w:sz="0" w:space="0" w:color="auto"/>
        <w:right w:val="none" w:sz="0" w:space="0" w:color="auto"/>
      </w:divBdr>
    </w:div>
    <w:div w:id="1361707916">
      <w:bodyDiv w:val="1"/>
      <w:marLeft w:val="0"/>
      <w:marRight w:val="0"/>
      <w:marTop w:val="0"/>
      <w:marBottom w:val="0"/>
      <w:divBdr>
        <w:top w:val="none" w:sz="0" w:space="0" w:color="auto"/>
        <w:left w:val="none" w:sz="0" w:space="0" w:color="auto"/>
        <w:bottom w:val="none" w:sz="0" w:space="0" w:color="auto"/>
        <w:right w:val="none" w:sz="0" w:space="0" w:color="auto"/>
      </w:divBdr>
    </w:div>
    <w:div w:id="1366709762">
      <w:bodyDiv w:val="1"/>
      <w:marLeft w:val="0"/>
      <w:marRight w:val="0"/>
      <w:marTop w:val="0"/>
      <w:marBottom w:val="0"/>
      <w:divBdr>
        <w:top w:val="none" w:sz="0" w:space="0" w:color="auto"/>
        <w:left w:val="none" w:sz="0" w:space="0" w:color="auto"/>
        <w:bottom w:val="none" w:sz="0" w:space="0" w:color="auto"/>
        <w:right w:val="none" w:sz="0" w:space="0" w:color="auto"/>
      </w:divBdr>
    </w:div>
    <w:div w:id="1400983887">
      <w:bodyDiv w:val="1"/>
      <w:marLeft w:val="0"/>
      <w:marRight w:val="0"/>
      <w:marTop w:val="0"/>
      <w:marBottom w:val="0"/>
      <w:divBdr>
        <w:top w:val="none" w:sz="0" w:space="0" w:color="auto"/>
        <w:left w:val="none" w:sz="0" w:space="0" w:color="auto"/>
        <w:bottom w:val="none" w:sz="0" w:space="0" w:color="auto"/>
        <w:right w:val="none" w:sz="0" w:space="0" w:color="auto"/>
      </w:divBdr>
    </w:div>
    <w:div w:id="1470391677">
      <w:bodyDiv w:val="1"/>
      <w:marLeft w:val="0"/>
      <w:marRight w:val="0"/>
      <w:marTop w:val="0"/>
      <w:marBottom w:val="0"/>
      <w:divBdr>
        <w:top w:val="none" w:sz="0" w:space="0" w:color="auto"/>
        <w:left w:val="none" w:sz="0" w:space="0" w:color="auto"/>
        <w:bottom w:val="none" w:sz="0" w:space="0" w:color="auto"/>
        <w:right w:val="none" w:sz="0" w:space="0" w:color="auto"/>
      </w:divBdr>
    </w:div>
    <w:div w:id="1511985958">
      <w:bodyDiv w:val="1"/>
      <w:marLeft w:val="0"/>
      <w:marRight w:val="0"/>
      <w:marTop w:val="0"/>
      <w:marBottom w:val="0"/>
      <w:divBdr>
        <w:top w:val="none" w:sz="0" w:space="0" w:color="auto"/>
        <w:left w:val="none" w:sz="0" w:space="0" w:color="auto"/>
        <w:bottom w:val="none" w:sz="0" w:space="0" w:color="auto"/>
        <w:right w:val="none" w:sz="0" w:space="0" w:color="auto"/>
      </w:divBdr>
      <w:divsChild>
        <w:div w:id="1883668126">
          <w:marLeft w:val="0"/>
          <w:marRight w:val="0"/>
          <w:marTop w:val="0"/>
          <w:marBottom w:val="0"/>
          <w:divBdr>
            <w:top w:val="none" w:sz="0" w:space="0" w:color="auto"/>
            <w:left w:val="none" w:sz="0" w:space="0" w:color="auto"/>
            <w:bottom w:val="none" w:sz="0" w:space="0" w:color="auto"/>
            <w:right w:val="none" w:sz="0" w:space="0" w:color="auto"/>
          </w:divBdr>
          <w:divsChild>
            <w:div w:id="1423338581">
              <w:marLeft w:val="0"/>
              <w:marRight w:val="0"/>
              <w:marTop w:val="0"/>
              <w:marBottom w:val="0"/>
              <w:divBdr>
                <w:top w:val="none" w:sz="0" w:space="0" w:color="auto"/>
                <w:left w:val="none" w:sz="0" w:space="0" w:color="auto"/>
                <w:bottom w:val="none" w:sz="0" w:space="0" w:color="auto"/>
                <w:right w:val="none" w:sz="0" w:space="0" w:color="auto"/>
              </w:divBdr>
              <w:divsChild>
                <w:div w:id="1993213878">
                  <w:marLeft w:val="0"/>
                  <w:marRight w:val="0"/>
                  <w:marTop w:val="0"/>
                  <w:marBottom w:val="0"/>
                  <w:divBdr>
                    <w:top w:val="none" w:sz="0" w:space="0" w:color="auto"/>
                    <w:left w:val="none" w:sz="0" w:space="0" w:color="auto"/>
                    <w:bottom w:val="none" w:sz="0" w:space="0" w:color="auto"/>
                    <w:right w:val="none" w:sz="0" w:space="0" w:color="auto"/>
                  </w:divBdr>
                  <w:divsChild>
                    <w:div w:id="17137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19576">
      <w:bodyDiv w:val="1"/>
      <w:marLeft w:val="0"/>
      <w:marRight w:val="0"/>
      <w:marTop w:val="0"/>
      <w:marBottom w:val="0"/>
      <w:divBdr>
        <w:top w:val="none" w:sz="0" w:space="0" w:color="auto"/>
        <w:left w:val="none" w:sz="0" w:space="0" w:color="auto"/>
        <w:bottom w:val="none" w:sz="0" w:space="0" w:color="auto"/>
        <w:right w:val="none" w:sz="0" w:space="0" w:color="auto"/>
      </w:divBdr>
    </w:div>
    <w:div w:id="1609965841">
      <w:bodyDiv w:val="1"/>
      <w:marLeft w:val="0"/>
      <w:marRight w:val="0"/>
      <w:marTop w:val="0"/>
      <w:marBottom w:val="0"/>
      <w:divBdr>
        <w:top w:val="none" w:sz="0" w:space="0" w:color="auto"/>
        <w:left w:val="none" w:sz="0" w:space="0" w:color="auto"/>
        <w:bottom w:val="none" w:sz="0" w:space="0" w:color="auto"/>
        <w:right w:val="none" w:sz="0" w:space="0" w:color="auto"/>
      </w:divBdr>
    </w:div>
    <w:div w:id="1667586944">
      <w:bodyDiv w:val="1"/>
      <w:marLeft w:val="0"/>
      <w:marRight w:val="0"/>
      <w:marTop w:val="0"/>
      <w:marBottom w:val="0"/>
      <w:divBdr>
        <w:top w:val="none" w:sz="0" w:space="0" w:color="auto"/>
        <w:left w:val="none" w:sz="0" w:space="0" w:color="auto"/>
        <w:bottom w:val="none" w:sz="0" w:space="0" w:color="auto"/>
        <w:right w:val="none" w:sz="0" w:space="0" w:color="auto"/>
      </w:divBdr>
    </w:div>
    <w:div w:id="2042633440">
      <w:bodyDiv w:val="1"/>
      <w:marLeft w:val="0"/>
      <w:marRight w:val="0"/>
      <w:marTop w:val="0"/>
      <w:marBottom w:val="0"/>
      <w:divBdr>
        <w:top w:val="none" w:sz="0" w:space="0" w:color="auto"/>
        <w:left w:val="none" w:sz="0" w:space="0" w:color="auto"/>
        <w:bottom w:val="none" w:sz="0" w:space="0" w:color="auto"/>
        <w:right w:val="none" w:sz="0" w:space="0" w:color="auto"/>
      </w:divBdr>
    </w:div>
    <w:div w:id="20834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about_puc/consolidated_case_view.aspx?Docket=P-2014-2449010" TargetMode="External"/><Relationship Id="rId18" Type="http://schemas.openxmlformats.org/officeDocument/2006/relationships/hyperlink" Target="http://www.puc.pa.gov/about_puc/consolidated_case_view.aspx?Docket=P-2014-2449397" TargetMode="External"/><Relationship Id="rId26" Type="http://schemas.openxmlformats.org/officeDocument/2006/relationships/hyperlink" Target="http://www.puc.pa.gov/about_puc/consolidated_case_view.aspx?Docket=P-2014-2421556" TargetMode="External"/><Relationship Id="rId39"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hyperlink" Target="http://www.puc.pa.gov/pcdocs/1321204.docx" TargetMode="External"/><Relationship Id="rId34" Type="http://schemas.openxmlformats.org/officeDocument/2006/relationships/hyperlink" Target="mailto:ra-ocmo@pa.gov" TargetMode="External"/><Relationship Id="rId7" Type="http://schemas.openxmlformats.org/officeDocument/2006/relationships/endnotes" Target="endnotes.xml"/><Relationship Id="rId12" Type="http://schemas.openxmlformats.org/officeDocument/2006/relationships/hyperlink" Target="http://www.puc.pa.gov/about_puc/consolidated_case_view.aspx?Docket=P-2014-2445072" TargetMode="External"/><Relationship Id="rId17" Type="http://schemas.openxmlformats.org/officeDocument/2006/relationships/hyperlink" Target="http://www.puc.pa.gov/about_puc/consolidated_case_view.aspx?Docket=P-2014-2448863" TargetMode="External"/><Relationship Id="rId25" Type="http://schemas.openxmlformats.org/officeDocument/2006/relationships/hyperlink" Target="http://www.puc.pa.gov/pcdocs/1303767.docx" TargetMode="External"/><Relationship Id="rId33" Type="http://schemas.openxmlformats.org/officeDocument/2006/relationships/hyperlink" Target="http://www.puc.pa.gov/utility_industry/electricity/office_of_competitive_market_oversight/charge.asp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uc.pa.gov/about_puc/consolidated_case_view.aspx?Docket=P-2014-2449027" TargetMode="External"/><Relationship Id="rId20" Type="http://schemas.openxmlformats.org/officeDocument/2006/relationships/hyperlink" Target="mailto:dmumford@pa.gov" TargetMode="External"/><Relationship Id="rId29" Type="http://schemas.openxmlformats.org/officeDocument/2006/relationships/hyperlink" Target="http://www.puc.pa.gov/about_puc/consolidated_case_view.aspx?Docket=C-2014-24291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pa.gov/about_puc/consolidated_case_view.aspx?Docket=P-2014-2446292" TargetMode="External"/><Relationship Id="rId24" Type="http://schemas.openxmlformats.org/officeDocument/2006/relationships/hyperlink" Target="http://www.puc.pa.gov/utility_industry/natural_gas/natrual_gas_rmi.aspx" TargetMode="External"/><Relationship Id="rId32" Type="http://schemas.openxmlformats.org/officeDocument/2006/relationships/hyperlink" Target="mailto:ra-ocmo@pa.go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uc.pa.gov/about_puc/consolidated_case_view.aspx?Docket=P-2014-2449017" TargetMode="External"/><Relationship Id="rId23" Type="http://schemas.openxmlformats.org/officeDocument/2006/relationships/hyperlink" Target="http://www.puc.pa.gov/pcdocs/1306421.docx" TargetMode="External"/><Relationship Id="rId28" Type="http://schemas.openxmlformats.org/officeDocument/2006/relationships/hyperlink" Target="http://www.puc.pa.gov/about_puc/consolidated_case_view.aspx?Docket=C-2014-2427655" TargetMode="External"/><Relationship Id="rId36" Type="http://schemas.openxmlformats.org/officeDocument/2006/relationships/hyperlink" Target="mailto:ra-ocmo@pa.gov" TargetMode="External"/><Relationship Id="rId10" Type="http://schemas.openxmlformats.org/officeDocument/2006/relationships/hyperlink" Target="mailto:CYPAGE@pa.gov" TargetMode="External"/><Relationship Id="rId19" Type="http://schemas.openxmlformats.org/officeDocument/2006/relationships/hyperlink" Target="http://www.puc.pa.gov/about_puc/consolidated_case_view.aspx?Docket=P-2014-2437967" TargetMode="External"/><Relationship Id="rId31" Type="http://schemas.openxmlformats.org/officeDocument/2006/relationships/hyperlink" Target="http://www.puc.pa.gov/pcdocs/1299164.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uc.pa.gov/about_puc/consolidated_case_view.aspx?Docket=P-2014-2449015" TargetMode="External"/><Relationship Id="rId22" Type="http://schemas.openxmlformats.org/officeDocument/2006/relationships/hyperlink" Target="http://www.puc.pa.gov/pcdocs/1296329.docx" TargetMode="External"/><Relationship Id="rId27" Type="http://schemas.openxmlformats.org/officeDocument/2006/relationships/hyperlink" Target="http://www.puc.pa.gov/about_puc/consolidated_case_view.aspx?Docket=C-2014-2425989" TargetMode="External"/><Relationship Id="rId30" Type="http://schemas.openxmlformats.org/officeDocument/2006/relationships/hyperlink" Target="http://www.puc.pa.gov/about_puc/consolidated_case_view.aspx?Docket=M-2013-2320112" TargetMode="External"/><Relationship Id="rId35" Type="http://schemas.openxmlformats.org/officeDocument/2006/relationships/hyperlink" Target="http://www.puc.pa.gov/utility_industry/electricity/electric_competitive_market_overs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F339E62E4E42929FEB3E6161305A2C"/>
        <w:category>
          <w:name w:val="General"/>
          <w:gallery w:val="placeholder"/>
        </w:category>
        <w:types>
          <w:type w:val="bbPlcHdr"/>
        </w:types>
        <w:behaviors>
          <w:behavior w:val="content"/>
        </w:behaviors>
        <w:guid w:val="{3AF5D990-78C4-4489-B09C-FB30480D5621}"/>
      </w:docPartPr>
      <w:docPartBody>
        <w:p w:rsidR="007543E5" w:rsidRDefault="005F70C3" w:rsidP="005F70C3">
          <w:pPr>
            <w:pStyle w:val="A3F339E62E4E42929FEB3E6161305A2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C3"/>
    <w:rsid w:val="00107D50"/>
    <w:rsid w:val="001843FE"/>
    <w:rsid w:val="0019090C"/>
    <w:rsid w:val="0031129D"/>
    <w:rsid w:val="003950D1"/>
    <w:rsid w:val="003B30A3"/>
    <w:rsid w:val="0045323C"/>
    <w:rsid w:val="00463D59"/>
    <w:rsid w:val="004D04F4"/>
    <w:rsid w:val="004D6B05"/>
    <w:rsid w:val="004F61C8"/>
    <w:rsid w:val="00597CDA"/>
    <w:rsid w:val="005D5E59"/>
    <w:rsid w:val="005F70C3"/>
    <w:rsid w:val="00732946"/>
    <w:rsid w:val="00744C58"/>
    <w:rsid w:val="00747677"/>
    <w:rsid w:val="007543E5"/>
    <w:rsid w:val="007A78F9"/>
    <w:rsid w:val="007F20DB"/>
    <w:rsid w:val="00AA66BA"/>
    <w:rsid w:val="00B62FEF"/>
    <w:rsid w:val="00B865A6"/>
    <w:rsid w:val="00BB7ED7"/>
    <w:rsid w:val="00CF732D"/>
    <w:rsid w:val="00D010AF"/>
    <w:rsid w:val="00E46C7A"/>
    <w:rsid w:val="00E83220"/>
    <w:rsid w:val="00EA48F7"/>
    <w:rsid w:val="00F43713"/>
    <w:rsid w:val="00F8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2343</Words>
  <Characters>13361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CHARGE Agenda November 20, 2014</dc:creator>
  <cp:lastModifiedBy>Page, Cyndi</cp:lastModifiedBy>
  <cp:revision>2</cp:revision>
  <cp:lastPrinted>2014-11-19T14:42:00Z</cp:lastPrinted>
  <dcterms:created xsi:type="dcterms:W3CDTF">2014-11-19T14:43:00Z</dcterms:created>
  <dcterms:modified xsi:type="dcterms:W3CDTF">2014-11-19T14:43:00Z</dcterms:modified>
</cp:coreProperties>
</file>