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Y="-669"/>
        <w:tblW w:w="10008" w:type="dxa"/>
        <w:tblLook w:val="04A0" w:firstRow="1" w:lastRow="0" w:firstColumn="1" w:lastColumn="0" w:noHBand="0" w:noVBand="1"/>
      </w:tblPr>
      <w:tblGrid>
        <w:gridCol w:w="10008"/>
      </w:tblGrid>
      <w:tr w:rsidR="00286939" w:rsidTr="00292485">
        <w:trPr>
          <w:trHeight w:val="4400"/>
        </w:trPr>
        <w:tc>
          <w:tcPr>
            <w:tcW w:w="10008" w:type="dxa"/>
            <w:tcBorders>
              <w:top w:val="nil"/>
              <w:left w:val="nil"/>
              <w:bottom w:val="nil"/>
              <w:right w:val="nil"/>
            </w:tcBorders>
          </w:tcPr>
          <w:p w:rsidR="00580CE2" w:rsidRDefault="00286939" w:rsidP="00292485">
            <w:pPr>
              <w:jc w:val="center"/>
              <w:rPr>
                <w:rFonts w:ascii="Impact" w:hAnsi="Impact"/>
                <w:color w:val="1F497D" w:themeColor="text2"/>
                <w:sz w:val="52"/>
                <w:szCs w:val="52"/>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58240" behindDoc="1" locked="0" layoutInCell="1" allowOverlap="1" wp14:anchorId="576A79FD" wp14:editId="2AD6D287">
                  <wp:simplePos x="0" y="0"/>
                  <wp:positionH relativeFrom="column">
                    <wp:posOffset>152400</wp:posOffset>
                  </wp:positionH>
                  <wp:positionV relativeFrom="paragraph">
                    <wp:posOffset>107950</wp:posOffset>
                  </wp:positionV>
                  <wp:extent cx="5943600" cy="2980690"/>
                  <wp:effectExtent l="304800" t="0" r="3238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BEBA8EAE-BF5A-486C-A8C5-ECC9F3942E4B}">
                                <a14:imgProps xmlns:a14="http://schemas.microsoft.com/office/drawing/2010/main">
                                  <a14:imgLayer r:embed="rId9">
                                    <a14:imgEffect>
                                      <a14:sharpenSoften amount="50000"/>
                                    </a14:imgEffect>
                                    <a14:imgEffect>
                                      <a14:saturation sat="66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5943600" cy="2980690"/>
                          </a:xfrm>
                          <a:prstGeom prst="rect">
                            <a:avLst/>
                          </a:prstGeom>
                          <a:scene3d>
                            <a:camera prst="perspectiveRelaxed"/>
                            <a:lightRig rig="threePt" dir="t"/>
                          </a:scene3d>
                        </pic:spPr>
                      </pic:pic>
                    </a:graphicData>
                  </a:graphic>
                  <wp14:sizeRelH relativeFrom="page">
                    <wp14:pctWidth>0</wp14:pctWidth>
                  </wp14:sizeRelH>
                  <wp14:sizeRelV relativeFrom="page">
                    <wp14:pctHeight>0</wp14:pctHeight>
                  </wp14:sizeRelV>
                </wp:anchor>
              </w:drawing>
            </w:r>
          </w:p>
          <w:p w:rsidR="00286939" w:rsidRPr="00E7520D" w:rsidRDefault="00286939" w:rsidP="00292485">
            <w:pPr>
              <w:jc w:val="center"/>
              <w:rPr>
                <w:rFonts w:ascii="Impact" w:hAnsi="Impact"/>
                <w:noProof/>
                <w:color w:val="1F497D" w:themeColor="text2"/>
                <w:sz w:val="52"/>
                <w:szCs w:val="52"/>
                <w14:shadow w14:blurRad="50800" w14:dist="38100" w14:dir="2700000" w14:sx="100000" w14:sy="100000" w14:kx="0" w14:ky="0" w14:algn="tl">
                  <w14:srgbClr w14:val="000000">
                    <w14:alpha w14:val="60000"/>
                  </w14:srgbClr>
                </w14:shadow>
              </w:rPr>
            </w:pPr>
            <w:r w:rsidRPr="00E7520D">
              <w:rPr>
                <w:rFonts w:ascii="Impact" w:hAnsi="Impact"/>
                <w:color w:val="1F497D" w:themeColor="text2"/>
                <w:sz w:val="52"/>
                <w:szCs w:val="52"/>
                <w14:shadow w14:blurRad="50800" w14:dist="38100" w14:dir="2700000" w14:sx="100000" w14:sy="100000" w14:kx="0" w14:ky="0" w14:algn="tl">
                  <w14:srgbClr w14:val="000000">
                    <w14:alpha w14:val="60000"/>
                  </w14:srgbClr>
                </w14:shadow>
              </w:rPr>
              <w:t>Pennsylvania Public Utility Commission</w:t>
            </w:r>
            <w:r w:rsidRPr="00E7520D">
              <w:rPr>
                <w:rFonts w:ascii="Impact" w:hAnsi="Impact"/>
                <w:noProof/>
                <w:color w:val="1F497D" w:themeColor="text2"/>
                <w:sz w:val="52"/>
                <w:szCs w:val="52"/>
                <w14:shadow w14:blurRad="50800" w14:dist="38100" w14:dir="2700000" w14:sx="100000" w14:sy="100000" w14:kx="0" w14:ky="0" w14:algn="tl">
                  <w14:srgbClr w14:val="000000">
                    <w14:alpha w14:val="60000"/>
                  </w14:srgbClr>
                </w14:shadow>
              </w:rPr>
              <w:t xml:space="preserve"> </w:t>
            </w:r>
          </w:p>
          <w:p w:rsidR="00286939" w:rsidRPr="00E7520D" w:rsidRDefault="00286939" w:rsidP="00292485">
            <w:pPr>
              <w:jc w:val="center"/>
              <w:rPr>
                <w:b/>
                <w:color w:val="000000" w:themeColor="text1"/>
                <w:sz w:val="40"/>
                <w:szCs w:val="40"/>
                <w14:shadow w14:blurRad="50800" w14:dist="38100" w14:dir="2700000" w14:sx="100000" w14:sy="100000" w14:kx="0" w14:ky="0" w14:algn="tl">
                  <w14:srgbClr w14:val="000000">
                    <w14:alpha w14:val="60000"/>
                  </w14:srgbClr>
                </w14:shadow>
              </w:rPr>
            </w:pPr>
            <w:r w:rsidRPr="00E7520D">
              <w:rPr>
                <w:b/>
                <w:color w:val="000000" w:themeColor="text1"/>
                <w:sz w:val="40"/>
                <w:szCs w:val="40"/>
                <w14:shadow w14:blurRad="50800" w14:dist="38100" w14:dir="2700000" w14:sx="100000" w14:sy="100000" w14:kx="0" w14:ky="0" w14:algn="tl">
                  <w14:srgbClr w14:val="000000">
                    <w14:alpha w14:val="60000"/>
                  </w14:srgbClr>
                </w14:shadow>
              </w:rPr>
              <w:t>Office of Competitive Market Oversight</w:t>
            </w:r>
          </w:p>
          <w:p w:rsidR="00286939" w:rsidRDefault="00286939" w:rsidP="00292485">
            <w:pPr>
              <w:jc w:val="center"/>
            </w:pPr>
          </w:p>
          <w:p w:rsidR="00286939" w:rsidRPr="0073441F" w:rsidRDefault="00733CDC" w:rsidP="00292485">
            <w:pPr>
              <w:jc w:val="center"/>
              <w:rPr>
                <w:rFonts w:ascii="Times New Roman" w:hAnsi="Times New Roman" w:cs="Times New Roman"/>
                <w:b/>
                <w:sz w:val="72"/>
                <w:szCs w:val="72"/>
                <w14:shadow w14:blurRad="50800" w14:dist="38100" w14:dir="18900000" w14:sx="100000" w14:sy="100000" w14:kx="0" w14:ky="0" w14:algn="bl">
                  <w14:srgbClr w14:val="000000">
                    <w14:alpha w14:val="60000"/>
                  </w14:srgbClr>
                </w14:shadow>
              </w:rPr>
            </w:pPr>
            <w:r>
              <w:rPr>
                <w:rFonts w:ascii="Times New Roman" w:hAnsi="Times New Roman" w:cs="Times New Roman"/>
                <w:b/>
                <w:sz w:val="72"/>
                <w:szCs w:val="72"/>
                <w14:shadow w14:blurRad="50800" w14:dist="38100" w14:dir="18900000" w14:sx="100000" w14:sy="100000" w14:kx="0" w14:ky="0" w14:algn="bl">
                  <w14:srgbClr w14:val="000000">
                    <w14:alpha w14:val="60000"/>
                  </w14:srgbClr>
                </w14:shadow>
              </w:rPr>
              <w:t xml:space="preserve"> </w:t>
            </w:r>
            <w:r w:rsidR="00836204" w:rsidRPr="0073441F">
              <w:rPr>
                <w:rFonts w:ascii="Times New Roman" w:hAnsi="Times New Roman" w:cs="Times New Roman"/>
                <w:b/>
                <w:sz w:val="72"/>
                <w:szCs w:val="72"/>
                <w14:shadow w14:blurRad="50800" w14:dist="38100" w14:dir="18900000" w14:sx="100000" w14:sy="100000" w14:kx="0" w14:ky="0" w14:algn="bl">
                  <w14:srgbClr w14:val="000000">
                    <w14:alpha w14:val="60000"/>
                  </w14:srgbClr>
                </w14:shadow>
              </w:rPr>
              <w:t xml:space="preserve">CHARGE Call </w:t>
            </w:r>
            <w:r w:rsidR="00CF11F2">
              <w:rPr>
                <w:rFonts w:ascii="Times New Roman" w:hAnsi="Times New Roman" w:cs="Times New Roman"/>
                <w:b/>
                <w:sz w:val="72"/>
                <w:szCs w:val="72"/>
                <w14:shadow w14:blurRad="50800" w14:dist="38100" w14:dir="18900000" w14:sx="100000" w14:sy="100000" w14:kx="0" w14:ky="0" w14:algn="bl">
                  <w14:srgbClr w14:val="000000">
                    <w14:alpha w14:val="60000"/>
                  </w14:srgbClr>
                </w14:shadow>
              </w:rPr>
              <w:t>Summary</w:t>
            </w:r>
          </w:p>
          <w:p w:rsidR="00286939" w:rsidRDefault="00286939" w:rsidP="00292485"/>
          <w:p w:rsidR="00286939" w:rsidRPr="00836204" w:rsidRDefault="00580CE2" w:rsidP="00292485">
            <w:pPr>
              <w:jc w:val="center"/>
              <w:rPr>
                <w:b/>
                <w:sz w:val="48"/>
                <w:szCs w:val="48"/>
              </w:rPr>
            </w:pPr>
            <w:r>
              <w:rPr>
                <w:b/>
                <w:sz w:val="48"/>
                <w:szCs w:val="48"/>
              </w:rPr>
              <w:t>Friday</w:t>
            </w:r>
            <w:r w:rsidR="00836204" w:rsidRPr="00836204">
              <w:rPr>
                <w:b/>
                <w:sz w:val="48"/>
                <w:szCs w:val="48"/>
              </w:rPr>
              <w:t xml:space="preserve">, </w:t>
            </w:r>
            <w:r>
              <w:rPr>
                <w:b/>
                <w:sz w:val="48"/>
                <w:szCs w:val="48"/>
              </w:rPr>
              <w:t>April</w:t>
            </w:r>
            <w:r w:rsidR="00836204" w:rsidRPr="00836204">
              <w:rPr>
                <w:b/>
                <w:sz w:val="48"/>
                <w:szCs w:val="48"/>
              </w:rPr>
              <w:t xml:space="preserve"> 2</w:t>
            </w:r>
            <w:r>
              <w:rPr>
                <w:b/>
                <w:sz w:val="48"/>
                <w:szCs w:val="48"/>
              </w:rPr>
              <w:t>1</w:t>
            </w:r>
            <w:r w:rsidR="00836204" w:rsidRPr="00836204">
              <w:rPr>
                <w:b/>
                <w:sz w:val="48"/>
                <w:szCs w:val="48"/>
              </w:rPr>
              <w:t>, 201</w:t>
            </w:r>
            <w:r>
              <w:rPr>
                <w:b/>
                <w:sz w:val="48"/>
                <w:szCs w:val="48"/>
              </w:rPr>
              <w:t>7</w:t>
            </w:r>
            <w:r w:rsidR="00836204" w:rsidRPr="00836204">
              <w:rPr>
                <w:b/>
                <w:sz w:val="48"/>
                <w:szCs w:val="48"/>
              </w:rPr>
              <w:t xml:space="preserve">  10:00</w:t>
            </w:r>
            <w:r w:rsidR="00836204">
              <w:rPr>
                <w:b/>
                <w:sz w:val="48"/>
                <w:szCs w:val="48"/>
              </w:rPr>
              <w:t xml:space="preserve"> </w:t>
            </w:r>
            <w:r w:rsidR="00836204" w:rsidRPr="00836204">
              <w:rPr>
                <w:b/>
                <w:sz w:val="48"/>
                <w:szCs w:val="48"/>
              </w:rPr>
              <w:t>am</w:t>
            </w:r>
          </w:p>
          <w:p w:rsidR="00286939" w:rsidRPr="00286939" w:rsidRDefault="00286939" w:rsidP="00292485">
            <w:pPr>
              <w:jc w:val="right"/>
            </w:pPr>
          </w:p>
        </w:tc>
      </w:tr>
    </w:tbl>
    <w:p w:rsidR="00836204" w:rsidRDefault="00836204"/>
    <w:p w:rsidR="00DD6774" w:rsidRPr="00836204" w:rsidRDefault="00836204">
      <w:pPr>
        <w:rPr>
          <w:b/>
          <w:sz w:val="32"/>
          <w:szCs w:val="32"/>
        </w:rPr>
      </w:pPr>
      <w:r w:rsidRPr="00836204">
        <w:rPr>
          <w:b/>
          <w:sz w:val="32"/>
          <w:szCs w:val="32"/>
        </w:rPr>
        <w:t xml:space="preserve">1)  </w:t>
      </w:r>
      <w:proofErr w:type="spellStart"/>
      <w:r w:rsidR="00580CE2">
        <w:rPr>
          <w:b/>
          <w:sz w:val="32"/>
          <w:szCs w:val="32"/>
        </w:rPr>
        <w:t>EGS</w:t>
      </w:r>
      <w:proofErr w:type="spellEnd"/>
      <w:r w:rsidR="00580CE2">
        <w:rPr>
          <w:b/>
          <w:sz w:val="32"/>
          <w:szCs w:val="32"/>
        </w:rPr>
        <w:t xml:space="preserve"> Bonding: </w:t>
      </w:r>
      <w:r w:rsidRPr="00836204">
        <w:rPr>
          <w:b/>
          <w:sz w:val="32"/>
          <w:szCs w:val="32"/>
        </w:rPr>
        <w:t>Guidance on Electric Generation Supplier License</w:t>
      </w:r>
      <w:r w:rsidR="00F50B06">
        <w:rPr>
          <w:b/>
          <w:sz w:val="32"/>
          <w:szCs w:val="32"/>
        </w:rPr>
        <w:t>e</w:t>
      </w:r>
      <w:r w:rsidRPr="00836204">
        <w:rPr>
          <w:b/>
          <w:sz w:val="32"/>
          <w:szCs w:val="32"/>
        </w:rPr>
        <w:t xml:space="preserve"> Financial Security</w:t>
      </w:r>
      <w:r w:rsidR="00F50B06">
        <w:rPr>
          <w:b/>
          <w:sz w:val="32"/>
          <w:szCs w:val="32"/>
        </w:rPr>
        <w:t>:  Renewal of Financial Security and Reduction of Financial Security</w:t>
      </w:r>
      <w:r w:rsidRPr="00836204">
        <w:rPr>
          <w:b/>
          <w:sz w:val="32"/>
          <w:szCs w:val="32"/>
        </w:rPr>
        <w:t>.</w:t>
      </w:r>
    </w:p>
    <w:p w:rsidR="00836204" w:rsidRPr="007F7800" w:rsidRDefault="00836204" w:rsidP="00321B36">
      <w:pPr>
        <w:pStyle w:val="ListParagraph"/>
        <w:numPr>
          <w:ilvl w:val="0"/>
          <w:numId w:val="1"/>
        </w:numPr>
        <w:rPr>
          <w:sz w:val="24"/>
          <w:szCs w:val="24"/>
        </w:rPr>
      </w:pPr>
      <w:r w:rsidRPr="007F7800">
        <w:rPr>
          <w:sz w:val="24"/>
          <w:szCs w:val="24"/>
        </w:rPr>
        <w:t>Docket No. M-2013-2393141</w:t>
      </w:r>
      <w:r w:rsidR="00287B2B" w:rsidRPr="007F7800">
        <w:rPr>
          <w:sz w:val="24"/>
          <w:szCs w:val="24"/>
        </w:rPr>
        <w:br/>
      </w:r>
      <w:hyperlink r:id="rId10" w:history="1">
        <w:r w:rsidR="00321B36" w:rsidRPr="007F7800">
          <w:rPr>
            <w:rStyle w:val="Hyperlink"/>
            <w:sz w:val="24"/>
            <w:szCs w:val="24"/>
          </w:rPr>
          <w:t>http://www.puc.pa.gov/about_puc/consolidated_case_view.aspx?Docket=M-2013-2393141</w:t>
        </w:r>
      </w:hyperlink>
      <w:r w:rsidR="00321B36" w:rsidRPr="007F7800">
        <w:rPr>
          <w:sz w:val="24"/>
          <w:szCs w:val="24"/>
        </w:rPr>
        <w:t xml:space="preserve"> </w:t>
      </w:r>
    </w:p>
    <w:p w:rsidR="00836204" w:rsidRPr="007F7800" w:rsidRDefault="00836204" w:rsidP="00836204">
      <w:pPr>
        <w:pStyle w:val="ListParagraph"/>
        <w:numPr>
          <w:ilvl w:val="0"/>
          <w:numId w:val="1"/>
        </w:numPr>
        <w:rPr>
          <w:sz w:val="24"/>
          <w:szCs w:val="24"/>
        </w:rPr>
      </w:pPr>
      <w:r w:rsidRPr="007F7800">
        <w:rPr>
          <w:sz w:val="24"/>
          <w:szCs w:val="24"/>
        </w:rPr>
        <w:t>Refer to the Commission’s April 8, 2016 Secretarial Letter (</w:t>
      </w:r>
      <w:r w:rsidR="00287B2B" w:rsidRPr="007F7800">
        <w:rPr>
          <w:sz w:val="24"/>
          <w:szCs w:val="24"/>
        </w:rPr>
        <w:t xml:space="preserve">available at </w:t>
      </w:r>
      <w:r w:rsidR="00565A4F">
        <w:rPr>
          <w:sz w:val="24"/>
          <w:szCs w:val="24"/>
        </w:rPr>
        <w:t xml:space="preserve">this </w:t>
      </w:r>
      <w:r w:rsidR="00287B2B" w:rsidRPr="007F7800">
        <w:rPr>
          <w:sz w:val="24"/>
          <w:szCs w:val="24"/>
        </w:rPr>
        <w:t>web link</w:t>
      </w:r>
      <w:r w:rsidR="00565A4F">
        <w:rPr>
          <w:sz w:val="24"/>
          <w:szCs w:val="24"/>
        </w:rPr>
        <w:t>:</w:t>
      </w:r>
      <w:r w:rsidRPr="007F7800">
        <w:rPr>
          <w:sz w:val="24"/>
          <w:szCs w:val="24"/>
        </w:rPr>
        <w:t xml:space="preserve">  </w:t>
      </w:r>
      <w:r w:rsidR="00321B36" w:rsidRPr="007F7800">
        <w:rPr>
          <w:sz w:val="24"/>
          <w:szCs w:val="24"/>
        </w:rPr>
        <w:br/>
      </w:r>
      <w:hyperlink r:id="rId11" w:history="1">
        <w:r w:rsidR="00321B36" w:rsidRPr="007F7800">
          <w:rPr>
            <w:rFonts w:ascii="Helvetica" w:hAnsi="Helvetica"/>
            <w:b/>
            <w:bCs/>
            <w:color w:val="333333"/>
            <w:sz w:val="24"/>
            <w:szCs w:val="24"/>
            <w:u w:val="single"/>
          </w:rPr>
          <w:t>SEC LETTER Guidance on Electric Generation Supplier License Financial Security.docx</w:t>
        </w:r>
      </w:hyperlink>
      <w:r w:rsidR="00565A4F" w:rsidRPr="00565A4F">
        <w:rPr>
          <w:rFonts w:ascii="Helvetica" w:hAnsi="Helvetica"/>
          <w:b/>
          <w:bCs/>
          <w:color w:val="333333"/>
          <w:sz w:val="24"/>
          <w:szCs w:val="24"/>
        </w:rPr>
        <w:t xml:space="preserve"> </w:t>
      </w:r>
      <w:r w:rsidR="00565A4F" w:rsidRPr="00565A4F">
        <w:rPr>
          <w:rFonts w:ascii="Helvetica" w:hAnsi="Helvetica"/>
          <w:bCs/>
          <w:color w:val="333333"/>
          <w:sz w:val="24"/>
          <w:szCs w:val="24"/>
        </w:rPr>
        <w:t>)</w:t>
      </w:r>
    </w:p>
    <w:p w:rsidR="00CF11F2" w:rsidRDefault="00836204" w:rsidP="00836204">
      <w:pPr>
        <w:pStyle w:val="ListParagraph"/>
        <w:numPr>
          <w:ilvl w:val="0"/>
          <w:numId w:val="1"/>
        </w:numPr>
        <w:rPr>
          <w:sz w:val="24"/>
          <w:szCs w:val="24"/>
        </w:rPr>
      </w:pPr>
      <w:r w:rsidRPr="007F7800">
        <w:rPr>
          <w:sz w:val="24"/>
          <w:szCs w:val="24"/>
        </w:rPr>
        <w:t>Technical Utility Services Deputy Director Darren Gill discuss</w:t>
      </w:r>
      <w:r w:rsidR="00CF11F2">
        <w:rPr>
          <w:sz w:val="24"/>
          <w:szCs w:val="24"/>
        </w:rPr>
        <w:t>ed</w:t>
      </w:r>
      <w:r w:rsidRPr="007F7800">
        <w:rPr>
          <w:sz w:val="24"/>
          <w:szCs w:val="24"/>
        </w:rPr>
        <w:t xml:space="preserve"> the process and </w:t>
      </w:r>
      <w:r w:rsidR="00CF11F2">
        <w:rPr>
          <w:sz w:val="24"/>
          <w:szCs w:val="24"/>
        </w:rPr>
        <w:t xml:space="preserve">answered </w:t>
      </w:r>
      <w:r w:rsidRPr="007F7800">
        <w:rPr>
          <w:sz w:val="24"/>
          <w:szCs w:val="24"/>
        </w:rPr>
        <w:t>questions</w:t>
      </w:r>
      <w:r w:rsidR="00CF11F2">
        <w:rPr>
          <w:sz w:val="24"/>
          <w:szCs w:val="24"/>
        </w:rPr>
        <w:t>.</w:t>
      </w:r>
    </w:p>
    <w:p w:rsidR="00CF11F2" w:rsidRDefault="00CF11F2" w:rsidP="00836204">
      <w:pPr>
        <w:pStyle w:val="ListParagraph"/>
        <w:numPr>
          <w:ilvl w:val="0"/>
          <w:numId w:val="1"/>
        </w:numPr>
        <w:rPr>
          <w:sz w:val="24"/>
          <w:szCs w:val="24"/>
        </w:rPr>
      </w:pPr>
      <w:r>
        <w:rPr>
          <w:sz w:val="24"/>
          <w:szCs w:val="24"/>
        </w:rPr>
        <w:t>3 most common reasons a bond is rejected:</w:t>
      </w:r>
    </w:p>
    <w:p w:rsidR="00CF11F2" w:rsidRPr="00CF11F2" w:rsidRDefault="00CF11F2" w:rsidP="00CF11F2">
      <w:pPr>
        <w:ind w:left="1440"/>
        <w:rPr>
          <w:sz w:val="24"/>
          <w:szCs w:val="24"/>
        </w:rPr>
      </w:pPr>
      <w:r w:rsidRPr="00CF11F2">
        <w:rPr>
          <w:sz w:val="24"/>
          <w:szCs w:val="24"/>
        </w:rPr>
        <w:t xml:space="preserve">1)  The name on the bond has to </w:t>
      </w:r>
      <w:r w:rsidRPr="00CF11F2">
        <w:rPr>
          <w:b/>
          <w:sz w:val="24"/>
          <w:szCs w:val="24"/>
        </w:rPr>
        <w:t xml:space="preserve">EXACTLY </w:t>
      </w:r>
      <w:r w:rsidRPr="00CF11F2">
        <w:rPr>
          <w:sz w:val="24"/>
          <w:szCs w:val="24"/>
        </w:rPr>
        <w:t xml:space="preserve">match the name on the license.  This includes commas, apostrophes, LLC, </w:t>
      </w:r>
      <w:proofErr w:type="spellStart"/>
      <w:r w:rsidRPr="00CF11F2">
        <w:rPr>
          <w:sz w:val="24"/>
          <w:szCs w:val="24"/>
        </w:rPr>
        <w:t>INC</w:t>
      </w:r>
      <w:proofErr w:type="spellEnd"/>
      <w:r w:rsidRPr="00CF11F2">
        <w:rPr>
          <w:sz w:val="24"/>
          <w:szCs w:val="24"/>
        </w:rPr>
        <w:t xml:space="preserve">, LLP, etc.  </w:t>
      </w:r>
      <w:r w:rsidRPr="00CF11F2">
        <w:rPr>
          <w:sz w:val="24"/>
          <w:szCs w:val="24"/>
        </w:rPr>
        <w:br/>
        <w:t xml:space="preserve">2)  An original, wet signature must be included (no electronic signatures). </w:t>
      </w:r>
      <w:r w:rsidRPr="00CF11F2">
        <w:rPr>
          <w:sz w:val="24"/>
          <w:szCs w:val="24"/>
        </w:rPr>
        <w:br/>
        <w:t>3)  A raised seal must be included.</w:t>
      </w:r>
    </w:p>
    <w:p w:rsidR="00CF11F2" w:rsidRDefault="00CF11F2" w:rsidP="00836204">
      <w:pPr>
        <w:pStyle w:val="ListParagraph"/>
        <w:numPr>
          <w:ilvl w:val="0"/>
          <w:numId w:val="1"/>
        </w:numPr>
        <w:rPr>
          <w:sz w:val="24"/>
          <w:szCs w:val="24"/>
        </w:rPr>
      </w:pPr>
      <w:r>
        <w:rPr>
          <w:sz w:val="24"/>
          <w:szCs w:val="24"/>
        </w:rPr>
        <w:t xml:space="preserve">Do not wait until the bond expires to file.  </w:t>
      </w:r>
      <w:proofErr w:type="spellStart"/>
      <w:r w:rsidRPr="00CF11F2">
        <w:rPr>
          <w:sz w:val="24"/>
          <w:szCs w:val="24"/>
        </w:rPr>
        <w:t>EGSs</w:t>
      </w:r>
      <w:proofErr w:type="spellEnd"/>
      <w:r w:rsidRPr="00CF11F2">
        <w:rPr>
          <w:sz w:val="24"/>
          <w:szCs w:val="24"/>
        </w:rPr>
        <w:t xml:space="preserve"> are required to file the renewal of their currently approved security </w:t>
      </w:r>
      <w:r w:rsidRPr="00CF11F2">
        <w:rPr>
          <w:b/>
          <w:sz w:val="24"/>
          <w:szCs w:val="24"/>
          <w:u w:val="single"/>
        </w:rPr>
        <w:t>at least</w:t>
      </w:r>
      <w:r w:rsidRPr="00CF11F2">
        <w:rPr>
          <w:sz w:val="24"/>
          <w:szCs w:val="24"/>
        </w:rPr>
        <w:t xml:space="preserve"> thirty (30) days prior to current security’s expiration date. </w:t>
      </w:r>
    </w:p>
    <w:p w:rsidR="00B156DF" w:rsidRDefault="00CF11F2" w:rsidP="00836204">
      <w:pPr>
        <w:pStyle w:val="ListParagraph"/>
        <w:numPr>
          <w:ilvl w:val="0"/>
          <w:numId w:val="1"/>
        </w:numPr>
        <w:rPr>
          <w:sz w:val="24"/>
          <w:szCs w:val="24"/>
        </w:rPr>
      </w:pPr>
      <w:r>
        <w:rPr>
          <w:sz w:val="24"/>
          <w:szCs w:val="24"/>
        </w:rPr>
        <w:t xml:space="preserve">Failure to keep the bond current will result in the supplier being listed in a public Tentative Order seeking to cancel or suspend the supplier’s license for failure to maintain adequate security.      </w:t>
      </w:r>
    </w:p>
    <w:p w:rsidR="00836204" w:rsidRPr="007F7800" w:rsidRDefault="00B156DF" w:rsidP="00836204">
      <w:pPr>
        <w:pStyle w:val="ListParagraph"/>
        <w:numPr>
          <w:ilvl w:val="0"/>
          <w:numId w:val="1"/>
        </w:numPr>
        <w:rPr>
          <w:sz w:val="24"/>
          <w:szCs w:val="24"/>
        </w:rPr>
      </w:pPr>
      <w:r>
        <w:rPr>
          <w:sz w:val="24"/>
          <w:szCs w:val="24"/>
        </w:rPr>
        <w:lastRenderedPageBreak/>
        <w:t xml:space="preserve">What if a bond self-renews or is “evergreen”?  Does a supplier have to refile?  </w:t>
      </w:r>
      <w:r>
        <w:rPr>
          <w:sz w:val="24"/>
          <w:szCs w:val="24"/>
        </w:rPr>
        <w:br/>
        <w:t>Answer: A supplier needs to look at their Gross Receipts Tax (</w:t>
      </w:r>
      <w:proofErr w:type="spellStart"/>
      <w:r>
        <w:rPr>
          <w:sz w:val="24"/>
          <w:szCs w:val="24"/>
        </w:rPr>
        <w:t>GRT</w:t>
      </w:r>
      <w:proofErr w:type="spellEnd"/>
      <w:r>
        <w:rPr>
          <w:sz w:val="24"/>
          <w:szCs w:val="24"/>
        </w:rPr>
        <w:t xml:space="preserve">).  If the </w:t>
      </w:r>
      <w:proofErr w:type="spellStart"/>
      <w:r>
        <w:rPr>
          <w:sz w:val="24"/>
          <w:szCs w:val="24"/>
        </w:rPr>
        <w:t>GRT</w:t>
      </w:r>
      <w:proofErr w:type="spellEnd"/>
      <w:r>
        <w:rPr>
          <w:sz w:val="24"/>
          <w:szCs w:val="24"/>
        </w:rPr>
        <w:t xml:space="preserve"> has not changed – then no action is needed.  However, if the </w:t>
      </w:r>
      <w:proofErr w:type="spellStart"/>
      <w:r>
        <w:rPr>
          <w:sz w:val="24"/>
          <w:szCs w:val="24"/>
        </w:rPr>
        <w:t>GRT</w:t>
      </w:r>
      <w:proofErr w:type="spellEnd"/>
      <w:r>
        <w:rPr>
          <w:sz w:val="24"/>
          <w:szCs w:val="24"/>
        </w:rPr>
        <w:t xml:space="preserve"> liability has increased – then an increased security amount will be needed.   </w:t>
      </w:r>
      <w:r w:rsidR="00CF11F2">
        <w:rPr>
          <w:sz w:val="24"/>
          <w:szCs w:val="24"/>
        </w:rPr>
        <w:br/>
      </w:r>
      <w:r w:rsidR="00836204" w:rsidRPr="007F7800">
        <w:rPr>
          <w:sz w:val="24"/>
          <w:szCs w:val="24"/>
        </w:rPr>
        <w:t xml:space="preserve">  </w:t>
      </w:r>
    </w:p>
    <w:p w:rsidR="00836204" w:rsidRPr="00836204" w:rsidRDefault="00836204" w:rsidP="00836204">
      <w:pPr>
        <w:rPr>
          <w:b/>
          <w:sz w:val="32"/>
          <w:szCs w:val="32"/>
        </w:rPr>
      </w:pPr>
      <w:r>
        <w:rPr>
          <w:b/>
          <w:sz w:val="32"/>
          <w:szCs w:val="32"/>
        </w:rPr>
        <w:t>2</w:t>
      </w:r>
      <w:r w:rsidRPr="00836204">
        <w:rPr>
          <w:b/>
          <w:sz w:val="32"/>
          <w:szCs w:val="32"/>
        </w:rPr>
        <w:t xml:space="preserve">)  </w:t>
      </w:r>
      <w:r>
        <w:rPr>
          <w:b/>
          <w:sz w:val="32"/>
          <w:szCs w:val="32"/>
        </w:rPr>
        <w:t>Supplier Notification of Changes to the PUC</w:t>
      </w:r>
      <w:r w:rsidRPr="00836204">
        <w:rPr>
          <w:b/>
          <w:sz w:val="32"/>
          <w:szCs w:val="32"/>
        </w:rPr>
        <w:t>.</w:t>
      </w:r>
    </w:p>
    <w:p w:rsidR="00836204" w:rsidRPr="00BA1051" w:rsidRDefault="00836204" w:rsidP="00836204">
      <w:pPr>
        <w:pStyle w:val="ListParagraph"/>
        <w:numPr>
          <w:ilvl w:val="0"/>
          <w:numId w:val="1"/>
        </w:numPr>
      </w:pPr>
      <w:r w:rsidRPr="00836204">
        <w:rPr>
          <w:snapToGrid w:val="0"/>
          <w:sz w:val="24"/>
          <w:szCs w:val="24"/>
        </w:rPr>
        <w:t>It is a</w:t>
      </w:r>
      <w:r w:rsidR="00E95976">
        <w:rPr>
          <w:snapToGrid w:val="0"/>
          <w:sz w:val="24"/>
          <w:szCs w:val="24"/>
        </w:rPr>
        <w:t xml:space="preserve"> supplier’s</w:t>
      </w:r>
      <w:r w:rsidRPr="00836204">
        <w:rPr>
          <w:snapToGrid w:val="0"/>
          <w:sz w:val="24"/>
          <w:szCs w:val="24"/>
        </w:rPr>
        <w:t xml:space="preserve"> responsibility to file any name changes, changes in its current contact information or the structure of its company with the Commission.</w:t>
      </w:r>
    </w:p>
    <w:p w:rsidR="00E95976" w:rsidRPr="00E95976" w:rsidRDefault="00E95976" w:rsidP="00836204">
      <w:pPr>
        <w:pStyle w:val="ListParagraph"/>
        <w:numPr>
          <w:ilvl w:val="0"/>
          <w:numId w:val="1"/>
        </w:numPr>
      </w:pPr>
      <w:r>
        <w:rPr>
          <w:snapToGrid w:val="0"/>
          <w:sz w:val="24"/>
          <w:szCs w:val="24"/>
        </w:rPr>
        <w:t>Mailing address:</w:t>
      </w:r>
    </w:p>
    <w:p w:rsidR="00E95976" w:rsidRPr="00E95976" w:rsidRDefault="00BA1051" w:rsidP="00E95976">
      <w:pPr>
        <w:pStyle w:val="ListParagraph"/>
        <w:numPr>
          <w:ilvl w:val="2"/>
          <w:numId w:val="1"/>
        </w:numPr>
        <w:rPr>
          <w:snapToGrid w:val="0"/>
          <w:sz w:val="24"/>
          <w:szCs w:val="24"/>
        </w:rPr>
      </w:pPr>
      <w:r w:rsidRPr="00BA1051">
        <w:rPr>
          <w:snapToGrid w:val="0"/>
          <w:sz w:val="24"/>
          <w:szCs w:val="24"/>
        </w:rPr>
        <w:t>Secretary of the Commission</w:t>
      </w:r>
      <w:r>
        <w:rPr>
          <w:snapToGrid w:val="0"/>
          <w:sz w:val="24"/>
          <w:szCs w:val="24"/>
        </w:rPr>
        <w:t xml:space="preserve"> </w:t>
      </w:r>
      <w:r w:rsidR="00E95976">
        <w:rPr>
          <w:snapToGrid w:val="0"/>
          <w:sz w:val="24"/>
          <w:szCs w:val="24"/>
        </w:rPr>
        <w:br/>
      </w:r>
      <w:r>
        <w:rPr>
          <w:snapToGrid w:val="0"/>
          <w:sz w:val="24"/>
          <w:szCs w:val="24"/>
        </w:rPr>
        <w:t>Rosemary Chiavetta</w:t>
      </w:r>
      <w:r w:rsidR="00E95976">
        <w:rPr>
          <w:snapToGrid w:val="0"/>
          <w:sz w:val="24"/>
          <w:szCs w:val="24"/>
        </w:rPr>
        <w:br/>
      </w:r>
      <w:r w:rsidR="00E95976" w:rsidRPr="00E95976">
        <w:rPr>
          <w:snapToGrid w:val="0"/>
          <w:sz w:val="24"/>
          <w:szCs w:val="24"/>
        </w:rPr>
        <w:t xml:space="preserve">400 North Street, Harrisburg </w:t>
      </w:r>
      <w:r w:rsidR="00E70A12">
        <w:rPr>
          <w:snapToGrid w:val="0"/>
          <w:sz w:val="24"/>
          <w:szCs w:val="24"/>
        </w:rPr>
        <w:t xml:space="preserve">PA </w:t>
      </w:r>
      <w:r w:rsidR="00E95976" w:rsidRPr="00E95976">
        <w:rPr>
          <w:snapToGrid w:val="0"/>
          <w:sz w:val="24"/>
          <w:szCs w:val="24"/>
        </w:rPr>
        <w:t>17120</w:t>
      </w:r>
    </w:p>
    <w:p w:rsidR="00E95976" w:rsidRPr="00E95976" w:rsidRDefault="00E95976" w:rsidP="00836204">
      <w:pPr>
        <w:pStyle w:val="ListParagraph"/>
        <w:numPr>
          <w:ilvl w:val="0"/>
          <w:numId w:val="1"/>
        </w:numPr>
        <w:rPr>
          <w:snapToGrid w:val="0"/>
          <w:sz w:val="24"/>
          <w:szCs w:val="24"/>
        </w:rPr>
      </w:pPr>
      <w:r>
        <w:rPr>
          <w:snapToGrid w:val="0"/>
          <w:sz w:val="24"/>
          <w:szCs w:val="24"/>
        </w:rPr>
        <w:t xml:space="preserve">To contact Secretary Chiavetta by email:  </w:t>
      </w:r>
      <w:hyperlink r:id="rId12" w:history="1">
        <w:r w:rsidRPr="00E95976">
          <w:rPr>
            <w:snapToGrid w:val="0"/>
            <w:sz w:val="24"/>
            <w:szCs w:val="24"/>
            <w:u w:val="single"/>
          </w:rPr>
          <w:t>rchiavetta@pa.gov</w:t>
        </w:r>
      </w:hyperlink>
      <w:r w:rsidRPr="00E95976">
        <w:rPr>
          <w:snapToGrid w:val="0"/>
          <w:sz w:val="24"/>
          <w:szCs w:val="24"/>
        </w:rPr>
        <w:t>.</w:t>
      </w:r>
    </w:p>
    <w:p w:rsidR="00073670" w:rsidRPr="00073670" w:rsidRDefault="00836204" w:rsidP="00836204">
      <w:pPr>
        <w:pStyle w:val="ListParagraph"/>
        <w:numPr>
          <w:ilvl w:val="0"/>
          <w:numId w:val="1"/>
        </w:numPr>
      </w:pPr>
      <w:r>
        <w:rPr>
          <w:snapToGrid w:val="0"/>
          <w:sz w:val="24"/>
          <w:szCs w:val="24"/>
        </w:rPr>
        <w:t>Secretary Chiavetta discuss</w:t>
      </w:r>
      <w:r w:rsidR="00073670">
        <w:rPr>
          <w:snapToGrid w:val="0"/>
          <w:sz w:val="24"/>
          <w:szCs w:val="24"/>
        </w:rPr>
        <w:t>ed</w:t>
      </w:r>
      <w:r>
        <w:rPr>
          <w:snapToGrid w:val="0"/>
          <w:sz w:val="24"/>
          <w:szCs w:val="24"/>
        </w:rPr>
        <w:t xml:space="preserve"> these requirements and answer</w:t>
      </w:r>
      <w:r w:rsidR="00073670">
        <w:rPr>
          <w:snapToGrid w:val="0"/>
          <w:sz w:val="24"/>
          <w:szCs w:val="24"/>
        </w:rPr>
        <w:t>ed</w:t>
      </w:r>
      <w:r>
        <w:rPr>
          <w:snapToGrid w:val="0"/>
          <w:sz w:val="24"/>
          <w:szCs w:val="24"/>
        </w:rPr>
        <w:t xml:space="preserve"> questions.</w:t>
      </w:r>
    </w:p>
    <w:p w:rsidR="00073670" w:rsidRPr="00073670" w:rsidRDefault="00073670" w:rsidP="00836204">
      <w:pPr>
        <w:pStyle w:val="ListParagraph"/>
        <w:numPr>
          <w:ilvl w:val="0"/>
          <w:numId w:val="1"/>
        </w:numPr>
      </w:pPr>
      <w:r>
        <w:rPr>
          <w:snapToGrid w:val="0"/>
          <w:sz w:val="24"/>
          <w:szCs w:val="24"/>
        </w:rPr>
        <w:t xml:space="preserve">Failure to maintain current contact information can endanger a supplier’s license.  If a supplier fails to respond to the Commission or to a complainant due to a failure to receive a served document, consequences can include loss of a license.  </w:t>
      </w:r>
    </w:p>
    <w:p w:rsidR="00073670" w:rsidRPr="00073670" w:rsidRDefault="00073670" w:rsidP="00836204">
      <w:pPr>
        <w:pStyle w:val="ListParagraph"/>
        <w:numPr>
          <w:ilvl w:val="0"/>
          <w:numId w:val="1"/>
        </w:numPr>
      </w:pPr>
      <w:r>
        <w:rPr>
          <w:snapToGrid w:val="0"/>
          <w:sz w:val="24"/>
          <w:szCs w:val="24"/>
        </w:rPr>
        <w:t>Please designate a specific individual for receiving served documents.</w:t>
      </w:r>
    </w:p>
    <w:p w:rsidR="00073670" w:rsidRPr="00073670" w:rsidRDefault="00073670" w:rsidP="00836204">
      <w:pPr>
        <w:pStyle w:val="ListParagraph"/>
        <w:numPr>
          <w:ilvl w:val="0"/>
          <w:numId w:val="1"/>
        </w:numPr>
      </w:pPr>
      <w:r>
        <w:rPr>
          <w:snapToGrid w:val="0"/>
          <w:sz w:val="24"/>
          <w:szCs w:val="24"/>
        </w:rPr>
        <w:t xml:space="preserve">Service address/individuals have to be in the U.S.A.  Documents cannot be served to foreign locations.  </w:t>
      </w:r>
    </w:p>
    <w:p w:rsidR="00073670" w:rsidRPr="00073670" w:rsidRDefault="00073670" w:rsidP="00836204">
      <w:pPr>
        <w:pStyle w:val="ListParagraph"/>
        <w:numPr>
          <w:ilvl w:val="0"/>
          <w:numId w:val="1"/>
        </w:numPr>
      </w:pPr>
      <w:r>
        <w:rPr>
          <w:snapToGrid w:val="0"/>
          <w:sz w:val="24"/>
          <w:szCs w:val="24"/>
        </w:rPr>
        <w:t xml:space="preserve">Be careful in maintaining consistency with contact information – avoid providing the Commission with conflicting information.  </w:t>
      </w:r>
    </w:p>
    <w:p w:rsidR="00073670" w:rsidRPr="00073670" w:rsidRDefault="00073670" w:rsidP="00836204">
      <w:pPr>
        <w:pStyle w:val="ListParagraph"/>
        <w:numPr>
          <w:ilvl w:val="0"/>
          <w:numId w:val="1"/>
        </w:numPr>
      </w:pPr>
      <w:r>
        <w:rPr>
          <w:snapToGrid w:val="0"/>
          <w:sz w:val="24"/>
          <w:szCs w:val="24"/>
        </w:rPr>
        <w:t xml:space="preserve">If you are using a consulting firm to process applications, bonds, etc. please carefully monitor the consultant to ensure there are no problems.  </w:t>
      </w:r>
    </w:p>
    <w:p w:rsidR="00073670" w:rsidRPr="00073670" w:rsidRDefault="009F3EB8" w:rsidP="00836204">
      <w:pPr>
        <w:pStyle w:val="ListParagraph"/>
        <w:numPr>
          <w:ilvl w:val="0"/>
          <w:numId w:val="1"/>
        </w:numPr>
      </w:pPr>
      <w:r>
        <w:rPr>
          <w:snapToGrid w:val="0"/>
          <w:sz w:val="24"/>
          <w:szCs w:val="24"/>
        </w:rPr>
        <w:t xml:space="preserve">Question: </w:t>
      </w:r>
      <w:r w:rsidR="00073670">
        <w:rPr>
          <w:snapToGrid w:val="0"/>
          <w:sz w:val="24"/>
          <w:szCs w:val="24"/>
        </w:rPr>
        <w:t>Can confidential material be e-filed?</w:t>
      </w:r>
      <w:r w:rsidR="00073670">
        <w:rPr>
          <w:snapToGrid w:val="0"/>
          <w:sz w:val="24"/>
          <w:szCs w:val="24"/>
        </w:rPr>
        <w:br/>
        <w:t xml:space="preserve">Answer:  No, not at this time.  The Commission is exploring expanding e-filing capability to include confidential filings.  However, this will not be a reality until the Secretary is convinced that any such filing system is secure and that confidentiality can be assured. </w:t>
      </w:r>
      <w:r w:rsidR="00034630">
        <w:rPr>
          <w:snapToGrid w:val="0"/>
          <w:sz w:val="24"/>
          <w:szCs w:val="24"/>
        </w:rPr>
        <w:br/>
        <w:t xml:space="preserve">Reminder:  When filing confidential information – it is your responsibility to clearly and prominently label the filing CONFIDENTIAL.   </w:t>
      </w:r>
    </w:p>
    <w:p w:rsidR="000C4E97" w:rsidRPr="000C4E97" w:rsidRDefault="009F3EB8" w:rsidP="00836204">
      <w:pPr>
        <w:pStyle w:val="ListParagraph"/>
        <w:numPr>
          <w:ilvl w:val="0"/>
          <w:numId w:val="1"/>
        </w:numPr>
      </w:pPr>
      <w:r>
        <w:rPr>
          <w:snapToGrid w:val="0"/>
          <w:sz w:val="24"/>
          <w:szCs w:val="24"/>
        </w:rPr>
        <w:t xml:space="preserve">Question:  </w:t>
      </w:r>
      <w:r w:rsidR="00073670">
        <w:rPr>
          <w:snapToGrid w:val="0"/>
          <w:sz w:val="24"/>
          <w:szCs w:val="24"/>
        </w:rPr>
        <w:t xml:space="preserve">Can name changes and contact information </w:t>
      </w:r>
      <w:proofErr w:type="gramStart"/>
      <w:r w:rsidR="00073670">
        <w:rPr>
          <w:snapToGrid w:val="0"/>
          <w:sz w:val="24"/>
          <w:szCs w:val="24"/>
        </w:rPr>
        <w:t>be</w:t>
      </w:r>
      <w:proofErr w:type="gramEnd"/>
      <w:r w:rsidR="00073670">
        <w:rPr>
          <w:snapToGrid w:val="0"/>
          <w:sz w:val="24"/>
          <w:szCs w:val="24"/>
        </w:rPr>
        <w:t xml:space="preserve"> updated via a letter and/or email?</w:t>
      </w:r>
      <w:r w:rsidR="00073670">
        <w:rPr>
          <w:snapToGrid w:val="0"/>
          <w:sz w:val="24"/>
          <w:szCs w:val="24"/>
        </w:rPr>
        <w:br/>
      </w:r>
      <w:r>
        <w:rPr>
          <w:snapToGrid w:val="0"/>
          <w:sz w:val="24"/>
          <w:szCs w:val="24"/>
        </w:rPr>
        <w:t>Answer</w:t>
      </w:r>
      <w:proofErr w:type="gramStart"/>
      <w:r>
        <w:rPr>
          <w:snapToGrid w:val="0"/>
          <w:sz w:val="24"/>
          <w:szCs w:val="24"/>
        </w:rPr>
        <w:t>:</w:t>
      </w:r>
      <w:proofErr w:type="gramEnd"/>
      <w:r>
        <w:rPr>
          <w:snapToGrid w:val="0"/>
          <w:sz w:val="24"/>
          <w:szCs w:val="24"/>
        </w:rPr>
        <w:br/>
      </w:r>
      <w:r w:rsidR="00073670">
        <w:rPr>
          <w:snapToGrid w:val="0"/>
          <w:sz w:val="24"/>
          <w:szCs w:val="24"/>
        </w:rPr>
        <w:t xml:space="preserve">CONTACT INFORMATION:  this can be changed by emailing the Secretary at the email address provided above.  </w:t>
      </w:r>
      <w:r w:rsidR="00073670">
        <w:rPr>
          <w:snapToGrid w:val="0"/>
          <w:sz w:val="24"/>
          <w:szCs w:val="24"/>
        </w:rPr>
        <w:br/>
        <w:t xml:space="preserve">NAME CHANGE:  this has to be done more formally.  </w:t>
      </w:r>
      <w:r w:rsidR="000C4E97">
        <w:rPr>
          <w:snapToGrid w:val="0"/>
          <w:sz w:val="24"/>
          <w:szCs w:val="24"/>
        </w:rPr>
        <w:t>For NAME CHANGES, please note the following:</w:t>
      </w:r>
    </w:p>
    <w:p w:rsidR="009F3EB8" w:rsidRPr="009F3EB8" w:rsidRDefault="009F3EB8" w:rsidP="009F3EB8">
      <w:pPr>
        <w:ind w:left="1800"/>
        <w:rPr>
          <w:snapToGrid w:val="0"/>
          <w:sz w:val="24"/>
          <w:szCs w:val="24"/>
        </w:rPr>
      </w:pPr>
      <w:r w:rsidRPr="009F3EB8">
        <w:rPr>
          <w:snapToGrid w:val="0"/>
          <w:sz w:val="24"/>
          <w:szCs w:val="24"/>
        </w:rPr>
        <w:lastRenderedPageBreak/>
        <w:t>•</w:t>
      </w:r>
      <w:r w:rsidRPr="009F3EB8">
        <w:rPr>
          <w:snapToGrid w:val="0"/>
          <w:sz w:val="24"/>
          <w:szCs w:val="24"/>
        </w:rPr>
        <w:tab/>
        <w:t>The company must file a $350 filing fee</w:t>
      </w:r>
      <w:r>
        <w:rPr>
          <w:snapToGrid w:val="0"/>
          <w:sz w:val="24"/>
          <w:szCs w:val="24"/>
        </w:rPr>
        <w:t>.</w:t>
      </w:r>
    </w:p>
    <w:p w:rsidR="00836204" w:rsidRPr="00836204" w:rsidRDefault="009F3EB8" w:rsidP="009F3EB8">
      <w:pPr>
        <w:ind w:left="1800"/>
      </w:pPr>
      <w:r w:rsidRPr="009F3EB8">
        <w:rPr>
          <w:snapToGrid w:val="0"/>
          <w:sz w:val="24"/>
          <w:szCs w:val="24"/>
        </w:rPr>
        <w:t>•</w:t>
      </w:r>
      <w:r w:rsidRPr="009F3EB8">
        <w:rPr>
          <w:snapToGrid w:val="0"/>
          <w:sz w:val="24"/>
          <w:szCs w:val="24"/>
        </w:rPr>
        <w:tab/>
        <w:t xml:space="preserve">Using the </w:t>
      </w:r>
      <w:proofErr w:type="spellStart"/>
      <w:r w:rsidRPr="009F3EB8">
        <w:rPr>
          <w:snapToGrid w:val="0"/>
          <w:sz w:val="24"/>
          <w:szCs w:val="24"/>
        </w:rPr>
        <w:t>EGS</w:t>
      </w:r>
      <w:proofErr w:type="spellEnd"/>
      <w:r w:rsidRPr="009F3EB8">
        <w:rPr>
          <w:snapToGrid w:val="0"/>
          <w:sz w:val="24"/>
          <w:szCs w:val="24"/>
        </w:rPr>
        <w:t>/</w:t>
      </w:r>
      <w:proofErr w:type="spellStart"/>
      <w:r w:rsidRPr="009F3EB8">
        <w:rPr>
          <w:snapToGrid w:val="0"/>
          <w:sz w:val="24"/>
          <w:szCs w:val="24"/>
        </w:rPr>
        <w:t>NGS</w:t>
      </w:r>
      <w:proofErr w:type="spellEnd"/>
      <w:r w:rsidRPr="009F3EB8">
        <w:rPr>
          <w:snapToGrid w:val="0"/>
          <w:sz w:val="24"/>
          <w:szCs w:val="24"/>
        </w:rPr>
        <w:t xml:space="preserve"> application on the Commission’s website, complete the appropriate parts of the </w:t>
      </w:r>
      <w:proofErr w:type="spellStart"/>
      <w:r w:rsidRPr="009F3EB8">
        <w:rPr>
          <w:snapToGrid w:val="0"/>
          <w:sz w:val="24"/>
          <w:szCs w:val="24"/>
        </w:rPr>
        <w:t>EGS</w:t>
      </w:r>
      <w:proofErr w:type="spellEnd"/>
      <w:r w:rsidRPr="009F3EB8">
        <w:rPr>
          <w:snapToGrid w:val="0"/>
          <w:sz w:val="24"/>
          <w:szCs w:val="24"/>
        </w:rPr>
        <w:t>/</w:t>
      </w:r>
      <w:proofErr w:type="spellStart"/>
      <w:r w:rsidRPr="009F3EB8">
        <w:rPr>
          <w:snapToGrid w:val="0"/>
          <w:sz w:val="24"/>
          <w:szCs w:val="24"/>
        </w:rPr>
        <w:t>NGS</w:t>
      </w:r>
      <w:proofErr w:type="spellEnd"/>
      <w:r w:rsidRPr="009F3EB8">
        <w:rPr>
          <w:snapToGrid w:val="0"/>
          <w:sz w:val="24"/>
          <w:szCs w:val="24"/>
        </w:rPr>
        <w:t xml:space="preserve"> application.</w:t>
      </w:r>
      <w:r w:rsidR="000C4E97" w:rsidRPr="009F3EB8">
        <w:rPr>
          <w:snapToGrid w:val="0"/>
          <w:sz w:val="24"/>
          <w:szCs w:val="24"/>
        </w:rPr>
        <w:br/>
      </w:r>
      <w:r w:rsidR="00073670" w:rsidRPr="009F3EB8">
        <w:rPr>
          <w:snapToGrid w:val="0"/>
          <w:sz w:val="24"/>
          <w:szCs w:val="24"/>
        </w:rPr>
        <w:t xml:space="preserve">  </w:t>
      </w:r>
      <w:r w:rsidR="00836204" w:rsidRPr="009F3EB8">
        <w:rPr>
          <w:snapToGrid w:val="0"/>
          <w:sz w:val="24"/>
          <w:szCs w:val="24"/>
        </w:rPr>
        <w:t xml:space="preserve">  </w:t>
      </w:r>
    </w:p>
    <w:p w:rsidR="001903AF" w:rsidRPr="001903AF" w:rsidRDefault="001903AF" w:rsidP="001903AF">
      <w:pPr>
        <w:rPr>
          <w:b/>
          <w:sz w:val="32"/>
          <w:szCs w:val="32"/>
        </w:rPr>
      </w:pPr>
      <w:r>
        <w:rPr>
          <w:b/>
          <w:sz w:val="32"/>
          <w:szCs w:val="32"/>
        </w:rPr>
        <w:t>3</w:t>
      </w:r>
      <w:r w:rsidRPr="001903AF">
        <w:rPr>
          <w:b/>
          <w:sz w:val="32"/>
          <w:szCs w:val="32"/>
        </w:rPr>
        <w:t>)  PaPowerSwitch.com and PaGasSwitch.com Update:</w:t>
      </w:r>
    </w:p>
    <w:p w:rsidR="001903AF" w:rsidRPr="001903AF" w:rsidRDefault="001903AF" w:rsidP="00E70A12">
      <w:pPr>
        <w:ind w:left="720"/>
        <w:rPr>
          <w:snapToGrid w:val="0"/>
          <w:sz w:val="24"/>
          <w:szCs w:val="24"/>
        </w:rPr>
      </w:pPr>
      <w:r w:rsidRPr="001903AF">
        <w:rPr>
          <w:snapToGrid w:val="0"/>
          <w:sz w:val="24"/>
          <w:szCs w:val="24"/>
        </w:rPr>
        <w:t>Cyndi Page from the Commission’s Office of Communications provide</w:t>
      </w:r>
      <w:r w:rsidR="00E61D54">
        <w:rPr>
          <w:snapToGrid w:val="0"/>
          <w:sz w:val="24"/>
          <w:szCs w:val="24"/>
        </w:rPr>
        <w:t>d</w:t>
      </w:r>
      <w:r w:rsidRPr="001903AF">
        <w:rPr>
          <w:snapToGrid w:val="0"/>
          <w:sz w:val="24"/>
          <w:szCs w:val="24"/>
        </w:rPr>
        <w:t xml:space="preserve"> an update on PaPowerSwitch.com and PaGasSwitch.com</w:t>
      </w:r>
      <w:r w:rsidR="007F7800">
        <w:rPr>
          <w:snapToGrid w:val="0"/>
          <w:sz w:val="24"/>
          <w:szCs w:val="24"/>
        </w:rPr>
        <w:t xml:space="preserve"> – and answer</w:t>
      </w:r>
      <w:r w:rsidR="00E61D54">
        <w:rPr>
          <w:snapToGrid w:val="0"/>
          <w:sz w:val="24"/>
          <w:szCs w:val="24"/>
        </w:rPr>
        <w:t>ed</w:t>
      </w:r>
      <w:r w:rsidR="007F7800">
        <w:rPr>
          <w:snapToGrid w:val="0"/>
          <w:sz w:val="24"/>
          <w:szCs w:val="24"/>
        </w:rPr>
        <w:t xml:space="preserve"> questions about the websites</w:t>
      </w:r>
      <w:r w:rsidRPr="001903AF">
        <w:rPr>
          <w:snapToGrid w:val="0"/>
          <w:sz w:val="24"/>
          <w:szCs w:val="24"/>
        </w:rPr>
        <w:t xml:space="preserve">. </w:t>
      </w:r>
    </w:p>
    <w:p w:rsidR="001903AF" w:rsidRPr="001903AF" w:rsidRDefault="00C91FCA" w:rsidP="001903AF">
      <w:pPr>
        <w:pStyle w:val="ListParagraph"/>
        <w:numPr>
          <w:ilvl w:val="1"/>
          <w:numId w:val="1"/>
        </w:numPr>
        <w:rPr>
          <w:snapToGrid w:val="0"/>
          <w:sz w:val="24"/>
          <w:szCs w:val="24"/>
        </w:rPr>
      </w:pPr>
      <w:hyperlink r:id="rId13" w:history="1">
        <w:r w:rsidR="001903AF" w:rsidRPr="001903AF">
          <w:rPr>
            <w:rStyle w:val="Hyperlink"/>
            <w:snapToGrid w:val="0"/>
            <w:sz w:val="24"/>
            <w:szCs w:val="24"/>
          </w:rPr>
          <w:t>http://www.papowerswitch.com/</w:t>
        </w:r>
      </w:hyperlink>
    </w:p>
    <w:p w:rsidR="00E61D54" w:rsidRPr="00E61D54" w:rsidRDefault="00C91FCA" w:rsidP="001903AF">
      <w:pPr>
        <w:pStyle w:val="ListParagraph"/>
        <w:numPr>
          <w:ilvl w:val="1"/>
          <w:numId w:val="1"/>
        </w:numPr>
        <w:rPr>
          <w:rStyle w:val="Hyperlink"/>
          <w:b/>
          <w:color w:val="auto"/>
          <w:sz w:val="32"/>
          <w:szCs w:val="32"/>
          <w:u w:val="none"/>
        </w:rPr>
      </w:pPr>
      <w:hyperlink r:id="rId14" w:history="1">
        <w:r w:rsidR="001903AF" w:rsidRPr="001903AF">
          <w:rPr>
            <w:rStyle w:val="Hyperlink"/>
            <w:snapToGrid w:val="0"/>
            <w:sz w:val="24"/>
            <w:szCs w:val="24"/>
          </w:rPr>
          <w:t>http://www.pagasswitch.com/</w:t>
        </w:r>
      </w:hyperlink>
    </w:p>
    <w:p w:rsidR="00E61D54" w:rsidRPr="00E61D54" w:rsidRDefault="00E61D54" w:rsidP="00E61D54">
      <w:pPr>
        <w:ind w:left="360"/>
        <w:rPr>
          <w:sz w:val="24"/>
          <w:szCs w:val="24"/>
        </w:rPr>
      </w:pPr>
      <w:r w:rsidRPr="00E61D54">
        <w:rPr>
          <w:sz w:val="24"/>
          <w:szCs w:val="24"/>
        </w:rPr>
        <w:t>Current top three consumer/user complaints concerning the websites:</w:t>
      </w:r>
    </w:p>
    <w:p w:rsidR="00E61D54" w:rsidRPr="00E61D54" w:rsidRDefault="00E61D54" w:rsidP="00E61D54">
      <w:pPr>
        <w:pStyle w:val="ListParagraph"/>
        <w:numPr>
          <w:ilvl w:val="0"/>
          <w:numId w:val="13"/>
        </w:numPr>
        <w:rPr>
          <w:snapToGrid w:val="0"/>
          <w:sz w:val="24"/>
          <w:szCs w:val="24"/>
        </w:rPr>
      </w:pPr>
      <w:r w:rsidRPr="00E61D54">
        <w:rPr>
          <w:sz w:val="24"/>
          <w:szCs w:val="24"/>
        </w:rPr>
        <w:t xml:space="preserve">Confusion over fees such as “enrollment fees” or “monthly fees.”  Please use the LEARN MORE ABOUT THIS OFFER feature to describe your product and the fees clearly and prominently.  </w:t>
      </w:r>
    </w:p>
    <w:p w:rsidR="00E61D54" w:rsidRPr="00E61D54" w:rsidRDefault="00E61D54" w:rsidP="00E61D54">
      <w:pPr>
        <w:pStyle w:val="ListParagraph"/>
        <w:numPr>
          <w:ilvl w:val="0"/>
          <w:numId w:val="13"/>
        </w:numPr>
        <w:rPr>
          <w:snapToGrid w:val="0"/>
          <w:sz w:val="24"/>
          <w:szCs w:val="24"/>
        </w:rPr>
      </w:pPr>
      <w:r>
        <w:rPr>
          <w:sz w:val="24"/>
          <w:szCs w:val="24"/>
        </w:rPr>
        <w:t xml:space="preserve">Outdated pricing:  consumers can determine when the price was last updated by </w:t>
      </w:r>
      <w:proofErr w:type="gramStart"/>
      <w:r>
        <w:rPr>
          <w:sz w:val="24"/>
          <w:szCs w:val="24"/>
        </w:rPr>
        <w:t>hovering</w:t>
      </w:r>
      <w:proofErr w:type="gramEnd"/>
      <w:r>
        <w:rPr>
          <w:sz w:val="24"/>
          <w:szCs w:val="24"/>
        </w:rPr>
        <w:t xml:space="preserve"> their cursor over the “Estimated per month.”  Please update prices and keep them current.</w:t>
      </w:r>
    </w:p>
    <w:p w:rsidR="0044723E" w:rsidRPr="0044723E" w:rsidRDefault="00E61D54" w:rsidP="00E61D54">
      <w:pPr>
        <w:pStyle w:val="ListParagraph"/>
        <w:numPr>
          <w:ilvl w:val="0"/>
          <w:numId w:val="13"/>
        </w:numPr>
        <w:rPr>
          <w:snapToGrid w:val="0"/>
          <w:sz w:val="24"/>
          <w:szCs w:val="24"/>
        </w:rPr>
      </w:pPr>
      <w:r>
        <w:rPr>
          <w:sz w:val="24"/>
          <w:szCs w:val="24"/>
        </w:rPr>
        <w:t>The offer the customer ends up with differs than what is on the website.  We expect suppliers to honor the price/product they have posted on the website</w:t>
      </w:r>
      <w:r w:rsidR="0044723E">
        <w:rPr>
          <w:sz w:val="24"/>
          <w:szCs w:val="24"/>
        </w:rPr>
        <w:t>.  W</w:t>
      </w:r>
      <w:r>
        <w:rPr>
          <w:sz w:val="24"/>
          <w:szCs w:val="24"/>
        </w:rPr>
        <w:t>hen a customer clicks on “SIGN UP FOR THIS OFFER”</w:t>
      </w:r>
      <w:r w:rsidR="0044723E">
        <w:rPr>
          <w:sz w:val="24"/>
          <w:szCs w:val="24"/>
        </w:rPr>
        <w:t xml:space="preserve"> – the price/product should match what is posted on </w:t>
      </w:r>
      <w:proofErr w:type="spellStart"/>
      <w:r w:rsidR="0044723E">
        <w:rPr>
          <w:sz w:val="24"/>
          <w:szCs w:val="24"/>
        </w:rPr>
        <w:t>PaPowerSwitch</w:t>
      </w:r>
      <w:proofErr w:type="spellEnd"/>
      <w:r w:rsidR="0044723E">
        <w:rPr>
          <w:sz w:val="24"/>
          <w:szCs w:val="24"/>
        </w:rPr>
        <w:t>/</w:t>
      </w:r>
      <w:proofErr w:type="spellStart"/>
      <w:r w:rsidR="0044723E">
        <w:rPr>
          <w:sz w:val="24"/>
          <w:szCs w:val="24"/>
        </w:rPr>
        <w:t>PaGasSwitch</w:t>
      </w:r>
      <w:proofErr w:type="spellEnd"/>
      <w:r w:rsidR="0044723E">
        <w:rPr>
          <w:sz w:val="24"/>
          <w:szCs w:val="24"/>
        </w:rPr>
        <w:t xml:space="preserve">. </w:t>
      </w:r>
      <w:r>
        <w:rPr>
          <w:sz w:val="24"/>
          <w:szCs w:val="24"/>
        </w:rPr>
        <w:t xml:space="preserve">  Suppliers are free to provide access to other offers via the “VIEW ALL OFFERS” link.     </w:t>
      </w:r>
    </w:p>
    <w:p w:rsidR="001903AF" w:rsidRDefault="0044723E" w:rsidP="0044723E">
      <w:pPr>
        <w:ind w:left="720"/>
        <w:rPr>
          <w:sz w:val="24"/>
          <w:szCs w:val="24"/>
        </w:rPr>
      </w:pPr>
      <w:r>
        <w:rPr>
          <w:sz w:val="24"/>
          <w:szCs w:val="24"/>
        </w:rPr>
        <w:t xml:space="preserve">If you have a problem accessing the website, contact the webmaster directly:  Cyndi Page at </w:t>
      </w:r>
      <w:hyperlink r:id="rId15" w:history="1">
        <w:r w:rsidRPr="008111ED">
          <w:rPr>
            <w:rStyle w:val="Hyperlink"/>
            <w:sz w:val="24"/>
            <w:szCs w:val="24"/>
          </w:rPr>
          <w:t>CYPAGE@pa.gov</w:t>
        </w:r>
      </w:hyperlink>
      <w:r>
        <w:rPr>
          <w:sz w:val="24"/>
          <w:szCs w:val="24"/>
        </w:rPr>
        <w:t xml:space="preserve">.  </w:t>
      </w:r>
      <w:r w:rsidR="00E61D54" w:rsidRPr="0044723E">
        <w:rPr>
          <w:sz w:val="24"/>
          <w:szCs w:val="24"/>
        </w:rPr>
        <w:t xml:space="preserve">   </w:t>
      </w:r>
    </w:p>
    <w:p w:rsidR="0044723E" w:rsidRDefault="0044723E" w:rsidP="0044723E">
      <w:pPr>
        <w:ind w:left="720"/>
        <w:rPr>
          <w:sz w:val="24"/>
          <w:szCs w:val="24"/>
        </w:rPr>
      </w:pPr>
      <w:r>
        <w:rPr>
          <w:sz w:val="24"/>
          <w:szCs w:val="24"/>
        </w:rPr>
        <w:t>Only one account per supplier is allowed.  Your account holder can be generic email address – it does not have to be a specific individual – whichever you prefer.</w:t>
      </w:r>
    </w:p>
    <w:p w:rsidR="0044723E" w:rsidRPr="0044723E" w:rsidRDefault="0044723E" w:rsidP="0044723E">
      <w:pPr>
        <w:ind w:left="720"/>
        <w:rPr>
          <w:snapToGrid w:val="0"/>
          <w:sz w:val="24"/>
          <w:szCs w:val="24"/>
        </w:rPr>
      </w:pPr>
      <w:r>
        <w:rPr>
          <w:sz w:val="24"/>
          <w:szCs w:val="24"/>
        </w:rPr>
        <w:t>QUESTION:  Does the estimated cost per month include monthly fees?</w:t>
      </w:r>
      <w:r>
        <w:rPr>
          <w:sz w:val="24"/>
          <w:szCs w:val="24"/>
        </w:rPr>
        <w:br/>
        <w:t xml:space="preserve">ANSWER:  Yes, the calculation is supposed to include MONTHLY fees (it does not include one-time fees such as enrollment or cancellation fees).  If you see an instance where this does not appear to be occurring or calculating properly – please contact Cyndi ASAP with details (which supplier in which market, which product etc. – send a screen shot if you can.)    </w:t>
      </w:r>
    </w:p>
    <w:p w:rsidR="0044723E" w:rsidRPr="0044723E" w:rsidRDefault="0044723E" w:rsidP="0044723E">
      <w:pPr>
        <w:rPr>
          <w:snapToGrid w:val="0"/>
          <w:sz w:val="24"/>
          <w:szCs w:val="24"/>
        </w:rPr>
      </w:pPr>
      <w:r>
        <w:rPr>
          <w:snapToGrid w:val="0"/>
          <w:sz w:val="24"/>
          <w:szCs w:val="24"/>
        </w:rPr>
        <w:lastRenderedPageBreak/>
        <w:t xml:space="preserve"> </w:t>
      </w:r>
    </w:p>
    <w:p w:rsidR="00A01782" w:rsidRPr="001903AF" w:rsidRDefault="001903AF" w:rsidP="001903AF">
      <w:pPr>
        <w:rPr>
          <w:b/>
          <w:sz w:val="32"/>
          <w:szCs w:val="32"/>
        </w:rPr>
      </w:pPr>
      <w:r>
        <w:rPr>
          <w:b/>
          <w:sz w:val="32"/>
          <w:szCs w:val="32"/>
        </w:rPr>
        <w:t>4</w:t>
      </w:r>
      <w:r w:rsidR="00A01782" w:rsidRPr="001903AF">
        <w:rPr>
          <w:b/>
          <w:sz w:val="32"/>
          <w:szCs w:val="32"/>
        </w:rPr>
        <w:t xml:space="preserve">)  Reminder:  Reporting Requirements and Annual Fees:  </w:t>
      </w:r>
    </w:p>
    <w:p w:rsidR="00A01782" w:rsidRPr="0026051B" w:rsidRDefault="00A01782" w:rsidP="00A01782">
      <w:pPr>
        <w:pStyle w:val="ListParagraph"/>
        <w:numPr>
          <w:ilvl w:val="0"/>
          <w:numId w:val="9"/>
        </w:numPr>
        <w:rPr>
          <w:sz w:val="24"/>
          <w:szCs w:val="24"/>
        </w:rPr>
      </w:pPr>
      <w:r w:rsidRPr="0026051B">
        <w:rPr>
          <w:sz w:val="24"/>
          <w:szCs w:val="24"/>
        </w:rPr>
        <w:t xml:space="preserve">As a result of Act 155 of 2014, the following are due each year to the Commission from </w:t>
      </w:r>
      <w:r w:rsidR="00296550" w:rsidRPr="0026051B">
        <w:rPr>
          <w:sz w:val="24"/>
          <w:szCs w:val="24"/>
        </w:rPr>
        <w:t xml:space="preserve">each licensed </w:t>
      </w:r>
      <w:proofErr w:type="spellStart"/>
      <w:r w:rsidRPr="0026051B">
        <w:rPr>
          <w:sz w:val="24"/>
          <w:szCs w:val="24"/>
        </w:rPr>
        <w:t>EGS</w:t>
      </w:r>
      <w:proofErr w:type="spellEnd"/>
      <w:r w:rsidRPr="0026051B">
        <w:rPr>
          <w:sz w:val="24"/>
          <w:szCs w:val="24"/>
        </w:rPr>
        <w:t xml:space="preserve"> and </w:t>
      </w:r>
      <w:r w:rsidR="00296550" w:rsidRPr="0026051B">
        <w:rPr>
          <w:sz w:val="24"/>
          <w:szCs w:val="24"/>
        </w:rPr>
        <w:t xml:space="preserve">each licensed </w:t>
      </w:r>
      <w:proofErr w:type="spellStart"/>
      <w:r w:rsidRPr="0026051B">
        <w:rPr>
          <w:sz w:val="24"/>
          <w:szCs w:val="24"/>
        </w:rPr>
        <w:t>NGS</w:t>
      </w:r>
      <w:proofErr w:type="spellEnd"/>
      <w:r w:rsidRPr="0026051B">
        <w:rPr>
          <w:sz w:val="24"/>
          <w:szCs w:val="24"/>
        </w:rPr>
        <w:t>:</w:t>
      </w:r>
    </w:p>
    <w:p w:rsidR="00A01782" w:rsidRPr="0026051B" w:rsidRDefault="00A01782" w:rsidP="00A01782">
      <w:pPr>
        <w:pStyle w:val="ListParagraph"/>
        <w:numPr>
          <w:ilvl w:val="1"/>
          <w:numId w:val="1"/>
        </w:numPr>
        <w:spacing w:after="0" w:line="240" w:lineRule="auto"/>
        <w:contextualSpacing w:val="0"/>
        <w:rPr>
          <w:noProof/>
          <w:sz w:val="24"/>
          <w:szCs w:val="24"/>
        </w:rPr>
      </w:pPr>
      <w:r w:rsidRPr="0026051B">
        <w:rPr>
          <w:noProof/>
          <w:sz w:val="24"/>
          <w:szCs w:val="24"/>
        </w:rPr>
        <w:t>Payment of a $350 annual fee due July 1 of each year.</w:t>
      </w:r>
    </w:p>
    <w:p w:rsidR="00296550" w:rsidRPr="0026051B" w:rsidRDefault="00A01782" w:rsidP="00296550">
      <w:pPr>
        <w:pStyle w:val="ListParagraph"/>
        <w:numPr>
          <w:ilvl w:val="1"/>
          <w:numId w:val="1"/>
        </w:numPr>
        <w:spacing w:after="0" w:line="240" w:lineRule="auto"/>
        <w:contextualSpacing w:val="0"/>
        <w:rPr>
          <w:noProof/>
          <w:sz w:val="24"/>
          <w:szCs w:val="24"/>
        </w:rPr>
      </w:pPr>
      <w:r w:rsidRPr="0026051B">
        <w:rPr>
          <w:b/>
          <w:noProof/>
          <w:sz w:val="24"/>
          <w:szCs w:val="24"/>
        </w:rPr>
        <w:t>The reporting of Pennsylvania Intrastate Revenues on form RR-15 due by April 30</w:t>
      </w:r>
      <w:r w:rsidRPr="0026051B">
        <w:rPr>
          <w:b/>
          <w:noProof/>
          <w:sz w:val="24"/>
          <w:szCs w:val="24"/>
          <w:vertAlign w:val="superscript"/>
        </w:rPr>
        <w:t>th</w:t>
      </w:r>
      <w:r w:rsidRPr="0026051B">
        <w:rPr>
          <w:b/>
          <w:noProof/>
          <w:sz w:val="24"/>
          <w:szCs w:val="24"/>
        </w:rPr>
        <w:t>.</w:t>
      </w:r>
      <w:r w:rsidR="00296550" w:rsidRPr="0026051B">
        <w:rPr>
          <w:noProof/>
          <w:sz w:val="24"/>
          <w:szCs w:val="24"/>
        </w:rPr>
        <w:t xml:space="preserve">  This is only applicable to “SUPPLIERS” (licensees that are only Broker/Marketers do not report).  This form was mailed 3/24/17 and is not available on line.  Please e-mail </w:t>
      </w:r>
      <w:r w:rsidR="00E70A12" w:rsidRPr="0026051B">
        <w:rPr>
          <w:noProof/>
          <w:sz w:val="24"/>
          <w:szCs w:val="24"/>
        </w:rPr>
        <w:t xml:space="preserve">Yvonne Hess </w:t>
      </w:r>
      <w:hyperlink r:id="rId16" w:history="1">
        <w:r w:rsidR="00296550" w:rsidRPr="0026051B">
          <w:rPr>
            <w:rStyle w:val="Hyperlink"/>
            <w:noProof/>
            <w:sz w:val="24"/>
            <w:szCs w:val="24"/>
          </w:rPr>
          <w:t>yhess@pa.gov</w:t>
        </w:r>
      </w:hyperlink>
      <w:r w:rsidR="00296550" w:rsidRPr="0026051B">
        <w:rPr>
          <w:noProof/>
          <w:sz w:val="24"/>
          <w:szCs w:val="24"/>
        </w:rPr>
        <w:t xml:space="preserve"> if you need a copy of this form/report.</w:t>
      </w:r>
    </w:p>
    <w:p w:rsidR="00A01782" w:rsidRPr="0026051B" w:rsidRDefault="00A01782" w:rsidP="00A01782">
      <w:pPr>
        <w:pStyle w:val="ListParagraph"/>
        <w:numPr>
          <w:ilvl w:val="1"/>
          <w:numId w:val="1"/>
        </w:numPr>
        <w:spacing w:after="0" w:line="240" w:lineRule="auto"/>
        <w:contextualSpacing w:val="0"/>
        <w:rPr>
          <w:sz w:val="24"/>
          <w:szCs w:val="24"/>
        </w:rPr>
      </w:pPr>
      <w:r w:rsidRPr="0026051B">
        <w:rPr>
          <w:noProof/>
          <w:sz w:val="24"/>
          <w:szCs w:val="24"/>
        </w:rPr>
        <w:t xml:space="preserve">Payment of a supplemental assessment for </w:t>
      </w:r>
      <w:r w:rsidR="00296550" w:rsidRPr="0026051B">
        <w:rPr>
          <w:noProof/>
          <w:sz w:val="24"/>
          <w:szCs w:val="24"/>
        </w:rPr>
        <w:t>SUPPLIERS</w:t>
      </w:r>
      <w:r w:rsidRPr="0026051B">
        <w:rPr>
          <w:noProof/>
          <w:sz w:val="24"/>
          <w:szCs w:val="24"/>
        </w:rPr>
        <w:t xml:space="preserve"> in September of each year.</w:t>
      </w:r>
      <w:r w:rsidR="0026051B">
        <w:rPr>
          <w:noProof/>
          <w:sz w:val="24"/>
          <w:szCs w:val="24"/>
        </w:rPr>
        <w:br/>
      </w:r>
    </w:p>
    <w:p w:rsidR="00A01782" w:rsidRPr="0026051B" w:rsidRDefault="00A01782" w:rsidP="00292485">
      <w:pPr>
        <w:pStyle w:val="ListParagraph"/>
        <w:numPr>
          <w:ilvl w:val="0"/>
          <w:numId w:val="1"/>
        </w:numPr>
        <w:rPr>
          <w:rStyle w:val="Hyperlink"/>
          <w:color w:val="auto"/>
          <w:sz w:val="24"/>
          <w:szCs w:val="24"/>
          <w:u w:val="none"/>
        </w:rPr>
      </w:pPr>
      <w:r w:rsidRPr="0026051B">
        <w:rPr>
          <w:sz w:val="24"/>
          <w:szCs w:val="24"/>
        </w:rPr>
        <w:t xml:space="preserve">EDCs and </w:t>
      </w:r>
      <w:proofErr w:type="spellStart"/>
      <w:r w:rsidRPr="0026051B">
        <w:rPr>
          <w:sz w:val="24"/>
          <w:szCs w:val="24"/>
        </w:rPr>
        <w:t>EGSs</w:t>
      </w:r>
      <w:proofErr w:type="spellEnd"/>
      <w:r w:rsidRPr="0026051B">
        <w:rPr>
          <w:sz w:val="24"/>
          <w:szCs w:val="24"/>
        </w:rPr>
        <w:t xml:space="preserve"> are also reminded of the reporting requirements at 52 Pa. Code § 54.201 -204 (Retail Electricity Choice Sales Activity Reports).   </w:t>
      </w:r>
      <w:hyperlink r:id="rId17" w:history="1">
        <w:r w:rsidRPr="0026051B">
          <w:rPr>
            <w:rStyle w:val="Hyperlink"/>
            <w:sz w:val="24"/>
            <w:szCs w:val="24"/>
          </w:rPr>
          <w:t>http://www.pacode.com/secure/data/052/chapter54/subchapHtoc.html</w:t>
        </w:r>
      </w:hyperlink>
      <w:r w:rsidRPr="0026051B">
        <w:rPr>
          <w:sz w:val="24"/>
          <w:szCs w:val="24"/>
        </w:rPr>
        <w:t xml:space="preserve"> </w:t>
      </w:r>
      <w:r w:rsidRPr="0026051B">
        <w:rPr>
          <w:sz w:val="24"/>
          <w:szCs w:val="24"/>
        </w:rPr>
        <w:br/>
        <w:t xml:space="preserve">52 Pa Code §54.39 (Gross Receipts, electric sold, etc.):  </w:t>
      </w:r>
      <w:hyperlink r:id="rId18" w:history="1">
        <w:r w:rsidRPr="0026051B">
          <w:rPr>
            <w:rStyle w:val="Hyperlink"/>
            <w:sz w:val="24"/>
            <w:szCs w:val="24"/>
          </w:rPr>
          <w:t>http://www.pacode.com/secure/data/052/chapter54/s54.39.html</w:t>
        </w:r>
      </w:hyperlink>
      <w:r w:rsidRPr="0026051B">
        <w:rPr>
          <w:sz w:val="24"/>
          <w:szCs w:val="24"/>
        </w:rPr>
        <w:t xml:space="preserve"> </w:t>
      </w:r>
      <w:r w:rsidRPr="0026051B">
        <w:rPr>
          <w:sz w:val="24"/>
          <w:szCs w:val="24"/>
        </w:rPr>
        <w:br/>
        <w:t xml:space="preserve">Online reporting forms for the electric industry are available:  </w:t>
      </w:r>
      <w:hyperlink r:id="rId19" w:history="1">
        <w:r w:rsidR="00292485" w:rsidRPr="0026051B">
          <w:rPr>
            <w:rStyle w:val="Hyperlink"/>
            <w:sz w:val="24"/>
            <w:szCs w:val="24"/>
          </w:rPr>
          <w:t>http://www.puc.pa.gov/filing_resources/electric_online_forms.aspx</w:t>
        </w:r>
      </w:hyperlink>
      <w:r w:rsidR="00292485" w:rsidRPr="0026051B">
        <w:rPr>
          <w:sz w:val="24"/>
          <w:szCs w:val="24"/>
        </w:rPr>
        <w:t xml:space="preserve"> </w:t>
      </w:r>
      <w:r w:rsidR="00292485" w:rsidRPr="0026051B">
        <w:rPr>
          <w:sz w:val="24"/>
          <w:szCs w:val="24"/>
        </w:rPr>
        <w:br/>
        <w:t xml:space="preserve">Information on retail choice activity reports: </w:t>
      </w:r>
      <w:r w:rsidR="00292485" w:rsidRPr="0026051B">
        <w:rPr>
          <w:rStyle w:val="Hyperlink"/>
          <w:sz w:val="24"/>
          <w:szCs w:val="24"/>
        </w:rPr>
        <w:br/>
      </w:r>
      <w:hyperlink r:id="rId20" w:history="1">
        <w:r w:rsidR="00292485" w:rsidRPr="0026051B">
          <w:rPr>
            <w:rStyle w:val="Hyperlink"/>
            <w:sz w:val="24"/>
            <w:szCs w:val="24"/>
          </w:rPr>
          <w:t>http://www.puc.pa.gov/utility_industry/electricity/retail_choice_activity_reports.aspx</w:t>
        </w:r>
      </w:hyperlink>
      <w:r w:rsidR="00292485" w:rsidRPr="0026051B">
        <w:rPr>
          <w:rStyle w:val="Hyperlink"/>
          <w:color w:val="auto"/>
          <w:sz w:val="24"/>
          <w:szCs w:val="24"/>
          <w:u w:val="none"/>
        </w:rPr>
        <w:t xml:space="preserve"> </w:t>
      </w:r>
      <w:r w:rsidR="0026051B">
        <w:rPr>
          <w:rStyle w:val="Hyperlink"/>
          <w:color w:val="auto"/>
          <w:sz w:val="24"/>
          <w:szCs w:val="24"/>
          <w:u w:val="none"/>
        </w:rPr>
        <w:br/>
      </w:r>
    </w:p>
    <w:p w:rsidR="00A01782" w:rsidRPr="00A01782" w:rsidRDefault="00A01782" w:rsidP="00292485">
      <w:pPr>
        <w:pStyle w:val="ListParagraph"/>
        <w:numPr>
          <w:ilvl w:val="0"/>
          <w:numId w:val="1"/>
        </w:numPr>
      </w:pPr>
      <w:proofErr w:type="spellStart"/>
      <w:r w:rsidRPr="0026051B">
        <w:rPr>
          <w:sz w:val="24"/>
          <w:szCs w:val="24"/>
        </w:rPr>
        <w:t>NGSs</w:t>
      </w:r>
      <w:proofErr w:type="spellEnd"/>
      <w:r w:rsidRPr="0026051B">
        <w:rPr>
          <w:sz w:val="24"/>
          <w:szCs w:val="24"/>
        </w:rPr>
        <w:t xml:space="preserve"> </w:t>
      </w:r>
      <w:r w:rsidR="00296550" w:rsidRPr="0026051B">
        <w:rPr>
          <w:sz w:val="24"/>
          <w:szCs w:val="24"/>
        </w:rPr>
        <w:t xml:space="preserve">(including Brokers/Marketers) </w:t>
      </w:r>
      <w:r w:rsidRPr="0026051B">
        <w:rPr>
          <w:sz w:val="24"/>
          <w:szCs w:val="24"/>
        </w:rPr>
        <w:t xml:space="preserve">are reminded of the reporting requirements at 52 Pa Code §62.110):  </w:t>
      </w:r>
      <w:r w:rsidR="0026051B">
        <w:rPr>
          <w:sz w:val="24"/>
          <w:szCs w:val="24"/>
        </w:rPr>
        <w:br/>
      </w:r>
      <w:hyperlink r:id="rId21" w:history="1">
        <w:r w:rsidRPr="0026051B">
          <w:rPr>
            <w:rStyle w:val="Hyperlink"/>
            <w:sz w:val="24"/>
            <w:szCs w:val="24"/>
          </w:rPr>
          <w:t>http://www.pacode.com/secure/data/052/chapter62/s62.110.html</w:t>
        </w:r>
      </w:hyperlink>
      <w:r w:rsidRPr="0026051B">
        <w:rPr>
          <w:sz w:val="24"/>
          <w:szCs w:val="24"/>
        </w:rPr>
        <w:t xml:space="preserve"> </w:t>
      </w:r>
      <w:r w:rsidRPr="0026051B">
        <w:rPr>
          <w:sz w:val="24"/>
          <w:szCs w:val="24"/>
        </w:rPr>
        <w:br/>
        <w:t xml:space="preserve">Online reporting  </w:t>
      </w:r>
      <w:r w:rsidR="00CD2893" w:rsidRPr="0026051B">
        <w:rPr>
          <w:sz w:val="24"/>
          <w:szCs w:val="24"/>
        </w:rPr>
        <w:t xml:space="preserve">forms </w:t>
      </w:r>
      <w:r w:rsidRPr="0026051B">
        <w:rPr>
          <w:sz w:val="24"/>
          <w:szCs w:val="24"/>
        </w:rPr>
        <w:t>for the gas industry are available:</w:t>
      </w:r>
      <w:r w:rsidRPr="0026051B">
        <w:rPr>
          <w:sz w:val="24"/>
          <w:szCs w:val="24"/>
        </w:rPr>
        <w:br/>
      </w:r>
      <w:hyperlink r:id="rId22" w:history="1">
        <w:r w:rsidR="00292485" w:rsidRPr="0026051B">
          <w:rPr>
            <w:rStyle w:val="Hyperlink"/>
            <w:sz w:val="24"/>
            <w:szCs w:val="24"/>
          </w:rPr>
          <w:t>http://www.puc.pa.gov/filing_resources/online_forms/natural_gas_online_forms.aspx</w:t>
        </w:r>
      </w:hyperlink>
      <w:r w:rsidR="00292485" w:rsidRPr="0026051B">
        <w:rPr>
          <w:sz w:val="24"/>
          <w:szCs w:val="24"/>
        </w:rPr>
        <w:t xml:space="preserve"> </w:t>
      </w:r>
      <w:r w:rsidRPr="0026051B">
        <w:rPr>
          <w:sz w:val="24"/>
          <w:szCs w:val="24"/>
        </w:rPr>
        <w:t xml:space="preserve"> </w:t>
      </w:r>
      <w:r w:rsidRPr="0026051B">
        <w:rPr>
          <w:sz w:val="24"/>
          <w:szCs w:val="24"/>
        </w:rPr>
        <w:br/>
      </w:r>
      <w:r>
        <w:t xml:space="preserve"> </w:t>
      </w:r>
      <w:r w:rsidRPr="00A01782">
        <w:t xml:space="preserve"> </w:t>
      </w:r>
    </w:p>
    <w:p w:rsidR="00836204" w:rsidRPr="00836204" w:rsidRDefault="00A01782" w:rsidP="001903AF">
      <w:pPr>
        <w:rPr>
          <w:b/>
          <w:sz w:val="32"/>
          <w:szCs w:val="32"/>
        </w:rPr>
      </w:pPr>
      <w:r>
        <w:rPr>
          <w:b/>
          <w:sz w:val="32"/>
          <w:szCs w:val="32"/>
        </w:rPr>
        <w:t>5</w:t>
      </w:r>
      <w:r w:rsidR="00763469">
        <w:rPr>
          <w:b/>
          <w:sz w:val="32"/>
          <w:szCs w:val="32"/>
        </w:rPr>
        <w:t>)  D</w:t>
      </w:r>
      <w:r w:rsidR="00836204">
        <w:rPr>
          <w:b/>
          <w:sz w:val="32"/>
          <w:szCs w:val="32"/>
        </w:rPr>
        <w:t>oor – to – Door Marketing Reminders:</w:t>
      </w:r>
    </w:p>
    <w:p w:rsidR="0026051B" w:rsidRDefault="0026051B" w:rsidP="0026051B">
      <w:pPr>
        <w:pStyle w:val="PlainText"/>
        <w:ind w:left="360"/>
        <w:rPr>
          <w:sz w:val="24"/>
          <w:szCs w:val="24"/>
        </w:rPr>
      </w:pPr>
      <w:r>
        <w:rPr>
          <w:sz w:val="24"/>
          <w:szCs w:val="24"/>
        </w:rPr>
        <w:t xml:space="preserve">Matt Hrivnak, Manager of Compliance </w:t>
      </w:r>
      <w:r w:rsidR="007A25B1">
        <w:rPr>
          <w:sz w:val="24"/>
          <w:szCs w:val="24"/>
        </w:rPr>
        <w:t xml:space="preserve">with </w:t>
      </w:r>
      <w:r>
        <w:rPr>
          <w:sz w:val="24"/>
          <w:szCs w:val="24"/>
        </w:rPr>
        <w:t>the Commission’s Bureau of Consumer Services</w:t>
      </w:r>
      <w:r w:rsidR="007A25B1">
        <w:rPr>
          <w:sz w:val="24"/>
          <w:szCs w:val="24"/>
        </w:rPr>
        <w:t xml:space="preserve"> discussed the Commission’s door-to-door marketing regulations and reporting requirements:</w:t>
      </w:r>
      <w:r w:rsidR="007A25B1">
        <w:rPr>
          <w:sz w:val="24"/>
          <w:szCs w:val="24"/>
        </w:rPr>
        <w:br/>
      </w:r>
    </w:p>
    <w:p w:rsidR="003C633D" w:rsidRPr="003C633D" w:rsidRDefault="00296550" w:rsidP="003C633D">
      <w:pPr>
        <w:pStyle w:val="PlainText"/>
        <w:numPr>
          <w:ilvl w:val="0"/>
          <w:numId w:val="9"/>
        </w:numPr>
        <w:rPr>
          <w:sz w:val="24"/>
          <w:szCs w:val="24"/>
        </w:rPr>
      </w:pPr>
      <w:r w:rsidRPr="003C633D">
        <w:rPr>
          <w:sz w:val="24"/>
          <w:szCs w:val="24"/>
        </w:rPr>
        <w:t>On March 30, the Commission issued a press release</w:t>
      </w:r>
      <w:r w:rsidR="003C633D" w:rsidRPr="003C633D">
        <w:rPr>
          <w:sz w:val="24"/>
          <w:szCs w:val="24"/>
        </w:rPr>
        <w:t xml:space="preserve"> regarding door-to-door sales – available at this web link:  </w:t>
      </w:r>
      <w:hyperlink r:id="rId23" w:history="1">
        <w:r w:rsidR="003C633D" w:rsidRPr="003C633D">
          <w:rPr>
            <w:rStyle w:val="Hyperlink"/>
            <w:sz w:val="24"/>
            <w:szCs w:val="24"/>
          </w:rPr>
          <w:t>http://www.puc.pa.gov/about_puc/press_releases.aspx?ShowPR=3832</w:t>
        </w:r>
      </w:hyperlink>
    </w:p>
    <w:p w:rsidR="00776ED3" w:rsidRPr="00776ED3" w:rsidRDefault="003C633D" w:rsidP="00776ED3">
      <w:pPr>
        <w:pStyle w:val="PlainText"/>
        <w:numPr>
          <w:ilvl w:val="0"/>
          <w:numId w:val="9"/>
        </w:numPr>
        <w:rPr>
          <w:sz w:val="24"/>
          <w:szCs w:val="24"/>
        </w:rPr>
      </w:pPr>
      <w:r w:rsidRPr="003C633D">
        <w:rPr>
          <w:sz w:val="24"/>
          <w:szCs w:val="24"/>
        </w:rPr>
        <w:lastRenderedPageBreak/>
        <w:t>At the same time, the Commission also released a consumer education fact sheet and interview with Chairman Brown- avail</w:t>
      </w:r>
      <w:r w:rsidR="00296550" w:rsidRPr="003C633D">
        <w:rPr>
          <w:sz w:val="24"/>
          <w:szCs w:val="24"/>
        </w:rPr>
        <w:t xml:space="preserve">able at this </w:t>
      </w:r>
      <w:proofErr w:type="spellStart"/>
      <w:r w:rsidR="00296550" w:rsidRPr="003C633D">
        <w:rPr>
          <w:sz w:val="24"/>
          <w:szCs w:val="24"/>
        </w:rPr>
        <w:t>weblink</w:t>
      </w:r>
      <w:proofErr w:type="spellEnd"/>
      <w:r w:rsidR="00296550" w:rsidRPr="003C633D">
        <w:rPr>
          <w:sz w:val="24"/>
          <w:szCs w:val="24"/>
        </w:rPr>
        <w:t xml:space="preserve">:  </w:t>
      </w:r>
      <w:hyperlink r:id="rId24" w:history="1">
        <w:r w:rsidRPr="003C633D">
          <w:rPr>
            <w:rStyle w:val="Hyperlink"/>
            <w:sz w:val="24"/>
            <w:szCs w:val="24"/>
          </w:rPr>
          <w:t>http://papuc.isebox.net/electricity/puc-offers-tips-on-door-to-door-sales-by-energy-suppliers</w:t>
        </w:r>
      </w:hyperlink>
      <w:r w:rsidR="00776ED3">
        <w:rPr>
          <w:rStyle w:val="Hyperlink"/>
          <w:sz w:val="24"/>
          <w:szCs w:val="24"/>
        </w:rPr>
        <w:br/>
      </w:r>
      <w:hyperlink r:id="rId25" w:history="1">
        <w:r w:rsidR="00776ED3" w:rsidRPr="00776ED3">
          <w:rPr>
            <w:rStyle w:val="Hyperlink"/>
            <w:sz w:val="24"/>
            <w:szCs w:val="24"/>
          </w:rPr>
          <w:t>http://www.puc.pa.gov/General/consumer_ed/pdf/Door-to-Door_Tips.pdf</w:t>
        </w:r>
      </w:hyperlink>
    </w:p>
    <w:p w:rsidR="00836204" w:rsidRPr="00836204" w:rsidRDefault="00836204" w:rsidP="00836204">
      <w:pPr>
        <w:pStyle w:val="ListParagraph"/>
        <w:numPr>
          <w:ilvl w:val="0"/>
          <w:numId w:val="1"/>
        </w:numPr>
      </w:pPr>
      <w:r w:rsidRPr="003C633D">
        <w:rPr>
          <w:snapToGrid w:val="0"/>
          <w:sz w:val="24"/>
          <w:szCs w:val="24"/>
        </w:rPr>
        <w:t xml:space="preserve">Suppliers engaged in door-to-door residential marketing are reminded of the Commission’s regulations at 52 Pa Code Chapter 111: </w:t>
      </w:r>
      <w:hyperlink r:id="rId26" w:history="1">
        <w:r w:rsidRPr="003C633D">
          <w:rPr>
            <w:rStyle w:val="Hyperlink"/>
            <w:snapToGrid w:val="0"/>
            <w:sz w:val="24"/>
            <w:szCs w:val="24"/>
          </w:rPr>
          <w:t>http://www.pacode.com/secure/data/052/chapter111/chap111toc.html</w:t>
        </w:r>
      </w:hyperlink>
    </w:p>
    <w:p w:rsidR="008C067A" w:rsidRPr="00CD4003" w:rsidRDefault="00836204" w:rsidP="00836204">
      <w:pPr>
        <w:pStyle w:val="ListParagraph"/>
        <w:numPr>
          <w:ilvl w:val="0"/>
          <w:numId w:val="1"/>
        </w:numPr>
      </w:pPr>
      <w:r>
        <w:rPr>
          <w:snapToGrid w:val="0"/>
          <w:sz w:val="24"/>
          <w:szCs w:val="24"/>
        </w:rPr>
        <w:t xml:space="preserve">Suppliers are advised to contact local authorities to let them know who </w:t>
      </w:r>
      <w:r w:rsidR="008C067A">
        <w:rPr>
          <w:snapToGrid w:val="0"/>
          <w:sz w:val="24"/>
          <w:szCs w:val="24"/>
        </w:rPr>
        <w:t xml:space="preserve">you are </w:t>
      </w:r>
      <w:r>
        <w:rPr>
          <w:snapToGrid w:val="0"/>
          <w:sz w:val="24"/>
          <w:szCs w:val="24"/>
        </w:rPr>
        <w:t xml:space="preserve">and what you are doing (some municipalities have permit </w:t>
      </w:r>
      <w:r w:rsidR="008C067A">
        <w:rPr>
          <w:snapToGrid w:val="0"/>
          <w:sz w:val="24"/>
          <w:szCs w:val="24"/>
        </w:rPr>
        <w:t>ordinances</w:t>
      </w:r>
      <w:r>
        <w:rPr>
          <w:snapToGrid w:val="0"/>
          <w:sz w:val="24"/>
          <w:szCs w:val="24"/>
        </w:rPr>
        <w:t xml:space="preserve"> that</w:t>
      </w:r>
      <w:r w:rsidR="008C067A">
        <w:rPr>
          <w:snapToGrid w:val="0"/>
          <w:sz w:val="24"/>
          <w:szCs w:val="24"/>
        </w:rPr>
        <w:t xml:space="preserve"> require this)</w:t>
      </w:r>
      <w:r>
        <w:rPr>
          <w:snapToGrid w:val="0"/>
          <w:sz w:val="24"/>
          <w:szCs w:val="24"/>
        </w:rPr>
        <w:t>.</w:t>
      </w:r>
      <w:r w:rsidR="008C067A">
        <w:rPr>
          <w:snapToGrid w:val="0"/>
          <w:sz w:val="24"/>
          <w:szCs w:val="24"/>
        </w:rPr>
        <w:t xml:space="preserve">  </w:t>
      </w:r>
      <w:r w:rsidR="00BA1051">
        <w:rPr>
          <w:snapToGrid w:val="0"/>
          <w:sz w:val="24"/>
          <w:szCs w:val="24"/>
        </w:rPr>
        <w:t>L</w:t>
      </w:r>
      <w:r w:rsidR="008C067A">
        <w:rPr>
          <w:snapToGrid w:val="0"/>
          <w:sz w:val="24"/>
          <w:szCs w:val="24"/>
        </w:rPr>
        <w:t xml:space="preserve">ocal ordinances supersede </w:t>
      </w:r>
      <w:r w:rsidR="00292485">
        <w:rPr>
          <w:snapToGrid w:val="0"/>
          <w:sz w:val="24"/>
          <w:szCs w:val="24"/>
        </w:rPr>
        <w:t>PUC</w:t>
      </w:r>
      <w:r w:rsidR="008C067A">
        <w:rPr>
          <w:snapToGrid w:val="0"/>
          <w:sz w:val="24"/>
          <w:szCs w:val="24"/>
        </w:rPr>
        <w:t xml:space="preserve"> Chapter 111 regulations.  </w:t>
      </w:r>
    </w:p>
    <w:p w:rsidR="00CD4003" w:rsidRPr="00CD4003" w:rsidRDefault="00CD4003" w:rsidP="00CD4003">
      <w:pPr>
        <w:pStyle w:val="ListParagraph"/>
        <w:numPr>
          <w:ilvl w:val="0"/>
          <w:numId w:val="1"/>
        </w:numPr>
        <w:rPr>
          <w:rStyle w:val="Hyperlink"/>
          <w:snapToGrid w:val="0"/>
          <w:sz w:val="24"/>
          <w:szCs w:val="24"/>
        </w:rPr>
      </w:pPr>
      <w:r w:rsidRPr="00CD4003">
        <w:rPr>
          <w:snapToGrid w:val="0"/>
          <w:sz w:val="24"/>
          <w:szCs w:val="24"/>
        </w:rPr>
        <w:t>All door-to-door agents must have criminal background checks (including the “Megan’s Law”) performed prior to being on the street.  See 52 Pa. Code</w:t>
      </w:r>
      <w:r>
        <w:rPr>
          <w:snapToGrid w:val="0"/>
          <w:sz w:val="24"/>
          <w:szCs w:val="24"/>
        </w:rPr>
        <w:t xml:space="preserve"> §</w:t>
      </w:r>
      <w:r w:rsidRPr="00CD4003">
        <w:rPr>
          <w:snapToGrid w:val="0"/>
          <w:sz w:val="24"/>
          <w:szCs w:val="24"/>
        </w:rPr>
        <w:t xml:space="preserve"> 111.4 – available at this</w:t>
      </w:r>
      <w:r w:rsidRPr="00CD4003">
        <w:rPr>
          <w:rFonts w:ascii="Times New Roman" w:hAnsi="Times New Roman"/>
          <w:color w:val="000000"/>
          <w:sz w:val="26"/>
          <w:szCs w:val="26"/>
        </w:rPr>
        <w:t xml:space="preserve"> </w:t>
      </w:r>
      <w:proofErr w:type="spellStart"/>
      <w:r w:rsidRPr="00CD4003">
        <w:rPr>
          <w:snapToGrid w:val="0"/>
          <w:sz w:val="24"/>
          <w:szCs w:val="24"/>
        </w:rPr>
        <w:t>weblink</w:t>
      </w:r>
      <w:proofErr w:type="spellEnd"/>
      <w:r w:rsidRPr="00CD4003">
        <w:rPr>
          <w:snapToGrid w:val="0"/>
          <w:sz w:val="24"/>
          <w:szCs w:val="24"/>
        </w:rPr>
        <w:t>:</w:t>
      </w:r>
      <w:r w:rsidRPr="00CD4003">
        <w:rPr>
          <w:rFonts w:ascii="Times New Roman" w:hAnsi="Times New Roman"/>
          <w:color w:val="000000"/>
          <w:sz w:val="26"/>
          <w:szCs w:val="26"/>
        </w:rPr>
        <w:t>   </w:t>
      </w:r>
      <w:hyperlink r:id="rId27" w:history="1">
        <w:r w:rsidRPr="00CD4003">
          <w:rPr>
            <w:rStyle w:val="Hyperlink"/>
            <w:snapToGrid w:val="0"/>
            <w:sz w:val="24"/>
            <w:szCs w:val="24"/>
          </w:rPr>
          <w:t>http://www.pacode.com/secure/data/052/chapter111/s111.4.html</w:t>
        </w:r>
      </w:hyperlink>
      <w:r w:rsidRPr="00CD4003">
        <w:rPr>
          <w:rStyle w:val="Hyperlink"/>
          <w:snapToGrid w:val="0"/>
          <w:sz w:val="24"/>
          <w:szCs w:val="24"/>
        </w:rPr>
        <w:t xml:space="preserve">   </w:t>
      </w:r>
    </w:p>
    <w:p w:rsidR="0026051B" w:rsidRPr="0026051B" w:rsidRDefault="008C067A" w:rsidP="00BA1051">
      <w:pPr>
        <w:pStyle w:val="ListParagraph"/>
        <w:numPr>
          <w:ilvl w:val="0"/>
          <w:numId w:val="1"/>
        </w:numPr>
      </w:pPr>
      <w:r>
        <w:rPr>
          <w:snapToGrid w:val="0"/>
          <w:sz w:val="24"/>
          <w:szCs w:val="24"/>
        </w:rPr>
        <w:t>52 Pa Code §</w:t>
      </w:r>
      <w:r w:rsidR="00CD4003">
        <w:rPr>
          <w:snapToGrid w:val="0"/>
          <w:sz w:val="24"/>
          <w:szCs w:val="24"/>
        </w:rPr>
        <w:t xml:space="preserve"> </w:t>
      </w:r>
      <w:r>
        <w:rPr>
          <w:snapToGrid w:val="0"/>
          <w:sz w:val="24"/>
          <w:szCs w:val="24"/>
        </w:rPr>
        <w:t xml:space="preserve">111.14 requires suppliers to notify the Commission and the local utility of door-to-door operations.  Notices to the Commission should be directed to our door-to-door </w:t>
      </w:r>
      <w:proofErr w:type="gramStart"/>
      <w:r>
        <w:rPr>
          <w:snapToGrid w:val="0"/>
          <w:sz w:val="24"/>
          <w:szCs w:val="24"/>
        </w:rPr>
        <w:t>inbox :</w:t>
      </w:r>
      <w:proofErr w:type="gramEnd"/>
      <w:r>
        <w:rPr>
          <w:snapToGrid w:val="0"/>
          <w:sz w:val="24"/>
          <w:szCs w:val="24"/>
        </w:rPr>
        <w:t xml:space="preserve">  </w:t>
      </w:r>
      <w:hyperlink r:id="rId28" w:history="1">
        <w:r w:rsidRPr="00883184">
          <w:rPr>
            <w:rStyle w:val="Hyperlink"/>
            <w:snapToGrid w:val="0"/>
            <w:sz w:val="24"/>
            <w:szCs w:val="24"/>
          </w:rPr>
          <w:t>RA-PCDOORTODOOR@pa.gov</w:t>
        </w:r>
      </w:hyperlink>
      <w:r>
        <w:rPr>
          <w:snapToGrid w:val="0"/>
          <w:sz w:val="24"/>
          <w:szCs w:val="24"/>
        </w:rPr>
        <w:t xml:space="preserve">.   The notices should include geographic location (municipalities) and dates of operations.   </w:t>
      </w:r>
      <w:r w:rsidR="00BA1051">
        <w:rPr>
          <w:snapToGrid w:val="0"/>
          <w:sz w:val="24"/>
          <w:szCs w:val="24"/>
        </w:rPr>
        <w:t xml:space="preserve">Questions about these notices can be directed to Annette Falcone in the Bureau of Consumer Services at </w:t>
      </w:r>
      <w:hyperlink r:id="rId29" w:history="1">
        <w:r w:rsidR="00BA1051" w:rsidRPr="001B3A33">
          <w:rPr>
            <w:rStyle w:val="Hyperlink"/>
            <w:snapToGrid w:val="0"/>
            <w:sz w:val="24"/>
            <w:szCs w:val="24"/>
          </w:rPr>
          <w:t>anfalcone@pa.gov</w:t>
        </w:r>
      </w:hyperlink>
      <w:r w:rsidR="00BA1051">
        <w:rPr>
          <w:snapToGrid w:val="0"/>
          <w:sz w:val="24"/>
          <w:szCs w:val="24"/>
        </w:rPr>
        <w:t xml:space="preserve">. </w:t>
      </w:r>
      <w:r w:rsidR="0026051B">
        <w:rPr>
          <w:snapToGrid w:val="0"/>
          <w:sz w:val="24"/>
          <w:szCs w:val="24"/>
        </w:rPr>
        <w:br/>
      </w:r>
    </w:p>
    <w:p w:rsidR="00870F63" w:rsidRPr="00870F63" w:rsidRDefault="00C530E5" w:rsidP="00870F63">
      <w:pPr>
        <w:pStyle w:val="ListParagraph"/>
        <w:numPr>
          <w:ilvl w:val="0"/>
          <w:numId w:val="1"/>
        </w:numPr>
        <w:rPr>
          <w:snapToGrid w:val="0"/>
          <w:sz w:val="24"/>
          <w:szCs w:val="24"/>
        </w:rPr>
      </w:pPr>
      <w:r>
        <w:rPr>
          <w:snapToGrid w:val="0"/>
          <w:sz w:val="24"/>
          <w:szCs w:val="24"/>
        </w:rPr>
        <w:t xml:space="preserve">§ </w:t>
      </w:r>
      <w:r w:rsidR="00870F63" w:rsidRPr="00870F63">
        <w:rPr>
          <w:snapToGrid w:val="0"/>
          <w:sz w:val="24"/>
          <w:szCs w:val="24"/>
        </w:rPr>
        <w:t>111.9 is very specific as to how an agent is to introduce themselves</w:t>
      </w:r>
      <w:r w:rsidR="00870F63">
        <w:rPr>
          <w:snapToGrid w:val="0"/>
          <w:sz w:val="24"/>
          <w:szCs w:val="24"/>
        </w:rPr>
        <w:t xml:space="preserve"> to a potential customer</w:t>
      </w:r>
      <w:r w:rsidR="00870F63" w:rsidRPr="00870F63">
        <w:rPr>
          <w:snapToGrid w:val="0"/>
          <w:sz w:val="24"/>
          <w:szCs w:val="24"/>
        </w:rPr>
        <w:t xml:space="preserve">:  </w:t>
      </w:r>
      <w:r w:rsidR="00870F63" w:rsidRPr="00870F63">
        <w:rPr>
          <w:snapToGrid w:val="0"/>
          <w:sz w:val="24"/>
          <w:szCs w:val="24"/>
        </w:rPr>
        <w:br/>
      </w:r>
      <w:bookmarkStart w:id="0" w:name="111.9."/>
      <w:r w:rsidR="00870F63" w:rsidRPr="00870F63">
        <w:rPr>
          <w:i/>
          <w:snapToGrid w:val="0"/>
          <w:sz w:val="24"/>
          <w:szCs w:val="24"/>
        </w:rPr>
        <w:t>(d)  When engaging in door-to-door sales or marketing activities, an agent shall comply with the following:  (1)  After greeting the customer, the agent shall immediately identify himself by name, the supplier the agent represents and the reason for the visit. The agent shall state that he is not working for and is independent of the local distribution company or another supplier.</w:t>
      </w:r>
      <w:r w:rsidR="00870F63">
        <w:rPr>
          <w:i/>
          <w:snapToGrid w:val="0"/>
          <w:sz w:val="24"/>
          <w:szCs w:val="24"/>
        </w:rPr>
        <w:t xml:space="preserve"> </w:t>
      </w:r>
      <w:r w:rsidR="00870F63" w:rsidRPr="00870F63">
        <w:rPr>
          <w:i/>
          <w:snapToGrid w:val="0"/>
          <w:sz w:val="24"/>
          <w:szCs w:val="24"/>
        </w:rPr>
        <w:t>(2)  The agent shall offer a business card or other material that lists the agent’s name, identification number and title, and the supplier’s name and contact information, including telephone number. This information does not need to be preprinted on the material. When the information is handwritten, it shall be printed and legible.</w:t>
      </w:r>
      <w:r w:rsidR="00870F63">
        <w:rPr>
          <w:i/>
          <w:snapToGrid w:val="0"/>
          <w:sz w:val="24"/>
          <w:szCs w:val="24"/>
        </w:rPr>
        <w:br/>
      </w:r>
      <w:hyperlink r:id="rId30" w:history="1">
        <w:r w:rsidR="00870F63" w:rsidRPr="00870F63">
          <w:rPr>
            <w:rStyle w:val="Hyperlink"/>
            <w:snapToGrid w:val="0"/>
            <w:sz w:val="24"/>
            <w:szCs w:val="24"/>
          </w:rPr>
          <w:t>http://www.pacode.com/secure/data/052/chapter111/s111.9.html</w:t>
        </w:r>
      </w:hyperlink>
      <w:r w:rsidR="00870F63" w:rsidRPr="00870F63">
        <w:rPr>
          <w:snapToGrid w:val="0"/>
          <w:sz w:val="24"/>
          <w:szCs w:val="24"/>
        </w:rPr>
        <w:t xml:space="preserve"> </w:t>
      </w:r>
      <w:r>
        <w:rPr>
          <w:snapToGrid w:val="0"/>
          <w:sz w:val="24"/>
          <w:szCs w:val="24"/>
        </w:rPr>
        <w:br/>
      </w:r>
      <w:r>
        <w:rPr>
          <w:snapToGrid w:val="0"/>
          <w:sz w:val="24"/>
          <w:szCs w:val="24"/>
        </w:rPr>
        <w:br/>
        <w:t xml:space="preserve">A similar rule also applies to telemarketing – see § 111.10:  </w:t>
      </w:r>
      <w:hyperlink r:id="rId31" w:history="1">
        <w:r w:rsidRPr="008111ED">
          <w:rPr>
            <w:rStyle w:val="Hyperlink"/>
            <w:snapToGrid w:val="0"/>
            <w:sz w:val="24"/>
            <w:szCs w:val="24"/>
          </w:rPr>
          <w:t>http://www.pacode.com/secure/data/052/chapter111/s111.10.html</w:t>
        </w:r>
      </w:hyperlink>
      <w:r>
        <w:rPr>
          <w:snapToGrid w:val="0"/>
          <w:sz w:val="24"/>
          <w:szCs w:val="24"/>
        </w:rPr>
        <w:t xml:space="preserve">     </w:t>
      </w:r>
      <w:r>
        <w:rPr>
          <w:snapToGrid w:val="0"/>
          <w:sz w:val="24"/>
          <w:szCs w:val="24"/>
        </w:rPr>
        <w:br/>
        <w:t xml:space="preserve"> </w:t>
      </w:r>
    </w:p>
    <w:bookmarkEnd w:id="0"/>
    <w:p w:rsidR="001B563C" w:rsidRPr="001B563C" w:rsidRDefault="00870F63" w:rsidP="00C530E5">
      <w:pPr>
        <w:pStyle w:val="ListParagraph"/>
        <w:numPr>
          <w:ilvl w:val="0"/>
          <w:numId w:val="1"/>
        </w:numPr>
      </w:pPr>
      <w:r>
        <w:rPr>
          <w:snapToGrid w:val="0"/>
          <w:sz w:val="24"/>
          <w:szCs w:val="24"/>
        </w:rPr>
        <w:t>We occasionally receive reports of agents misrepresenting themselves as being affiliated or “working with” the local utility</w:t>
      </w:r>
      <w:r w:rsidR="00C530E5">
        <w:rPr>
          <w:snapToGrid w:val="0"/>
          <w:sz w:val="24"/>
          <w:szCs w:val="24"/>
        </w:rPr>
        <w:t xml:space="preserve">.  Also the use of </w:t>
      </w:r>
      <w:r>
        <w:rPr>
          <w:snapToGrid w:val="0"/>
          <w:sz w:val="24"/>
          <w:szCs w:val="24"/>
        </w:rPr>
        <w:t xml:space="preserve">opening statements like </w:t>
      </w:r>
      <w:r w:rsidRPr="00C530E5">
        <w:rPr>
          <w:i/>
          <w:snapToGrid w:val="0"/>
          <w:sz w:val="24"/>
          <w:szCs w:val="24"/>
        </w:rPr>
        <w:t xml:space="preserve">“May I see your bill?  I am here to check your bill to make sure you are receiving the discount/rebate </w:t>
      </w:r>
      <w:r w:rsidRPr="00C530E5">
        <w:rPr>
          <w:i/>
          <w:snapToGrid w:val="0"/>
          <w:sz w:val="24"/>
          <w:szCs w:val="24"/>
        </w:rPr>
        <w:lastRenderedPageBreak/>
        <w:t>you are entitled to.”</w:t>
      </w:r>
      <w:r>
        <w:rPr>
          <w:snapToGrid w:val="0"/>
          <w:sz w:val="24"/>
          <w:szCs w:val="24"/>
        </w:rPr>
        <w:t xml:space="preserve">   </w:t>
      </w:r>
      <w:r w:rsidR="00C530E5">
        <w:rPr>
          <w:snapToGrid w:val="0"/>
          <w:sz w:val="24"/>
          <w:szCs w:val="24"/>
        </w:rPr>
        <w:t xml:space="preserve">Such statements are inappropriate and possibly contrary to the above-mentioned regulations.  </w:t>
      </w:r>
    </w:p>
    <w:p w:rsidR="008C067A" w:rsidRPr="008C067A" w:rsidRDefault="001B563C" w:rsidP="00C530E5">
      <w:pPr>
        <w:pStyle w:val="ListParagraph"/>
        <w:numPr>
          <w:ilvl w:val="0"/>
          <w:numId w:val="1"/>
        </w:numPr>
      </w:pPr>
      <w:r>
        <w:rPr>
          <w:snapToGrid w:val="0"/>
          <w:sz w:val="24"/>
          <w:szCs w:val="24"/>
        </w:rPr>
        <w:t xml:space="preserve">We urge all suppliers, when using vendors to perform door-to-door and/or telemarketing, to closely monitor the vendor and to have quality assurance mechanisms in place.  </w:t>
      </w:r>
      <w:r w:rsidR="0026051B">
        <w:rPr>
          <w:snapToGrid w:val="0"/>
          <w:sz w:val="24"/>
          <w:szCs w:val="24"/>
        </w:rPr>
        <w:br/>
      </w:r>
    </w:p>
    <w:p w:rsidR="009E74C9" w:rsidRPr="00836204" w:rsidRDefault="00830B87" w:rsidP="009E74C9">
      <w:pPr>
        <w:rPr>
          <w:b/>
          <w:sz w:val="32"/>
          <w:szCs w:val="32"/>
        </w:rPr>
      </w:pPr>
      <w:r>
        <w:rPr>
          <w:b/>
          <w:sz w:val="32"/>
          <w:szCs w:val="32"/>
        </w:rPr>
        <w:t>6</w:t>
      </w:r>
      <w:r w:rsidR="009E74C9">
        <w:rPr>
          <w:b/>
          <w:sz w:val="32"/>
          <w:szCs w:val="32"/>
        </w:rPr>
        <w:t xml:space="preserve">)  </w:t>
      </w:r>
      <w:proofErr w:type="spellStart"/>
      <w:r w:rsidR="009E74C9">
        <w:rPr>
          <w:b/>
          <w:sz w:val="32"/>
          <w:szCs w:val="32"/>
        </w:rPr>
        <w:t>EGS</w:t>
      </w:r>
      <w:proofErr w:type="spellEnd"/>
      <w:r w:rsidR="009E74C9">
        <w:rPr>
          <w:b/>
          <w:sz w:val="32"/>
          <w:szCs w:val="32"/>
        </w:rPr>
        <w:t xml:space="preserve"> Disclosure Rulemaking:</w:t>
      </w:r>
    </w:p>
    <w:p w:rsidR="00321B36" w:rsidRPr="00321B36" w:rsidRDefault="00321B36" w:rsidP="00321B36">
      <w:pPr>
        <w:pStyle w:val="ListParagraph"/>
        <w:numPr>
          <w:ilvl w:val="0"/>
          <w:numId w:val="1"/>
        </w:numPr>
      </w:pPr>
      <w:r>
        <w:rPr>
          <w:snapToGrid w:val="0"/>
          <w:sz w:val="24"/>
          <w:szCs w:val="24"/>
        </w:rPr>
        <w:t xml:space="preserve">The current </w:t>
      </w:r>
      <w:proofErr w:type="spellStart"/>
      <w:r>
        <w:rPr>
          <w:snapToGrid w:val="0"/>
          <w:sz w:val="24"/>
          <w:szCs w:val="24"/>
        </w:rPr>
        <w:t>EGS</w:t>
      </w:r>
      <w:proofErr w:type="spellEnd"/>
      <w:r>
        <w:rPr>
          <w:snapToGrid w:val="0"/>
          <w:sz w:val="24"/>
          <w:szCs w:val="24"/>
        </w:rPr>
        <w:t xml:space="preserve"> disclosure regulations are at 52 Pa. Code § 54.5:  </w:t>
      </w:r>
      <w:hyperlink r:id="rId32" w:history="1">
        <w:r w:rsidRPr="00CB2D1C">
          <w:rPr>
            <w:rStyle w:val="Hyperlink"/>
            <w:snapToGrid w:val="0"/>
            <w:sz w:val="24"/>
            <w:szCs w:val="24"/>
          </w:rPr>
          <w:t>http://www.pacode.com/secure/data/052/chapter54/s54.5.html</w:t>
        </w:r>
      </w:hyperlink>
      <w:r>
        <w:rPr>
          <w:snapToGrid w:val="0"/>
          <w:sz w:val="24"/>
          <w:szCs w:val="24"/>
        </w:rPr>
        <w:t xml:space="preserve">  </w:t>
      </w:r>
    </w:p>
    <w:p w:rsidR="00321B36" w:rsidRPr="00321B36" w:rsidRDefault="00321B36" w:rsidP="00321B36">
      <w:pPr>
        <w:pStyle w:val="ListParagraph"/>
        <w:numPr>
          <w:ilvl w:val="0"/>
          <w:numId w:val="1"/>
        </w:numPr>
      </w:pPr>
      <w:r>
        <w:rPr>
          <w:snapToGrid w:val="0"/>
          <w:sz w:val="24"/>
          <w:szCs w:val="24"/>
        </w:rPr>
        <w:t>These rules were last revised in 2014 as part of the Commission’s Polar Vortex market reforms.</w:t>
      </w:r>
    </w:p>
    <w:p w:rsidR="00321B36" w:rsidRPr="00321B36" w:rsidRDefault="00321B36" w:rsidP="00321B36">
      <w:pPr>
        <w:pStyle w:val="ListParagraph"/>
        <w:numPr>
          <w:ilvl w:val="0"/>
          <w:numId w:val="1"/>
        </w:numPr>
      </w:pPr>
      <w:r>
        <w:rPr>
          <w:snapToGrid w:val="0"/>
          <w:sz w:val="24"/>
          <w:szCs w:val="24"/>
        </w:rPr>
        <w:t xml:space="preserve">The Commission has directed OCMO to revisit these rules – looking at some issues that were not addressed in 2014, but were addressed in the rulemaking that revised the </w:t>
      </w:r>
      <w:proofErr w:type="spellStart"/>
      <w:r>
        <w:rPr>
          <w:snapToGrid w:val="0"/>
          <w:sz w:val="24"/>
          <w:szCs w:val="24"/>
        </w:rPr>
        <w:t>NGS</w:t>
      </w:r>
      <w:proofErr w:type="spellEnd"/>
      <w:r>
        <w:rPr>
          <w:snapToGrid w:val="0"/>
          <w:sz w:val="24"/>
          <w:szCs w:val="24"/>
        </w:rPr>
        <w:t xml:space="preserve"> disclosure rules in 2016 (</w:t>
      </w:r>
      <w:proofErr w:type="spellStart"/>
      <w:r>
        <w:rPr>
          <w:snapToGrid w:val="0"/>
          <w:sz w:val="24"/>
          <w:szCs w:val="24"/>
        </w:rPr>
        <w:t>NGS</w:t>
      </w:r>
      <w:proofErr w:type="spellEnd"/>
      <w:r>
        <w:rPr>
          <w:snapToGrid w:val="0"/>
          <w:sz w:val="24"/>
          <w:szCs w:val="24"/>
        </w:rPr>
        <w:t xml:space="preserve"> rules </w:t>
      </w:r>
      <w:r w:rsidR="00CD4003">
        <w:rPr>
          <w:snapToGrid w:val="0"/>
          <w:sz w:val="24"/>
          <w:szCs w:val="24"/>
        </w:rPr>
        <w:t>52 Pa. Code § 62.75</w:t>
      </w:r>
      <w:r>
        <w:rPr>
          <w:snapToGrid w:val="0"/>
          <w:sz w:val="24"/>
          <w:szCs w:val="24"/>
        </w:rPr>
        <w:t xml:space="preserve">: </w:t>
      </w:r>
      <w:hyperlink r:id="rId33" w:history="1">
        <w:r w:rsidRPr="00CB2D1C">
          <w:rPr>
            <w:rStyle w:val="Hyperlink"/>
            <w:snapToGrid w:val="0"/>
            <w:sz w:val="24"/>
            <w:szCs w:val="24"/>
          </w:rPr>
          <w:t>http://www.pacode.com/secure/data/052/chapter62/s62.75.html</w:t>
        </w:r>
      </w:hyperlink>
      <w:r>
        <w:rPr>
          <w:snapToGrid w:val="0"/>
          <w:sz w:val="24"/>
          <w:szCs w:val="24"/>
        </w:rPr>
        <w:t xml:space="preserve"> ).</w:t>
      </w:r>
    </w:p>
    <w:p w:rsidR="00321B36" w:rsidRPr="00321B36" w:rsidRDefault="00321B36" w:rsidP="00321B36">
      <w:pPr>
        <w:pStyle w:val="ListParagraph"/>
        <w:numPr>
          <w:ilvl w:val="0"/>
          <w:numId w:val="1"/>
        </w:numPr>
        <w:rPr>
          <w:snapToGrid w:val="0"/>
          <w:sz w:val="24"/>
          <w:szCs w:val="24"/>
        </w:rPr>
      </w:pPr>
      <w:r w:rsidRPr="00321B36">
        <w:rPr>
          <w:snapToGrid w:val="0"/>
          <w:sz w:val="24"/>
          <w:szCs w:val="24"/>
        </w:rPr>
        <w:t>There are now some inconsistencies between the electric and natural gas disclosure rules.</w:t>
      </w:r>
      <w:r>
        <w:rPr>
          <w:snapToGrid w:val="0"/>
          <w:sz w:val="24"/>
          <w:szCs w:val="24"/>
        </w:rPr>
        <w:t xml:space="preserve">   The natural gas rules differences include:</w:t>
      </w:r>
      <w:r w:rsidR="00835EFA">
        <w:rPr>
          <w:snapToGrid w:val="0"/>
          <w:sz w:val="24"/>
          <w:szCs w:val="24"/>
        </w:rPr>
        <w:br/>
      </w:r>
    </w:p>
    <w:p w:rsidR="000F0424" w:rsidRDefault="00321B36" w:rsidP="008F6893">
      <w:pPr>
        <w:pStyle w:val="ListParagraph"/>
        <w:numPr>
          <w:ilvl w:val="1"/>
          <w:numId w:val="1"/>
        </w:numPr>
        <w:rPr>
          <w:snapToGrid w:val="0"/>
          <w:sz w:val="24"/>
          <w:szCs w:val="24"/>
        </w:rPr>
      </w:pPr>
      <w:r w:rsidRPr="000F0424">
        <w:rPr>
          <w:snapToGrid w:val="0"/>
          <w:sz w:val="24"/>
          <w:szCs w:val="24"/>
        </w:rPr>
        <w:t>Introductory Pricing</w:t>
      </w:r>
      <w:r w:rsidR="000F0424" w:rsidRPr="000F0424">
        <w:rPr>
          <w:snapToGrid w:val="0"/>
          <w:sz w:val="24"/>
          <w:szCs w:val="24"/>
        </w:rPr>
        <w:t>:  “</w:t>
      </w:r>
      <w:r w:rsidR="000F0424" w:rsidRPr="000F0424">
        <w:rPr>
          <w:i/>
          <w:sz w:val="24"/>
          <w:szCs w:val="24"/>
        </w:rPr>
        <w:t>If the price is introductory, the variable pricing statement must include a statement that the price is an introductory price, the duration of the introductory period and the price for the first billing cycle after the introductory period</w:t>
      </w:r>
      <w:r w:rsidR="000F0424" w:rsidRPr="000F0424">
        <w:rPr>
          <w:sz w:val="24"/>
          <w:szCs w:val="24"/>
        </w:rPr>
        <w:t>.”</w:t>
      </w:r>
      <w:r w:rsidR="000F0424">
        <w:t xml:space="preserve"> </w:t>
      </w:r>
      <w:r w:rsidRPr="000F0424">
        <w:rPr>
          <w:snapToGrid w:val="0"/>
          <w:sz w:val="24"/>
          <w:szCs w:val="24"/>
        </w:rPr>
        <w:t xml:space="preserve"> </w:t>
      </w:r>
    </w:p>
    <w:p w:rsidR="00321B36" w:rsidRPr="000F0424" w:rsidRDefault="00321B36" w:rsidP="008F6893">
      <w:pPr>
        <w:pStyle w:val="ListParagraph"/>
        <w:numPr>
          <w:ilvl w:val="1"/>
          <w:numId w:val="1"/>
        </w:numPr>
        <w:rPr>
          <w:snapToGrid w:val="0"/>
          <w:sz w:val="24"/>
          <w:szCs w:val="24"/>
        </w:rPr>
      </w:pPr>
      <w:r w:rsidRPr="000F0424">
        <w:rPr>
          <w:snapToGrid w:val="0"/>
          <w:sz w:val="24"/>
          <w:szCs w:val="24"/>
        </w:rPr>
        <w:t>If prices change (variable)…when and how does a customer get informed of this?</w:t>
      </w:r>
      <w:r w:rsidR="000F0424">
        <w:rPr>
          <w:snapToGrid w:val="0"/>
          <w:sz w:val="24"/>
          <w:szCs w:val="24"/>
        </w:rPr>
        <w:t xml:space="preserve">  “</w:t>
      </w:r>
      <w:r w:rsidR="000F0424" w:rsidRPr="000F0424">
        <w:rPr>
          <w:i/>
          <w:snapToGrid w:val="0"/>
          <w:sz w:val="24"/>
          <w:szCs w:val="24"/>
        </w:rPr>
        <w:t>A description of when and how the customer will receive notification of price changes</w:t>
      </w:r>
      <w:r w:rsidR="000F0424" w:rsidRPr="000F0424">
        <w:rPr>
          <w:snapToGrid w:val="0"/>
          <w:sz w:val="24"/>
          <w:szCs w:val="24"/>
        </w:rPr>
        <w:t>.</w:t>
      </w:r>
      <w:r w:rsidR="000F0424">
        <w:rPr>
          <w:snapToGrid w:val="0"/>
          <w:sz w:val="24"/>
          <w:szCs w:val="24"/>
        </w:rPr>
        <w:t>”</w:t>
      </w:r>
    </w:p>
    <w:p w:rsidR="00321B36" w:rsidRPr="000F0424" w:rsidRDefault="00321B36" w:rsidP="008F6893">
      <w:pPr>
        <w:pStyle w:val="ListParagraph"/>
        <w:numPr>
          <w:ilvl w:val="1"/>
          <w:numId w:val="1"/>
        </w:numPr>
        <w:rPr>
          <w:i/>
          <w:snapToGrid w:val="0"/>
          <w:sz w:val="24"/>
          <w:szCs w:val="24"/>
        </w:rPr>
      </w:pPr>
      <w:r w:rsidRPr="00321B36">
        <w:rPr>
          <w:snapToGrid w:val="0"/>
          <w:sz w:val="24"/>
          <w:szCs w:val="24"/>
        </w:rPr>
        <w:t>Assignment of contracts</w:t>
      </w:r>
      <w:r w:rsidR="00CD4003">
        <w:rPr>
          <w:snapToGrid w:val="0"/>
          <w:sz w:val="24"/>
          <w:szCs w:val="24"/>
        </w:rPr>
        <w:t xml:space="preserve">: </w:t>
      </w:r>
      <w:r w:rsidR="000F0424">
        <w:rPr>
          <w:snapToGrid w:val="0"/>
          <w:sz w:val="24"/>
          <w:szCs w:val="24"/>
        </w:rPr>
        <w:t xml:space="preserve">Electric is currently guided by </w:t>
      </w:r>
      <w:r w:rsidRPr="00321B36">
        <w:rPr>
          <w:snapToGrid w:val="0"/>
          <w:sz w:val="24"/>
          <w:szCs w:val="24"/>
        </w:rPr>
        <w:t>1998 Interim Guidelines</w:t>
      </w:r>
      <w:r w:rsidR="00CD4003">
        <w:rPr>
          <w:snapToGrid w:val="0"/>
          <w:sz w:val="24"/>
          <w:szCs w:val="24"/>
        </w:rPr>
        <w:t xml:space="preserve"> -</w:t>
      </w:r>
      <w:r w:rsidR="000F0424">
        <w:rPr>
          <w:snapToGrid w:val="0"/>
          <w:sz w:val="24"/>
          <w:szCs w:val="24"/>
        </w:rPr>
        <w:t xml:space="preserve">   see </w:t>
      </w:r>
      <w:proofErr w:type="spellStart"/>
      <w:r w:rsidR="000F0424">
        <w:rPr>
          <w:snapToGrid w:val="0"/>
          <w:sz w:val="24"/>
          <w:szCs w:val="24"/>
        </w:rPr>
        <w:t>weblink</w:t>
      </w:r>
      <w:proofErr w:type="spellEnd"/>
      <w:r w:rsidR="000F0424">
        <w:rPr>
          <w:snapToGrid w:val="0"/>
          <w:sz w:val="24"/>
          <w:szCs w:val="24"/>
        </w:rPr>
        <w:t xml:space="preserve">:  </w:t>
      </w:r>
      <w:hyperlink r:id="rId34" w:tgtFrame="_blank" w:history="1">
        <w:r w:rsidR="000F0424">
          <w:rPr>
            <w:rStyle w:val="Hyperlink"/>
            <w:rFonts w:ascii="Helvetica" w:hAnsi="Helvetica"/>
            <w:b/>
            <w:bCs/>
            <w:color w:val="333333"/>
            <w:sz w:val="18"/>
            <w:szCs w:val="18"/>
          </w:rPr>
          <w:t xml:space="preserve">Order on Interim Guidelines Regarding Notification by an </w:t>
        </w:r>
        <w:proofErr w:type="spellStart"/>
        <w:r w:rsidR="000F0424">
          <w:rPr>
            <w:rStyle w:val="Hyperlink"/>
            <w:rFonts w:ascii="Helvetica" w:hAnsi="Helvetica"/>
            <w:b/>
            <w:bCs/>
            <w:color w:val="333333"/>
            <w:sz w:val="18"/>
            <w:szCs w:val="18"/>
          </w:rPr>
          <w:t>EGS</w:t>
        </w:r>
        <w:proofErr w:type="spellEnd"/>
      </w:hyperlink>
      <w:r w:rsidR="000F0424">
        <w:rPr>
          <w:rFonts w:ascii="Helvetica" w:hAnsi="Helvetica"/>
          <w:color w:val="333333"/>
          <w:sz w:val="18"/>
          <w:szCs w:val="18"/>
        </w:rPr>
        <w:t xml:space="preserve"> </w:t>
      </w:r>
      <w:r w:rsidRPr="00321B36">
        <w:rPr>
          <w:snapToGrid w:val="0"/>
          <w:sz w:val="24"/>
          <w:szCs w:val="24"/>
        </w:rPr>
        <w:t>.</w:t>
      </w:r>
      <w:r w:rsidR="000F0424">
        <w:rPr>
          <w:snapToGrid w:val="0"/>
          <w:sz w:val="24"/>
          <w:szCs w:val="24"/>
        </w:rPr>
        <w:t xml:space="preserve">  </w:t>
      </w:r>
      <w:r w:rsidR="000F0424">
        <w:rPr>
          <w:snapToGrid w:val="0"/>
          <w:sz w:val="24"/>
          <w:szCs w:val="24"/>
        </w:rPr>
        <w:br/>
        <w:t xml:space="preserve">The </w:t>
      </w:r>
      <w:proofErr w:type="spellStart"/>
      <w:r w:rsidR="000F0424">
        <w:rPr>
          <w:snapToGrid w:val="0"/>
          <w:sz w:val="24"/>
          <w:szCs w:val="24"/>
        </w:rPr>
        <w:t>NGS</w:t>
      </w:r>
      <w:proofErr w:type="spellEnd"/>
      <w:r w:rsidR="000F0424">
        <w:rPr>
          <w:snapToGrid w:val="0"/>
          <w:sz w:val="24"/>
          <w:szCs w:val="24"/>
        </w:rPr>
        <w:t xml:space="preserve"> rule at 52 Pa. Code § 62.75(j):  </w:t>
      </w:r>
      <w:r w:rsidR="000F0424" w:rsidRPr="000F0424">
        <w:rPr>
          <w:snapToGrid w:val="0"/>
          <w:sz w:val="24"/>
          <w:szCs w:val="24"/>
        </w:rPr>
        <w:t> </w:t>
      </w:r>
      <w:r w:rsidR="000F0424">
        <w:rPr>
          <w:snapToGrid w:val="0"/>
          <w:sz w:val="24"/>
          <w:szCs w:val="24"/>
        </w:rPr>
        <w:t>“</w:t>
      </w:r>
      <w:r w:rsidR="000F0424" w:rsidRPr="000F0424">
        <w:rPr>
          <w:i/>
          <w:snapToGrid w:val="0"/>
          <w:sz w:val="24"/>
          <w:szCs w:val="24"/>
        </w:rPr>
        <w:t xml:space="preserve">If the contract is assignable, the </w:t>
      </w:r>
      <w:proofErr w:type="spellStart"/>
      <w:r w:rsidR="000F0424" w:rsidRPr="000F0424">
        <w:rPr>
          <w:i/>
          <w:snapToGrid w:val="0"/>
          <w:sz w:val="24"/>
          <w:szCs w:val="24"/>
        </w:rPr>
        <w:t>NGS</w:t>
      </w:r>
      <w:proofErr w:type="spellEnd"/>
      <w:r w:rsidR="000F0424" w:rsidRPr="000F0424">
        <w:rPr>
          <w:i/>
          <w:snapToGrid w:val="0"/>
          <w:sz w:val="24"/>
          <w:szCs w:val="24"/>
        </w:rPr>
        <w:t xml:space="preserve"> shall inform the customer at the time the parties enter into the contract. Prior to a contract assignment, the </w:t>
      </w:r>
      <w:proofErr w:type="spellStart"/>
      <w:r w:rsidR="000F0424" w:rsidRPr="000F0424">
        <w:rPr>
          <w:i/>
          <w:snapToGrid w:val="0"/>
          <w:sz w:val="24"/>
          <w:szCs w:val="24"/>
        </w:rPr>
        <w:t>NGS</w:t>
      </w:r>
      <w:proofErr w:type="spellEnd"/>
      <w:r w:rsidR="000F0424" w:rsidRPr="000F0424">
        <w:rPr>
          <w:i/>
          <w:snapToGrid w:val="0"/>
          <w:sz w:val="24"/>
          <w:szCs w:val="24"/>
        </w:rPr>
        <w:t xml:space="preserve"> shall provide notice to the affected customer, the affected </w:t>
      </w:r>
      <w:proofErr w:type="spellStart"/>
      <w:r w:rsidR="000F0424" w:rsidRPr="000F0424">
        <w:rPr>
          <w:i/>
          <w:snapToGrid w:val="0"/>
          <w:sz w:val="24"/>
          <w:szCs w:val="24"/>
        </w:rPr>
        <w:t>NGDC</w:t>
      </w:r>
      <w:proofErr w:type="spellEnd"/>
      <w:r w:rsidR="000F0424" w:rsidRPr="000F0424">
        <w:rPr>
          <w:i/>
          <w:snapToGrid w:val="0"/>
          <w:sz w:val="24"/>
          <w:szCs w:val="24"/>
        </w:rPr>
        <w:t xml:space="preserve"> and the Commission. The customer notice must include the name of the new </w:t>
      </w:r>
      <w:proofErr w:type="spellStart"/>
      <w:r w:rsidR="000F0424" w:rsidRPr="000F0424">
        <w:rPr>
          <w:i/>
          <w:snapToGrid w:val="0"/>
          <w:sz w:val="24"/>
          <w:szCs w:val="24"/>
        </w:rPr>
        <w:t>NGS</w:t>
      </w:r>
      <w:proofErr w:type="spellEnd"/>
      <w:r w:rsidR="000F0424" w:rsidRPr="000F0424">
        <w:rPr>
          <w:i/>
          <w:snapToGrid w:val="0"/>
          <w:sz w:val="24"/>
          <w:szCs w:val="24"/>
        </w:rPr>
        <w:t xml:space="preserve">, the contact information for the new </w:t>
      </w:r>
      <w:proofErr w:type="spellStart"/>
      <w:r w:rsidR="000F0424" w:rsidRPr="000F0424">
        <w:rPr>
          <w:i/>
          <w:snapToGrid w:val="0"/>
          <w:sz w:val="24"/>
          <w:szCs w:val="24"/>
        </w:rPr>
        <w:t>NGS</w:t>
      </w:r>
      <w:proofErr w:type="spellEnd"/>
      <w:r w:rsidR="000F0424" w:rsidRPr="000F0424">
        <w:rPr>
          <w:i/>
          <w:snapToGrid w:val="0"/>
          <w:sz w:val="24"/>
          <w:szCs w:val="24"/>
        </w:rPr>
        <w:t xml:space="preserve"> and language informing the customer that contract terms and conditions remain unchanged.</w:t>
      </w:r>
      <w:r w:rsidR="000F0424">
        <w:rPr>
          <w:i/>
          <w:snapToGrid w:val="0"/>
          <w:sz w:val="24"/>
          <w:szCs w:val="24"/>
        </w:rPr>
        <w:t>”</w:t>
      </w:r>
    </w:p>
    <w:p w:rsidR="009E74C9" w:rsidRPr="000F0424" w:rsidRDefault="000F0424" w:rsidP="000F0424">
      <w:pPr>
        <w:pStyle w:val="ListParagraph"/>
        <w:numPr>
          <w:ilvl w:val="1"/>
          <w:numId w:val="1"/>
        </w:numPr>
      </w:pPr>
      <w:r w:rsidRPr="000F0424">
        <w:rPr>
          <w:snapToGrid w:val="0"/>
          <w:sz w:val="24"/>
          <w:szCs w:val="24"/>
        </w:rPr>
        <w:t xml:space="preserve">Most references to the </w:t>
      </w:r>
      <w:proofErr w:type="spellStart"/>
      <w:r w:rsidRPr="000F0424">
        <w:rPr>
          <w:snapToGrid w:val="0"/>
          <w:sz w:val="24"/>
          <w:szCs w:val="24"/>
        </w:rPr>
        <w:t>NGDC</w:t>
      </w:r>
      <w:proofErr w:type="spellEnd"/>
      <w:r w:rsidR="00321B36" w:rsidRPr="000F0424">
        <w:rPr>
          <w:snapToGrid w:val="0"/>
          <w:sz w:val="24"/>
          <w:szCs w:val="24"/>
        </w:rPr>
        <w:t xml:space="preserve"> </w:t>
      </w:r>
      <w:r w:rsidRPr="000F0424">
        <w:rPr>
          <w:snapToGrid w:val="0"/>
          <w:sz w:val="24"/>
          <w:szCs w:val="24"/>
        </w:rPr>
        <w:t xml:space="preserve">were removed from the </w:t>
      </w:r>
      <w:proofErr w:type="spellStart"/>
      <w:r w:rsidRPr="000F0424">
        <w:rPr>
          <w:snapToGrid w:val="0"/>
          <w:sz w:val="24"/>
          <w:szCs w:val="24"/>
        </w:rPr>
        <w:t>NGS</w:t>
      </w:r>
      <w:proofErr w:type="spellEnd"/>
      <w:r w:rsidRPr="000F0424">
        <w:rPr>
          <w:snapToGrid w:val="0"/>
          <w:sz w:val="24"/>
          <w:szCs w:val="24"/>
        </w:rPr>
        <w:t xml:space="preserve"> disclosure.  </w:t>
      </w:r>
      <w:r w:rsidR="00835EFA">
        <w:rPr>
          <w:snapToGrid w:val="0"/>
          <w:sz w:val="24"/>
          <w:szCs w:val="24"/>
        </w:rPr>
        <w:br/>
      </w:r>
    </w:p>
    <w:p w:rsidR="000F0424" w:rsidRPr="002A45A5" w:rsidRDefault="000F0424" w:rsidP="000F0424">
      <w:pPr>
        <w:pStyle w:val="ListParagraph"/>
        <w:numPr>
          <w:ilvl w:val="0"/>
          <w:numId w:val="1"/>
        </w:numPr>
        <w:rPr>
          <w:b/>
          <w:snapToGrid w:val="0"/>
          <w:sz w:val="24"/>
          <w:szCs w:val="24"/>
          <w:u w:val="single"/>
        </w:rPr>
      </w:pPr>
      <w:r w:rsidRPr="002A45A5">
        <w:rPr>
          <w:b/>
          <w:snapToGrid w:val="0"/>
          <w:sz w:val="24"/>
          <w:szCs w:val="24"/>
        </w:rPr>
        <w:t xml:space="preserve">OCMO is inviting stakeholders to submit </w:t>
      </w:r>
      <w:r w:rsidRPr="002A45A5">
        <w:rPr>
          <w:b/>
          <w:snapToGrid w:val="0"/>
          <w:sz w:val="24"/>
          <w:szCs w:val="24"/>
          <w:u w:val="single"/>
        </w:rPr>
        <w:t>informal</w:t>
      </w:r>
      <w:r w:rsidRPr="002A45A5">
        <w:rPr>
          <w:b/>
          <w:snapToGrid w:val="0"/>
          <w:sz w:val="24"/>
          <w:szCs w:val="24"/>
        </w:rPr>
        <w:t xml:space="preserve"> comments on possible revisions to the </w:t>
      </w:r>
      <w:proofErr w:type="spellStart"/>
      <w:r w:rsidRPr="002A45A5">
        <w:rPr>
          <w:b/>
          <w:snapToGrid w:val="0"/>
          <w:sz w:val="24"/>
          <w:szCs w:val="24"/>
        </w:rPr>
        <w:t>EGS</w:t>
      </w:r>
      <w:proofErr w:type="spellEnd"/>
      <w:r w:rsidRPr="002A45A5">
        <w:rPr>
          <w:b/>
          <w:snapToGrid w:val="0"/>
          <w:sz w:val="24"/>
          <w:szCs w:val="24"/>
        </w:rPr>
        <w:t xml:space="preserve"> disclosure rules at 52 Pa. Code § 54.5.  These informal comments can be </w:t>
      </w:r>
      <w:r w:rsidRPr="002A45A5">
        <w:rPr>
          <w:b/>
          <w:snapToGrid w:val="0"/>
          <w:sz w:val="24"/>
          <w:szCs w:val="24"/>
        </w:rPr>
        <w:lastRenderedPageBreak/>
        <w:t xml:space="preserve">submitted to the OCMO email inbox at </w:t>
      </w:r>
      <w:hyperlink r:id="rId35" w:history="1">
        <w:r w:rsidRPr="002A45A5">
          <w:rPr>
            <w:rStyle w:val="Hyperlink"/>
            <w:b/>
            <w:snapToGrid w:val="0"/>
            <w:sz w:val="24"/>
            <w:szCs w:val="24"/>
          </w:rPr>
          <w:t>ra-ocmo@pa.gov</w:t>
        </w:r>
      </w:hyperlink>
      <w:r w:rsidR="00C84F79" w:rsidRPr="002A45A5">
        <w:rPr>
          <w:rStyle w:val="Hyperlink"/>
          <w:b/>
          <w:snapToGrid w:val="0"/>
          <w:sz w:val="24"/>
          <w:szCs w:val="24"/>
          <w:u w:val="none"/>
        </w:rPr>
        <w:t xml:space="preserve"> </w:t>
      </w:r>
      <w:r w:rsidR="00C84F79" w:rsidRPr="002A45A5">
        <w:rPr>
          <w:rStyle w:val="Hyperlink"/>
          <w:b/>
          <w:snapToGrid w:val="0"/>
          <w:color w:val="000000" w:themeColor="text1"/>
          <w:sz w:val="24"/>
          <w:szCs w:val="24"/>
          <w:u w:val="none"/>
        </w:rPr>
        <w:t>and note in the subject line “</w:t>
      </w:r>
      <w:proofErr w:type="spellStart"/>
      <w:r w:rsidR="00C84F79" w:rsidRPr="002A45A5">
        <w:rPr>
          <w:rStyle w:val="Hyperlink"/>
          <w:b/>
          <w:i/>
          <w:snapToGrid w:val="0"/>
          <w:color w:val="000000" w:themeColor="text1"/>
          <w:sz w:val="24"/>
          <w:szCs w:val="24"/>
          <w:u w:val="none"/>
        </w:rPr>
        <w:t>EGS</w:t>
      </w:r>
      <w:proofErr w:type="spellEnd"/>
      <w:r w:rsidR="00C84F79" w:rsidRPr="002A45A5">
        <w:rPr>
          <w:rStyle w:val="Hyperlink"/>
          <w:b/>
          <w:i/>
          <w:snapToGrid w:val="0"/>
          <w:color w:val="000000" w:themeColor="text1"/>
          <w:sz w:val="24"/>
          <w:szCs w:val="24"/>
          <w:u w:val="none"/>
        </w:rPr>
        <w:t xml:space="preserve"> Disclosure Comments</w:t>
      </w:r>
      <w:r w:rsidR="00C84F79" w:rsidRPr="002A45A5">
        <w:rPr>
          <w:b/>
          <w:snapToGrid w:val="0"/>
          <w:color w:val="000000" w:themeColor="text1"/>
          <w:sz w:val="24"/>
          <w:szCs w:val="24"/>
        </w:rPr>
        <w:t>”</w:t>
      </w:r>
      <w:r w:rsidRPr="002A45A5">
        <w:rPr>
          <w:b/>
          <w:snapToGrid w:val="0"/>
          <w:color w:val="000000" w:themeColor="text1"/>
          <w:sz w:val="24"/>
          <w:szCs w:val="24"/>
        </w:rPr>
        <w:t xml:space="preserve">  Plea</w:t>
      </w:r>
      <w:r w:rsidRPr="002A45A5">
        <w:rPr>
          <w:b/>
          <w:snapToGrid w:val="0"/>
          <w:sz w:val="24"/>
          <w:szCs w:val="24"/>
        </w:rPr>
        <w:t xml:space="preserve">se submit any informal comments by </w:t>
      </w:r>
      <w:r w:rsidRPr="002A45A5">
        <w:rPr>
          <w:b/>
          <w:snapToGrid w:val="0"/>
          <w:sz w:val="24"/>
          <w:szCs w:val="24"/>
          <w:u w:val="single"/>
        </w:rPr>
        <w:t xml:space="preserve">Friday, June </w:t>
      </w:r>
      <w:r w:rsidR="00C84F79" w:rsidRPr="002A45A5">
        <w:rPr>
          <w:b/>
          <w:snapToGrid w:val="0"/>
          <w:sz w:val="24"/>
          <w:szCs w:val="24"/>
          <w:u w:val="single"/>
        </w:rPr>
        <w:t>30</w:t>
      </w:r>
      <w:r w:rsidRPr="002A45A5">
        <w:rPr>
          <w:b/>
          <w:snapToGrid w:val="0"/>
          <w:sz w:val="24"/>
          <w:szCs w:val="24"/>
          <w:u w:val="single"/>
        </w:rPr>
        <w:t xml:space="preserve">, 2017.  </w:t>
      </w:r>
    </w:p>
    <w:p w:rsidR="000F0424" w:rsidRPr="00836204" w:rsidRDefault="000F0424" w:rsidP="000F0424">
      <w:pPr>
        <w:pStyle w:val="ListParagraph"/>
        <w:numPr>
          <w:ilvl w:val="0"/>
          <w:numId w:val="1"/>
        </w:numPr>
      </w:pPr>
      <w:r w:rsidRPr="00C84F79">
        <w:rPr>
          <w:snapToGrid w:val="0"/>
          <w:sz w:val="24"/>
          <w:szCs w:val="24"/>
        </w:rPr>
        <w:t xml:space="preserve">Upon review of the informal comments, OCMO </w:t>
      </w:r>
      <w:r w:rsidR="002A45A5">
        <w:rPr>
          <w:snapToGrid w:val="0"/>
          <w:sz w:val="24"/>
          <w:szCs w:val="24"/>
        </w:rPr>
        <w:t xml:space="preserve">will determine next steps and will communicate such to CHARGE.  OCMO </w:t>
      </w:r>
      <w:r w:rsidRPr="00C84F79">
        <w:rPr>
          <w:snapToGrid w:val="0"/>
          <w:sz w:val="24"/>
          <w:szCs w:val="24"/>
        </w:rPr>
        <w:t xml:space="preserve">intends to submit a proposed </w:t>
      </w:r>
      <w:proofErr w:type="spellStart"/>
      <w:r w:rsidRPr="00C84F79">
        <w:rPr>
          <w:snapToGrid w:val="0"/>
          <w:sz w:val="24"/>
          <w:szCs w:val="24"/>
        </w:rPr>
        <w:t>NOPR</w:t>
      </w:r>
      <w:proofErr w:type="spellEnd"/>
      <w:r w:rsidRPr="00C84F79">
        <w:rPr>
          <w:snapToGrid w:val="0"/>
          <w:sz w:val="24"/>
          <w:szCs w:val="24"/>
        </w:rPr>
        <w:t xml:space="preserve"> for the Commission’s consideration by the end of 2017.  </w:t>
      </w:r>
      <w:r w:rsidR="002A45A5">
        <w:rPr>
          <w:snapToGrid w:val="0"/>
          <w:sz w:val="24"/>
          <w:szCs w:val="24"/>
        </w:rPr>
        <w:br/>
      </w:r>
    </w:p>
    <w:p w:rsidR="001903AF" w:rsidRPr="00FE5645" w:rsidRDefault="001903AF" w:rsidP="001903AF">
      <w:pPr>
        <w:rPr>
          <w:b/>
          <w:sz w:val="32"/>
          <w:szCs w:val="32"/>
        </w:rPr>
      </w:pPr>
      <w:r>
        <w:rPr>
          <w:b/>
          <w:sz w:val="32"/>
          <w:szCs w:val="32"/>
        </w:rPr>
        <w:t>7</w:t>
      </w:r>
      <w:r w:rsidRPr="00FE5645">
        <w:rPr>
          <w:b/>
          <w:sz w:val="32"/>
          <w:szCs w:val="32"/>
        </w:rPr>
        <w:t xml:space="preserve">)  </w:t>
      </w:r>
      <w:r w:rsidRPr="001903AF">
        <w:rPr>
          <w:b/>
          <w:sz w:val="32"/>
          <w:szCs w:val="32"/>
        </w:rPr>
        <w:t>Informal Review of PJM Non-Market Based Charges</w:t>
      </w:r>
      <w:r>
        <w:rPr>
          <w:b/>
          <w:sz w:val="32"/>
          <w:szCs w:val="32"/>
        </w:rPr>
        <w:t>:</w:t>
      </w:r>
    </w:p>
    <w:p w:rsidR="001903AF" w:rsidRPr="00A81A08" w:rsidRDefault="001903AF" w:rsidP="001903AF">
      <w:pPr>
        <w:pStyle w:val="ListParagraph"/>
        <w:numPr>
          <w:ilvl w:val="0"/>
          <w:numId w:val="10"/>
        </w:numPr>
        <w:rPr>
          <w:b/>
          <w:sz w:val="32"/>
          <w:szCs w:val="32"/>
        </w:rPr>
      </w:pPr>
      <w:r w:rsidRPr="001903AF">
        <w:rPr>
          <w:snapToGrid w:val="0"/>
          <w:sz w:val="24"/>
          <w:szCs w:val="24"/>
        </w:rPr>
        <w:t>See the May 1, 2015 Secretarial Letter attached to this agenda for details of this review.</w:t>
      </w:r>
    </w:p>
    <w:p w:rsidR="00A81A08" w:rsidRPr="00A81A08" w:rsidRDefault="00A81A08" w:rsidP="00A81A08">
      <w:pPr>
        <w:pStyle w:val="ListParagraph"/>
        <w:numPr>
          <w:ilvl w:val="0"/>
          <w:numId w:val="10"/>
        </w:numPr>
        <w:rPr>
          <w:snapToGrid w:val="0"/>
          <w:sz w:val="24"/>
          <w:szCs w:val="24"/>
        </w:rPr>
      </w:pPr>
      <w:r>
        <w:rPr>
          <w:snapToGrid w:val="0"/>
          <w:sz w:val="24"/>
          <w:szCs w:val="24"/>
        </w:rPr>
        <w:t>“</w:t>
      </w:r>
      <w:r w:rsidRPr="007F7800">
        <w:rPr>
          <w:i/>
          <w:snapToGrid w:val="0"/>
          <w:sz w:val="24"/>
          <w:szCs w:val="24"/>
        </w:rPr>
        <w:t xml:space="preserve">The intent of this informal investigation is to determine if there is a need to address </w:t>
      </w:r>
      <w:proofErr w:type="gramStart"/>
      <w:r w:rsidRPr="007F7800">
        <w:rPr>
          <w:i/>
          <w:snapToGrid w:val="0"/>
          <w:sz w:val="24"/>
          <w:szCs w:val="24"/>
        </w:rPr>
        <w:t>these non-market</w:t>
      </w:r>
      <w:proofErr w:type="gramEnd"/>
      <w:r w:rsidRPr="007F7800">
        <w:rPr>
          <w:i/>
          <w:snapToGrid w:val="0"/>
          <w:sz w:val="24"/>
          <w:szCs w:val="24"/>
        </w:rPr>
        <w:t xml:space="preserve"> based wholesale market charges in a more uniform and comprehensive way that would facilitate and enhance the retail electric market during future proceedings</w:t>
      </w:r>
      <w:r w:rsidRPr="00A81A08">
        <w:rPr>
          <w:snapToGrid w:val="0"/>
          <w:sz w:val="24"/>
          <w:szCs w:val="24"/>
        </w:rPr>
        <w:t>.</w:t>
      </w:r>
      <w:r>
        <w:rPr>
          <w:snapToGrid w:val="0"/>
          <w:sz w:val="24"/>
          <w:szCs w:val="24"/>
        </w:rPr>
        <w:t>”</w:t>
      </w:r>
      <w:r w:rsidRPr="00A81A08">
        <w:rPr>
          <w:snapToGrid w:val="0"/>
          <w:sz w:val="24"/>
          <w:szCs w:val="24"/>
        </w:rPr>
        <w:t xml:space="preserve">   </w:t>
      </w:r>
    </w:p>
    <w:p w:rsidR="001903AF" w:rsidRPr="001903AF" w:rsidRDefault="001903AF" w:rsidP="001903AF">
      <w:pPr>
        <w:pStyle w:val="ListParagraph"/>
        <w:numPr>
          <w:ilvl w:val="0"/>
          <w:numId w:val="10"/>
        </w:numPr>
        <w:rPr>
          <w:b/>
          <w:sz w:val="32"/>
          <w:szCs w:val="32"/>
        </w:rPr>
      </w:pPr>
      <w:r>
        <w:rPr>
          <w:snapToGrid w:val="0"/>
          <w:sz w:val="24"/>
          <w:szCs w:val="24"/>
        </w:rPr>
        <w:t xml:space="preserve">OCMO put this review on hold while the most recent round of </w:t>
      </w:r>
      <w:r w:rsidR="00477E65">
        <w:rPr>
          <w:snapToGrid w:val="0"/>
          <w:sz w:val="24"/>
          <w:szCs w:val="24"/>
        </w:rPr>
        <w:t>D</w:t>
      </w:r>
      <w:r>
        <w:rPr>
          <w:snapToGrid w:val="0"/>
          <w:sz w:val="24"/>
          <w:szCs w:val="24"/>
        </w:rPr>
        <w:t xml:space="preserve">efault </w:t>
      </w:r>
      <w:r w:rsidR="00477E65">
        <w:rPr>
          <w:snapToGrid w:val="0"/>
          <w:sz w:val="24"/>
          <w:szCs w:val="24"/>
        </w:rPr>
        <w:t>S</w:t>
      </w:r>
      <w:r>
        <w:rPr>
          <w:snapToGrid w:val="0"/>
          <w:sz w:val="24"/>
          <w:szCs w:val="24"/>
        </w:rPr>
        <w:t xml:space="preserve">ervice </w:t>
      </w:r>
      <w:r w:rsidR="00477E65">
        <w:rPr>
          <w:snapToGrid w:val="0"/>
          <w:sz w:val="24"/>
          <w:szCs w:val="24"/>
        </w:rPr>
        <w:t>P</w:t>
      </w:r>
      <w:r>
        <w:rPr>
          <w:snapToGrid w:val="0"/>
          <w:sz w:val="24"/>
          <w:szCs w:val="24"/>
        </w:rPr>
        <w:t xml:space="preserve">lans </w:t>
      </w:r>
      <w:r w:rsidR="00477E65">
        <w:rPr>
          <w:snapToGrid w:val="0"/>
          <w:sz w:val="24"/>
          <w:szCs w:val="24"/>
        </w:rPr>
        <w:t>(</w:t>
      </w:r>
      <w:r>
        <w:rPr>
          <w:snapToGrid w:val="0"/>
          <w:sz w:val="24"/>
          <w:szCs w:val="24"/>
        </w:rPr>
        <w:t xml:space="preserve">DSPs) </w:t>
      </w:r>
      <w:proofErr w:type="gramStart"/>
      <w:r>
        <w:rPr>
          <w:snapToGrid w:val="0"/>
          <w:sz w:val="24"/>
          <w:szCs w:val="24"/>
        </w:rPr>
        <w:t>were</w:t>
      </w:r>
      <w:proofErr w:type="gramEnd"/>
      <w:r>
        <w:rPr>
          <w:snapToGrid w:val="0"/>
          <w:sz w:val="24"/>
          <w:szCs w:val="24"/>
        </w:rPr>
        <w:t xml:space="preserve"> being litigated.</w:t>
      </w:r>
    </w:p>
    <w:p w:rsidR="001903AF" w:rsidRPr="001903AF" w:rsidRDefault="001903AF" w:rsidP="001903AF">
      <w:pPr>
        <w:pStyle w:val="ListParagraph"/>
        <w:numPr>
          <w:ilvl w:val="0"/>
          <w:numId w:val="10"/>
        </w:numPr>
        <w:rPr>
          <w:b/>
          <w:sz w:val="32"/>
          <w:szCs w:val="32"/>
        </w:rPr>
      </w:pPr>
      <w:r>
        <w:rPr>
          <w:snapToGrid w:val="0"/>
          <w:sz w:val="24"/>
          <w:szCs w:val="24"/>
        </w:rPr>
        <w:t xml:space="preserve">Now that the most recent round of DSP litigation has been concluded, OCMO is resuming this review and would like to broaden it by inviting any interested party to submit </w:t>
      </w:r>
      <w:r w:rsidRPr="00477E65">
        <w:rPr>
          <w:snapToGrid w:val="0"/>
          <w:sz w:val="24"/>
          <w:szCs w:val="24"/>
          <w:u w:val="single"/>
        </w:rPr>
        <w:t>informal</w:t>
      </w:r>
      <w:r>
        <w:rPr>
          <w:snapToGrid w:val="0"/>
          <w:sz w:val="24"/>
          <w:szCs w:val="24"/>
        </w:rPr>
        <w:t xml:space="preserve"> comments on the issues and questions raised in the Secretarial Letter.  </w:t>
      </w:r>
    </w:p>
    <w:p w:rsidR="00477E65" w:rsidRPr="002A45A5" w:rsidRDefault="00477E65" w:rsidP="00477E65">
      <w:pPr>
        <w:pStyle w:val="ListParagraph"/>
        <w:numPr>
          <w:ilvl w:val="0"/>
          <w:numId w:val="10"/>
        </w:numPr>
        <w:rPr>
          <w:b/>
          <w:snapToGrid w:val="0"/>
          <w:sz w:val="24"/>
          <w:szCs w:val="24"/>
        </w:rPr>
      </w:pPr>
      <w:r w:rsidRPr="002A45A5">
        <w:rPr>
          <w:b/>
          <w:snapToGrid w:val="0"/>
          <w:sz w:val="24"/>
          <w:szCs w:val="24"/>
        </w:rPr>
        <w:t xml:space="preserve">These informal comments can be submitted to the OCMO email inbox at </w:t>
      </w:r>
      <w:r w:rsidR="00C84F79" w:rsidRPr="002A45A5">
        <w:rPr>
          <w:b/>
          <w:snapToGrid w:val="0"/>
          <w:sz w:val="24"/>
          <w:szCs w:val="24"/>
        </w:rPr>
        <w:br/>
      </w:r>
      <w:hyperlink r:id="rId36" w:history="1">
        <w:r w:rsidRPr="002A45A5">
          <w:rPr>
            <w:rStyle w:val="Hyperlink"/>
            <w:b/>
            <w:snapToGrid w:val="0"/>
            <w:sz w:val="24"/>
            <w:szCs w:val="24"/>
          </w:rPr>
          <w:t>ra-ocmo@pa.gov</w:t>
        </w:r>
      </w:hyperlink>
      <w:r w:rsidR="00C84F79" w:rsidRPr="002A45A5">
        <w:rPr>
          <w:rStyle w:val="Hyperlink"/>
          <w:b/>
          <w:snapToGrid w:val="0"/>
          <w:sz w:val="24"/>
          <w:szCs w:val="24"/>
          <w:u w:val="none"/>
        </w:rPr>
        <w:t xml:space="preserve"> </w:t>
      </w:r>
      <w:r w:rsidR="00C84F79" w:rsidRPr="002A45A5">
        <w:rPr>
          <w:rStyle w:val="Hyperlink"/>
          <w:b/>
          <w:snapToGrid w:val="0"/>
          <w:color w:val="000000" w:themeColor="text1"/>
          <w:sz w:val="24"/>
          <w:szCs w:val="24"/>
          <w:u w:val="none"/>
        </w:rPr>
        <w:t>and note in the subject line “</w:t>
      </w:r>
      <w:proofErr w:type="spellStart"/>
      <w:r w:rsidR="00C84F79" w:rsidRPr="002A45A5">
        <w:rPr>
          <w:rStyle w:val="Hyperlink"/>
          <w:b/>
          <w:i/>
          <w:snapToGrid w:val="0"/>
          <w:color w:val="000000" w:themeColor="text1"/>
          <w:sz w:val="24"/>
          <w:szCs w:val="24"/>
          <w:u w:val="none"/>
        </w:rPr>
        <w:t>NMB</w:t>
      </w:r>
      <w:proofErr w:type="spellEnd"/>
      <w:r w:rsidR="00C84F79" w:rsidRPr="002A45A5">
        <w:rPr>
          <w:rStyle w:val="Hyperlink"/>
          <w:b/>
          <w:i/>
          <w:snapToGrid w:val="0"/>
          <w:color w:val="000000" w:themeColor="text1"/>
          <w:sz w:val="24"/>
          <w:szCs w:val="24"/>
          <w:u w:val="none"/>
        </w:rPr>
        <w:t xml:space="preserve"> Charges Review Comments</w:t>
      </w:r>
      <w:r w:rsidR="00C84F79" w:rsidRPr="002A45A5">
        <w:rPr>
          <w:rStyle w:val="Hyperlink"/>
          <w:b/>
          <w:snapToGrid w:val="0"/>
          <w:color w:val="000000" w:themeColor="text1"/>
          <w:sz w:val="24"/>
          <w:szCs w:val="24"/>
          <w:u w:val="none"/>
        </w:rPr>
        <w:t>.</w:t>
      </w:r>
      <w:r w:rsidR="00C84F79" w:rsidRPr="002A45A5">
        <w:rPr>
          <w:b/>
          <w:snapToGrid w:val="0"/>
          <w:color w:val="000000" w:themeColor="text1"/>
          <w:sz w:val="24"/>
          <w:szCs w:val="24"/>
        </w:rPr>
        <w:t>”</w:t>
      </w:r>
      <w:r w:rsidRPr="002A45A5">
        <w:rPr>
          <w:b/>
          <w:snapToGrid w:val="0"/>
          <w:sz w:val="24"/>
          <w:szCs w:val="24"/>
        </w:rPr>
        <w:t xml:space="preserve">  Please submit any informal comments by </w:t>
      </w:r>
      <w:r w:rsidR="00C84F79" w:rsidRPr="002A45A5">
        <w:rPr>
          <w:b/>
          <w:snapToGrid w:val="0"/>
          <w:sz w:val="24"/>
          <w:szCs w:val="24"/>
          <w:u w:val="single"/>
        </w:rPr>
        <w:t>Monday</w:t>
      </w:r>
      <w:r w:rsidRPr="002A45A5">
        <w:rPr>
          <w:b/>
          <w:snapToGrid w:val="0"/>
          <w:sz w:val="24"/>
          <w:szCs w:val="24"/>
          <w:u w:val="single"/>
        </w:rPr>
        <w:t xml:space="preserve">, July </w:t>
      </w:r>
      <w:r w:rsidR="00C84F79" w:rsidRPr="002A45A5">
        <w:rPr>
          <w:b/>
          <w:snapToGrid w:val="0"/>
          <w:sz w:val="24"/>
          <w:szCs w:val="24"/>
          <w:u w:val="single"/>
        </w:rPr>
        <w:t>3</w:t>
      </w:r>
      <w:r w:rsidR="00051B2F" w:rsidRPr="002A45A5">
        <w:rPr>
          <w:b/>
          <w:snapToGrid w:val="0"/>
          <w:sz w:val="24"/>
          <w:szCs w:val="24"/>
          <w:u w:val="single"/>
        </w:rPr>
        <w:t>1</w:t>
      </w:r>
      <w:r w:rsidRPr="002A45A5">
        <w:rPr>
          <w:b/>
          <w:snapToGrid w:val="0"/>
          <w:sz w:val="24"/>
          <w:szCs w:val="24"/>
          <w:u w:val="single"/>
        </w:rPr>
        <w:t>, 2017</w:t>
      </w:r>
      <w:r w:rsidRPr="002A45A5">
        <w:rPr>
          <w:b/>
          <w:snapToGrid w:val="0"/>
          <w:sz w:val="24"/>
          <w:szCs w:val="24"/>
        </w:rPr>
        <w:t xml:space="preserve"> and include contact information with your comments.</w:t>
      </w:r>
    </w:p>
    <w:p w:rsidR="00477E65" w:rsidRPr="002A45A5" w:rsidRDefault="00477E65" w:rsidP="00477E65">
      <w:pPr>
        <w:pStyle w:val="ListParagraph"/>
        <w:numPr>
          <w:ilvl w:val="0"/>
          <w:numId w:val="10"/>
        </w:numPr>
      </w:pPr>
      <w:r>
        <w:rPr>
          <w:snapToGrid w:val="0"/>
          <w:sz w:val="24"/>
          <w:szCs w:val="24"/>
        </w:rPr>
        <w:t xml:space="preserve">Upon review of the informal comments, OCMO may follow-up with individual parties for further discussion.    </w:t>
      </w:r>
    </w:p>
    <w:p w:rsidR="002A45A5" w:rsidRPr="002A45A5" w:rsidRDefault="002A45A5" w:rsidP="00477E65">
      <w:pPr>
        <w:pStyle w:val="ListParagraph"/>
        <w:numPr>
          <w:ilvl w:val="0"/>
          <w:numId w:val="10"/>
        </w:numPr>
      </w:pPr>
      <w:r>
        <w:rPr>
          <w:snapToGrid w:val="0"/>
          <w:sz w:val="24"/>
          <w:szCs w:val="24"/>
        </w:rPr>
        <w:t xml:space="preserve">If any party prefers to discuss this matter in lieu of (or in addition to) comments – please contact OCMO at the above email address and we can set something up (either an in-person meeting or a conference call).   </w:t>
      </w:r>
    </w:p>
    <w:p w:rsidR="002A45A5" w:rsidRPr="000F0424" w:rsidRDefault="002A45A5" w:rsidP="002A45A5">
      <w:pPr>
        <w:ind w:left="360"/>
      </w:pPr>
    </w:p>
    <w:p w:rsidR="0019459D" w:rsidRPr="0019459D" w:rsidRDefault="0019459D" w:rsidP="0019459D">
      <w:pPr>
        <w:rPr>
          <w:b/>
          <w:sz w:val="32"/>
          <w:szCs w:val="32"/>
        </w:rPr>
      </w:pPr>
      <w:r w:rsidRPr="0019459D">
        <w:rPr>
          <w:b/>
          <w:sz w:val="32"/>
          <w:szCs w:val="32"/>
        </w:rPr>
        <w:t>8)  Web Portals – Smart Meter Data Availability:</w:t>
      </w:r>
    </w:p>
    <w:p w:rsidR="00441E08" w:rsidRPr="002A45A5" w:rsidRDefault="0019459D" w:rsidP="00441E08">
      <w:pPr>
        <w:pStyle w:val="ListParagraph"/>
        <w:numPr>
          <w:ilvl w:val="0"/>
          <w:numId w:val="10"/>
        </w:numPr>
        <w:rPr>
          <w:b/>
          <w:sz w:val="32"/>
          <w:szCs w:val="32"/>
        </w:rPr>
      </w:pPr>
      <w:r w:rsidRPr="00441E08">
        <w:rPr>
          <w:snapToGrid w:val="0"/>
          <w:sz w:val="24"/>
          <w:szCs w:val="24"/>
        </w:rPr>
        <w:t>A reminder to suppliers that as smart-metering deployment advances among the EDCs – please stay in contact with the EDCs as to what data is available via the web-portals that were established in late 2016.</w:t>
      </w:r>
    </w:p>
    <w:p w:rsidR="002A45A5" w:rsidRPr="00441E08" w:rsidRDefault="002A45A5" w:rsidP="00441E08">
      <w:pPr>
        <w:pStyle w:val="ListParagraph"/>
        <w:numPr>
          <w:ilvl w:val="0"/>
          <w:numId w:val="10"/>
        </w:numPr>
        <w:rPr>
          <w:b/>
          <w:sz w:val="32"/>
          <w:szCs w:val="32"/>
        </w:rPr>
      </w:pPr>
      <w:r>
        <w:rPr>
          <w:snapToGrid w:val="0"/>
          <w:sz w:val="24"/>
          <w:szCs w:val="24"/>
        </w:rPr>
        <w:t xml:space="preserve">QUESTION:  Has OCMO/CHARGE considered further examination customer consent procedures for accessing smart-meter data?  </w:t>
      </w:r>
      <w:r>
        <w:rPr>
          <w:snapToGrid w:val="0"/>
          <w:sz w:val="24"/>
          <w:szCs w:val="24"/>
        </w:rPr>
        <w:br/>
        <w:t xml:space="preserve">ANSWER:  staff will look at the statute, regulations and relevant orders and if further </w:t>
      </w:r>
      <w:r>
        <w:rPr>
          <w:snapToGrid w:val="0"/>
          <w:sz w:val="24"/>
          <w:szCs w:val="24"/>
        </w:rPr>
        <w:lastRenderedPageBreak/>
        <w:t>examination is needed – will bring the matter to CHARGE.</w:t>
      </w:r>
      <w:r>
        <w:rPr>
          <w:snapToGrid w:val="0"/>
          <w:sz w:val="24"/>
          <w:szCs w:val="24"/>
        </w:rPr>
        <w:br/>
      </w:r>
    </w:p>
    <w:p w:rsidR="008C067A" w:rsidRPr="00441E08" w:rsidRDefault="00441E08" w:rsidP="00441E08">
      <w:pPr>
        <w:rPr>
          <w:b/>
          <w:sz w:val="32"/>
          <w:szCs w:val="32"/>
        </w:rPr>
      </w:pPr>
      <w:r w:rsidRPr="00441E08">
        <w:rPr>
          <w:b/>
          <w:sz w:val="32"/>
          <w:szCs w:val="32"/>
        </w:rPr>
        <w:t>9</w:t>
      </w:r>
      <w:r w:rsidR="008C067A" w:rsidRPr="00441E08">
        <w:rPr>
          <w:b/>
          <w:sz w:val="32"/>
          <w:szCs w:val="32"/>
        </w:rPr>
        <w:t xml:space="preserve">)  Update on </w:t>
      </w:r>
      <w:r w:rsidR="00256D0A" w:rsidRPr="00441E08">
        <w:rPr>
          <w:b/>
          <w:sz w:val="32"/>
          <w:szCs w:val="32"/>
        </w:rPr>
        <w:t xml:space="preserve">Current </w:t>
      </w:r>
      <w:r w:rsidR="008C067A" w:rsidRPr="00441E08">
        <w:rPr>
          <w:b/>
          <w:sz w:val="32"/>
          <w:szCs w:val="32"/>
        </w:rPr>
        <w:t>Commission Proceedings:</w:t>
      </w:r>
    </w:p>
    <w:p w:rsidR="001C3558" w:rsidRPr="001C3558" w:rsidRDefault="008C067A" w:rsidP="00464F51">
      <w:pPr>
        <w:pStyle w:val="ListParagraph"/>
        <w:numPr>
          <w:ilvl w:val="0"/>
          <w:numId w:val="2"/>
        </w:numPr>
      </w:pPr>
      <w:proofErr w:type="spellStart"/>
      <w:r w:rsidRPr="008C067A">
        <w:rPr>
          <w:b/>
          <w:snapToGrid w:val="0"/>
          <w:sz w:val="24"/>
          <w:szCs w:val="24"/>
        </w:rPr>
        <w:t>NGS</w:t>
      </w:r>
      <w:proofErr w:type="spellEnd"/>
      <w:r w:rsidRPr="008C067A">
        <w:rPr>
          <w:b/>
          <w:snapToGrid w:val="0"/>
          <w:sz w:val="24"/>
          <w:szCs w:val="24"/>
        </w:rPr>
        <w:t xml:space="preserve"> </w:t>
      </w:r>
      <w:r w:rsidR="00E370BB">
        <w:rPr>
          <w:b/>
          <w:snapToGrid w:val="0"/>
          <w:sz w:val="24"/>
          <w:szCs w:val="24"/>
        </w:rPr>
        <w:t xml:space="preserve">Accelerating Switching Rulemaking </w:t>
      </w:r>
      <w:r w:rsidRPr="008C067A">
        <w:rPr>
          <w:b/>
          <w:snapToGrid w:val="0"/>
          <w:sz w:val="24"/>
          <w:szCs w:val="24"/>
        </w:rPr>
        <w:t>(</w:t>
      </w:r>
      <w:r w:rsidR="00E370BB">
        <w:rPr>
          <w:b/>
          <w:snapToGrid w:val="0"/>
          <w:sz w:val="24"/>
          <w:szCs w:val="24"/>
        </w:rPr>
        <w:t>L-2016-2577413</w:t>
      </w:r>
      <w:r w:rsidRPr="008C067A">
        <w:rPr>
          <w:b/>
          <w:snapToGrid w:val="0"/>
          <w:sz w:val="24"/>
          <w:szCs w:val="24"/>
        </w:rPr>
        <w:t>)</w:t>
      </w:r>
      <w:r>
        <w:rPr>
          <w:snapToGrid w:val="0"/>
          <w:sz w:val="24"/>
          <w:szCs w:val="24"/>
        </w:rPr>
        <w:t xml:space="preserve">:  </w:t>
      </w:r>
      <w:r w:rsidR="00464F51">
        <w:rPr>
          <w:snapToGrid w:val="0"/>
          <w:sz w:val="24"/>
          <w:szCs w:val="24"/>
        </w:rPr>
        <w:t>Advance Notice of</w:t>
      </w:r>
      <w:r>
        <w:rPr>
          <w:snapToGrid w:val="0"/>
          <w:sz w:val="24"/>
          <w:szCs w:val="24"/>
        </w:rPr>
        <w:t xml:space="preserve"> </w:t>
      </w:r>
      <w:r w:rsidR="00E95903">
        <w:rPr>
          <w:snapToGrid w:val="0"/>
          <w:sz w:val="24"/>
          <w:szCs w:val="24"/>
        </w:rPr>
        <w:t xml:space="preserve">Proposed </w:t>
      </w:r>
      <w:r>
        <w:rPr>
          <w:snapToGrid w:val="0"/>
          <w:sz w:val="24"/>
          <w:szCs w:val="24"/>
        </w:rPr>
        <w:t xml:space="preserve">Rulemaking Order adopted at the </w:t>
      </w:r>
      <w:r w:rsidR="00464F51">
        <w:rPr>
          <w:snapToGrid w:val="0"/>
          <w:sz w:val="24"/>
          <w:szCs w:val="24"/>
        </w:rPr>
        <w:t>December 22, 2016</w:t>
      </w:r>
      <w:r>
        <w:rPr>
          <w:snapToGrid w:val="0"/>
          <w:sz w:val="24"/>
          <w:szCs w:val="24"/>
        </w:rPr>
        <w:t xml:space="preserve"> Public Meeting</w:t>
      </w:r>
      <w:r w:rsidR="00464F51">
        <w:rPr>
          <w:snapToGrid w:val="0"/>
          <w:sz w:val="24"/>
          <w:szCs w:val="24"/>
        </w:rPr>
        <w:t xml:space="preserve"> to revise the regulations at 52 Pa. Code § 59</w:t>
      </w:r>
      <w:r>
        <w:rPr>
          <w:snapToGrid w:val="0"/>
          <w:sz w:val="24"/>
          <w:szCs w:val="24"/>
        </w:rPr>
        <w:t>.</w:t>
      </w:r>
      <w:r w:rsidR="00464F51">
        <w:rPr>
          <w:snapToGrid w:val="0"/>
          <w:sz w:val="24"/>
          <w:szCs w:val="24"/>
        </w:rPr>
        <w:t xml:space="preserve">91-99.  Initial comments are in.   </w:t>
      </w:r>
      <w:r w:rsidR="001C3558">
        <w:rPr>
          <w:snapToGrid w:val="0"/>
          <w:sz w:val="24"/>
          <w:szCs w:val="24"/>
        </w:rPr>
        <w:br/>
      </w:r>
      <w:r w:rsidR="001C3558">
        <w:rPr>
          <w:snapToGrid w:val="0"/>
          <w:sz w:val="24"/>
          <w:szCs w:val="24"/>
        </w:rPr>
        <w:br/>
        <w:t xml:space="preserve">At the Commission’s April 20 Public Meeting, the Commission issued a follow-up order seeking further comment on a number of issues and proposals the parties raised in their initial comments (parties are also free to provide further comment on any issue).  This order was emailed to the CHARGE distribution list on April 20.  </w:t>
      </w:r>
      <w:r w:rsidR="001C3558">
        <w:rPr>
          <w:snapToGrid w:val="0"/>
          <w:sz w:val="24"/>
          <w:szCs w:val="24"/>
        </w:rPr>
        <w:tab/>
        <w:t xml:space="preserve">  </w:t>
      </w:r>
    </w:p>
    <w:p w:rsidR="001C3558" w:rsidRPr="001C3558" w:rsidRDefault="001C3558" w:rsidP="001C3558">
      <w:pPr>
        <w:ind w:left="720"/>
        <w:rPr>
          <w:color w:val="1F497D"/>
          <w:sz w:val="24"/>
          <w:szCs w:val="24"/>
        </w:rPr>
      </w:pPr>
      <w:r w:rsidRPr="001C3558">
        <w:rPr>
          <w:color w:val="000000"/>
          <w:sz w:val="24"/>
          <w:szCs w:val="24"/>
        </w:rPr>
        <w:t>See ordering paragraph # 2 for instructions on filing comments:</w:t>
      </w:r>
      <w:r w:rsidRPr="001C3558">
        <w:rPr>
          <w:color w:val="1F497D"/>
          <w:sz w:val="24"/>
          <w:szCs w:val="24"/>
        </w:rPr>
        <w:t> </w:t>
      </w:r>
    </w:p>
    <w:p w:rsidR="001C3558" w:rsidRPr="001C3558" w:rsidRDefault="001C3558" w:rsidP="001C3558">
      <w:pPr>
        <w:ind w:left="1440"/>
        <w:rPr>
          <w:rFonts w:ascii="Times New Roman" w:hAnsi="Times New Roman"/>
        </w:rPr>
      </w:pPr>
      <w:r w:rsidRPr="001C3558">
        <w:rPr>
          <w:rFonts w:ascii="Times New Roman" w:hAnsi="Times New Roman"/>
        </w:rPr>
        <w:t>2.</w:t>
      </w:r>
      <w:r>
        <w:t> </w:t>
      </w:r>
      <w:r w:rsidRPr="001C3558">
        <w:rPr>
          <w:rFonts w:ascii="Times New Roman" w:hAnsi="Times New Roman"/>
          <w:sz w:val="26"/>
          <w:szCs w:val="26"/>
        </w:rPr>
        <w:t xml:space="preserve"> </w:t>
      </w:r>
      <w:r w:rsidRPr="001C3558">
        <w:rPr>
          <w:rFonts w:ascii="Times New Roman" w:hAnsi="Times New Roman"/>
        </w:rPr>
        <w:t xml:space="preserve">That written comments referencing Docket No. L-2016-2577413 </w:t>
      </w:r>
      <w:proofErr w:type="gramStart"/>
      <w:r w:rsidRPr="001C3558">
        <w:rPr>
          <w:rFonts w:ascii="Times New Roman" w:hAnsi="Times New Roman"/>
        </w:rPr>
        <w:t>be</w:t>
      </w:r>
      <w:proofErr w:type="gramEnd"/>
      <w:r w:rsidRPr="001C3558">
        <w:rPr>
          <w:rFonts w:ascii="Times New Roman" w:hAnsi="Times New Roman"/>
        </w:rPr>
        <w:t xml:space="preserve"> submitted within 30 days of publication in the </w:t>
      </w:r>
      <w:r w:rsidRPr="001C3558">
        <w:rPr>
          <w:rFonts w:ascii="Times New Roman" w:hAnsi="Times New Roman"/>
          <w:i/>
          <w:iCs/>
        </w:rPr>
        <w:t>Pennsylvania Bulletin</w:t>
      </w:r>
      <w:r w:rsidRPr="001C3558">
        <w:rPr>
          <w:rFonts w:ascii="Times New Roman" w:hAnsi="Times New Roman"/>
        </w:rPr>
        <w:t xml:space="preserve"> to the Pennsylvania Public Utility Commission, Attn: Secretary, P.O. Box 3265, Harrisburg, PA 17105-3265.    Comments may also be filed electronically through the Commission’s e-File System.</w:t>
      </w:r>
    </w:p>
    <w:p w:rsidR="001C3558" w:rsidRPr="001C3558" w:rsidRDefault="001C3558" w:rsidP="001C3558">
      <w:pPr>
        <w:ind w:left="720"/>
        <w:rPr>
          <w:color w:val="000000"/>
          <w:sz w:val="24"/>
          <w:szCs w:val="24"/>
        </w:rPr>
      </w:pPr>
      <w:r w:rsidRPr="001C3558">
        <w:rPr>
          <w:color w:val="000000"/>
          <w:sz w:val="24"/>
          <w:szCs w:val="24"/>
        </w:rPr>
        <w:t>Per ordering paragraph # 6 – questions can be directed to the following:</w:t>
      </w:r>
    </w:p>
    <w:p w:rsidR="001C3558" w:rsidRPr="001C3558" w:rsidRDefault="001C3558" w:rsidP="001C3558">
      <w:pPr>
        <w:ind w:left="1440"/>
        <w:rPr>
          <w:rFonts w:ascii="Times New Roman" w:hAnsi="Times New Roman"/>
        </w:rPr>
      </w:pPr>
      <w:r w:rsidRPr="001C3558">
        <w:rPr>
          <w:rFonts w:ascii="Times New Roman" w:hAnsi="Times New Roman"/>
        </w:rPr>
        <w:t xml:space="preserve">6.    The contact persons for this matter are Daniel Mumford, Office of Competitive Market Oversight (717) 783-1957; </w:t>
      </w:r>
      <w:hyperlink r:id="rId37" w:history="1">
        <w:r w:rsidRPr="001C3558">
          <w:rPr>
            <w:rStyle w:val="Hyperlink"/>
            <w:rFonts w:ascii="Times New Roman" w:hAnsi="Times New Roman"/>
          </w:rPr>
          <w:t>dmumford@pa.gov</w:t>
        </w:r>
      </w:hyperlink>
      <w:r w:rsidRPr="001C3558">
        <w:rPr>
          <w:rFonts w:ascii="Times New Roman" w:hAnsi="Times New Roman"/>
        </w:rPr>
        <w:t xml:space="preserve">, Matthew Hrivnak in the Bureau of Consumer Services (717) 783-1678, </w:t>
      </w:r>
      <w:hyperlink r:id="rId38" w:history="1">
        <w:r w:rsidRPr="001C3558">
          <w:rPr>
            <w:rStyle w:val="Hyperlink"/>
            <w:rFonts w:ascii="Times New Roman" w:hAnsi="Times New Roman"/>
          </w:rPr>
          <w:t>mhrivnak@pa.gov</w:t>
        </w:r>
      </w:hyperlink>
      <w:r w:rsidRPr="001C3558">
        <w:rPr>
          <w:rFonts w:ascii="Times New Roman" w:hAnsi="Times New Roman"/>
        </w:rPr>
        <w:t xml:space="preserve">, and Kriss Brown in the Law Bureau (717) 787-4518, </w:t>
      </w:r>
      <w:hyperlink r:id="rId39" w:history="1">
        <w:r w:rsidRPr="001C3558">
          <w:rPr>
            <w:rStyle w:val="Hyperlink"/>
            <w:rFonts w:ascii="Times New Roman" w:hAnsi="Times New Roman"/>
          </w:rPr>
          <w:t>kribrown@pa.gov</w:t>
        </w:r>
      </w:hyperlink>
      <w:r w:rsidRPr="001C3558">
        <w:rPr>
          <w:rFonts w:ascii="Times New Roman" w:hAnsi="Times New Roman"/>
        </w:rPr>
        <w:t>.</w:t>
      </w:r>
    </w:p>
    <w:p w:rsidR="001C3558" w:rsidRPr="001C3558" w:rsidRDefault="001C3558" w:rsidP="001C3558">
      <w:pPr>
        <w:ind w:left="720"/>
        <w:rPr>
          <w:snapToGrid w:val="0"/>
          <w:sz w:val="24"/>
          <w:szCs w:val="24"/>
        </w:rPr>
      </w:pPr>
      <w:r w:rsidRPr="001C3558">
        <w:rPr>
          <w:snapToGrid w:val="0"/>
          <w:sz w:val="24"/>
          <w:szCs w:val="24"/>
        </w:rPr>
        <w:t xml:space="preserve">We will send an email to the CHARGE distribution list when this order appears in the </w:t>
      </w:r>
      <w:r w:rsidRPr="001C3558">
        <w:rPr>
          <w:i/>
          <w:snapToGrid w:val="0"/>
          <w:sz w:val="24"/>
          <w:szCs w:val="24"/>
        </w:rPr>
        <w:t>Pennsylvania Bulletin</w:t>
      </w:r>
      <w:r w:rsidRPr="001C3558">
        <w:rPr>
          <w:snapToGrid w:val="0"/>
          <w:sz w:val="24"/>
          <w:szCs w:val="24"/>
        </w:rPr>
        <w:t xml:space="preserve">.   </w:t>
      </w:r>
    </w:p>
    <w:p w:rsidR="00836204" w:rsidRPr="008C067A" w:rsidRDefault="001C3558" w:rsidP="001C3558">
      <w:pPr>
        <w:ind w:left="720"/>
      </w:pPr>
      <w:r w:rsidRPr="001C3558">
        <w:rPr>
          <w:snapToGrid w:val="0"/>
          <w:sz w:val="24"/>
          <w:szCs w:val="24"/>
        </w:rPr>
        <w:t>These orders</w:t>
      </w:r>
      <w:r>
        <w:rPr>
          <w:snapToGrid w:val="0"/>
          <w:sz w:val="24"/>
          <w:szCs w:val="24"/>
        </w:rPr>
        <w:t>, along with all the comments filed to date,</w:t>
      </w:r>
      <w:r w:rsidRPr="001C3558">
        <w:rPr>
          <w:snapToGrid w:val="0"/>
          <w:sz w:val="24"/>
          <w:szCs w:val="24"/>
        </w:rPr>
        <w:t xml:space="preserve"> are available at this </w:t>
      </w:r>
      <w:proofErr w:type="spellStart"/>
      <w:r w:rsidRPr="001C3558">
        <w:rPr>
          <w:snapToGrid w:val="0"/>
          <w:sz w:val="24"/>
          <w:szCs w:val="24"/>
        </w:rPr>
        <w:t>weblink</w:t>
      </w:r>
      <w:proofErr w:type="spellEnd"/>
      <w:r w:rsidRPr="001C3558">
        <w:rPr>
          <w:snapToGrid w:val="0"/>
          <w:sz w:val="24"/>
          <w:szCs w:val="24"/>
        </w:rPr>
        <w:t xml:space="preserve">:   </w:t>
      </w:r>
      <w:r w:rsidR="00464F51" w:rsidRPr="001C3558">
        <w:rPr>
          <w:snapToGrid w:val="0"/>
          <w:sz w:val="24"/>
          <w:szCs w:val="24"/>
        </w:rPr>
        <w:t xml:space="preserve">  </w:t>
      </w:r>
      <w:r w:rsidR="00464F51" w:rsidRPr="001C3558">
        <w:rPr>
          <w:snapToGrid w:val="0"/>
          <w:sz w:val="24"/>
          <w:szCs w:val="24"/>
        </w:rPr>
        <w:br/>
      </w:r>
      <w:hyperlink r:id="rId40" w:history="1">
        <w:r w:rsidR="00464F51" w:rsidRPr="00CB2D1C">
          <w:rPr>
            <w:rStyle w:val="Hyperlink"/>
          </w:rPr>
          <w:t>http://www.puc.pa.gov/about_puc/consolidated_case_view.aspx?Docket=L-2016-2577413</w:t>
        </w:r>
      </w:hyperlink>
      <w:r w:rsidR="00464F51">
        <w:t xml:space="preserve"> </w:t>
      </w:r>
      <w:r w:rsidR="00464F51">
        <w:br/>
      </w:r>
    </w:p>
    <w:p w:rsidR="00B87CB7" w:rsidRDefault="00464F51" w:rsidP="00F7500D">
      <w:pPr>
        <w:pStyle w:val="ListParagraph"/>
        <w:numPr>
          <w:ilvl w:val="0"/>
          <w:numId w:val="2"/>
        </w:numPr>
        <w:rPr>
          <w:sz w:val="24"/>
          <w:szCs w:val="24"/>
        </w:rPr>
      </w:pPr>
      <w:r>
        <w:rPr>
          <w:b/>
          <w:sz w:val="24"/>
          <w:szCs w:val="24"/>
        </w:rPr>
        <w:t xml:space="preserve">Chapter 56 Rulemaking (L-2015-2508421):  </w:t>
      </w:r>
      <w:r w:rsidRPr="00464F51">
        <w:rPr>
          <w:sz w:val="24"/>
          <w:szCs w:val="24"/>
        </w:rPr>
        <w:t>Notice of Proposed Rulemaking Order adopted at the July 21, 2016 Public Meeting to revise the standards and billing practices for residential utility service at 52 Pa. Code § 56.1 – 461.</w:t>
      </w:r>
      <w:r>
        <w:rPr>
          <w:b/>
          <w:sz w:val="24"/>
          <w:szCs w:val="24"/>
        </w:rPr>
        <w:t xml:space="preserve">  </w:t>
      </w:r>
      <w:r w:rsidR="00F7500D">
        <w:rPr>
          <w:sz w:val="24"/>
          <w:szCs w:val="24"/>
        </w:rPr>
        <w:t xml:space="preserve">Comment window </w:t>
      </w:r>
      <w:r w:rsidR="00434CBD">
        <w:rPr>
          <w:sz w:val="24"/>
          <w:szCs w:val="24"/>
        </w:rPr>
        <w:t xml:space="preserve">is now </w:t>
      </w:r>
      <w:r w:rsidR="00F7500D">
        <w:rPr>
          <w:sz w:val="24"/>
          <w:szCs w:val="24"/>
        </w:rPr>
        <w:t>close</w:t>
      </w:r>
      <w:r w:rsidR="00434CBD">
        <w:rPr>
          <w:sz w:val="24"/>
          <w:szCs w:val="24"/>
        </w:rPr>
        <w:t xml:space="preserve">d.  </w:t>
      </w:r>
      <w:r w:rsidR="00776ED3">
        <w:rPr>
          <w:sz w:val="24"/>
          <w:szCs w:val="24"/>
        </w:rPr>
        <w:t xml:space="preserve">Staff will now be carefully </w:t>
      </w:r>
      <w:r w:rsidR="00F7500D">
        <w:rPr>
          <w:sz w:val="24"/>
          <w:szCs w:val="24"/>
        </w:rPr>
        <w:t>review</w:t>
      </w:r>
      <w:r w:rsidR="00776ED3">
        <w:rPr>
          <w:sz w:val="24"/>
          <w:szCs w:val="24"/>
        </w:rPr>
        <w:t>ing</w:t>
      </w:r>
      <w:r w:rsidR="00F7500D">
        <w:rPr>
          <w:sz w:val="24"/>
          <w:szCs w:val="24"/>
        </w:rPr>
        <w:t xml:space="preserve"> the comments</w:t>
      </w:r>
      <w:r w:rsidR="00434CBD">
        <w:rPr>
          <w:sz w:val="24"/>
          <w:szCs w:val="24"/>
        </w:rPr>
        <w:t xml:space="preserve"> and determining next steps</w:t>
      </w:r>
      <w:r w:rsidR="00F7500D">
        <w:rPr>
          <w:sz w:val="24"/>
          <w:szCs w:val="24"/>
        </w:rPr>
        <w:t>.</w:t>
      </w:r>
      <w:r w:rsidR="00434CBD">
        <w:rPr>
          <w:sz w:val="24"/>
          <w:szCs w:val="24"/>
        </w:rPr>
        <w:t xml:space="preserve">  CHARGE will be notified of any future steps in the process.  </w:t>
      </w:r>
      <w:r w:rsidR="00F7500D">
        <w:rPr>
          <w:sz w:val="24"/>
          <w:szCs w:val="24"/>
        </w:rPr>
        <w:t xml:space="preserve">   </w:t>
      </w:r>
      <w:hyperlink r:id="rId41" w:history="1">
        <w:r w:rsidR="00F7500D" w:rsidRPr="00CB2D1C">
          <w:rPr>
            <w:rStyle w:val="Hyperlink"/>
          </w:rPr>
          <w:t>http://www.puc.pa.gov/about_puc/consolidated_case_view.aspx?Docket=L-2015-2508421</w:t>
        </w:r>
      </w:hyperlink>
      <w:r w:rsidR="00F7500D">
        <w:t xml:space="preserve"> </w:t>
      </w:r>
      <w:r w:rsidR="00F7500D">
        <w:br/>
      </w:r>
    </w:p>
    <w:p w:rsidR="005C106F" w:rsidRDefault="00DB45B0" w:rsidP="00F7500D">
      <w:pPr>
        <w:pStyle w:val="ListParagraph"/>
        <w:numPr>
          <w:ilvl w:val="0"/>
          <w:numId w:val="2"/>
        </w:numPr>
        <w:rPr>
          <w:sz w:val="24"/>
          <w:szCs w:val="24"/>
        </w:rPr>
      </w:pPr>
      <w:r w:rsidRPr="00824EF6">
        <w:rPr>
          <w:b/>
          <w:sz w:val="24"/>
          <w:szCs w:val="24"/>
        </w:rPr>
        <w:lastRenderedPageBreak/>
        <w:t>PECO CAP Shopping</w:t>
      </w:r>
      <w:r w:rsidRPr="00824EF6">
        <w:rPr>
          <w:sz w:val="24"/>
          <w:szCs w:val="24"/>
        </w:rPr>
        <w:t xml:space="preserve">:  </w:t>
      </w:r>
      <w:r w:rsidRPr="00397B9A">
        <w:rPr>
          <w:b/>
          <w:sz w:val="24"/>
          <w:szCs w:val="24"/>
        </w:rPr>
        <w:t>(</w:t>
      </w:r>
      <w:r w:rsidR="00F7500D" w:rsidRPr="00397B9A">
        <w:rPr>
          <w:b/>
          <w:sz w:val="24"/>
          <w:szCs w:val="24"/>
        </w:rPr>
        <w:t>P-2016-2534980).</w:t>
      </w:r>
      <w:r w:rsidRPr="00824EF6">
        <w:rPr>
          <w:sz w:val="24"/>
          <w:szCs w:val="24"/>
        </w:rPr>
        <w:t xml:space="preserve">  </w:t>
      </w:r>
      <w:r w:rsidR="00830B87" w:rsidRPr="00824EF6">
        <w:rPr>
          <w:sz w:val="24"/>
          <w:szCs w:val="24"/>
        </w:rPr>
        <w:t xml:space="preserve">Order adopted at the March 16, 2017 Public Meeting.  Conclusion:  </w:t>
      </w:r>
      <w:r w:rsidR="00830B87" w:rsidRPr="00824EF6">
        <w:rPr>
          <w:i/>
          <w:sz w:val="24"/>
          <w:szCs w:val="24"/>
        </w:rPr>
        <w:t>“…we shall (1) grant, in part, the Petitions; (2) consolidate the proceeding at Docket No. P-2016-2534980 with the proceeding at Docket No. P</w:t>
      </w:r>
      <w:r w:rsidR="00830B87" w:rsidRPr="00824EF6">
        <w:rPr>
          <w:i/>
          <w:sz w:val="24"/>
          <w:szCs w:val="24"/>
        </w:rPr>
        <w:noBreakHyphen/>
        <w:t>2012-2283641, pursuant to 52 Pa. Code § 5.81(a); and (3) refer the consolidated proceeding to the Office of Administrative Law Judge for further proceedings as may be necessary and a decision on the merits of PECO’s 2016 CAP Rule Change Filing, the CAP-SOP proposed in this DSP IV proceeding, and all issues relating to the ability of CAP customers to shop for electric generation supply in PECO’s service territory.”</w:t>
      </w:r>
      <w:r w:rsidR="00830B87" w:rsidRPr="00824EF6">
        <w:rPr>
          <w:sz w:val="24"/>
          <w:szCs w:val="24"/>
        </w:rPr>
        <w:t xml:space="preserve"> </w:t>
      </w:r>
      <w:r w:rsidR="005C106F">
        <w:rPr>
          <w:sz w:val="24"/>
          <w:szCs w:val="24"/>
        </w:rPr>
        <w:br/>
        <w:t xml:space="preserve">A prehearing conference order was issued on April 12 for a May 1 hearing. </w:t>
      </w:r>
      <w:hyperlink r:id="rId42" w:history="1">
        <w:r w:rsidR="00F7500D" w:rsidRPr="00CB2D1C">
          <w:rPr>
            <w:rStyle w:val="Hyperlink"/>
          </w:rPr>
          <w:t>http://www.puc.pa.gov/about_puc/consolidated_case_view.aspx?Docket=P-2016-2534980</w:t>
        </w:r>
      </w:hyperlink>
      <w:r w:rsidR="00F7500D">
        <w:t xml:space="preserve"> </w:t>
      </w:r>
      <w:r w:rsidRPr="00824EF6">
        <w:rPr>
          <w:sz w:val="24"/>
          <w:szCs w:val="24"/>
        </w:rPr>
        <w:t xml:space="preserve"> </w:t>
      </w:r>
      <w:r w:rsidR="005C106F">
        <w:rPr>
          <w:sz w:val="24"/>
          <w:szCs w:val="24"/>
        </w:rPr>
        <w:br/>
      </w:r>
    </w:p>
    <w:p w:rsidR="00824EF6" w:rsidRDefault="005C106F" w:rsidP="00F7500D">
      <w:pPr>
        <w:pStyle w:val="ListParagraph"/>
        <w:numPr>
          <w:ilvl w:val="0"/>
          <w:numId w:val="2"/>
        </w:numPr>
        <w:rPr>
          <w:sz w:val="24"/>
          <w:szCs w:val="24"/>
        </w:rPr>
      </w:pPr>
      <w:r>
        <w:rPr>
          <w:b/>
          <w:sz w:val="24"/>
          <w:szCs w:val="24"/>
        </w:rPr>
        <w:t>PPL</w:t>
      </w:r>
      <w:r w:rsidRPr="00824EF6">
        <w:rPr>
          <w:b/>
          <w:sz w:val="24"/>
          <w:szCs w:val="24"/>
        </w:rPr>
        <w:t xml:space="preserve"> CAP Shopping</w:t>
      </w:r>
      <w:r w:rsidRPr="00824EF6">
        <w:rPr>
          <w:sz w:val="24"/>
          <w:szCs w:val="24"/>
        </w:rPr>
        <w:t xml:space="preserve">:  </w:t>
      </w:r>
      <w:r w:rsidRPr="00397B9A">
        <w:rPr>
          <w:b/>
          <w:sz w:val="24"/>
          <w:szCs w:val="24"/>
        </w:rPr>
        <w:t>(P-2016-</w:t>
      </w:r>
      <w:r>
        <w:rPr>
          <w:b/>
          <w:sz w:val="24"/>
          <w:szCs w:val="24"/>
        </w:rPr>
        <w:t>2526627</w:t>
      </w:r>
      <w:r w:rsidRPr="00397B9A">
        <w:rPr>
          <w:b/>
          <w:sz w:val="24"/>
          <w:szCs w:val="24"/>
        </w:rPr>
        <w:t>).</w:t>
      </w:r>
      <w:r w:rsidRPr="00824EF6">
        <w:rPr>
          <w:sz w:val="24"/>
          <w:szCs w:val="24"/>
        </w:rPr>
        <w:t xml:space="preserve">  </w:t>
      </w:r>
      <w:r>
        <w:rPr>
          <w:sz w:val="24"/>
          <w:szCs w:val="24"/>
        </w:rPr>
        <w:t xml:space="preserve">PPL has filed petition seeking to delay start of the CAP-Standard Offer Program (SOP) until September 1, 2017.  This petition is pending Commission review.   Collaborative to develop CAP-SOP scripting held on April 7.  </w:t>
      </w:r>
      <w:r w:rsidR="00D90117">
        <w:rPr>
          <w:sz w:val="24"/>
          <w:szCs w:val="24"/>
        </w:rPr>
        <w:t>We urge all suppliers interested in the PPL CAP-SOP to stay in contact with PPL as they work towards addressing the implementation issues that may arise as the</w:t>
      </w:r>
      <w:r w:rsidR="00260564">
        <w:rPr>
          <w:sz w:val="24"/>
          <w:szCs w:val="24"/>
        </w:rPr>
        <w:t>y</w:t>
      </w:r>
      <w:r w:rsidR="00D90117">
        <w:rPr>
          <w:sz w:val="24"/>
          <w:szCs w:val="24"/>
        </w:rPr>
        <w:t xml:space="preserve"> approach implementation.  </w:t>
      </w:r>
      <w:r>
        <w:rPr>
          <w:sz w:val="24"/>
          <w:szCs w:val="24"/>
        </w:rPr>
        <w:br/>
      </w:r>
      <w:hyperlink r:id="rId43" w:history="1">
        <w:r w:rsidRPr="002B018D">
          <w:rPr>
            <w:rStyle w:val="Hyperlink"/>
            <w:sz w:val="24"/>
            <w:szCs w:val="24"/>
          </w:rPr>
          <w:t>http://www.puc.pa.gov/about_puc/consolidated_case_view.aspx?Docket=P-2016-2526627</w:t>
        </w:r>
      </w:hyperlink>
      <w:r w:rsidR="00686358" w:rsidRPr="00824EF6">
        <w:rPr>
          <w:sz w:val="24"/>
          <w:szCs w:val="24"/>
        </w:rPr>
        <w:br/>
      </w:r>
    </w:p>
    <w:p w:rsidR="00E03F6E" w:rsidRPr="00E03F6E" w:rsidRDefault="00E03F6E" w:rsidP="00397B9A">
      <w:pPr>
        <w:pStyle w:val="ListParagraph"/>
        <w:numPr>
          <w:ilvl w:val="0"/>
          <w:numId w:val="2"/>
        </w:numPr>
        <w:rPr>
          <w:sz w:val="24"/>
          <w:szCs w:val="24"/>
        </w:rPr>
      </w:pPr>
      <w:r w:rsidRPr="00E03F6E">
        <w:rPr>
          <w:b/>
          <w:bCs/>
          <w:sz w:val="24"/>
          <w:szCs w:val="24"/>
        </w:rPr>
        <w:t>Comprehensive Review of Universal Service and Energy Conservation Programs</w:t>
      </w:r>
      <w:r w:rsidRPr="00E03F6E">
        <w:rPr>
          <w:sz w:val="24"/>
          <w:szCs w:val="24"/>
        </w:rPr>
        <w:t>:  (</w:t>
      </w:r>
      <w:hyperlink r:id="rId44" w:history="1">
        <w:r w:rsidRPr="00E03F6E">
          <w:rPr>
            <w:rStyle w:val="Hyperlink"/>
            <w:b/>
            <w:bCs/>
            <w:color w:val="000000" w:themeColor="text1"/>
            <w:sz w:val="24"/>
            <w:szCs w:val="24"/>
            <w:u w:val="none"/>
          </w:rPr>
          <w:t>M-2017-2596907</w:t>
        </w:r>
      </w:hyperlink>
      <w:r w:rsidRPr="00E03F6E">
        <w:rPr>
          <w:sz w:val="24"/>
          <w:szCs w:val="24"/>
        </w:rPr>
        <w:t>).  This review will explore the framework and structure of existing universal service programs and gather stakeholder feedback addressing concerns and suggestions for amending or improving these programs.  The current portfolio of PUC-required universal service programs includes payment programs intended to help reduce the size of monthly bills and make service more affordable</w:t>
      </w:r>
      <w:r>
        <w:rPr>
          <w:sz w:val="24"/>
          <w:szCs w:val="24"/>
        </w:rPr>
        <w:t xml:space="preserve"> (often referred to as CAP)</w:t>
      </w:r>
      <w:r w:rsidRPr="00E03F6E">
        <w:rPr>
          <w:sz w:val="24"/>
          <w:szCs w:val="24"/>
        </w:rPr>
        <w:t>; weatherization and usage reduction programs to assist low-income families in lowering their consumption and energy costs</w:t>
      </w:r>
      <w:r>
        <w:rPr>
          <w:sz w:val="24"/>
          <w:szCs w:val="24"/>
        </w:rPr>
        <w:t xml:space="preserve"> (</w:t>
      </w:r>
      <w:proofErr w:type="spellStart"/>
      <w:r>
        <w:rPr>
          <w:sz w:val="24"/>
          <w:szCs w:val="24"/>
        </w:rPr>
        <w:t>LIURP</w:t>
      </w:r>
      <w:proofErr w:type="spellEnd"/>
      <w:r>
        <w:rPr>
          <w:sz w:val="24"/>
          <w:szCs w:val="24"/>
        </w:rPr>
        <w:t>)</w:t>
      </w:r>
      <w:r w:rsidRPr="00E03F6E">
        <w:rPr>
          <w:sz w:val="24"/>
          <w:szCs w:val="24"/>
        </w:rPr>
        <w:t>; referral programs to connect consumers with other assistance programs they may be eligible for; and hardship funds.</w:t>
      </w:r>
      <w:r w:rsidR="00397B9A">
        <w:rPr>
          <w:sz w:val="24"/>
          <w:szCs w:val="24"/>
        </w:rPr>
        <w:br/>
      </w:r>
      <w:hyperlink r:id="rId45" w:history="1">
        <w:r w:rsidR="00397B9A" w:rsidRPr="007F3A78">
          <w:rPr>
            <w:rStyle w:val="Hyperlink"/>
            <w:sz w:val="24"/>
            <w:szCs w:val="24"/>
          </w:rPr>
          <w:t>http://www.puc.pa.gov/about_puc/consolidated_case_view.aspx?Docket=M-2017-2596907</w:t>
        </w:r>
      </w:hyperlink>
      <w:r w:rsidR="00397B9A">
        <w:rPr>
          <w:sz w:val="24"/>
          <w:szCs w:val="24"/>
        </w:rPr>
        <w:t xml:space="preserve"> </w:t>
      </w:r>
      <w:r w:rsidR="00397B9A">
        <w:rPr>
          <w:sz w:val="24"/>
          <w:szCs w:val="24"/>
        </w:rPr>
        <w:br/>
      </w:r>
    </w:p>
    <w:p w:rsidR="00824EF6" w:rsidRDefault="00824EF6" w:rsidP="00F7500D">
      <w:pPr>
        <w:pStyle w:val="ListParagraph"/>
        <w:numPr>
          <w:ilvl w:val="0"/>
          <w:numId w:val="2"/>
        </w:numPr>
        <w:rPr>
          <w:sz w:val="24"/>
          <w:szCs w:val="24"/>
        </w:rPr>
      </w:pPr>
      <w:r>
        <w:rPr>
          <w:b/>
          <w:sz w:val="24"/>
          <w:szCs w:val="24"/>
        </w:rPr>
        <w:t>UPCOMING PROCEEDINGS (Natural Gas Retail Markets Investigation)</w:t>
      </w:r>
      <w:proofErr w:type="gramStart"/>
      <w:r w:rsidRPr="00824EF6">
        <w:rPr>
          <w:sz w:val="24"/>
          <w:szCs w:val="24"/>
        </w:rPr>
        <w:t>:</w:t>
      </w:r>
      <w:proofErr w:type="gramEnd"/>
      <w:r>
        <w:rPr>
          <w:sz w:val="24"/>
          <w:szCs w:val="24"/>
        </w:rPr>
        <w:br/>
      </w:r>
      <w:r>
        <w:rPr>
          <w:sz w:val="24"/>
          <w:szCs w:val="24"/>
        </w:rPr>
        <w:br/>
      </w:r>
      <w:r w:rsidRPr="00824EF6">
        <w:rPr>
          <w:b/>
          <w:sz w:val="24"/>
          <w:szCs w:val="24"/>
        </w:rPr>
        <w:t>Natural Gas Operational Issues</w:t>
      </w:r>
      <w:r>
        <w:rPr>
          <w:sz w:val="24"/>
          <w:szCs w:val="24"/>
        </w:rPr>
        <w:t xml:space="preserve"> (the “Beast” working group from the Retail Markets Investigation):  </w:t>
      </w:r>
      <w:proofErr w:type="spellStart"/>
      <w:r>
        <w:rPr>
          <w:sz w:val="24"/>
          <w:szCs w:val="24"/>
        </w:rPr>
        <w:t>ANOPR</w:t>
      </w:r>
      <w:proofErr w:type="spellEnd"/>
      <w:r>
        <w:rPr>
          <w:sz w:val="24"/>
          <w:szCs w:val="24"/>
        </w:rPr>
        <w:t xml:space="preserve"> concerning capacity assignment, penalties, imbalances, etc.  </w:t>
      </w:r>
      <w:r>
        <w:rPr>
          <w:sz w:val="24"/>
          <w:szCs w:val="24"/>
        </w:rPr>
        <w:br/>
      </w:r>
      <w:r>
        <w:rPr>
          <w:sz w:val="24"/>
          <w:szCs w:val="24"/>
        </w:rPr>
        <w:br/>
      </w:r>
      <w:r w:rsidRPr="00824EF6">
        <w:rPr>
          <w:b/>
          <w:sz w:val="24"/>
          <w:szCs w:val="24"/>
        </w:rPr>
        <w:lastRenderedPageBreak/>
        <w:t>Natural Gas Seamless Moves – Instant Connects</w:t>
      </w:r>
      <w:r>
        <w:rPr>
          <w:sz w:val="24"/>
          <w:szCs w:val="24"/>
        </w:rPr>
        <w:t>:  Tentative Order.</w:t>
      </w:r>
      <w:r>
        <w:rPr>
          <w:sz w:val="24"/>
          <w:szCs w:val="24"/>
        </w:rPr>
        <w:br/>
      </w:r>
    </w:p>
    <w:p w:rsidR="00903E35" w:rsidRPr="00824EF6" w:rsidRDefault="00903E35" w:rsidP="00824EF6">
      <w:pPr>
        <w:pStyle w:val="ListParagraph"/>
        <w:numPr>
          <w:ilvl w:val="0"/>
          <w:numId w:val="2"/>
        </w:numPr>
        <w:rPr>
          <w:sz w:val="24"/>
          <w:szCs w:val="24"/>
        </w:rPr>
      </w:pPr>
      <w:r w:rsidRPr="00824EF6">
        <w:rPr>
          <w:b/>
          <w:sz w:val="24"/>
          <w:szCs w:val="24"/>
        </w:rPr>
        <w:t>To track a PUC formal case</w:t>
      </w:r>
      <w:r w:rsidR="00A659E8" w:rsidRPr="00824EF6">
        <w:rPr>
          <w:b/>
          <w:sz w:val="24"/>
          <w:szCs w:val="24"/>
        </w:rPr>
        <w:t xml:space="preserve">:  </w:t>
      </w:r>
      <w:r w:rsidR="00A659E8" w:rsidRPr="00824EF6">
        <w:rPr>
          <w:sz w:val="24"/>
          <w:szCs w:val="24"/>
        </w:rPr>
        <w:t xml:space="preserve">set up an e-filing account on the Commission’s website, and use the SUBSCRIPTION service to be notified of filings on specific dockets: </w:t>
      </w:r>
    </w:p>
    <w:p w:rsidR="00A659E8" w:rsidRPr="00A659E8" w:rsidRDefault="00C91FCA" w:rsidP="00434CBD">
      <w:pPr>
        <w:ind w:left="720"/>
        <w:rPr>
          <w:sz w:val="24"/>
          <w:szCs w:val="24"/>
        </w:rPr>
      </w:pPr>
      <w:hyperlink r:id="rId46" w:history="1">
        <w:r w:rsidR="00824EF6" w:rsidRPr="0094356E">
          <w:rPr>
            <w:rStyle w:val="Hyperlink"/>
          </w:rPr>
          <w:t>http://www.puc.pa.gov/efiling/default.aspx</w:t>
        </w:r>
      </w:hyperlink>
      <w:r w:rsidR="00824EF6">
        <w:t xml:space="preserve"> </w:t>
      </w:r>
      <w:r w:rsidR="00A659E8">
        <w:rPr>
          <w:sz w:val="24"/>
          <w:szCs w:val="24"/>
        </w:rPr>
        <w:t xml:space="preserve"> </w:t>
      </w:r>
      <w:r w:rsidR="00434CBD">
        <w:rPr>
          <w:sz w:val="24"/>
          <w:szCs w:val="24"/>
        </w:rPr>
        <w:br/>
      </w:r>
      <w:r w:rsidR="00434CBD">
        <w:rPr>
          <w:sz w:val="24"/>
          <w:szCs w:val="24"/>
        </w:rPr>
        <w:br/>
        <w:t xml:space="preserve">(Please note that you do not have to be a party of record in a proceeding to subscribe to that proceeding.  Likewise, subscribing to a proceeding does not make you a party of record of that proceeding.) </w:t>
      </w:r>
    </w:p>
    <w:p w:rsidR="00DA6FDA" w:rsidRPr="00DA6FDA" w:rsidRDefault="00DA6FDA" w:rsidP="00DA6FDA">
      <w:pPr>
        <w:rPr>
          <w:b/>
          <w:sz w:val="24"/>
          <w:szCs w:val="24"/>
          <w:u w:val="single"/>
        </w:rPr>
      </w:pPr>
      <w:r w:rsidRPr="00DA6FDA">
        <w:rPr>
          <w:b/>
          <w:sz w:val="24"/>
          <w:szCs w:val="24"/>
          <w:u w:val="single"/>
        </w:rPr>
        <w:t>General Matters</w:t>
      </w:r>
    </w:p>
    <w:p w:rsidR="00DA6FDA" w:rsidRPr="00DA6FDA" w:rsidRDefault="00DA6FDA" w:rsidP="00DA6FDA">
      <w:pPr>
        <w:numPr>
          <w:ilvl w:val="0"/>
          <w:numId w:val="7"/>
        </w:numPr>
        <w:rPr>
          <w:b/>
          <w:sz w:val="24"/>
          <w:szCs w:val="24"/>
          <w:u w:val="single"/>
        </w:rPr>
      </w:pPr>
      <w:r w:rsidRPr="00DA6FDA">
        <w:rPr>
          <w:b/>
          <w:sz w:val="24"/>
          <w:szCs w:val="24"/>
          <w:u w:val="single"/>
        </w:rPr>
        <w:t>New Issues</w:t>
      </w:r>
    </w:p>
    <w:p w:rsidR="00DA6FDA" w:rsidRPr="00DA6FDA" w:rsidRDefault="00DA6FDA" w:rsidP="00DA6FDA">
      <w:pPr>
        <w:numPr>
          <w:ilvl w:val="0"/>
          <w:numId w:val="6"/>
        </w:numPr>
        <w:rPr>
          <w:sz w:val="24"/>
          <w:szCs w:val="24"/>
        </w:rPr>
      </w:pPr>
      <w:r w:rsidRPr="00DA6FDA">
        <w:rPr>
          <w:sz w:val="24"/>
          <w:szCs w:val="24"/>
        </w:rPr>
        <w:t xml:space="preserve">Any new issues or questions about issues previously discussed on CHARGE calls should be submitted to </w:t>
      </w:r>
      <w:hyperlink r:id="rId47" w:history="1">
        <w:r w:rsidRPr="00DA6FDA">
          <w:rPr>
            <w:rStyle w:val="Hyperlink"/>
            <w:sz w:val="24"/>
            <w:szCs w:val="24"/>
          </w:rPr>
          <w:t>ra-ocmo@pa.gov</w:t>
        </w:r>
      </w:hyperlink>
    </w:p>
    <w:p w:rsidR="00DA6FDA" w:rsidRPr="00DA6FDA" w:rsidRDefault="00DA6FDA" w:rsidP="00DA6FDA">
      <w:pPr>
        <w:numPr>
          <w:ilvl w:val="0"/>
          <w:numId w:val="7"/>
        </w:numPr>
        <w:rPr>
          <w:b/>
          <w:sz w:val="24"/>
          <w:szCs w:val="24"/>
          <w:u w:val="single"/>
        </w:rPr>
      </w:pPr>
      <w:r w:rsidRPr="00DA6FDA">
        <w:rPr>
          <w:b/>
          <w:sz w:val="24"/>
          <w:szCs w:val="24"/>
          <w:u w:val="single"/>
        </w:rPr>
        <w:t>Old Agendas/Recaps</w:t>
      </w:r>
    </w:p>
    <w:p w:rsidR="00DA6FDA" w:rsidRPr="00824EF6" w:rsidRDefault="00DA6FDA" w:rsidP="00DA6FDA">
      <w:pPr>
        <w:rPr>
          <w:sz w:val="24"/>
          <w:szCs w:val="24"/>
        </w:rPr>
      </w:pPr>
      <w:r w:rsidRPr="00DA6FDA">
        <w:rPr>
          <w:sz w:val="24"/>
          <w:szCs w:val="24"/>
        </w:rPr>
        <w:t xml:space="preserve">All agendas and recaps are posted on the CHARGE page of the website along with various other documents that have been distributed or relied upon during CHARGE discussions, at the following link – </w:t>
      </w:r>
      <w:r w:rsidRPr="00DA6FDA">
        <w:rPr>
          <w:sz w:val="24"/>
          <w:szCs w:val="24"/>
        </w:rPr>
        <w:br/>
      </w:r>
      <w:hyperlink r:id="rId48" w:history="1">
        <w:r w:rsidRPr="00DA6FDA">
          <w:rPr>
            <w:rStyle w:val="Hyperlink"/>
            <w:sz w:val="24"/>
            <w:szCs w:val="24"/>
          </w:rPr>
          <w:t>http://www.puc.pa.gov/utility_industry/electricity/office_of_competitive_market_oversight/charge.aspx</w:t>
        </w:r>
      </w:hyperlink>
      <w:r w:rsidRPr="00DA6FDA">
        <w:rPr>
          <w:sz w:val="24"/>
          <w:szCs w:val="24"/>
        </w:rPr>
        <w:t xml:space="preserve"> </w:t>
      </w:r>
      <w:bookmarkStart w:id="1" w:name="_GoBack"/>
      <w:bookmarkEnd w:id="1"/>
      <w:r w:rsidRPr="00DA6FDA">
        <w:rPr>
          <w:sz w:val="24"/>
          <w:szCs w:val="24"/>
        </w:rPr>
        <w:br/>
      </w:r>
      <w:r w:rsidR="007D6721">
        <w:rPr>
          <w:sz w:val="24"/>
          <w:szCs w:val="24"/>
        </w:rPr>
        <w:br/>
      </w:r>
      <w:r w:rsidR="00824EF6" w:rsidRPr="00824EF6">
        <w:rPr>
          <w:sz w:val="24"/>
          <w:szCs w:val="24"/>
        </w:rPr>
        <w:t>Office of Competitive Market Oversight webpage:</w:t>
      </w:r>
      <w:r w:rsidR="00824EF6" w:rsidRPr="00824EF6">
        <w:rPr>
          <w:b/>
          <w:sz w:val="24"/>
          <w:szCs w:val="24"/>
        </w:rPr>
        <w:t xml:space="preserve">  </w:t>
      </w:r>
      <w:hyperlink r:id="rId49" w:history="1">
        <w:r w:rsidR="00824EF6" w:rsidRPr="00824EF6">
          <w:rPr>
            <w:rStyle w:val="Hyperlink"/>
            <w:sz w:val="24"/>
            <w:szCs w:val="24"/>
          </w:rPr>
          <w:t>http://www.puc.pa.gov/utility_industry/electricity/electric_competitive_market_oversight.aspx</w:t>
        </w:r>
      </w:hyperlink>
      <w:r w:rsidR="00824EF6" w:rsidRPr="00824EF6">
        <w:rPr>
          <w:sz w:val="24"/>
          <w:szCs w:val="24"/>
        </w:rPr>
        <w:t xml:space="preserve"> </w:t>
      </w:r>
    </w:p>
    <w:p w:rsidR="00824EF6" w:rsidRDefault="00FE4739" w:rsidP="00DA6FDA">
      <w:pPr>
        <w:rPr>
          <w:sz w:val="24"/>
          <w:szCs w:val="24"/>
        </w:rPr>
      </w:pPr>
      <w:r w:rsidRPr="00FE4739">
        <w:rPr>
          <w:sz w:val="24"/>
          <w:szCs w:val="24"/>
        </w:rPr>
        <w:t>Office of Competitive Market Oversight (</w:t>
      </w:r>
      <w:r>
        <w:rPr>
          <w:sz w:val="24"/>
          <w:szCs w:val="24"/>
        </w:rPr>
        <w:t>Natural Gas</w:t>
      </w:r>
      <w:r w:rsidRPr="00FE4739">
        <w:rPr>
          <w:sz w:val="24"/>
          <w:szCs w:val="24"/>
        </w:rPr>
        <w:t>)</w:t>
      </w:r>
      <w:r w:rsidR="0019459D">
        <w:rPr>
          <w:sz w:val="24"/>
          <w:szCs w:val="24"/>
        </w:rPr>
        <w:t xml:space="preserve"> webpage</w:t>
      </w:r>
      <w:proofErr w:type="gramStart"/>
      <w:r>
        <w:rPr>
          <w:sz w:val="24"/>
          <w:szCs w:val="24"/>
        </w:rPr>
        <w:t>:</w:t>
      </w:r>
      <w:proofErr w:type="gramEnd"/>
      <w:r w:rsidR="0019459D">
        <w:rPr>
          <w:sz w:val="24"/>
          <w:szCs w:val="24"/>
        </w:rPr>
        <w:br/>
      </w:r>
      <w:hyperlink r:id="rId50" w:history="1">
        <w:r w:rsidR="0019459D" w:rsidRPr="009358DF">
          <w:rPr>
            <w:rStyle w:val="Hyperlink"/>
            <w:sz w:val="24"/>
            <w:szCs w:val="24"/>
          </w:rPr>
          <w:t>http://www.puc.pa.gov/utility_industry/natural_gas/committees_and_working_groups/ocmo.aspx</w:t>
        </w:r>
      </w:hyperlink>
      <w:r w:rsidR="0019459D">
        <w:rPr>
          <w:sz w:val="24"/>
          <w:szCs w:val="24"/>
        </w:rPr>
        <w:t xml:space="preserve"> </w:t>
      </w:r>
    </w:p>
    <w:p w:rsidR="0019459D" w:rsidRPr="00FE4739" w:rsidRDefault="0019459D" w:rsidP="00DA6FDA">
      <w:pPr>
        <w:rPr>
          <w:sz w:val="24"/>
          <w:szCs w:val="24"/>
        </w:rPr>
      </w:pPr>
      <w:r w:rsidRPr="0019459D">
        <w:rPr>
          <w:sz w:val="24"/>
          <w:szCs w:val="24"/>
        </w:rPr>
        <w:t xml:space="preserve">Retail Markets Investigation </w:t>
      </w:r>
      <w:r>
        <w:rPr>
          <w:sz w:val="24"/>
          <w:szCs w:val="24"/>
        </w:rPr>
        <w:t>(</w:t>
      </w:r>
      <w:r w:rsidRPr="0019459D">
        <w:rPr>
          <w:sz w:val="24"/>
          <w:szCs w:val="24"/>
        </w:rPr>
        <w:t>Natural Gas</w:t>
      </w:r>
      <w:r>
        <w:rPr>
          <w:sz w:val="24"/>
          <w:szCs w:val="24"/>
        </w:rPr>
        <w:t>) webpage</w:t>
      </w:r>
      <w:proofErr w:type="gramStart"/>
      <w:r>
        <w:rPr>
          <w:sz w:val="24"/>
          <w:szCs w:val="24"/>
        </w:rPr>
        <w:t>:</w:t>
      </w:r>
      <w:proofErr w:type="gramEnd"/>
      <w:r>
        <w:rPr>
          <w:sz w:val="24"/>
          <w:szCs w:val="24"/>
        </w:rPr>
        <w:br/>
      </w:r>
      <w:hyperlink r:id="rId51" w:history="1">
        <w:r w:rsidRPr="009358DF">
          <w:rPr>
            <w:rStyle w:val="Hyperlink"/>
            <w:sz w:val="24"/>
            <w:szCs w:val="24"/>
          </w:rPr>
          <w:t>http://www.puc.pa.gov/utility_industry/natural_gas/natrual_gas_rmi.aspx</w:t>
        </w:r>
      </w:hyperlink>
      <w:r>
        <w:rPr>
          <w:sz w:val="24"/>
          <w:szCs w:val="24"/>
        </w:rPr>
        <w:t xml:space="preserve"> </w:t>
      </w:r>
    </w:p>
    <w:p w:rsidR="00DA6FDA" w:rsidRPr="00DA6FDA" w:rsidRDefault="00DA6FDA" w:rsidP="00DA6FDA">
      <w:pPr>
        <w:numPr>
          <w:ilvl w:val="0"/>
          <w:numId w:val="7"/>
        </w:numPr>
        <w:rPr>
          <w:b/>
          <w:sz w:val="24"/>
          <w:szCs w:val="24"/>
          <w:u w:val="single"/>
        </w:rPr>
      </w:pPr>
      <w:r w:rsidRPr="00DA6FDA">
        <w:rPr>
          <w:b/>
          <w:sz w:val="24"/>
          <w:szCs w:val="24"/>
          <w:u w:val="single"/>
        </w:rPr>
        <w:t>CHARGE Distribution List</w:t>
      </w:r>
    </w:p>
    <w:p w:rsidR="00DA6FDA" w:rsidRPr="00DA6FDA" w:rsidRDefault="00DA6FDA" w:rsidP="00DA6FDA">
      <w:pPr>
        <w:numPr>
          <w:ilvl w:val="0"/>
          <w:numId w:val="6"/>
        </w:numPr>
        <w:rPr>
          <w:sz w:val="24"/>
          <w:szCs w:val="24"/>
        </w:rPr>
      </w:pPr>
      <w:r w:rsidRPr="00DA6FDA">
        <w:rPr>
          <w:sz w:val="24"/>
          <w:szCs w:val="24"/>
        </w:rPr>
        <w:t xml:space="preserve">To be added to the CHARGE distribution list, please send an email to </w:t>
      </w:r>
      <w:hyperlink r:id="rId52" w:history="1">
        <w:r w:rsidRPr="00DA6FDA">
          <w:rPr>
            <w:rStyle w:val="Hyperlink"/>
            <w:sz w:val="24"/>
            <w:szCs w:val="24"/>
          </w:rPr>
          <w:t>ra-ocmo@pa.gov</w:t>
        </w:r>
      </w:hyperlink>
    </w:p>
    <w:p w:rsidR="00477E65" w:rsidRDefault="00477E65" w:rsidP="00DA6FDA">
      <w:pPr>
        <w:rPr>
          <w:sz w:val="24"/>
          <w:szCs w:val="24"/>
        </w:rPr>
      </w:pPr>
      <w:r>
        <w:rPr>
          <w:sz w:val="24"/>
          <w:szCs w:val="24"/>
        </w:rPr>
        <w:br w:type="page"/>
      </w:r>
    </w:p>
    <w:tbl>
      <w:tblPr>
        <w:tblW w:w="10890" w:type="dxa"/>
        <w:tblInd w:w="-702" w:type="dxa"/>
        <w:tblLayout w:type="fixed"/>
        <w:tblLook w:val="0000" w:firstRow="0" w:lastRow="0" w:firstColumn="0" w:lastColumn="0" w:noHBand="0" w:noVBand="0"/>
      </w:tblPr>
      <w:tblGrid>
        <w:gridCol w:w="1363"/>
        <w:gridCol w:w="8087"/>
        <w:gridCol w:w="1440"/>
      </w:tblGrid>
      <w:tr w:rsidR="00477E65" w:rsidTr="007F3017">
        <w:trPr>
          <w:trHeight w:val="990"/>
        </w:trPr>
        <w:tc>
          <w:tcPr>
            <w:tcW w:w="1363" w:type="dxa"/>
          </w:tcPr>
          <w:p w:rsidR="00477E65" w:rsidRDefault="00477E65" w:rsidP="007F3017">
            <w:r>
              <w:rPr>
                <w:noProof/>
                <w:spacing w:val="-2"/>
              </w:rPr>
              <w:lastRenderedPageBreak/>
              <w:drawing>
                <wp:inline distT="0" distB="0" distL="0" distR="0" wp14:anchorId="6FBF7D52" wp14:editId="2037AFB2">
                  <wp:extent cx="723900" cy="723900"/>
                  <wp:effectExtent l="0" t="0" r="0" b="0"/>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87" w:type="dxa"/>
          </w:tcPr>
          <w:p w:rsidR="00477E65" w:rsidRDefault="00477E65" w:rsidP="00477E65">
            <w:pPr>
              <w:suppressAutoHyphens/>
              <w:spacing w:line="240" w:lineRule="auto"/>
              <w:jc w:val="center"/>
              <w:rPr>
                <w:rFonts w:ascii="Arial" w:hAnsi="Arial"/>
                <w:sz w:val="12"/>
              </w:rPr>
            </w:pPr>
            <w:r>
              <w:rPr>
                <w:rFonts w:ascii="Arial" w:hAnsi="Arial"/>
                <w:color w:val="000080"/>
                <w:spacing w:val="-3"/>
                <w:sz w:val="26"/>
              </w:rPr>
              <w:t>COMMONWEALTH OF PENNSYLVANIA</w:t>
            </w:r>
            <w:r>
              <w:rPr>
                <w:rFonts w:ascii="Arial" w:hAnsi="Arial"/>
                <w:color w:val="000080"/>
                <w:spacing w:val="-3"/>
                <w:sz w:val="26"/>
              </w:rPr>
              <w:br/>
              <w:t>PENNSYLVANIA PUBLIC UTILITY COMMISSION</w:t>
            </w:r>
            <w:r>
              <w:rPr>
                <w:rFonts w:ascii="Arial" w:hAnsi="Arial"/>
                <w:color w:val="000080"/>
                <w:spacing w:val="-3"/>
                <w:sz w:val="26"/>
              </w:rPr>
              <w:br/>
              <w:t>P.O. BOX 3265, HARRISBURG, PA 17105-3265</w:t>
            </w:r>
          </w:p>
        </w:tc>
        <w:tc>
          <w:tcPr>
            <w:tcW w:w="1440" w:type="dxa"/>
          </w:tcPr>
          <w:p w:rsidR="00477E65" w:rsidRDefault="00477E65" w:rsidP="007F3017">
            <w:pPr>
              <w:jc w:val="right"/>
              <w:rPr>
                <w:rFonts w:ascii="Arial" w:hAnsi="Arial"/>
                <w:b/>
                <w:spacing w:val="-1"/>
                <w:sz w:val="12"/>
              </w:rPr>
            </w:pPr>
            <w:r>
              <w:rPr>
                <w:rFonts w:ascii="Arial" w:hAnsi="Arial"/>
                <w:b/>
                <w:spacing w:val="-1"/>
                <w:sz w:val="12"/>
              </w:rPr>
              <w:t>IN REPLY PLEASE REFER TO OUR FILE</w:t>
            </w:r>
          </w:p>
          <w:p w:rsidR="00477E65" w:rsidRDefault="00477E65" w:rsidP="007F3017">
            <w:pPr>
              <w:jc w:val="right"/>
              <w:rPr>
                <w:sz w:val="16"/>
                <w:szCs w:val="16"/>
              </w:rPr>
            </w:pPr>
          </w:p>
          <w:p w:rsidR="00477E65" w:rsidRPr="00170283" w:rsidRDefault="00477E65" w:rsidP="007F3017">
            <w:pPr>
              <w:jc w:val="right"/>
              <w:rPr>
                <w:rFonts w:ascii="Arial" w:hAnsi="Arial"/>
                <w:sz w:val="16"/>
                <w:szCs w:val="16"/>
              </w:rPr>
            </w:pPr>
          </w:p>
        </w:tc>
      </w:tr>
    </w:tbl>
    <w:p w:rsidR="00477E65" w:rsidRPr="005D0552" w:rsidRDefault="00477E65" w:rsidP="00477E65">
      <w:pPr>
        <w:jc w:val="center"/>
        <w:rPr>
          <w:rFonts w:ascii="Times New Roman" w:hAnsi="Times New Roman"/>
          <w:b/>
          <w:sz w:val="26"/>
          <w:szCs w:val="26"/>
        </w:rPr>
      </w:pPr>
      <w:r>
        <w:rPr>
          <w:rFonts w:ascii="Times New Roman" w:hAnsi="Times New Roman"/>
          <w:b/>
          <w:sz w:val="26"/>
          <w:szCs w:val="26"/>
        </w:rPr>
        <w:t>May 1, 2015</w:t>
      </w:r>
    </w:p>
    <w:p w:rsidR="00477E65" w:rsidRPr="005D0552" w:rsidRDefault="00477E65" w:rsidP="00477E65">
      <w:pPr>
        <w:jc w:val="right"/>
        <w:rPr>
          <w:rFonts w:ascii="Times New Roman" w:hAnsi="Times New Roman"/>
          <w:sz w:val="26"/>
          <w:szCs w:val="26"/>
        </w:rPr>
      </w:pPr>
    </w:p>
    <w:p w:rsidR="00477E65" w:rsidRPr="005D0552" w:rsidRDefault="00477E65" w:rsidP="00477E65">
      <w:pPr>
        <w:rPr>
          <w:rFonts w:ascii="Times New Roman" w:hAnsi="Times New Roman"/>
          <w:sz w:val="26"/>
          <w:szCs w:val="26"/>
        </w:rPr>
      </w:pPr>
      <w:r w:rsidRPr="005D0552">
        <w:rPr>
          <w:rFonts w:ascii="Times New Roman" w:hAnsi="Times New Roman"/>
          <w:sz w:val="26"/>
          <w:szCs w:val="26"/>
        </w:rPr>
        <w:t>To:</w:t>
      </w:r>
      <w:r w:rsidRPr="005D0552">
        <w:rPr>
          <w:rFonts w:ascii="Times New Roman" w:hAnsi="Times New Roman"/>
          <w:sz w:val="26"/>
          <w:szCs w:val="26"/>
        </w:rPr>
        <w:tab/>
      </w:r>
      <w:r w:rsidRPr="005D0552">
        <w:rPr>
          <w:rFonts w:ascii="Times New Roman" w:hAnsi="Times New Roman"/>
          <w:sz w:val="26"/>
          <w:szCs w:val="26"/>
        </w:rPr>
        <w:tab/>
        <w:t>All Jurisdictional Electric Distribution Companies</w:t>
      </w:r>
      <w:r w:rsidRPr="005D0552">
        <w:rPr>
          <w:rFonts w:ascii="Times New Roman" w:hAnsi="Times New Roman"/>
          <w:sz w:val="26"/>
          <w:szCs w:val="26"/>
        </w:rPr>
        <w:tab/>
      </w:r>
      <w:r w:rsidRPr="005D0552">
        <w:rPr>
          <w:rFonts w:ascii="Times New Roman" w:hAnsi="Times New Roman"/>
          <w:sz w:val="26"/>
          <w:szCs w:val="26"/>
        </w:rPr>
        <w:tab/>
      </w:r>
    </w:p>
    <w:p w:rsidR="00477E65" w:rsidRPr="005D0552" w:rsidRDefault="00477E65" w:rsidP="00477E65">
      <w:pPr>
        <w:rPr>
          <w:rFonts w:ascii="Times New Roman" w:hAnsi="Times New Roman"/>
          <w:sz w:val="26"/>
          <w:szCs w:val="26"/>
        </w:rPr>
      </w:pPr>
      <w:r w:rsidRPr="005D0552">
        <w:rPr>
          <w:rFonts w:ascii="Times New Roman" w:hAnsi="Times New Roman"/>
          <w:sz w:val="26"/>
          <w:szCs w:val="26"/>
        </w:rPr>
        <w:t xml:space="preserve">Re:  </w:t>
      </w:r>
      <w:r w:rsidRPr="005D0552">
        <w:rPr>
          <w:rFonts w:ascii="Times New Roman" w:hAnsi="Times New Roman"/>
          <w:sz w:val="26"/>
          <w:szCs w:val="26"/>
        </w:rPr>
        <w:tab/>
      </w:r>
      <w:r w:rsidRPr="005D0552">
        <w:rPr>
          <w:rFonts w:ascii="Times New Roman" w:hAnsi="Times New Roman"/>
          <w:sz w:val="26"/>
          <w:szCs w:val="26"/>
        </w:rPr>
        <w:tab/>
        <w:t>Informal Review of PJM Non-Market Based Charges</w:t>
      </w:r>
    </w:p>
    <w:p w:rsidR="00477E65" w:rsidRPr="005D0552" w:rsidRDefault="00477E65" w:rsidP="00477E65">
      <w:pPr>
        <w:rPr>
          <w:rFonts w:ascii="Times New Roman" w:hAnsi="Times New Roman"/>
          <w:sz w:val="26"/>
          <w:szCs w:val="26"/>
        </w:rPr>
      </w:pPr>
      <w:r>
        <w:rPr>
          <w:rFonts w:ascii="Times New Roman" w:hAnsi="Times New Roman"/>
          <w:sz w:val="26"/>
          <w:szCs w:val="26"/>
        </w:rPr>
        <w:br/>
      </w:r>
      <w:r w:rsidRPr="005D0552">
        <w:rPr>
          <w:rFonts w:ascii="Times New Roman" w:hAnsi="Times New Roman"/>
          <w:sz w:val="26"/>
          <w:szCs w:val="26"/>
        </w:rPr>
        <w:tab/>
        <w:t>The purpose of this Secretarial Letter is to inform the electric distribution companies (EDCs) that the Commission has directed its Office of Competitive Market Oversight (OCMO) to perform an informal review of the non-market based charges imposed on load serving entities (LSEs) by PJM Interconnection, LLC (PJM).  Examples of identified non-market based charges include, but may not be limited to, network integration transmission services (NITS), regional transmission expansion plans (</w:t>
      </w:r>
      <w:proofErr w:type="spellStart"/>
      <w:r w:rsidRPr="005D0552">
        <w:rPr>
          <w:rFonts w:ascii="Times New Roman" w:hAnsi="Times New Roman"/>
          <w:sz w:val="26"/>
          <w:szCs w:val="26"/>
        </w:rPr>
        <w:t>RTEP</w:t>
      </w:r>
      <w:proofErr w:type="spellEnd"/>
      <w:r w:rsidRPr="005D0552">
        <w:rPr>
          <w:rFonts w:ascii="Times New Roman" w:hAnsi="Times New Roman"/>
          <w:sz w:val="26"/>
          <w:szCs w:val="26"/>
        </w:rPr>
        <w:t>), expansion cost recovery charges (</w:t>
      </w:r>
      <w:proofErr w:type="spellStart"/>
      <w:r w:rsidRPr="005D0552">
        <w:rPr>
          <w:rFonts w:ascii="Times New Roman" w:hAnsi="Times New Roman"/>
          <w:sz w:val="26"/>
          <w:szCs w:val="26"/>
        </w:rPr>
        <w:t>ECRC</w:t>
      </w:r>
      <w:proofErr w:type="spellEnd"/>
      <w:r w:rsidRPr="005D0552">
        <w:rPr>
          <w:rFonts w:ascii="Times New Roman" w:hAnsi="Times New Roman"/>
          <w:sz w:val="26"/>
          <w:szCs w:val="26"/>
        </w:rPr>
        <w:t xml:space="preserve">), generation deactivation zonal cost allocation (also known as reliability must run or </w:t>
      </w:r>
      <w:proofErr w:type="spellStart"/>
      <w:r w:rsidRPr="005D0552">
        <w:rPr>
          <w:rFonts w:ascii="Times New Roman" w:hAnsi="Times New Roman"/>
          <w:sz w:val="26"/>
          <w:szCs w:val="26"/>
        </w:rPr>
        <w:t>RMR</w:t>
      </w:r>
      <w:proofErr w:type="spellEnd"/>
      <w:r w:rsidRPr="005D0552">
        <w:rPr>
          <w:rFonts w:ascii="Times New Roman" w:hAnsi="Times New Roman"/>
          <w:sz w:val="26"/>
          <w:szCs w:val="26"/>
        </w:rPr>
        <w:t xml:space="preserve">), transmission enhancement costs and non-firm point-to-point transmission service credits.  </w:t>
      </w:r>
    </w:p>
    <w:p w:rsidR="00477E65" w:rsidRPr="005D0552" w:rsidRDefault="00477E65" w:rsidP="00477E65">
      <w:pPr>
        <w:ind w:firstLine="720"/>
        <w:rPr>
          <w:rFonts w:ascii="Times New Roman" w:hAnsi="Times New Roman"/>
          <w:sz w:val="26"/>
          <w:szCs w:val="26"/>
        </w:rPr>
      </w:pPr>
      <w:r w:rsidRPr="005D0552">
        <w:rPr>
          <w:rFonts w:ascii="Times New Roman" w:hAnsi="Times New Roman"/>
          <w:sz w:val="26"/>
          <w:szCs w:val="26"/>
        </w:rPr>
        <w:t>Specifically, the Commission has directed OCMO to perform an informal review that includes, but is not limited to, answering the following questions:</w:t>
      </w:r>
    </w:p>
    <w:p w:rsidR="00477E65" w:rsidRPr="005D0552" w:rsidRDefault="00477E65" w:rsidP="00477E65">
      <w:pPr>
        <w:pStyle w:val="ListParagraph"/>
        <w:numPr>
          <w:ilvl w:val="0"/>
          <w:numId w:val="11"/>
        </w:numPr>
        <w:rPr>
          <w:rFonts w:ascii="Times New Roman" w:hAnsi="Times New Roman"/>
          <w:sz w:val="26"/>
          <w:szCs w:val="26"/>
        </w:rPr>
      </w:pPr>
      <w:r w:rsidRPr="005D0552">
        <w:rPr>
          <w:rFonts w:ascii="Times New Roman" w:hAnsi="Times New Roman"/>
          <w:sz w:val="26"/>
          <w:szCs w:val="26"/>
        </w:rPr>
        <w:t>Are there any other PJM non-market based charges in addition to those noted above?</w:t>
      </w:r>
    </w:p>
    <w:p w:rsidR="00477E65" w:rsidRPr="005D0552" w:rsidRDefault="00477E65" w:rsidP="00477E65">
      <w:pPr>
        <w:pStyle w:val="ListParagraph"/>
        <w:numPr>
          <w:ilvl w:val="0"/>
          <w:numId w:val="11"/>
        </w:numPr>
        <w:rPr>
          <w:rFonts w:ascii="Times New Roman" w:hAnsi="Times New Roman"/>
          <w:sz w:val="26"/>
          <w:szCs w:val="26"/>
        </w:rPr>
      </w:pPr>
      <w:r w:rsidRPr="005D0552">
        <w:rPr>
          <w:rFonts w:ascii="Times New Roman" w:hAnsi="Times New Roman"/>
          <w:sz w:val="26"/>
          <w:szCs w:val="26"/>
        </w:rPr>
        <w:t>Are there any PJM charges that may, for whatever reason, be considered market based in some instances and non-market based in other instances or that are not generally agreed upon as either being market- or non-market based?</w:t>
      </w:r>
    </w:p>
    <w:p w:rsidR="00477E65" w:rsidRDefault="00477E65" w:rsidP="00477E65">
      <w:pPr>
        <w:pStyle w:val="ListParagraph"/>
        <w:numPr>
          <w:ilvl w:val="0"/>
          <w:numId w:val="11"/>
        </w:numPr>
        <w:tabs>
          <w:tab w:val="left" w:pos="2362"/>
        </w:tabs>
        <w:rPr>
          <w:rFonts w:ascii="Times New Roman" w:hAnsi="Times New Roman"/>
          <w:sz w:val="26"/>
          <w:szCs w:val="26"/>
        </w:rPr>
      </w:pPr>
      <w:r w:rsidRPr="00477E65">
        <w:rPr>
          <w:rFonts w:ascii="Times New Roman" w:hAnsi="Times New Roman"/>
          <w:sz w:val="26"/>
          <w:szCs w:val="26"/>
        </w:rPr>
        <w:t>Generally, how often and in what manner are these charges imposed on LSEs?  When do these charges change during the calendar year?</w:t>
      </w:r>
    </w:p>
    <w:p w:rsidR="00477E65" w:rsidRPr="00477E65" w:rsidRDefault="00477E65" w:rsidP="00477E65">
      <w:pPr>
        <w:pStyle w:val="ListParagraph"/>
        <w:numPr>
          <w:ilvl w:val="0"/>
          <w:numId w:val="11"/>
        </w:numPr>
        <w:tabs>
          <w:tab w:val="left" w:pos="2362"/>
        </w:tabs>
        <w:rPr>
          <w:rFonts w:ascii="Times New Roman" w:hAnsi="Times New Roman"/>
          <w:sz w:val="26"/>
          <w:szCs w:val="26"/>
        </w:rPr>
      </w:pPr>
      <w:r w:rsidRPr="00477E65">
        <w:rPr>
          <w:rFonts w:ascii="Times New Roman" w:hAnsi="Times New Roman"/>
          <w:sz w:val="26"/>
          <w:szCs w:val="26"/>
        </w:rPr>
        <w:t>What is the approximate average annual cost of these charges: 1) on an EDC basis, and 2) on a customer class basis?</w:t>
      </w:r>
      <w:r>
        <w:rPr>
          <w:rStyle w:val="FootnoteReference"/>
          <w:rFonts w:ascii="Times New Roman" w:hAnsi="Times New Roman"/>
          <w:sz w:val="26"/>
          <w:szCs w:val="26"/>
        </w:rPr>
        <w:footnoteReference w:id="1"/>
      </w:r>
      <w:r w:rsidRPr="00477E65">
        <w:rPr>
          <w:rFonts w:ascii="Times New Roman" w:hAnsi="Times New Roman"/>
          <w:sz w:val="26"/>
          <w:szCs w:val="26"/>
        </w:rPr>
        <w:t xml:space="preserve">  </w:t>
      </w:r>
    </w:p>
    <w:p w:rsidR="00477E65" w:rsidRPr="002163B1" w:rsidRDefault="00477E65" w:rsidP="00477E65">
      <w:pPr>
        <w:pStyle w:val="ListParagraph"/>
        <w:numPr>
          <w:ilvl w:val="0"/>
          <w:numId w:val="11"/>
        </w:numPr>
        <w:rPr>
          <w:rFonts w:ascii="Times New Roman" w:hAnsi="Times New Roman"/>
          <w:sz w:val="26"/>
          <w:szCs w:val="26"/>
        </w:rPr>
      </w:pPr>
      <w:r w:rsidRPr="002163B1">
        <w:rPr>
          <w:rFonts w:ascii="Times New Roman" w:hAnsi="Times New Roman"/>
          <w:sz w:val="26"/>
          <w:szCs w:val="26"/>
        </w:rPr>
        <w:lastRenderedPageBreak/>
        <w:t>What are the different methods utilized by the EDCs for the recovery of these costs in relation to default service?</w:t>
      </w:r>
    </w:p>
    <w:p w:rsidR="00477E65" w:rsidRPr="00477E65" w:rsidRDefault="00477E65" w:rsidP="00477E65">
      <w:pPr>
        <w:pStyle w:val="ListParagraph"/>
        <w:numPr>
          <w:ilvl w:val="0"/>
          <w:numId w:val="11"/>
        </w:numPr>
        <w:rPr>
          <w:rFonts w:ascii="Times New Roman" w:hAnsi="Times New Roman"/>
          <w:sz w:val="26"/>
          <w:szCs w:val="26"/>
        </w:rPr>
      </w:pPr>
      <w:r w:rsidRPr="00477E65">
        <w:rPr>
          <w:rFonts w:ascii="Times New Roman" w:hAnsi="Times New Roman"/>
          <w:sz w:val="26"/>
          <w:szCs w:val="26"/>
        </w:rPr>
        <w:t xml:space="preserve">Would it be possible, and if so, appropriate, to develop a competitively-neutral methodology for the collection of such charges on behalf of all LSEs serving load in a given EDC service territory? </w:t>
      </w:r>
    </w:p>
    <w:p w:rsidR="00477E65" w:rsidRPr="005D0552" w:rsidRDefault="00477E65" w:rsidP="00477E65">
      <w:pPr>
        <w:rPr>
          <w:rFonts w:ascii="Times New Roman" w:hAnsi="Times New Roman"/>
          <w:sz w:val="26"/>
          <w:szCs w:val="26"/>
        </w:rPr>
      </w:pPr>
      <w:r w:rsidRPr="005D0552">
        <w:rPr>
          <w:rFonts w:ascii="Times New Roman" w:hAnsi="Times New Roman"/>
          <w:sz w:val="26"/>
          <w:szCs w:val="26"/>
        </w:rPr>
        <w:tab/>
        <w:t xml:space="preserve">The Commission recognizes that the recovery of such charges have been litigated and established during the EDCs’ default service plan proceedings.  The intent of this informal investigation is to determine if there is a need to address </w:t>
      </w:r>
      <w:proofErr w:type="gramStart"/>
      <w:r w:rsidRPr="005D0552">
        <w:rPr>
          <w:rFonts w:ascii="Times New Roman" w:hAnsi="Times New Roman"/>
          <w:sz w:val="26"/>
          <w:szCs w:val="26"/>
        </w:rPr>
        <w:t>these non-market</w:t>
      </w:r>
      <w:proofErr w:type="gramEnd"/>
      <w:r w:rsidRPr="005D0552">
        <w:rPr>
          <w:rFonts w:ascii="Times New Roman" w:hAnsi="Times New Roman"/>
          <w:sz w:val="26"/>
          <w:szCs w:val="26"/>
        </w:rPr>
        <w:t xml:space="preserve"> based wholesale market charges in a more uniform and comprehensive way that would facilitate and enhance the retail electric market during future proceedings.   </w:t>
      </w:r>
    </w:p>
    <w:p w:rsidR="00477E65" w:rsidRPr="005D0552" w:rsidRDefault="00477E65" w:rsidP="00477E65">
      <w:pPr>
        <w:rPr>
          <w:rFonts w:ascii="Times New Roman" w:hAnsi="Times New Roman"/>
          <w:sz w:val="26"/>
          <w:szCs w:val="26"/>
        </w:rPr>
      </w:pPr>
      <w:r w:rsidRPr="005D0552">
        <w:rPr>
          <w:rFonts w:ascii="Times New Roman" w:hAnsi="Times New Roman"/>
          <w:sz w:val="26"/>
          <w:szCs w:val="26"/>
        </w:rPr>
        <w:tab/>
        <w:t xml:space="preserve">As part of its informal review, OCMO will be contacting the EDCs to discuss their various cost recovery methodologies for non-market based charges and to attain EDC input on the questions included herein.  OCMO </w:t>
      </w:r>
      <w:r>
        <w:rPr>
          <w:rFonts w:ascii="Times New Roman" w:hAnsi="Times New Roman"/>
          <w:sz w:val="26"/>
          <w:szCs w:val="26"/>
        </w:rPr>
        <w:t>anticipates seeking further feedback from</w:t>
      </w:r>
      <w:r w:rsidRPr="005D0552">
        <w:rPr>
          <w:rFonts w:ascii="Times New Roman" w:hAnsi="Times New Roman"/>
          <w:sz w:val="26"/>
          <w:szCs w:val="26"/>
        </w:rPr>
        <w:t xml:space="preserve"> other parties </w:t>
      </w:r>
      <w:r>
        <w:rPr>
          <w:rFonts w:ascii="Times New Roman" w:hAnsi="Times New Roman"/>
          <w:sz w:val="26"/>
          <w:szCs w:val="26"/>
        </w:rPr>
        <w:t>as it progresses with</w:t>
      </w:r>
      <w:r w:rsidRPr="005D0552">
        <w:rPr>
          <w:rFonts w:ascii="Times New Roman" w:hAnsi="Times New Roman"/>
          <w:sz w:val="26"/>
          <w:szCs w:val="26"/>
        </w:rPr>
        <w:t xml:space="preserve"> its review.</w:t>
      </w:r>
    </w:p>
    <w:p w:rsidR="00477E65" w:rsidRPr="005D0552" w:rsidRDefault="00477E65" w:rsidP="00477E65">
      <w:pPr>
        <w:ind w:firstLine="720"/>
        <w:rPr>
          <w:rFonts w:ascii="Times New Roman" w:hAnsi="Times New Roman"/>
          <w:sz w:val="26"/>
          <w:szCs w:val="26"/>
        </w:rPr>
      </w:pPr>
      <w:r w:rsidRPr="005D0552">
        <w:rPr>
          <w:rFonts w:ascii="Times New Roman" w:hAnsi="Times New Roman"/>
          <w:sz w:val="26"/>
          <w:szCs w:val="26"/>
        </w:rPr>
        <w:t xml:space="preserve">Any questions about this Secretarial Letter should be directed to OCMO by email at </w:t>
      </w:r>
      <w:hyperlink r:id="rId54" w:history="1">
        <w:r w:rsidRPr="005D0552">
          <w:rPr>
            <w:rStyle w:val="Hyperlink"/>
            <w:rFonts w:ascii="Times New Roman" w:hAnsi="Times New Roman"/>
            <w:sz w:val="26"/>
            <w:szCs w:val="26"/>
          </w:rPr>
          <w:t>ra-OCMO@</w:t>
        </w:r>
      </w:hyperlink>
      <w:r w:rsidRPr="005D0552">
        <w:rPr>
          <w:rStyle w:val="Hyperlink"/>
          <w:rFonts w:ascii="Times New Roman" w:hAnsi="Times New Roman"/>
          <w:sz w:val="26"/>
          <w:szCs w:val="26"/>
        </w:rPr>
        <w:t>pa.gov.</w:t>
      </w:r>
    </w:p>
    <w:p w:rsidR="00477E65" w:rsidRPr="005D0552" w:rsidRDefault="00477E65" w:rsidP="00477E65">
      <w:pPr>
        <w:keepNext/>
        <w:keepLines/>
        <w:ind w:left="5040"/>
        <w:rPr>
          <w:rFonts w:ascii="Times New Roman" w:hAnsi="Times New Roman"/>
          <w:sz w:val="26"/>
          <w:szCs w:val="26"/>
        </w:rPr>
      </w:pPr>
      <w:r w:rsidRPr="005D0552">
        <w:rPr>
          <w:rFonts w:ascii="Times New Roman" w:hAnsi="Times New Roman"/>
          <w:sz w:val="26"/>
          <w:szCs w:val="26"/>
        </w:rPr>
        <w:t>Sincerely,</w:t>
      </w:r>
    </w:p>
    <w:p w:rsidR="00477E65" w:rsidRPr="005D0552" w:rsidRDefault="00477E65" w:rsidP="00477E65">
      <w:pPr>
        <w:keepNext/>
        <w:keepLines/>
        <w:ind w:left="5040"/>
        <w:rPr>
          <w:rFonts w:ascii="Times New Roman" w:hAnsi="Times New Roman"/>
          <w:sz w:val="26"/>
          <w:szCs w:val="26"/>
        </w:rPr>
      </w:pPr>
      <w:r>
        <w:rPr>
          <w:noProof/>
        </w:rPr>
        <w:drawing>
          <wp:anchor distT="0" distB="0" distL="114300" distR="114300" simplePos="0" relativeHeight="251660288" behindDoc="1" locked="0" layoutInCell="1" allowOverlap="1">
            <wp:simplePos x="0" y="0"/>
            <wp:positionH relativeFrom="column">
              <wp:posOffset>3133725</wp:posOffset>
            </wp:positionH>
            <wp:positionV relativeFrom="paragraph">
              <wp:posOffset>-635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77E65" w:rsidRPr="005D0552" w:rsidRDefault="00477E65" w:rsidP="00477E65">
      <w:pPr>
        <w:keepNext/>
        <w:keepLines/>
        <w:ind w:left="5040"/>
        <w:rPr>
          <w:rFonts w:ascii="Times New Roman" w:hAnsi="Times New Roman"/>
          <w:sz w:val="26"/>
          <w:szCs w:val="26"/>
        </w:rPr>
      </w:pPr>
    </w:p>
    <w:p w:rsidR="00477E65" w:rsidRPr="005D0552" w:rsidRDefault="00477E65" w:rsidP="00477E65">
      <w:pPr>
        <w:keepNext/>
        <w:keepLines/>
        <w:ind w:left="5040"/>
        <w:rPr>
          <w:rFonts w:ascii="Times New Roman" w:hAnsi="Times New Roman"/>
          <w:sz w:val="26"/>
          <w:szCs w:val="26"/>
        </w:rPr>
      </w:pPr>
    </w:p>
    <w:p w:rsidR="00477E65" w:rsidRPr="005D0552" w:rsidRDefault="00477E65" w:rsidP="00477E65">
      <w:pPr>
        <w:keepNext/>
        <w:keepLines/>
        <w:ind w:left="5040"/>
        <w:rPr>
          <w:rFonts w:ascii="Times New Roman" w:hAnsi="Times New Roman"/>
          <w:sz w:val="26"/>
          <w:szCs w:val="26"/>
        </w:rPr>
      </w:pPr>
      <w:r w:rsidRPr="005D0552">
        <w:rPr>
          <w:rFonts w:ascii="Times New Roman" w:hAnsi="Times New Roman"/>
          <w:sz w:val="26"/>
          <w:szCs w:val="26"/>
        </w:rPr>
        <w:t>Rosemary Chiavetta</w:t>
      </w:r>
      <w:r w:rsidR="000766EE">
        <w:rPr>
          <w:rFonts w:ascii="Times New Roman" w:hAnsi="Times New Roman"/>
          <w:sz w:val="26"/>
          <w:szCs w:val="26"/>
        </w:rPr>
        <w:br/>
      </w:r>
      <w:r w:rsidRPr="005D0552">
        <w:rPr>
          <w:rFonts w:ascii="Times New Roman" w:hAnsi="Times New Roman"/>
          <w:sz w:val="26"/>
          <w:szCs w:val="26"/>
        </w:rPr>
        <w:t>Secretary</w:t>
      </w:r>
    </w:p>
    <w:p w:rsidR="00477E65" w:rsidRPr="005D0552" w:rsidRDefault="00477E65" w:rsidP="00477E65">
      <w:pPr>
        <w:keepNext/>
        <w:keepLines/>
        <w:ind w:left="5040"/>
        <w:rPr>
          <w:rFonts w:ascii="Times New Roman" w:hAnsi="Times New Roman"/>
          <w:sz w:val="26"/>
          <w:szCs w:val="26"/>
        </w:rPr>
      </w:pPr>
    </w:p>
    <w:p w:rsidR="00477E65" w:rsidRPr="005D0552" w:rsidRDefault="00477E65" w:rsidP="00477E65">
      <w:pPr>
        <w:keepNext/>
        <w:keepLines/>
        <w:rPr>
          <w:rFonts w:ascii="Times New Roman" w:hAnsi="Times New Roman"/>
          <w:sz w:val="26"/>
          <w:szCs w:val="26"/>
        </w:rPr>
      </w:pPr>
    </w:p>
    <w:p w:rsidR="00477E65" w:rsidRPr="005D0552" w:rsidRDefault="00477E65" w:rsidP="00477E65">
      <w:pPr>
        <w:rPr>
          <w:rFonts w:ascii="Times New Roman" w:hAnsi="Times New Roman"/>
          <w:color w:val="000000"/>
          <w:sz w:val="26"/>
          <w:szCs w:val="26"/>
        </w:rPr>
      </w:pPr>
      <w:r w:rsidRPr="005D0552">
        <w:rPr>
          <w:rFonts w:ascii="Times New Roman" w:hAnsi="Times New Roman"/>
          <w:sz w:val="26"/>
          <w:szCs w:val="26"/>
        </w:rPr>
        <w:t xml:space="preserve">cc:  </w:t>
      </w:r>
      <w:r w:rsidRPr="005D0552">
        <w:rPr>
          <w:rFonts w:ascii="Times New Roman" w:hAnsi="Times New Roman"/>
          <w:sz w:val="26"/>
          <w:szCs w:val="26"/>
        </w:rPr>
        <w:tab/>
        <w:t>Office of Competitiv</w:t>
      </w:r>
      <w:r>
        <w:rPr>
          <w:rFonts w:ascii="Times New Roman" w:hAnsi="Times New Roman"/>
          <w:sz w:val="26"/>
          <w:szCs w:val="26"/>
        </w:rPr>
        <w:t>e Market Oversight</w:t>
      </w:r>
    </w:p>
    <w:p w:rsidR="00DA6FDA" w:rsidRPr="00DA6FDA" w:rsidRDefault="00DA6FDA" w:rsidP="00DA6FDA">
      <w:pPr>
        <w:rPr>
          <w:sz w:val="24"/>
          <w:szCs w:val="24"/>
        </w:rPr>
      </w:pPr>
    </w:p>
    <w:sectPr w:rsidR="00DA6FDA" w:rsidRPr="00DA6FDA" w:rsidSect="00DD6774">
      <w:footerReference w:type="default" r:id="rId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FCA" w:rsidRDefault="00C91FCA" w:rsidP="00DB45B0">
      <w:pPr>
        <w:spacing w:after="0" w:line="240" w:lineRule="auto"/>
      </w:pPr>
      <w:r>
        <w:separator/>
      </w:r>
    </w:p>
  </w:endnote>
  <w:endnote w:type="continuationSeparator" w:id="0">
    <w:p w:rsidR="00C91FCA" w:rsidRDefault="00C91FCA" w:rsidP="00DB4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8323230"/>
      <w:docPartObj>
        <w:docPartGallery w:val="Page Numbers (Bottom of Page)"/>
        <w:docPartUnique/>
      </w:docPartObj>
    </w:sdtPr>
    <w:sdtEndPr>
      <w:rPr>
        <w:noProof/>
      </w:rPr>
    </w:sdtEndPr>
    <w:sdtContent>
      <w:p w:rsidR="00DB45B0" w:rsidRDefault="00DB45B0">
        <w:pPr>
          <w:pStyle w:val="Footer"/>
          <w:jc w:val="center"/>
        </w:pPr>
        <w:r>
          <w:fldChar w:fldCharType="begin"/>
        </w:r>
        <w:r>
          <w:instrText xml:space="preserve"> PAGE   \* MERGEFORMAT </w:instrText>
        </w:r>
        <w:r>
          <w:fldChar w:fldCharType="separate"/>
        </w:r>
        <w:r w:rsidR="00260564">
          <w:rPr>
            <w:noProof/>
          </w:rPr>
          <w:t>1</w:t>
        </w:r>
        <w:r>
          <w:rPr>
            <w:noProof/>
          </w:rPr>
          <w:fldChar w:fldCharType="end"/>
        </w:r>
      </w:p>
    </w:sdtContent>
  </w:sdt>
  <w:p w:rsidR="00DB45B0" w:rsidRDefault="00DB45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FCA" w:rsidRDefault="00C91FCA" w:rsidP="00DB45B0">
      <w:pPr>
        <w:spacing w:after="0" w:line="240" w:lineRule="auto"/>
      </w:pPr>
      <w:r>
        <w:separator/>
      </w:r>
    </w:p>
  </w:footnote>
  <w:footnote w:type="continuationSeparator" w:id="0">
    <w:p w:rsidR="00C91FCA" w:rsidRDefault="00C91FCA" w:rsidP="00DB45B0">
      <w:pPr>
        <w:spacing w:after="0" w:line="240" w:lineRule="auto"/>
      </w:pPr>
      <w:r>
        <w:continuationSeparator/>
      </w:r>
    </w:p>
  </w:footnote>
  <w:footnote w:id="1">
    <w:p w:rsidR="00477E65" w:rsidRPr="0055056A" w:rsidRDefault="00477E65" w:rsidP="00477E65">
      <w:pPr>
        <w:pStyle w:val="FootnoteText"/>
        <w:rPr>
          <w:rFonts w:ascii="Times New Roman" w:hAnsi="Times New Roman"/>
          <w:sz w:val="26"/>
          <w:szCs w:val="26"/>
        </w:rPr>
      </w:pPr>
      <w:r w:rsidRPr="0055056A">
        <w:rPr>
          <w:rStyle w:val="FootnoteReference"/>
          <w:rFonts w:ascii="Times New Roman" w:hAnsi="Times New Roman"/>
          <w:sz w:val="26"/>
          <w:szCs w:val="26"/>
        </w:rPr>
        <w:footnoteRef/>
      </w:r>
      <w:r w:rsidRPr="0055056A">
        <w:rPr>
          <w:rFonts w:ascii="Times New Roman" w:hAnsi="Times New Roman"/>
          <w:sz w:val="26"/>
          <w:szCs w:val="26"/>
        </w:rPr>
        <w:t xml:space="preserve"> Express costs in $/MW, if applicable, but in all cases in $/MWH, and state any applicable load factor assumptions.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33C9F"/>
    <w:multiLevelType w:val="hybridMultilevel"/>
    <w:tmpl w:val="C0620276"/>
    <w:lvl w:ilvl="0" w:tplc="E73ECB1A">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1A6806"/>
    <w:multiLevelType w:val="hybridMultilevel"/>
    <w:tmpl w:val="4DAC3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F27B21"/>
    <w:multiLevelType w:val="hybridMultilevel"/>
    <w:tmpl w:val="B01E0F7C"/>
    <w:lvl w:ilvl="0" w:tplc="42ECDF7A">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3E228A"/>
    <w:multiLevelType w:val="hybridMultilevel"/>
    <w:tmpl w:val="824036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0A81523"/>
    <w:multiLevelType w:val="hybridMultilevel"/>
    <w:tmpl w:val="412490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2280698"/>
    <w:multiLevelType w:val="hybridMultilevel"/>
    <w:tmpl w:val="CDC455C8"/>
    <w:lvl w:ilvl="0" w:tplc="6922DB76">
      <w:start w:val="1"/>
      <w:numFmt w:val="bullet"/>
      <w:lvlText w:val=""/>
      <w:lvlJc w:val="left"/>
      <w:pPr>
        <w:ind w:left="720" w:hanging="360"/>
      </w:pPr>
      <w:rPr>
        <w:rFonts w:ascii="Symbol" w:hAnsi="Symbol" w:hint="default"/>
        <w:color w:val="000000" w:themeColor="text1"/>
        <w:sz w:val="22"/>
        <w:szCs w:val="22"/>
      </w:rPr>
    </w:lvl>
    <w:lvl w:ilvl="1" w:tplc="65025CE8">
      <w:start w:val="1"/>
      <w:numFmt w:val="bullet"/>
      <w:lvlText w:val=""/>
      <w:lvlJc w:val="left"/>
      <w:pPr>
        <w:ind w:left="1440" w:hanging="360"/>
      </w:pPr>
      <w:rPr>
        <w:rFonts w:ascii="Symbol" w:hAnsi="Symbol" w:hint="default"/>
        <w:sz w:val="22"/>
        <w:szCs w:val="2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7D4BEF"/>
    <w:multiLevelType w:val="hybridMultilevel"/>
    <w:tmpl w:val="977E3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nsid w:val="4EED0FCD"/>
    <w:multiLevelType w:val="hybridMultilevel"/>
    <w:tmpl w:val="C7D2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D54097"/>
    <w:multiLevelType w:val="hybridMultilevel"/>
    <w:tmpl w:val="5B8223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555606F"/>
    <w:multiLevelType w:val="hybridMultilevel"/>
    <w:tmpl w:val="A2A06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nsid w:val="5E4257F8"/>
    <w:multiLevelType w:val="hybridMultilevel"/>
    <w:tmpl w:val="633A06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884D99"/>
    <w:multiLevelType w:val="hybridMultilevel"/>
    <w:tmpl w:val="1DAEF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9"/>
  </w:num>
  <w:num w:numId="4">
    <w:abstractNumId w:val="7"/>
  </w:num>
  <w:num w:numId="5">
    <w:abstractNumId w:val="8"/>
  </w:num>
  <w:num w:numId="6">
    <w:abstractNumId w:val="0"/>
  </w:num>
  <w:num w:numId="7">
    <w:abstractNumId w:val="10"/>
  </w:num>
  <w:num w:numId="8">
    <w:abstractNumId w:val="6"/>
  </w:num>
  <w:num w:numId="9">
    <w:abstractNumId w:val="1"/>
  </w:num>
  <w:num w:numId="10">
    <w:abstractNumId w:val="2"/>
  </w:num>
  <w:num w:numId="11">
    <w:abstractNumId w:val="3"/>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939"/>
    <w:rsid w:val="00034630"/>
    <w:rsid w:val="00051B2F"/>
    <w:rsid w:val="00073670"/>
    <w:rsid w:val="000766EE"/>
    <w:rsid w:val="000B6583"/>
    <w:rsid w:val="000C4E97"/>
    <w:rsid w:val="000F0424"/>
    <w:rsid w:val="001549D9"/>
    <w:rsid w:val="00171DC7"/>
    <w:rsid w:val="001903AF"/>
    <w:rsid w:val="0019459D"/>
    <w:rsid w:val="00197EA5"/>
    <w:rsid w:val="001B563C"/>
    <w:rsid w:val="001C3558"/>
    <w:rsid w:val="001D2636"/>
    <w:rsid w:val="00203C2D"/>
    <w:rsid w:val="00221151"/>
    <w:rsid w:val="002215DD"/>
    <w:rsid w:val="00256D0A"/>
    <w:rsid w:val="0026051B"/>
    <w:rsid w:val="00260564"/>
    <w:rsid w:val="0027090E"/>
    <w:rsid w:val="00286939"/>
    <w:rsid w:val="00287B2B"/>
    <w:rsid w:val="00292485"/>
    <w:rsid w:val="00296550"/>
    <w:rsid w:val="002A45A5"/>
    <w:rsid w:val="002A70C9"/>
    <w:rsid w:val="002C7FF5"/>
    <w:rsid w:val="003016D8"/>
    <w:rsid w:val="003030D2"/>
    <w:rsid w:val="003210D3"/>
    <w:rsid w:val="00321B36"/>
    <w:rsid w:val="0034605D"/>
    <w:rsid w:val="00355D32"/>
    <w:rsid w:val="00364E5E"/>
    <w:rsid w:val="00397B9A"/>
    <w:rsid w:val="003A74BA"/>
    <w:rsid w:val="003B545B"/>
    <w:rsid w:val="003C633D"/>
    <w:rsid w:val="00434CBD"/>
    <w:rsid w:val="00441E08"/>
    <w:rsid w:val="0044723E"/>
    <w:rsid w:val="004477FF"/>
    <w:rsid w:val="00460773"/>
    <w:rsid w:val="00464F51"/>
    <w:rsid w:val="00475ADB"/>
    <w:rsid w:val="00477E65"/>
    <w:rsid w:val="00490696"/>
    <w:rsid w:val="004C1A04"/>
    <w:rsid w:val="00502337"/>
    <w:rsid w:val="00516EFE"/>
    <w:rsid w:val="0053182D"/>
    <w:rsid w:val="00565A4F"/>
    <w:rsid w:val="00580CE2"/>
    <w:rsid w:val="00581E4D"/>
    <w:rsid w:val="005A129E"/>
    <w:rsid w:val="005C106F"/>
    <w:rsid w:val="005D6224"/>
    <w:rsid w:val="00616016"/>
    <w:rsid w:val="00686358"/>
    <w:rsid w:val="006C5231"/>
    <w:rsid w:val="00704DC1"/>
    <w:rsid w:val="00733CDC"/>
    <w:rsid w:val="0073441F"/>
    <w:rsid w:val="00763469"/>
    <w:rsid w:val="00776ED3"/>
    <w:rsid w:val="007775A4"/>
    <w:rsid w:val="007A15B4"/>
    <w:rsid w:val="007A25B1"/>
    <w:rsid w:val="007B3277"/>
    <w:rsid w:val="007D6721"/>
    <w:rsid w:val="007F29E9"/>
    <w:rsid w:val="007F681B"/>
    <w:rsid w:val="007F7800"/>
    <w:rsid w:val="0082462C"/>
    <w:rsid w:val="00824EF6"/>
    <w:rsid w:val="00830B87"/>
    <w:rsid w:val="00835EFA"/>
    <w:rsid w:val="00836204"/>
    <w:rsid w:val="00837CEF"/>
    <w:rsid w:val="0085118F"/>
    <w:rsid w:val="008652BB"/>
    <w:rsid w:val="00870F63"/>
    <w:rsid w:val="008A14C7"/>
    <w:rsid w:val="008C067A"/>
    <w:rsid w:val="008C28E0"/>
    <w:rsid w:val="008F6893"/>
    <w:rsid w:val="00903E35"/>
    <w:rsid w:val="0094780F"/>
    <w:rsid w:val="009662C5"/>
    <w:rsid w:val="00966FC8"/>
    <w:rsid w:val="009716A1"/>
    <w:rsid w:val="009B1564"/>
    <w:rsid w:val="009E74C9"/>
    <w:rsid w:val="009F3EB8"/>
    <w:rsid w:val="00A01782"/>
    <w:rsid w:val="00A47C85"/>
    <w:rsid w:val="00A659E8"/>
    <w:rsid w:val="00A81A08"/>
    <w:rsid w:val="00B01CB2"/>
    <w:rsid w:val="00B13030"/>
    <w:rsid w:val="00B156DF"/>
    <w:rsid w:val="00B47A51"/>
    <w:rsid w:val="00B87CB7"/>
    <w:rsid w:val="00BA1051"/>
    <w:rsid w:val="00C530E5"/>
    <w:rsid w:val="00C84F79"/>
    <w:rsid w:val="00C91FCA"/>
    <w:rsid w:val="00C969CE"/>
    <w:rsid w:val="00CB1EA1"/>
    <w:rsid w:val="00CD2893"/>
    <w:rsid w:val="00CD4003"/>
    <w:rsid w:val="00CF11F2"/>
    <w:rsid w:val="00CF18E0"/>
    <w:rsid w:val="00D04B7D"/>
    <w:rsid w:val="00D434AC"/>
    <w:rsid w:val="00D632B7"/>
    <w:rsid w:val="00D90117"/>
    <w:rsid w:val="00DA15D4"/>
    <w:rsid w:val="00DA2B37"/>
    <w:rsid w:val="00DA6FDA"/>
    <w:rsid w:val="00DB377F"/>
    <w:rsid w:val="00DB45B0"/>
    <w:rsid w:val="00DD6774"/>
    <w:rsid w:val="00E03F6E"/>
    <w:rsid w:val="00E16DD1"/>
    <w:rsid w:val="00E2717F"/>
    <w:rsid w:val="00E370BB"/>
    <w:rsid w:val="00E564DF"/>
    <w:rsid w:val="00E61D54"/>
    <w:rsid w:val="00E64877"/>
    <w:rsid w:val="00E70A12"/>
    <w:rsid w:val="00E7520D"/>
    <w:rsid w:val="00E9586C"/>
    <w:rsid w:val="00E95903"/>
    <w:rsid w:val="00E95976"/>
    <w:rsid w:val="00EA32FF"/>
    <w:rsid w:val="00EB719B"/>
    <w:rsid w:val="00EE31B9"/>
    <w:rsid w:val="00F037FD"/>
    <w:rsid w:val="00F20858"/>
    <w:rsid w:val="00F50B06"/>
    <w:rsid w:val="00F7043C"/>
    <w:rsid w:val="00F7500D"/>
    <w:rsid w:val="00F85F49"/>
    <w:rsid w:val="00FC116A"/>
    <w:rsid w:val="00FE4739"/>
    <w:rsid w:val="00FE5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6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6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939"/>
    <w:rPr>
      <w:rFonts w:ascii="Tahoma" w:hAnsi="Tahoma" w:cs="Tahoma"/>
      <w:sz w:val="16"/>
      <w:szCs w:val="16"/>
    </w:rPr>
  </w:style>
  <w:style w:type="paragraph" w:styleId="PlainText">
    <w:name w:val="Plain Text"/>
    <w:basedOn w:val="Normal"/>
    <w:link w:val="PlainTextChar"/>
    <w:uiPriority w:val="99"/>
    <w:semiHidden/>
    <w:unhideWhenUsed/>
    <w:rsid w:val="0083620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36204"/>
    <w:rPr>
      <w:rFonts w:ascii="Calibri" w:hAnsi="Calibri"/>
      <w:szCs w:val="21"/>
    </w:rPr>
  </w:style>
  <w:style w:type="paragraph" w:styleId="ListParagraph">
    <w:name w:val="List Paragraph"/>
    <w:basedOn w:val="Normal"/>
    <w:uiPriority w:val="34"/>
    <w:qFormat/>
    <w:rsid w:val="00836204"/>
    <w:pPr>
      <w:ind w:left="720"/>
      <w:contextualSpacing/>
    </w:pPr>
  </w:style>
  <w:style w:type="character" w:styleId="Hyperlink">
    <w:name w:val="Hyperlink"/>
    <w:basedOn w:val="DefaultParagraphFont"/>
    <w:uiPriority w:val="99"/>
    <w:unhideWhenUsed/>
    <w:rsid w:val="00836204"/>
    <w:rPr>
      <w:color w:val="0000FF" w:themeColor="hyperlink"/>
      <w:u w:val="single"/>
    </w:rPr>
  </w:style>
  <w:style w:type="paragraph" w:styleId="Header">
    <w:name w:val="header"/>
    <w:basedOn w:val="Normal"/>
    <w:link w:val="HeaderChar"/>
    <w:uiPriority w:val="99"/>
    <w:unhideWhenUsed/>
    <w:rsid w:val="00DB4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5B0"/>
  </w:style>
  <w:style w:type="paragraph" w:styleId="Footer">
    <w:name w:val="footer"/>
    <w:basedOn w:val="Normal"/>
    <w:link w:val="FooterChar"/>
    <w:uiPriority w:val="99"/>
    <w:unhideWhenUsed/>
    <w:rsid w:val="00DB4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5B0"/>
  </w:style>
  <w:style w:type="character" w:styleId="FollowedHyperlink">
    <w:name w:val="FollowedHyperlink"/>
    <w:basedOn w:val="DefaultParagraphFont"/>
    <w:uiPriority w:val="99"/>
    <w:semiHidden/>
    <w:unhideWhenUsed/>
    <w:rsid w:val="00DA6FDA"/>
    <w:rPr>
      <w:color w:val="800080" w:themeColor="followedHyperlink"/>
      <w:u w:val="single"/>
    </w:rPr>
  </w:style>
  <w:style w:type="paragraph" w:styleId="FootnoteText">
    <w:name w:val="footnote text"/>
    <w:basedOn w:val="Normal"/>
    <w:link w:val="FootnoteTextChar"/>
    <w:uiPriority w:val="99"/>
    <w:semiHidden/>
    <w:rsid w:val="00477E65"/>
    <w:pPr>
      <w:spacing w:after="0" w:line="240" w:lineRule="auto"/>
    </w:pPr>
    <w:rPr>
      <w:rFonts w:ascii="Courier New" w:eastAsia="Times New Roman" w:hAnsi="Courier New" w:cs="Times New Roman"/>
      <w:sz w:val="20"/>
      <w:szCs w:val="20"/>
    </w:rPr>
  </w:style>
  <w:style w:type="character" w:customStyle="1" w:styleId="FootnoteTextChar">
    <w:name w:val="Footnote Text Char"/>
    <w:basedOn w:val="DefaultParagraphFont"/>
    <w:link w:val="FootnoteText"/>
    <w:uiPriority w:val="99"/>
    <w:semiHidden/>
    <w:rsid w:val="00477E65"/>
    <w:rPr>
      <w:rFonts w:ascii="Courier New" w:eastAsia="Times New Roman" w:hAnsi="Courier New" w:cs="Times New Roman"/>
      <w:sz w:val="20"/>
      <w:szCs w:val="20"/>
    </w:rPr>
  </w:style>
  <w:style w:type="character" w:styleId="FootnoteReference">
    <w:name w:val="footnote reference"/>
    <w:uiPriority w:val="99"/>
    <w:rsid w:val="00477E65"/>
    <w:rPr>
      <w:vertAlign w:val="superscript"/>
    </w:rPr>
  </w:style>
  <w:style w:type="character" w:styleId="PageNumber">
    <w:name w:val="page number"/>
    <w:basedOn w:val="DefaultParagraphFont"/>
    <w:rsid w:val="00477E65"/>
  </w:style>
  <w:style w:type="paragraph" w:styleId="NormalWeb">
    <w:name w:val="Normal (Web)"/>
    <w:basedOn w:val="Normal"/>
    <w:uiPriority w:val="99"/>
    <w:semiHidden/>
    <w:unhideWhenUsed/>
    <w:rsid w:val="00870F6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6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6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939"/>
    <w:rPr>
      <w:rFonts w:ascii="Tahoma" w:hAnsi="Tahoma" w:cs="Tahoma"/>
      <w:sz w:val="16"/>
      <w:szCs w:val="16"/>
    </w:rPr>
  </w:style>
  <w:style w:type="paragraph" w:styleId="PlainText">
    <w:name w:val="Plain Text"/>
    <w:basedOn w:val="Normal"/>
    <w:link w:val="PlainTextChar"/>
    <w:uiPriority w:val="99"/>
    <w:semiHidden/>
    <w:unhideWhenUsed/>
    <w:rsid w:val="0083620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36204"/>
    <w:rPr>
      <w:rFonts w:ascii="Calibri" w:hAnsi="Calibri"/>
      <w:szCs w:val="21"/>
    </w:rPr>
  </w:style>
  <w:style w:type="paragraph" w:styleId="ListParagraph">
    <w:name w:val="List Paragraph"/>
    <w:basedOn w:val="Normal"/>
    <w:uiPriority w:val="34"/>
    <w:qFormat/>
    <w:rsid w:val="00836204"/>
    <w:pPr>
      <w:ind w:left="720"/>
      <w:contextualSpacing/>
    </w:pPr>
  </w:style>
  <w:style w:type="character" w:styleId="Hyperlink">
    <w:name w:val="Hyperlink"/>
    <w:basedOn w:val="DefaultParagraphFont"/>
    <w:uiPriority w:val="99"/>
    <w:unhideWhenUsed/>
    <w:rsid w:val="00836204"/>
    <w:rPr>
      <w:color w:val="0000FF" w:themeColor="hyperlink"/>
      <w:u w:val="single"/>
    </w:rPr>
  </w:style>
  <w:style w:type="paragraph" w:styleId="Header">
    <w:name w:val="header"/>
    <w:basedOn w:val="Normal"/>
    <w:link w:val="HeaderChar"/>
    <w:uiPriority w:val="99"/>
    <w:unhideWhenUsed/>
    <w:rsid w:val="00DB4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5B0"/>
  </w:style>
  <w:style w:type="paragraph" w:styleId="Footer">
    <w:name w:val="footer"/>
    <w:basedOn w:val="Normal"/>
    <w:link w:val="FooterChar"/>
    <w:uiPriority w:val="99"/>
    <w:unhideWhenUsed/>
    <w:rsid w:val="00DB4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5B0"/>
  </w:style>
  <w:style w:type="character" w:styleId="FollowedHyperlink">
    <w:name w:val="FollowedHyperlink"/>
    <w:basedOn w:val="DefaultParagraphFont"/>
    <w:uiPriority w:val="99"/>
    <w:semiHidden/>
    <w:unhideWhenUsed/>
    <w:rsid w:val="00DA6FDA"/>
    <w:rPr>
      <w:color w:val="800080" w:themeColor="followedHyperlink"/>
      <w:u w:val="single"/>
    </w:rPr>
  </w:style>
  <w:style w:type="paragraph" w:styleId="FootnoteText">
    <w:name w:val="footnote text"/>
    <w:basedOn w:val="Normal"/>
    <w:link w:val="FootnoteTextChar"/>
    <w:uiPriority w:val="99"/>
    <w:semiHidden/>
    <w:rsid w:val="00477E65"/>
    <w:pPr>
      <w:spacing w:after="0" w:line="240" w:lineRule="auto"/>
    </w:pPr>
    <w:rPr>
      <w:rFonts w:ascii="Courier New" w:eastAsia="Times New Roman" w:hAnsi="Courier New" w:cs="Times New Roman"/>
      <w:sz w:val="20"/>
      <w:szCs w:val="20"/>
    </w:rPr>
  </w:style>
  <w:style w:type="character" w:customStyle="1" w:styleId="FootnoteTextChar">
    <w:name w:val="Footnote Text Char"/>
    <w:basedOn w:val="DefaultParagraphFont"/>
    <w:link w:val="FootnoteText"/>
    <w:uiPriority w:val="99"/>
    <w:semiHidden/>
    <w:rsid w:val="00477E65"/>
    <w:rPr>
      <w:rFonts w:ascii="Courier New" w:eastAsia="Times New Roman" w:hAnsi="Courier New" w:cs="Times New Roman"/>
      <w:sz w:val="20"/>
      <w:szCs w:val="20"/>
    </w:rPr>
  </w:style>
  <w:style w:type="character" w:styleId="FootnoteReference">
    <w:name w:val="footnote reference"/>
    <w:uiPriority w:val="99"/>
    <w:rsid w:val="00477E65"/>
    <w:rPr>
      <w:vertAlign w:val="superscript"/>
    </w:rPr>
  </w:style>
  <w:style w:type="character" w:styleId="PageNumber">
    <w:name w:val="page number"/>
    <w:basedOn w:val="DefaultParagraphFont"/>
    <w:rsid w:val="00477E65"/>
  </w:style>
  <w:style w:type="paragraph" w:styleId="NormalWeb">
    <w:name w:val="Normal (Web)"/>
    <w:basedOn w:val="Normal"/>
    <w:uiPriority w:val="99"/>
    <w:semiHidden/>
    <w:unhideWhenUsed/>
    <w:rsid w:val="00870F6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47817">
      <w:bodyDiv w:val="1"/>
      <w:marLeft w:val="0"/>
      <w:marRight w:val="0"/>
      <w:marTop w:val="0"/>
      <w:marBottom w:val="0"/>
      <w:divBdr>
        <w:top w:val="none" w:sz="0" w:space="0" w:color="auto"/>
        <w:left w:val="none" w:sz="0" w:space="0" w:color="auto"/>
        <w:bottom w:val="none" w:sz="0" w:space="0" w:color="auto"/>
        <w:right w:val="none" w:sz="0" w:space="0" w:color="auto"/>
      </w:divBdr>
      <w:divsChild>
        <w:div w:id="1463385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7763003">
      <w:bodyDiv w:val="1"/>
      <w:marLeft w:val="0"/>
      <w:marRight w:val="0"/>
      <w:marTop w:val="0"/>
      <w:marBottom w:val="0"/>
      <w:divBdr>
        <w:top w:val="none" w:sz="0" w:space="0" w:color="auto"/>
        <w:left w:val="none" w:sz="0" w:space="0" w:color="auto"/>
        <w:bottom w:val="none" w:sz="0" w:space="0" w:color="auto"/>
        <w:right w:val="none" w:sz="0" w:space="0" w:color="auto"/>
      </w:divBdr>
    </w:div>
    <w:div w:id="598219322">
      <w:bodyDiv w:val="1"/>
      <w:marLeft w:val="0"/>
      <w:marRight w:val="0"/>
      <w:marTop w:val="0"/>
      <w:marBottom w:val="0"/>
      <w:divBdr>
        <w:top w:val="none" w:sz="0" w:space="0" w:color="auto"/>
        <w:left w:val="none" w:sz="0" w:space="0" w:color="auto"/>
        <w:bottom w:val="none" w:sz="0" w:space="0" w:color="auto"/>
        <w:right w:val="none" w:sz="0" w:space="0" w:color="auto"/>
      </w:divBdr>
    </w:div>
    <w:div w:id="609822167">
      <w:bodyDiv w:val="1"/>
      <w:marLeft w:val="0"/>
      <w:marRight w:val="0"/>
      <w:marTop w:val="0"/>
      <w:marBottom w:val="0"/>
      <w:divBdr>
        <w:top w:val="none" w:sz="0" w:space="0" w:color="auto"/>
        <w:left w:val="none" w:sz="0" w:space="0" w:color="auto"/>
        <w:bottom w:val="none" w:sz="0" w:space="0" w:color="auto"/>
        <w:right w:val="none" w:sz="0" w:space="0" w:color="auto"/>
      </w:divBdr>
    </w:div>
    <w:div w:id="728193309">
      <w:bodyDiv w:val="1"/>
      <w:marLeft w:val="0"/>
      <w:marRight w:val="0"/>
      <w:marTop w:val="0"/>
      <w:marBottom w:val="0"/>
      <w:divBdr>
        <w:top w:val="none" w:sz="0" w:space="0" w:color="auto"/>
        <w:left w:val="none" w:sz="0" w:space="0" w:color="auto"/>
        <w:bottom w:val="none" w:sz="0" w:space="0" w:color="auto"/>
        <w:right w:val="none" w:sz="0" w:space="0" w:color="auto"/>
      </w:divBdr>
    </w:div>
    <w:div w:id="805700033">
      <w:bodyDiv w:val="1"/>
      <w:marLeft w:val="0"/>
      <w:marRight w:val="0"/>
      <w:marTop w:val="0"/>
      <w:marBottom w:val="0"/>
      <w:divBdr>
        <w:top w:val="none" w:sz="0" w:space="0" w:color="auto"/>
        <w:left w:val="none" w:sz="0" w:space="0" w:color="auto"/>
        <w:bottom w:val="none" w:sz="0" w:space="0" w:color="auto"/>
        <w:right w:val="none" w:sz="0" w:space="0" w:color="auto"/>
      </w:divBdr>
    </w:div>
    <w:div w:id="1279678479">
      <w:bodyDiv w:val="1"/>
      <w:marLeft w:val="0"/>
      <w:marRight w:val="0"/>
      <w:marTop w:val="0"/>
      <w:marBottom w:val="0"/>
      <w:divBdr>
        <w:top w:val="none" w:sz="0" w:space="0" w:color="auto"/>
        <w:left w:val="none" w:sz="0" w:space="0" w:color="auto"/>
        <w:bottom w:val="none" w:sz="0" w:space="0" w:color="auto"/>
        <w:right w:val="none" w:sz="0" w:space="0" w:color="auto"/>
      </w:divBdr>
    </w:div>
    <w:div w:id="1287354109">
      <w:bodyDiv w:val="1"/>
      <w:marLeft w:val="0"/>
      <w:marRight w:val="0"/>
      <w:marTop w:val="0"/>
      <w:marBottom w:val="0"/>
      <w:divBdr>
        <w:top w:val="none" w:sz="0" w:space="0" w:color="auto"/>
        <w:left w:val="none" w:sz="0" w:space="0" w:color="auto"/>
        <w:bottom w:val="none" w:sz="0" w:space="0" w:color="auto"/>
        <w:right w:val="none" w:sz="0" w:space="0" w:color="auto"/>
      </w:divBdr>
    </w:div>
    <w:div w:id="1417895475">
      <w:bodyDiv w:val="1"/>
      <w:marLeft w:val="0"/>
      <w:marRight w:val="0"/>
      <w:marTop w:val="0"/>
      <w:marBottom w:val="0"/>
      <w:divBdr>
        <w:top w:val="none" w:sz="0" w:space="0" w:color="auto"/>
        <w:left w:val="none" w:sz="0" w:space="0" w:color="auto"/>
        <w:bottom w:val="none" w:sz="0" w:space="0" w:color="auto"/>
        <w:right w:val="none" w:sz="0" w:space="0" w:color="auto"/>
      </w:divBdr>
    </w:div>
    <w:div w:id="1551649193">
      <w:bodyDiv w:val="1"/>
      <w:marLeft w:val="0"/>
      <w:marRight w:val="0"/>
      <w:marTop w:val="0"/>
      <w:marBottom w:val="0"/>
      <w:divBdr>
        <w:top w:val="none" w:sz="0" w:space="0" w:color="auto"/>
        <w:left w:val="none" w:sz="0" w:space="0" w:color="auto"/>
        <w:bottom w:val="none" w:sz="0" w:space="0" w:color="auto"/>
        <w:right w:val="none" w:sz="0" w:space="0" w:color="auto"/>
      </w:divBdr>
    </w:div>
    <w:div w:id="1808165441">
      <w:bodyDiv w:val="1"/>
      <w:marLeft w:val="0"/>
      <w:marRight w:val="0"/>
      <w:marTop w:val="0"/>
      <w:marBottom w:val="0"/>
      <w:divBdr>
        <w:top w:val="none" w:sz="0" w:space="0" w:color="auto"/>
        <w:left w:val="none" w:sz="0" w:space="0" w:color="auto"/>
        <w:bottom w:val="none" w:sz="0" w:space="0" w:color="auto"/>
        <w:right w:val="none" w:sz="0" w:space="0" w:color="auto"/>
      </w:divBdr>
    </w:div>
    <w:div w:id="1866752801">
      <w:bodyDiv w:val="1"/>
      <w:marLeft w:val="0"/>
      <w:marRight w:val="0"/>
      <w:marTop w:val="0"/>
      <w:marBottom w:val="0"/>
      <w:divBdr>
        <w:top w:val="none" w:sz="0" w:space="0" w:color="auto"/>
        <w:left w:val="none" w:sz="0" w:space="0" w:color="auto"/>
        <w:bottom w:val="none" w:sz="0" w:space="0" w:color="auto"/>
        <w:right w:val="none" w:sz="0" w:space="0" w:color="auto"/>
      </w:divBdr>
    </w:div>
    <w:div w:id="1949317509">
      <w:bodyDiv w:val="1"/>
      <w:marLeft w:val="0"/>
      <w:marRight w:val="0"/>
      <w:marTop w:val="0"/>
      <w:marBottom w:val="0"/>
      <w:divBdr>
        <w:top w:val="none" w:sz="0" w:space="0" w:color="auto"/>
        <w:left w:val="none" w:sz="0" w:space="0" w:color="auto"/>
        <w:bottom w:val="none" w:sz="0" w:space="0" w:color="auto"/>
        <w:right w:val="none" w:sz="0" w:space="0" w:color="auto"/>
      </w:divBdr>
    </w:div>
    <w:div w:id="2003657277">
      <w:bodyDiv w:val="1"/>
      <w:marLeft w:val="0"/>
      <w:marRight w:val="0"/>
      <w:marTop w:val="0"/>
      <w:marBottom w:val="0"/>
      <w:divBdr>
        <w:top w:val="none" w:sz="0" w:space="0" w:color="auto"/>
        <w:left w:val="none" w:sz="0" w:space="0" w:color="auto"/>
        <w:bottom w:val="none" w:sz="0" w:space="0" w:color="auto"/>
        <w:right w:val="none" w:sz="0" w:space="0" w:color="auto"/>
      </w:divBdr>
    </w:div>
    <w:div w:id="207080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apowerswitch.com/" TargetMode="External"/><Relationship Id="rId18" Type="http://schemas.openxmlformats.org/officeDocument/2006/relationships/hyperlink" Target="http://www.pacode.com/secure/data/052/chapter54/s54.39.html" TargetMode="External"/><Relationship Id="rId26" Type="http://schemas.openxmlformats.org/officeDocument/2006/relationships/hyperlink" Target="http://www.pacode.com/secure/data/052/chapter111/chap111toc.html" TargetMode="External"/><Relationship Id="rId39" Type="http://schemas.openxmlformats.org/officeDocument/2006/relationships/hyperlink" Target="mailto:kribrown@pa.gov" TargetMode="External"/><Relationship Id="rId21" Type="http://schemas.openxmlformats.org/officeDocument/2006/relationships/hyperlink" Target="http://www.pacode.com/secure/data/052/chapter62/s62.110.html" TargetMode="External"/><Relationship Id="rId34" Type="http://schemas.openxmlformats.org/officeDocument/2006/relationships/hyperlink" Target="http://www.puc.pa.gov/electric/pdf/OCMO/Order-IG_Not_EGS_OCACSC081398.pdf" TargetMode="External"/><Relationship Id="rId42" Type="http://schemas.openxmlformats.org/officeDocument/2006/relationships/hyperlink" Target="http://www.puc.pa.gov/about_puc/consolidated_case_view.aspx?Docket=P-2016-2534980" TargetMode="External"/><Relationship Id="rId47" Type="http://schemas.openxmlformats.org/officeDocument/2006/relationships/hyperlink" Target="mailto:ra-ocmo@pa.gov" TargetMode="External"/><Relationship Id="rId50" Type="http://schemas.openxmlformats.org/officeDocument/2006/relationships/hyperlink" Target="http://www.puc.pa.gov/utility_industry/natural_gas/committees_and_working_groups/ocmo.aspx" TargetMode="External"/><Relationship Id="rId55"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mailto:rchiavetta@pa.gov" TargetMode="External"/><Relationship Id="rId17" Type="http://schemas.openxmlformats.org/officeDocument/2006/relationships/hyperlink" Target="http://www.pacode.com/secure/data/052/chapter54/subchapHtoc.html" TargetMode="External"/><Relationship Id="rId25" Type="http://schemas.openxmlformats.org/officeDocument/2006/relationships/hyperlink" Target="http://www.puc.pa.gov/General/consumer_ed/pdf/Door-to-Door_Tips.pdf" TargetMode="External"/><Relationship Id="rId33" Type="http://schemas.openxmlformats.org/officeDocument/2006/relationships/hyperlink" Target="http://www.pacode.com/secure/data/052/chapter62/s62.75.html" TargetMode="External"/><Relationship Id="rId38" Type="http://schemas.openxmlformats.org/officeDocument/2006/relationships/hyperlink" Target="mailto:MHRIVNAK@pa.gov" TargetMode="External"/><Relationship Id="rId46" Type="http://schemas.openxmlformats.org/officeDocument/2006/relationships/hyperlink" Target="http://www.puc.pa.gov/efiling/default.aspx" TargetMode="External"/><Relationship Id="rId2" Type="http://schemas.openxmlformats.org/officeDocument/2006/relationships/styles" Target="styles.xml"/><Relationship Id="rId16" Type="http://schemas.openxmlformats.org/officeDocument/2006/relationships/hyperlink" Target="mailto:yhess@pa.gov" TargetMode="External"/><Relationship Id="rId20" Type="http://schemas.openxmlformats.org/officeDocument/2006/relationships/hyperlink" Target="http://www.puc.pa.gov/utility_industry/electricity/retail_choice_activity_reports.aspx" TargetMode="External"/><Relationship Id="rId29" Type="http://schemas.openxmlformats.org/officeDocument/2006/relationships/hyperlink" Target="mailto:anfalcone@pa.gov" TargetMode="External"/><Relationship Id="rId41" Type="http://schemas.openxmlformats.org/officeDocument/2006/relationships/hyperlink" Target="http://www.puc.pa.gov/about_puc/consolidated_case_view.aspx?Docket=L-2015-2508421" TargetMode="External"/><Relationship Id="rId54" Type="http://schemas.openxmlformats.org/officeDocument/2006/relationships/hyperlink" Target="mailto:ra-OCMO@"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uc.pa.gov/pcdocs/1430562.docx" TargetMode="External"/><Relationship Id="rId24" Type="http://schemas.openxmlformats.org/officeDocument/2006/relationships/hyperlink" Target="http://papuc.isebox.net/electricity/puc-offers-tips-on-door-to-door-sales-by-energy-suppliers" TargetMode="External"/><Relationship Id="rId32" Type="http://schemas.openxmlformats.org/officeDocument/2006/relationships/hyperlink" Target="http://www.pacode.com/secure/data/052/chapter54/s54.5.html" TargetMode="External"/><Relationship Id="rId37" Type="http://schemas.openxmlformats.org/officeDocument/2006/relationships/hyperlink" Target="mailto:dmumford@pa.gov" TargetMode="External"/><Relationship Id="rId40" Type="http://schemas.openxmlformats.org/officeDocument/2006/relationships/hyperlink" Target="http://www.puc.pa.gov/about_puc/consolidated_case_view.aspx?Docket=L-2016-2577413" TargetMode="External"/><Relationship Id="rId45" Type="http://schemas.openxmlformats.org/officeDocument/2006/relationships/hyperlink" Target="http://www.puc.pa.gov/about_puc/consolidated_case_view.aspx?Docket=M-2017-2596907" TargetMode="External"/><Relationship Id="rId53" Type="http://schemas.openxmlformats.org/officeDocument/2006/relationships/image" Target="media/image2.png"/><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YPAGE@pa.gov" TargetMode="External"/><Relationship Id="rId23" Type="http://schemas.openxmlformats.org/officeDocument/2006/relationships/hyperlink" Target="http://www.puc.pa.gov/about_puc/press_releases.aspx?ShowPR=3832" TargetMode="External"/><Relationship Id="rId28" Type="http://schemas.openxmlformats.org/officeDocument/2006/relationships/hyperlink" Target="mailto:RA-PCDOORTODOOR@pa.gov" TargetMode="External"/><Relationship Id="rId36" Type="http://schemas.openxmlformats.org/officeDocument/2006/relationships/hyperlink" Target="mailto:ra-ocmo@pa.gov" TargetMode="External"/><Relationship Id="rId49" Type="http://schemas.openxmlformats.org/officeDocument/2006/relationships/hyperlink" Target="http://www.puc.pa.gov/utility_industry/electricity/electric_competitive_market_oversight.aspx" TargetMode="External"/><Relationship Id="rId57" Type="http://schemas.openxmlformats.org/officeDocument/2006/relationships/fontTable" Target="fontTable.xml"/><Relationship Id="rId10" Type="http://schemas.openxmlformats.org/officeDocument/2006/relationships/hyperlink" Target="http://www.puc.pa.gov/about_puc/consolidated_case_view.aspx?Docket=M-2013-2393141" TargetMode="External"/><Relationship Id="rId19" Type="http://schemas.openxmlformats.org/officeDocument/2006/relationships/hyperlink" Target="http://www.puc.pa.gov/filing_resources/electric_online_forms.aspx" TargetMode="External"/><Relationship Id="rId31" Type="http://schemas.openxmlformats.org/officeDocument/2006/relationships/hyperlink" Target="http://www.pacode.com/secure/data/052/chapter111/s111.10.html" TargetMode="External"/><Relationship Id="rId44" Type="http://schemas.openxmlformats.org/officeDocument/2006/relationships/hyperlink" Target="http://www.puc.pa.gov/about_puc/consolidated_case_view.aspx?Docket=M-2017-2596907" TargetMode="External"/><Relationship Id="rId52" Type="http://schemas.openxmlformats.org/officeDocument/2006/relationships/hyperlink" Target="mailto:ra-ocmo@pa.gov"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www.pagasswitch.com/" TargetMode="External"/><Relationship Id="rId22" Type="http://schemas.openxmlformats.org/officeDocument/2006/relationships/hyperlink" Target="http://www.puc.pa.gov/filing_resources/online_forms/natural_gas_online_forms.aspx" TargetMode="External"/><Relationship Id="rId27" Type="http://schemas.openxmlformats.org/officeDocument/2006/relationships/hyperlink" Target="http://www.pacode.com/secure/data/052/chapter111/s111.4.html" TargetMode="External"/><Relationship Id="rId30" Type="http://schemas.openxmlformats.org/officeDocument/2006/relationships/hyperlink" Target="http://www.pacode.com/secure/data/052/chapter111/s111.9.html" TargetMode="External"/><Relationship Id="rId35" Type="http://schemas.openxmlformats.org/officeDocument/2006/relationships/hyperlink" Target="mailto:ra-ocmo@pa.gov" TargetMode="External"/><Relationship Id="rId43" Type="http://schemas.openxmlformats.org/officeDocument/2006/relationships/hyperlink" Target="http://www.puc.pa.gov/about_puc/consolidated_case_view.aspx?Docket=P-2016-2526627" TargetMode="External"/><Relationship Id="rId48" Type="http://schemas.openxmlformats.org/officeDocument/2006/relationships/hyperlink" Target="http://www.puc.pa.gov/utility_industry/electricity/office_of_competitive_market_oversight/charge.aspx" TargetMode="External"/><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www.puc.pa.gov/utility_industry/natural_gas/natrual_gas_rmi.aspx"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4000</Words>
  <Characters>22806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26753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dmumford</dc:creator>
  <cp:lastModifiedBy>dmumford</cp:lastModifiedBy>
  <cp:revision>2</cp:revision>
  <cp:lastPrinted>2017-04-27T13:23:00Z</cp:lastPrinted>
  <dcterms:created xsi:type="dcterms:W3CDTF">2017-04-27T13:35:00Z</dcterms:created>
  <dcterms:modified xsi:type="dcterms:W3CDTF">2017-04-27T13:35:00Z</dcterms:modified>
</cp:coreProperties>
</file>