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B3" w:rsidRPr="00A267AA" w:rsidRDefault="00EA12B3" w:rsidP="00EA12B3">
      <w:pPr>
        <w:jc w:val="center"/>
        <w:rPr>
          <w:b/>
          <w:sz w:val="28"/>
          <w:szCs w:val="28"/>
        </w:rPr>
      </w:pPr>
      <w:r w:rsidRPr="00A267AA">
        <w:rPr>
          <w:b/>
          <w:sz w:val="28"/>
          <w:szCs w:val="28"/>
        </w:rPr>
        <w:t>CHARGE Conference Call</w:t>
      </w:r>
    </w:p>
    <w:p w:rsidR="00C8634B" w:rsidRPr="00E600E3" w:rsidRDefault="00D60047" w:rsidP="008765C1">
      <w:pPr>
        <w:spacing w:after="0" w:line="240" w:lineRule="auto"/>
        <w:jc w:val="center"/>
        <w:rPr>
          <w:b/>
          <w:sz w:val="24"/>
          <w:szCs w:val="24"/>
        </w:rPr>
      </w:pPr>
      <w:r w:rsidRPr="00E600E3">
        <w:rPr>
          <w:b/>
          <w:sz w:val="24"/>
          <w:szCs w:val="24"/>
        </w:rPr>
        <w:t>September 19, 2013</w:t>
      </w:r>
    </w:p>
    <w:p w:rsidR="00A972FB" w:rsidRDefault="00A972FB" w:rsidP="008765C1">
      <w:pPr>
        <w:spacing w:after="0" w:line="240" w:lineRule="auto"/>
        <w:jc w:val="center"/>
        <w:rPr>
          <w:b/>
          <w:sz w:val="24"/>
          <w:szCs w:val="24"/>
        </w:rPr>
      </w:pPr>
    </w:p>
    <w:p w:rsidR="008765C1" w:rsidRDefault="00D20EB8" w:rsidP="008765C1">
      <w:pPr>
        <w:spacing w:after="0" w:line="240" w:lineRule="auto"/>
        <w:jc w:val="center"/>
        <w:rPr>
          <w:b/>
          <w:sz w:val="28"/>
          <w:szCs w:val="28"/>
        </w:rPr>
      </w:pPr>
      <w:r>
        <w:rPr>
          <w:b/>
          <w:sz w:val="28"/>
          <w:szCs w:val="28"/>
        </w:rPr>
        <w:t>RECAP OF DISCUSSION</w:t>
      </w:r>
    </w:p>
    <w:p w:rsidR="00D20EB8" w:rsidRPr="00C8634B" w:rsidRDefault="00D20EB8" w:rsidP="008765C1">
      <w:pPr>
        <w:spacing w:after="0" w:line="240" w:lineRule="auto"/>
        <w:jc w:val="center"/>
        <w:rPr>
          <w:b/>
          <w:sz w:val="28"/>
          <w:szCs w:val="28"/>
        </w:rPr>
      </w:pPr>
    </w:p>
    <w:p w:rsidR="00915A9D" w:rsidRPr="00EB7030" w:rsidRDefault="00E13E4A" w:rsidP="00E13E4A">
      <w:pPr>
        <w:rPr>
          <w:b/>
          <w:u w:val="single"/>
        </w:rPr>
      </w:pPr>
      <w:r w:rsidRPr="00E13E4A">
        <w:rPr>
          <w:b/>
        </w:rPr>
        <w:t>17.</w:t>
      </w:r>
      <w:r w:rsidRPr="00044F29">
        <w:rPr>
          <w:b/>
        </w:rPr>
        <w:t xml:space="preserve">  </w:t>
      </w:r>
      <w:r w:rsidR="00C8634B">
        <w:rPr>
          <w:b/>
        </w:rPr>
        <w:tab/>
      </w:r>
      <w:r w:rsidR="00915A9D" w:rsidRPr="00EB7030">
        <w:rPr>
          <w:b/>
          <w:u w:val="single"/>
        </w:rPr>
        <w:t>EGS Marketing Activities</w:t>
      </w:r>
      <w:r w:rsidR="000A7271" w:rsidRPr="000A7271">
        <w:rPr>
          <w:b/>
        </w:rPr>
        <w:t xml:space="preserve"> </w:t>
      </w:r>
    </w:p>
    <w:p w:rsidR="00CB48B8" w:rsidRPr="00564A95" w:rsidRDefault="00C87436" w:rsidP="00AC0371">
      <w:pPr>
        <w:numPr>
          <w:ilvl w:val="0"/>
          <w:numId w:val="4"/>
        </w:numPr>
        <w:rPr>
          <w:u w:val="single"/>
        </w:rPr>
      </w:pPr>
      <w:r w:rsidRPr="0063165F">
        <w:t xml:space="preserve">PUC </w:t>
      </w:r>
      <w:r w:rsidR="00AB69F5" w:rsidRPr="0063165F">
        <w:t xml:space="preserve">adopted guidelines </w:t>
      </w:r>
      <w:r w:rsidR="00E43DD3" w:rsidRPr="0063165F">
        <w:t xml:space="preserve">by order </w:t>
      </w:r>
      <w:r w:rsidR="0093361A" w:rsidRPr="0063165F">
        <w:t>on November 4, 2010</w:t>
      </w:r>
      <w:r w:rsidRPr="0063165F">
        <w:t xml:space="preserve">, which is available at the following link:  </w:t>
      </w:r>
      <w:hyperlink r:id="rId9" w:history="1">
        <w:r w:rsidR="00564A95" w:rsidRPr="007059C3">
          <w:rPr>
            <w:rStyle w:val="Hyperlink"/>
          </w:rPr>
          <w:t>http://www.puc.pa.gov/pcdocs/1101235.docx</w:t>
        </w:r>
      </w:hyperlink>
    </w:p>
    <w:p w:rsidR="00281DE0" w:rsidRPr="00564A95" w:rsidRDefault="00866040" w:rsidP="00AC0371">
      <w:pPr>
        <w:numPr>
          <w:ilvl w:val="0"/>
          <w:numId w:val="4"/>
        </w:numPr>
        <w:rPr>
          <w:u w:val="single"/>
        </w:rPr>
      </w:pPr>
      <w:r w:rsidRPr="0063165F">
        <w:t xml:space="preserve">Proposed rulemaking order </w:t>
      </w:r>
      <w:r w:rsidR="005652FE" w:rsidRPr="0063165F">
        <w:t xml:space="preserve">adopted by PUC at </w:t>
      </w:r>
      <w:r w:rsidR="002707A7" w:rsidRPr="0063165F">
        <w:t>February 10, 2011 Public Meeting</w:t>
      </w:r>
      <w:r w:rsidR="005652FE" w:rsidRPr="0063165F">
        <w:t>; copy of entered order is attached</w:t>
      </w:r>
      <w:r w:rsidR="00EF72BF" w:rsidRPr="0063165F">
        <w:t>;</w:t>
      </w:r>
      <w:r w:rsidR="005652FE" w:rsidRPr="0063165F">
        <w:t xml:space="preserve"> can be accessed </w:t>
      </w:r>
      <w:r w:rsidR="00EF72BF" w:rsidRPr="0063165F">
        <w:t xml:space="preserve">on OCMO page and </w:t>
      </w:r>
      <w:r w:rsidR="005652FE" w:rsidRPr="0063165F">
        <w:t xml:space="preserve">at the following link: </w:t>
      </w:r>
      <w:hyperlink r:id="rId10" w:history="1">
        <w:r w:rsidR="00564A95" w:rsidRPr="007059C3">
          <w:rPr>
            <w:rStyle w:val="Hyperlink"/>
          </w:rPr>
          <w:t>http://www.puc.pa.gov/pcdocs/1121422.doc</w:t>
        </w:r>
      </w:hyperlink>
    </w:p>
    <w:p w:rsidR="00E9207D" w:rsidRPr="0063165F" w:rsidRDefault="00E9207D" w:rsidP="00AC0371">
      <w:pPr>
        <w:pStyle w:val="ListParagraph"/>
        <w:numPr>
          <w:ilvl w:val="0"/>
          <w:numId w:val="4"/>
        </w:numPr>
        <w:spacing w:after="0" w:line="240" w:lineRule="auto"/>
        <w:rPr>
          <w:rStyle w:val="Hyperlink"/>
          <w:color w:val="auto"/>
        </w:rPr>
      </w:pPr>
      <w:r w:rsidRPr="0063165F">
        <w:t xml:space="preserve">Formal comments (filed with the Secretary of the PUC) </w:t>
      </w:r>
      <w:r w:rsidR="0035211F" w:rsidRPr="0063165F">
        <w:t>were</w:t>
      </w:r>
      <w:r w:rsidRPr="0063165F">
        <w:t xml:space="preserve"> due </w:t>
      </w:r>
      <w:r w:rsidR="00FA5BCB" w:rsidRPr="0063165F">
        <w:t xml:space="preserve">on December 21, 2011 or </w:t>
      </w:r>
      <w:r w:rsidRPr="0063165F">
        <w:t xml:space="preserve">sixty days after publication in the Pa. Bulletin, which occurred on October 22, 2011 at the following link: </w:t>
      </w:r>
      <w:hyperlink r:id="rId11" w:history="1">
        <w:r w:rsidRPr="0063165F">
          <w:rPr>
            <w:rStyle w:val="Hyperlink"/>
          </w:rPr>
          <w:t>http://www.pabulletin.com/secure/data/vol41/41-43/1789.html</w:t>
        </w:r>
      </w:hyperlink>
      <w:r w:rsidR="0063165F">
        <w:rPr>
          <w:rStyle w:val="Hyperlink"/>
        </w:rPr>
        <w:t>.</w:t>
      </w:r>
    </w:p>
    <w:p w:rsidR="00556D22" w:rsidRPr="00556D22" w:rsidRDefault="00556D22" w:rsidP="00556D22">
      <w:pPr>
        <w:spacing w:after="0" w:line="240" w:lineRule="auto"/>
        <w:ind w:left="720"/>
        <w:rPr>
          <w:rStyle w:val="Hyperlink"/>
          <w:color w:val="auto"/>
        </w:rPr>
      </w:pPr>
    </w:p>
    <w:p w:rsidR="00556D22" w:rsidRPr="00564A95" w:rsidRDefault="00736DEA" w:rsidP="00AC0371">
      <w:pPr>
        <w:pStyle w:val="ListParagraph"/>
        <w:numPr>
          <w:ilvl w:val="0"/>
          <w:numId w:val="4"/>
        </w:numPr>
        <w:spacing w:after="0" w:line="240" w:lineRule="auto"/>
        <w:rPr>
          <w:rStyle w:val="Hyperlink"/>
          <w:color w:val="auto"/>
          <w:u w:val="none"/>
        </w:rPr>
      </w:pPr>
      <w:r w:rsidRPr="00564A95">
        <w:rPr>
          <w:rStyle w:val="Hyperlink"/>
          <w:color w:val="auto"/>
          <w:u w:val="none"/>
        </w:rPr>
        <w:t xml:space="preserve">Final Rulemaking Order </w:t>
      </w:r>
      <w:r w:rsidR="00E93276" w:rsidRPr="00564A95">
        <w:rPr>
          <w:rStyle w:val="Hyperlink"/>
          <w:color w:val="auto"/>
          <w:u w:val="none"/>
        </w:rPr>
        <w:t xml:space="preserve">adopted on October 24, 2012, which may be accessed at the following link: </w:t>
      </w:r>
      <w:hyperlink r:id="rId12" w:history="1">
        <w:r w:rsidR="00564A95" w:rsidRPr="007059C3">
          <w:rPr>
            <w:rStyle w:val="Hyperlink"/>
          </w:rPr>
          <w:t>http://www.puc.pa.gov/pcdocs/1196732.docx</w:t>
        </w:r>
      </w:hyperlink>
      <w:r w:rsidR="000D451A" w:rsidRPr="00564A95">
        <w:rPr>
          <w:rStyle w:val="Hyperlink"/>
          <w:color w:val="auto"/>
          <w:u w:val="none"/>
        </w:rPr>
        <w:t>.</w:t>
      </w:r>
    </w:p>
    <w:p w:rsidR="00392EA3" w:rsidRPr="00A37C6C" w:rsidRDefault="00392EA3" w:rsidP="00AC0371">
      <w:pPr>
        <w:pStyle w:val="ListParagraph"/>
        <w:numPr>
          <w:ilvl w:val="1"/>
          <w:numId w:val="4"/>
        </w:numPr>
        <w:spacing w:after="0" w:line="240" w:lineRule="auto"/>
        <w:rPr>
          <w:rStyle w:val="Hyperlink"/>
          <w:color w:val="auto"/>
          <w:u w:val="none"/>
        </w:rPr>
      </w:pPr>
      <w:r w:rsidRPr="00A37C6C">
        <w:rPr>
          <w:rStyle w:val="Hyperlink"/>
          <w:color w:val="auto"/>
          <w:u w:val="none"/>
        </w:rPr>
        <w:t>Petition for Reconsideration filed on November 8, 2012 and answers to Petition filed on November 19, 2012; all are available at the following link:</w:t>
      </w:r>
    </w:p>
    <w:p w:rsidR="00392EA3" w:rsidRDefault="001F3146" w:rsidP="00392EA3">
      <w:pPr>
        <w:spacing w:after="0" w:line="240" w:lineRule="auto"/>
        <w:ind w:left="1800"/>
        <w:rPr>
          <w:rStyle w:val="Hyperlink"/>
          <w:color w:val="auto"/>
          <w:u w:val="none"/>
        </w:rPr>
      </w:pPr>
      <w:hyperlink r:id="rId13" w:history="1">
        <w:r w:rsidR="00564A95" w:rsidRPr="00A37C6C">
          <w:rPr>
            <w:rStyle w:val="Hyperlink"/>
          </w:rPr>
          <w:t>http://www.puc.pa.gov/about_puc/consolidated_case_view.aspx?Docket=L-2010-2208332</w:t>
        </w:r>
      </w:hyperlink>
      <w:r w:rsidR="00564A95" w:rsidRPr="00A37C6C">
        <w:rPr>
          <w:rStyle w:val="Hyperlink"/>
          <w:color w:val="auto"/>
          <w:u w:val="none"/>
        </w:rPr>
        <w:t>.</w:t>
      </w:r>
    </w:p>
    <w:p w:rsidR="00EE76D5" w:rsidRPr="00C76A30" w:rsidRDefault="00222126" w:rsidP="00EE76D5">
      <w:pPr>
        <w:pStyle w:val="ListParagraph"/>
        <w:numPr>
          <w:ilvl w:val="1"/>
          <w:numId w:val="4"/>
        </w:numPr>
        <w:spacing w:after="0" w:line="240" w:lineRule="auto"/>
        <w:rPr>
          <w:rStyle w:val="Hyperlink"/>
          <w:color w:val="auto"/>
          <w:u w:val="none"/>
        </w:rPr>
      </w:pPr>
      <w:r w:rsidRPr="00C76A30">
        <w:rPr>
          <w:rStyle w:val="Hyperlink"/>
          <w:color w:val="auto"/>
          <w:u w:val="none"/>
        </w:rPr>
        <w:t>Order</w:t>
      </w:r>
      <w:r w:rsidR="00311A0E" w:rsidRPr="00C76A30">
        <w:rPr>
          <w:rStyle w:val="Hyperlink"/>
          <w:color w:val="auto"/>
          <w:u w:val="none"/>
        </w:rPr>
        <w:t xml:space="preserve"> on Petition for Reconsideration </w:t>
      </w:r>
      <w:r w:rsidR="00EE76D5" w:rsidRPr="00C76A30">
        <w:rPr>
          <w:rStyle w:val="Hyperlink"/>
          <w:color w:val="auto"/>
          <w:u w:val="none"/>
        </w:rPr>
        <w:t>was adopted at</w:t>
      </w:r>
      <w:r w:rsidR="00311A0E" w:rsidRPr="00C76A30">
        <w:rPr>
          <w:rStyle w:val="Hyperlink"/>
          <w:color w:val="auto"/>
          <w:u w:val="none"/>
        </w:rPr>
        <w:t xml:space="preserve"> </w:t>
      </w:r>
      <w:r w:rsidR="004A7EA0" w:rsidRPr="00C76A30">
        <w:rPr>
          <w:rStyle w:val="Hyperlink"/>
          <w:color w:val="auto"/>
          <w:u w:val="none"/>
        </w:rPr>
        <w:t>4/4/13</w:t>
      </w:r>
      <w:r w:rsidR="00311A0E" w:rsidRPr="00C76A30">
        <w:rPr>
          <w:rStyle w:val="Hyperlink"/>
          <w:color w:val="auto"/>
          <w:u w:val="none"/>
        </w:rPr>
        <w:t xml:space="preserve"> Public Meeting</w:t>
      </w:r>
      <w:r w:rsidR="00A37C6C" w:rsidRPr="00C76A30">
        <w:rPr>
          <w:rStyle w:val="Hyperlink"/>
          <w:color w:val="auto"/>
          <w:u w:val="none"/>
        </w:rPr>
        <w:t xml:space="preserve"> </w:t>
      </w:r>
      <w:r w:rsidR="00EE76D5" w:rsidRPr="00C76A30">
        <w:rPr>
          <w:rStyle w:val="Hyperlink"/>
          <w:color w:val="auto"/>
          <w:u w:val="none"/>
        </w:rPr>
        <w:t xml:space="preserve">and is available at the following link:  </w:t>
      </w:r>
      <w:hyperlink r:id="rId14" w:history="1">
        <w:r w:rsidR="00EE76D5" w:rsidRPr="00C76A30">
          <w:rPr>
            <w:rStyle w:val="Hyperlink"/>
          </w:rPr>
          <w:t>http://www.puc.pa.gov//pcdocs/1222787.doc</w:t>
        </w:r>
      </w:hyperlink>
    </w:p>
    <w:p w:rsidR="00EE76D5" w:rsidRPr="00A65480" w:rsidRDefault="00EE76D5" w:rsidP="00EE76D5">
      <w:pPr>
        <w:pStyle w:val="ListParagraph"/>
        <w:numPr>
          <w:ilvl w:val="1"/>
          <w:numId w:val="4"/>
        </w:numPr>
        <w:spacing w:after="0" w:line="240" w:lineRule="auto"/>
        <w:rPr>
          <w:rStyle w:val="Hyperlink"/>
          <w:color w:val="auto"/>
          <w:u w:val="none"/>
        </w:rPr>
      </w:pPr>
      <w:r w:rsidRPr="00A65480">
        <w:rPr>
          <w:rStyle w:val="Hyperlink"/>
          <w:color w:val="auto"/>
          <w:u w:val="none"/>
        </w:rPr>
        <w:t xml:space="preserve">Final regulations </w:t>
      </w:r>
      <w:r w:rsidR="00C76A30" w:rsidRPr="00A65480">
        <w:rPr>
          <w:rStyle w:val="Hyperlink"/>
          <w:color w:val="auto"/>
          <w:u w:val="none"/>
        </w:rPr>
        <w:t>were approved</w:t>
      </w:r>
      <w:r w:rsidRPr="00A65480">
        <w:rPr>
          <w:rStyle w:val="Hyperlink"/>
          <w:color w:val="auto"/>
          <w:u w:val="none"/>
        </w:rPr>
        <w:t xml:space="preserve"> by Independent Regulatory Review Commission on 5/16/13.</w:t>
      </w:r>
    </w:p>
    <w:p w:rsidR="00C76A30" w:rsidRPr="007F60F2" w:rsidRDefault="00C76A30" w:rsidP="00A65480">
      <w:pPr>
        <w:pStyle w:val="ListParagraph"/>
        <w:numPr>
          <w:ilvl w:val="1"/>
          <w:numId w:val="4"/>
        </w:numPr>
        <w:spacing w:after="0" w:line="240" w:lineRule="auto"/>
        <w:rPr>
          <w:rStyle w:val="Hyperlink"/>
          <w:color w:val="auto"/>
          <w:u w:val="none"/>
        </w:rPr>
      </w:pPr>
      <w:r w:rsidRPr="007F60F2">
        <w:rPr>
          <w:rStyle w:val="Hyperlink"/>
          <w:color w:val="auto"/>
          <w:u w:val="none"/>
        </w:rPr>
        <w:t xml:space="preserve">Final regulations </w:t>
      </w:r>
      <w:r w:rsidR="00A65480" w:rsidRPr="007F60F2">
        <w:rPr>
          <w:rStyle w:val="Hyperlink"/>
          <w:color w:val="auto"/>
          <w:u w:val="none"/>
        </w:rPr>
        <w:t xml:space="preserve">went into effect on 6/29/13 </w:t>
      </w:r>
      <w:r w:rsidRPr="007F60F2">
        <w:rPr>
          <w:rStyle w:val="Hyperlink"/>
          <w:color w:val="auto"/>
          <w:u w:val="none"/>
        </w:rPr>
        <w:t>upon publication in Pa. Bulletin</w:t>
      </w:r>
      <w:r w:rsidR="00A65480" w:rsidRPr="007F60F2">
        <w:rPr>
          <w:rStyle w:val="Hyperlink"/>
          <w:color w:val="auto"/>
          <w:u w:val="none"/>
        </w:rPr>
        <w:t xml:space="preserve"> at the following link:</w:t>
      </w:r>
      <w:r w:rsidR="00A65480" w:rsidRPr="007F60F2">
        <w:t xml:space="preserve"> </w:t>
      </w:r>
      <w:hyperlink r:id="rId15" w:history="1">
        <w:r w:rsidR="00A65480" w:rsidRPr="007F60F2">
          <w:rPr>
            <w:rStyle w:val="Hyperlink"/>
          </w:rPr>
          <w:t>http://www.pabulletin.com/secure/data/vol43/43-26/1154.html</w:t>
        </w:r>
      </w:hyperlink>
    </w:p>
    <w:p w:rsidR="007F60F2" w:rsidRPr="007F60F2" w:rsidRDefault="007F60F2" w:rsidP="007F60F2">
      <w:pPr>
        <w:pStyle w:val="ListParagraph"/>
        <w:numPr>
          <w:ilvl w:val="1"/>
          <w:numId w:val="4"/>
        </w:numPr>
        <w:spacing w:after="0" w:line="240" w:lineRule="auto"/>
        <w:rPr>
          <w:rStyle w:val="Hyperlink"/>
          <w:color w:val="FF0000"/>
          <w:u w:val="none"/>
        </w:rPr>
      </w:pPr>
      <w:r w:rsidRPr="000A572F">
        <w:rPr>
          <w:rStyle w:val="Hyperlink"/>
          <w:b/>
          <w:i/>
          <w:color w:val="auto"/>
          <w:u w:val="none"/>
        </w:rPr>
        <w:t>REMINDER:  per Section 111.14 of the new regulations, suppliers are to notify Commission staff of door-to-door marketing activities.  General information (municipality, dates) should be sent to the PUC no later than the morning that the activity commences.  Notice</w:t>
      </w:r>
      <w:r w:rsidR="00E57C13" w:rsidRPr="000A572F">
        <w:rPr>
          <w:rStyle w:val="Hyperlink"/>
          <w:b/>
          <w:i/>
          <w:color w:val="auto"/>
          <w:u w:val="none"/>
        </w:rPr>
        <w:t>s</w:t>
      </w:r>
      <w:r w:rsidRPr="000A572F">
        <w:rPr>
          <w:rStyle w:val="Hyperlink"/>
          <w:b/>
          <w:i/>
          <w:color w:val="auto"/>
          <w:u w:val="none"/>
        </w:rPr>
        <w:t xml:space="preserve"> should be emailed to</w:t>
      </w:r>
      <w:r w:rsidRPr="00E600E3">
        <w:rPr>
          <w:rStyle w:val="Hyperlink"/>
          <w:color w:val="auto"/>
          <w:u w:val="none"/>
        </w:rPr>
        <w:t xml:space="preserve"> </w:t>
      </w:r>
      <w:hyperlink r:id="rId16" w:history="1">
        <w:r w:rsidRPr="00B06CE6">
          <w:rPr>
            <w:rStyle w:val="Hyperlink"/>
          </w:rPr>
          <w:t>RA-PCDOORTODOOR@pa.gov</w:t>
        </w:r>
      </w:hyperlink>
      <w:r w:rsidR="00C67E96">
        <w:rPr>
          <w:rStyle w:val="Hyperlink"/>
          <w:color w:val="auto"/>
          <w:u w:val="none"/>
        </w:rPr>
        <w:t>.</w:t>
      </w:r>
      <w:r>
        <w:rPr>
          <w:rStyle w:val="Hyperlink"/>
          <w:color w:val="FF0000"/>
          <w:u w:val="none"/>
        </w:rPr>
        <w:t xml:space="preserve"> </w:t>
      </w:r>
    </w:p>
    <w:p w:rsidR="00C10F38" w:rsidRDefault="00C10F38" w:rsidP="00C10F38">
      <w:pPr>
        <w:spacing w:after="0" w:line="240" w:lineRule="auto"/>
        <w:rPr>
          <w:rStyle w:val="Hyperlink"/>
          <w:b/>
          <w:i/>
          <w:color w:val="auto"/>
          <w:u w:val="none"/>
        </w:rPr>
      </w:pPr>
    </w:p>
    <w:p w:rsidR="00C10F38" w:rsidRDefault="00C10F38" w:rsidP="00C10F38">
      <w:pPr>
        <w:spacing w:after="0" w:line="240" w:lineRule="auto"/>
        <w:rPr>
          <w:b/>
        </w:rPr>
      </w:pPr>
      <w:r w:rsidRPr="00C10F38">
        <w:rPr>
          <w:b/>
        </w:rPr>
        <w:t>45.</w:t>
      </w:r>
      <w:r w:rsidRPr="00C10F38">
        <w:rPr>
          <w:b/>
        </w:rPr>
        <w:tab/>
      </w:r>
      <w:r w:rsidRPr="00B0523F">
        <w:rPr>
          <w:b/>
          <w:u w:val="single"/>
        </w:rPr>
        <w:t>Accelerating Supplier Switching Timeframes</w:t>
      </w:r>
      <w:r w:rsidRPr="000506B8">
        <w:rPr>
          <w:b/>
        </w:rPr>
        <w:t xml:space="preserve"> </w:t>
      </w:r>
      <w:r w:rsidR="00F9265B">
        <w:rPr>
          <w:b/>
        </w:rPr>
        <w:t>(No update)</w:t>
      </w:r>
    </w:p>
    <w:p w:rsidR="00C10F38" w:rsidRDefault="00C10F38" w:rsidP="00C10F38">
      <w:pPr>
        <w:spacing w:after="0" w:line="240" w:lineRule="auto"/>
      </w:pPr>
    </w:p>
    <w:p w:rsidR="00C10F38" w:rsidRDefault="00C10F38" w:rsidP="00AC0371">
      <w:pPr>
        <w:numPr>
          <w:ilvl w:val="0"/>
          <w:numId w:val="5"/>
        </w:numPr>
      </w:pPr>
      <w:r w:rsidRPr="006A434E">
        <w:t xml:space="preserve">Tentative Order </w:t>
      </w:r>
      <w:r>
        <w:t xml:space="preserve">adopted </w:t>
      </w:r>
      <w:r w:rsidRPr="006A434E">
        <w:t>on November 10, 2011 which is available at the following link:</w:t>
      </w:r>
      <w:r w:rsidRPr="00564A95">
        <w:t xml:space="preserve"> </w:t>
      </w:r>
      <w:hyperlink r:id="rId17" w:history="1">
        <w:r w:rsidRPr="007059C3">
          <w:rPr>
            <w:rStyle w:val="Hyperlink"/>
          </w:rPr>
          <w:t>http://www.puc.pa.gov/about_puc/consolidated_case_view.aspx?Docket=M-2011-2270442</w:t>
        </w:r>
      </w:hyperlink>
      <w:r>
        <w:t>;</w:t>
      </w:r>
      <w:r w:rsidRPr="006A434E">
        <w:t xml:space="preserve"> Comments were due 30 days after entry of order, or on December 14, 2011</w:t>
      </w:r>
      <w:r>
        <w:t>.</w:t>
      </w:r>
    </w:p>
    <w:p w:rsidR="00C10F38" w:rsidRDefault="00C10F38" w:rsidP="00AC0371">
      <w:pPr>
        <w:numPr>
          <w:ilvl w:val="0"/>
          <w:numId w:val="5"/>
        </w:numPr>
        <w:spacing w:line="240" w:lineRule="auto"/>
      </w:pPr>
      <w:r w:rsidRPr="00392EA3">
        <w:t xml:space="preserve">Final Order adopted on October 24, 2012, which may be accessed at the following link:  </w:t>
      </w:r>
      <w:hyperlink r:id="rId18" w:history="1">
        <w:r w:rsidRPr="00392EA3">
          <w:rPr>
            <w:rStyle w:val="Hyperlink"/>
          </w:rPr>
          <w:t>http://www.puc.</w:t>
        </w:r>
        <w:r>
          <w:rPr>
            <w:rStyle w:val="Hyperlink"/>
          </w:rPr>
          <w:t>pa.gov</w:t>
        </w:r>
        <w:r w:rsidRPr="00392EA3">
          <w:rPr>
            <w:rStyle w:val="Hyperlink"/>
          </w:rPr>
          <w:t>/pcdocs/1196717.docx</w:t>
        </w:r>
      </w:hyperlink>
      <w:r w:rsidRPr="00392EA3">
        <w:t>; order will be effective 90 days after entry of order, or on January 24, 2013</w:t>
      </w:r>
      <w:r>
        <w:t>.</w:t>
      </w:r>
      <w:r w:rsidRPr="00392EA3">
        <w:t xml:space="preserve"> </w:t>
      </w:r>
    </w:p>
    <w:p w:rsidR="00C10F38" w:rsidRPr="00A37C6C" w:rsidRDefault="00C10F38" w:rsidP="00AC0371">
      <w:pPr>
        <w:numPr>
          <w:ilvl w:val="0"/>
          <w:numId w:val="5"/>
        </w:numPr>
        <w:spacing w:line="240" w:lineRule="auto"/>
      </w:pPr>
      <w:r>
        <w:lastRenderedPageBreak/>
        <w:t>EDCs’</w:t>
      </w:r>
      <w:r w:rsidRPr="00A37C6C">
        <w:t xml:space="preserve"> implementation dates</w:t>
      </w:r>
      <w:r>
        <w:t>:</w:t>
      </w:r>
      <w:r w:rsidRPr="00A37C6C">
        <w:t xml:space="preserve"> (More details will be provided by EDCs through normal EGS communications processes) </w:t>
      </w:r>
    </w:p>
    <w:p w:rsidR="00C10F38" w:rsidRPr="00A65480" w:rsidRDefault="00C10F38" w:rsidP="00AC0371">
      <w:pPr>
        <w:numPr>
          <w:ilvl w:val="1"/>
          <w:numId w:val="5"/>
        </w:numPr>
        <w:spacing w:after="0" w:line="240" w:lineRule="auto"/>
      </w:pPr>
      <w:r w:rsidRPr="00A65480">
        <w:t xml:space="preserve">PECO: </w:t>
      </w:r>
      <w:r w:rsidR="00C76A30" w:rsidRPr="00A65480">
        <w:t>Implemented June 13, 2013</w:t>
      </w:r>
      <w:r w:rsidRPr="00A65480">
        <w:t>.</w:t>
      </w:r>
    </w:p>
    <w:p w:rsidR="00C10F38" w:rsidRPr="00C10F38" w:rsidRDefault="00C10F38" w:rsidP="00AC0371">
      <w:pPr>
        <w:numPr>
          <w:ilvl w:val="1"/>
          <w:numId w:val="5"/>
        </w:numPr>
        <w:spacing w:after="0" w:line="240" w:lineRule="auto"/>
      </w:pPr>
      <w:r w:rsidRPr="00C10F38">
        <w:t xml:space="preserve">PPL: Implemented January 25, 2013.  </w:t>
      </w:r>
    </w:p>
    <w:p w:rsidR="00C10F38" w:rsidRPr="00C10F38" w:rsidRDefault="00C10F38" w:rsidP="00AC0371">
      <w:pPr>
        <w:numPr>
          <w:ilvl w:val="1"/>
          <w:numId w:val="5"/>
        </w:numPr>
        <w:spacing w:after="0" w:line="240" w:lineRule="auto"/>
      </w:pPr>
      <w:r w:rsidRPr="00C10F38">
        <w:t>FE: Implemented January 28, 2013.</w:t>
      </w:r>
    </w:p>
    <w:p w:rsidR="00C10F38" w:rsidRDefault="00C10F38" w:rsidP="00AC0371">
      <w:pPr>
        <w:numPr>
          <w:ilvl w:val="1"/>
          <w:numId w:val="5"/>
        </w:numPr>
        <w:spacing w:after="0" w:line="240" w:lineRule="auto"/>
      </w:pPr>
      <w:r w:rsidRPr="00C10F38">
        <w:t>Duquesne: Implemented January 23, 2013.</w:t>
      </w:r>
    </w:p>
    <w:p w:rsidR="00C10F38" w:rsidRDefault="00C10F38" w:rsidP="00C10F38">
      <w:pPr>
        <w:spacing w:after="0" w:line="240" w:lineRule="auto"/>
        <w:ind w:left="1440"/>
      </w:pPr>
    </w:p>
    <w:p w:rsidR="00C10F38" w:rsidRPr="00EE76D5" w:rsidRDefault="00C10F38" w:rsidP="00AC0371">
      <w:pPr>
        <w:pStyle w:val="ListParagraph"/>
        <w:numPr>
          <w:ilvl w:val="0"/>
          <w:numId w:val="5"/>
        </w:numPr>
        <w:spacing w:after="0" w:line="240" w:lineRule="auto"/>
      </w:pPr>
      <w:r w:rsidRPr="00EE76D5">
        <w:t>Proposed rulemaking order will be initiated by 12/31/13 per the RMI Final Order adopted 2/14/13.</w:t>
      </w:r>
    </w:p>
    <w:p w:rsidR="008778D4" w:rsidRPr="008778D4" w:rsidRDefault="008778D4" w:rsidP="008778D4">
      <w:pPr>
        <w:spacing w:after="0" w:line="240" w:lineRule="auto"/>
        <w:ind w:left="1440"/>
      </w:pPr>
    </w:p>
    <w:p w:rsidR="00D06512" w:rsidRPr="00D06512" w:rsidRDefault="00B0523F" w:rsidP="00D06512">
      <w:pPr>
        <w:rPr>
          <w:b/>
        </w:rPr>
      </w:pPr>
      <w:r w:rsidRPr="00D06512">
        <w:rPr>
          <w:b/>
        </w:rPr>
        <w:t>46.</w:t>
      </w:r>
      <w:r w:rsidRPr="00D06512">
        <w:rPr>
          <w:b/>
        </w:rPr>
        <w:tab/>
      </w:r>
      <w:r w:rsidR="00887AE2">
        <w:rPr>
          <w:b/>
          <w:u w:val="single"/>
        </w:rPr>
        <w:t>Retail Markets Investigation</w:t>
      </w:r>
      <w:r w:rsidR="000506B8" w:rsidRPr="00D06512">
        <w:rPr>
          <w:b/>
        </w:rPr>
        <w:t xml:space="preserve"> </w:t>
      </w:r>
      <w:r w:rsidR="00D06512">
        <w:t xml:space="preserve"> (Docket No. I-2011-2237952)</w:t>
      </w:r>
    </w:p>
    <w:p w:rsidR="00D06512" w:rsidRPr="0063165F" w:rsidRDefault="00B0523F" w:rsidP="00AC0371">
      <w:pPr>
        <w:numPr>
          <w:ilvl w:val="0"/>
          <w:numId w:val="6"/>
        </w:numPr>
      </w:pPr>
      <w:r w:rsidRPr="0063165F">
        <w:t xml:space="preserve">PUC </w:t>
      </w:r>
      <w:r w:rsidR="007A37DD" w:rsidRPr="0063165F">
        <w:t xml:space="preserve">has launched </w:t>
      </w:r>
      <w:r w:rsidR="00CB3708" w:rsidRPr="0063165F">
        <w:t>statewide investigation</w:t>
      </w:r>
      <w:r w:rsidR="007A37DD" w:rsidRPr="0063165F">
        <w:t xml:space="preserve"> </w:t>
      </w:r>
      <w:r w:rsidR="00CB3708" w:rsidRPr="0063165F">
        <w:t>to ensure properly functioning and workable competitive retail electricity market exists in the Commonwealth</w:t>
      </w:r>
      <w:r w:rsidR="0063165F">
        <w:t>.</w:t>
      </w:r>
    </w:p>
    <w:p w:rsidR="00502A12" w:rsidRDefault="00327353" w:rsidP="00AC0371">
      <w:pPr>
        <w:numPr>
          <w:ilvl w:val="0"/>
          <w:numId w:val="6"/>
        </w:numPr>
      </w:pPr>
      <w:r w:rsidRPr="0063165F">
        <w:t xml:space="preserve"> Information posted on website at: </w:t>
      </w:r>
      <w:hyperlink r:id="rId19" w:history="1">
        <w:r w:rsidR="00502A12" w:rsidRPr="007059C3">
          <w:rPr>
            <w:rStyle w:val="Hyperlink"/>
          </w:rPr>
          <w:t>http://www.puc.pa.gov/utility_industry/electricity/retail_markets_investigation.aspx</w:t>
        </w:r>
      </w:hyperlink>
    </w:p>
    <w:p w:rsidR="00694A1B" w:rsidRPr="00B33165" w:rsidRDefault="00694A1B" w:rsidP="00AC0371">
      <w:pPr>
        <w:pStyle w:val="ListParagraph"/>
        <w:numPr>
          <w:ilvl w:val="0"/>
          <w:numId w:val="6"/>
        </w:numPr>
        <w:spacing w:after="0" w:line="240" w:lineRule="auto"/>
      </w:pPr>
      <w:r w:rsidRPr="00B33165">
        <w:t>Secretarial Letter and End State Proposal issued on September 27, 2012</w:t>
      </w:r>
      <w:r w:rsidR="007B1955" w:rsidRPr="00B33165">
        <w:t xml:space="preserve">: </w:t>
      </w:r>
      <w:hyperlink r:id="rId20" w:history="1">
        <w:r w:rsidR="007B1955" w:rsidRPr="00B33165">
          <w:rPr>
            <w:rStyle w:val="Hyperlink"/>
          </w:rPr>
          <w:t>http://www.puc.</w:t>
        </w:r>
        <w:r w:rsidR="00B369C0">
          <w:rPr>
            <w:rStyle w:val="Hyperlink"/>
          </w:rPr>
          <w:t>pa.gov</w:t>
        </w:r>
        <w:r w:rsidR="007B1955" w:rsidRPr="00B33165">
          <w:rPr>
            <w:rStyle w:val="Hyperlink"/>
          </w:rPr>
          <w:t>//pcdocs/1193057.docx</w:t>
        </w:r>
      </w:hyperlink>
    </w:p>
    <w:p w:rsidR="007B1955" w:rsidRPr="00B33165" w:rsidRDefault="007B1955" w:rsidP="007B1955">
      <w:pPr>
        <w:spacing w:after="0" w:line="240" w:lineRule="auto"/>
        <w:ind w:left="720"/>
      </w:pPr>
    </w:p>
    <w:p w:rsidR="00B33165" w:rsidRDefault="007B1955" w:rsidP="00AC0371">
      <w:pPr>
        <w:pStyle w:val="ListParagraph"/>
        <w:numPr>
          <w:ilvl w:val="0"/>
          <w:numId w:val="6"/>
        </w:numPr>
        <w:spacing w:after="0" w:line="240" w:lineRule="auto"/>
      </w:pPr>
      <w:r w:rsidRPr="00B33165">
        <w:t xml:space="preserve">Stakeholder Call </w:t>
      </w:r>
      <w:r w:rsidR="00B33165">
        <w:t xml:space="preserve">held </w:t>
      </w:r>
      <w:r w:rsidRPr="00B33165">
        <w:t xml:space="preserve">on </w:t>
      </w:r>
      <w:r w:rsidR="007B58C1" w:rsidRPr="00B33165">
        <w:t>Oct</w:t>
      </w:r>
      <w:r w:rsidR="00B33165">
        <w:t>ober</w:t>
      </w:r>
      <w:r w:rsidR="007B58C1" w:rsidRPr="00B33165">
        <w:t xml:space="preserve"> 17, 2012 at 1:30 PM</w:t>
      </w:r>
      <w:r w:rsidR="002D01A3">
        <w:t>.</w:t>
      </w:r>
    </w:p>
    <w:p w:rsidR="00B33165" w:rsidRDefault="00B33165" w:rsidP="00B33165">
      <w:pPr>
        <w:pStyle w:val="ListParagraph"/>
      </w:pPr>
    </w:p>
    <w:p w:rsidR="00B33165" w:rsidRPr="00A37C6C" w:rsidRDefault="00B33165" w:rsidP="00AC0371">
      <w:pPr>
        <w:pStyle w:val="ListParagraph"/>
        <w:numPr>
          <w:ilvl w:val="0"/>
          <w:numId w:val="6"/>
        </w:numPr>
        <w:spacing w:after="0" w:line="240" w:lineRule="auto"/>
      </w:pPr>
      <w:r w:rsidRPr="00A37C6C">
        <w:t xml:space="preserve">Tentative Order </w:t>
      </w:r>
      <w:r w:rsidR="00392EA3" w:rsidRPr="00A37C6C">
        <w:t xml:space="preserve">adopted on </w:t>
      </w:r>
      <w:r w:rsidR="004A7EA0">
        <w:t>11/8/12</w:t>
      </w:r>
      <w:r w:rsidR="00392EA3" w:rsidRPr="00A37C6C">
        <w:t xml:space="preserve">; comments filed </w:t>
      </w:r>
      <w:r w:rsidR="004A7EA0">
        <w:t>12/10/12</w:t>
      </w:r>
      <w:r w:rsidR="00222126">
        <w:t xml:space="preserve">; and </w:t>
      </w:r>
      <w:r w:rsidR="00222126" w:rsidRPr="00EE76D5">
        <w:t xml:space="preserve">Final Order adopted on </w:t>
      </w:r>
      <w:r w:rsidR="004A7EA0" w:rsidRPr="00EE76D5">
        <w:t>2/</w:t>
      </w:r>
      <w:r w:rsidR="00B272C6" w:rsidRPr="00EE76D5">
        <w:t>1</w:t>
      </w:r>
      <w:r w:rsidR="004A7EA0" w:rsidRPr="00EE76D5">
        <w:t>4/13</w:t>
      </w:r>
      <w:r w:rsidR="00222126">
        <w:t xml:space="preserve">, </w:t>
      </w:r>
      <w:r w:rsidR="00392EA3" w:rsidRPr="00A37C6C">
        <w:t xml:space="preserve">which are available at this link:  </w:t>
      </w:r>
      <w:hyperlink r:id="rId21" w:history="1">
        <w:r w:rsidR="00392EA3" w:rsidRPr="00A37C6C">
          <w:rPr>
            <w:rStyle w:val="Hyperlink"/>
          </w:rPr>
          <w:t>http://www.puc.</w:t>
        </w:r>
        <w:r w:rsidR="00B369C0" w:rsidRPr="00A37C6C">
          <w:rPr>
            <w:rStyle w:val="Hyperlink"/>
          </w:rPr>
          <w:t>pa.gov</w:t>
        </w:r>
        <w:r w:rsidR="00392EA3" w:rsidRPr="00A37C6C">
          <w:rPr>
            <w:rStyle w:val="Hyperlink"/>
          </w:rPr>
          <w:t>/about_puc/consolidated_case_view.aspx?Docket=I-2011-2237952</w:t>
        </w:r>
      </w:hyperlink>
      <w:r w:rsidR="00B369C0" w:rsidRPr="00A37C6C">
        <w:rPr>
          <w:rStyle w:val="Hyperlink"/>
          <w:color w:val="auto"/>
          <w:u w:val="none"/>
        </w:rPr>
        <w:t>;</w:t>
      </w:r>
      <w:r w:rsidR="00B369C0" w:rsidRPr="00A37C6C">
        <w:rPr>
          <w:rStyle w:val="Hyperlink"/>
          <w:u w:val="none"/>
        </w:rPr>
        <w:t xml:space="preserve"> </w:t>
      </w:r>
    </w:p>
    <w:p w:rsidR="00392EA3" w:rsidRPr="00392EA3" w:rsidRDefault="00392EA3" w:rsidP="00392EA3">
      <w:pPr>
        <w:pStyle w:val="ListParagraph"/>
        <w:rPr>
          <w:b/>
          <w:i/>
        </w:rPr>
      </w:pPr>
    </w:p>
    <w:p w:rsidR="000D451A" w:rsidRPr="00222126" w:rsidRDefault="000D451A" w:rsidP="00AC0371">
      <w:pPr>
        <w:pStyle w:val="ListParagraph"/>
        <w:numPr>
          <w:ilvl w:val="0"/>
          <w:numId w:val="6"/>
        </w:numPr>
        <w:spacing w:after="0" w:line="240" w:lineRule="auto"/>
      </w:pPr>
      <w:r w:rsidRPr="00222126">
        <w:t>Consumer Education: Tri-fold mailings are being mailed</w:t>
      </w:r>
      <w:r w:rsidR="006F700B" w:rsidRPr="00222126">
        <w:t>; PPL’s is available at this link:</w:t>
      </w:r>
      <w:r w:rsidRPr="00222126">
        <w:t xml:space="preserve"> </w:t>
      </w:r>
      <w:hyperlink r:id="rId22" w:history="1">
        <w:r w:rsidR="006F700B" w:rsidRPr="00222126">
          <w:rPr>
            <w:rStyle w:val="Hyperlink"/>
          </w:rPr>
          <w:t>http://www.puc.</w:t>
        </w:r>
        <w:r w:rsidR="00B369C0" w:rsidRPr="00222126">
          <w:rPr>
            <w:rStyle w:val="Hyperlink"/>
          </w:rPr>
          <w:t>pa.gov</w:t>
        </w:r>
        <w:r w:rsidR="006F700B" w:rsidRPr="00222126">
          <w:rPr>
            <w:rStyle w:val="Hyperlink"/>
          </w:rPr>
          <w:t>/electric/pdf/RetailMI/PPL_8x17_tri-fold-lo-rez.pdf</w:t>
        </w:r>
      </w:hyperlink>
    </w:p>
    <w:p w:rsidR="000D451A" w:rsidRPr="00222126" w:rsidRDefault="000D451A" w:rsidP="00AC0371">
      <w:pPr>
        <w:pStyle w:val="ListParagraph"/>
        <w:numPr>
          <w:ilvl w:val="1"/>
          <w:numId w:val="6"/>
        </w:numPr>
        <w:spacing w:after="0" w:line="240" w:lineRule="auto"/>
      </w:pPr>
      <w:r w:rsidRPr="00222126">
        <w:t xml:space="preserve">PPL – </w:t>
      </w:r>
      <w:r w:rsidR="00392EA3" w:rsidRPr="00222126">
        <w:t>Completed.</w:t>
      </w:r>
    </w:p>
    <w:p w:rsidR="00392EA3" w:rsidRPr="00222126" w:rsidRDefault="00392EA3" w:rsidP="00AC0371">
      <w:pPr>
        <w:pStyle w:val="ListParagraph"/>
        <w:numPr>
          <w:ilvl w:val="1"/>
          <w:numId w:val="6"/>
        </w:numPr>
        <w:spacing w:after="0" w:line="240" w:lineRule="auto"/>
      </w:pPr>
      <w:r w:rsidRPr="00222126">
        <w:t>Duquesne – Completed.</w:t>
      </w:r>
    </w:p>
    <w:p w:rsidR="000D451A" w:rsidRPr="00222126" w:rsidRDefault="000D451A" w:rsidP="00AC0371">
      <w:pPr>
        <w:pStyle w:val="ListParagraph"/>
        <w:numPr>
          <w:ilvl w:val="1"/>
          <w:numId w:val="6"/>
        </w:numPr>
        <w:spacing w:after="0" w:line="240" w:lineRule="auto"/>
      </w:pPr>
      <w:r w:rsidRPr="00222126">
        <w:t xml:space="preserve">PECO – </w:t>
      </w:r>
      <w:r w:rsidR="00C46DE6" w:rsidRPr="00222126">
        <w:t>Completed</w:t>
      </w:r>
      <w:r w:rsidR="00392EA3" w:rsidRPr="00222126">
        <w:t>.</w:t>
      </w:r>
    </w:p>
    <w:p w:rsidR="00C46DE6" w:rsidRPr="00EE76D5" w:rsidRDefault="00392EA3" w:rsidP="00AC0371">
      <w:pPr>
        <w:pStyle w:val="ListParagraph"/>
        <w:numPr>
          <w:ilvl w:val="1"/>
          <w:numId w:val="6"/>
        </w:numPr>
        <w:spacing w:after="0" w:line="240" w:lineRule="auto"/>
      </w:pPr>
      <w:r w:rsidRPr="00EE76D5">
        <w:t xml:space="preserve">FirstEnergy – </w:t>
      </w:r>
      <w:r w:rsidR="001C702F" w:rsidRPr="00EE76D5">
        <w:t>Completed.</w:t>
      </w:r>
      <w:r w:rsidR="00C46DE6" w:rsidRPr="00EE76D5">
        <w:t xml:space="preserve">  </w:t>
      </w:r>
    </w:p>
    <w:p w:rsidR="00392EA3" w:rsidRPr="00222126" w:rsidRDefault="00392EA3" w:rsidP="00AC0371">
      <w:pPr>
        <w:pStyle w:val="ListParagraph"/>
        <w:numPr>
          <w:ilvl w:val="1"/>
          <w:numId w:val="6"/>
        </w:numPr>
        <w:spacing w:after="0" w:line="240" w:lineRule="auto"/>
      </w:pPr>
      <w:r w:rsidRPr="00222126">
        <w:t xml:space="preserve">UGI – </w:t>
      </w:r>
      <w:r w:rsidR="00C46DE6" w:rsidRPr="00222126">
        <w:t>Not sending mailings due to no EGSs making offers in territory.</w:t>
      </w:r>
    </w:p>
    <w:p w:rsidR="00392EA3" w:rsidRPr="00EE76D5" w:rsidRDefault="00392EA3" w:rsidP="00AC0371">
      <w:pPr>
        <w:pStyle w:val="ListParagraph"/>
        <w:numPr>
          <w:ilvl w:val="1"/>
          <w:numId w:val="6"/>
        </w:numPr>
        <w:spacing w:after="0" w:line="240" w:lineRule="auto"/>
      </w:pPr>
      <w:r w:rsidRPr="00EE76D5">
        <w:t xml:space="preserve">Pike County Light and Power – </w:t>
      </w:r>
      <w:r w:rsidR="001C702F" w:rsidRPr="00EE76D5">
        <w:t xml:space="preserve"> Completed.</w:t>
      </w:r>
    </w:p>
    <w:p w:rsidR="00392EA3" w:rsidRDefault="00392EA3" w:rsidP="00392EA3">
      <w:pPr>
        <w:spacing w:after="0" w:line="240" w:lineRule="auto"/>
        <w:rPr>
          <w:b/>
          <w:i/>
        </w:rPr>
      </w:pPr>
    </w:p>
    <w:p w:rsidR="00392EA3" w:rsidRPr="00A744BD" w:rsidRDefault="006F4555" w:rsidP="0032326B">
      <w:pPr>
        <w:pStyle w:val="ListParagraph"/>
        <w:numPr>
          <w:ilvl w:val="0"/>
          <w:numId w:val="6"/>
        </w:numPr>
        <w:spacing w:after="0" w:line="240" w:lineRule="auto"/>
      </w:pPr>
      <w:r w:rsidRPr="00222126">
        <w:t xml:space="preserve">Consumer Education: </w:t>
      </w:r>
      <w:r w:rsidR="00392EA3" w:rsidRPr="00222126">
        <w:t>Annual Commission-Endorsed Postcard; Status of 2013 mailings</w:t>
      </w:r>
      <w:r w:rsidR="00B369C0" w:rsidRPr="00222126">
        <w:t xml:space="preserve">.  </w:t>
      </w:r>
      <w:r w:rsidR="00A37C6C" w:rsidRPr="00222126">
        <w:t>Secretarial Letter issued on December 20, 2012 proposing to dispense with mailing of annual postcard in 2013 and resume with the mailing in 2014</w:t>
      </w:r>
      <w:r w:rsidR="00B518CC" w:rsidRPr="00222126">
        <w:t>; Comments filed on January 18, 201</w:t>
      </w:r>
      <w:r w:rsidR="00C46DE6" w:rsidRPr="00222126">
        <w:t>3</w:t>
      </w:r>
      <w:r w:rsidR="00B518CC">
        <w:rPr>
          <w:b/>
          <w:i/>
        </w:rPr>
        <w:t xml:space="preserve">; </w:t>
      </w:r>
      <w:r w:rsidR="00B518CC" w:rsidRPr="00A744BD">
        <w:t>Commission order</w:t>
      </w:r>
      <w:r w:rsidR="00C46DE6" w:rsidRPr="00A744BD">
        <w:t xml:space="preserve"> </w:t>
      </w:r>
      <w:r w:rsidR="00C76A30" w:rsidRPr="00A744BD">
        <w:t>adopted</w:t>
      </w:r>
      <w:r w:rsidR="00C46DE6" w:rsidRPr="00A744BD">
        <w:t xml:space="preserve"> </w:t>
      </w:r>
      <w:r w:rsidR="0084202E" w:rsidRPr="00A744BD">
        <w:t>5/23/13</w:t>
      </w:r>
      <w:r w:rsidR="0032326B" w:rsidRPr="00A744BD">
        <w:t xml:space="preserve"> which may be accessed at:</w:t>
      </w:r>
      <w:r w:rsidR="00A37C6C" w:rsidRPr="00A744BD">
        <w:t xml:space="preserve"> </w:t>
      </w:r>
      <w:hyperlink r:id="rId23" w:history="1">
        <w:r w:rsidR="0032326B" w:rsidRPr="00A744BD">
          <w:rPr>
            <w:rStyle w:val="Hyperlink"/>
          </w:rPr>
          <w:t>http://www.puc.pa.gov//pcdocs/1231501.docx</w:t>
        </w:r>
      </w:hyperlink>
    </w:p>
    <w:p w:rsidR="007B1955" w:rsidRPr="007B1955" w:rsidRDefault="007B1955" w:rsidP="007B1955">
      <w:pPr>
        <w:spacing w:after="0" w:line="240" w:lineRule="auto"/>
        <w:ind w:left="720"/>
        <w:rPr>
          <w:b/>
          <w:i/>
        </w:rPr>
      </w:pPr>
    </w:p>
    <w:p w:rsidR="00B518CC" w:rsidRPr="009F50F4" w:rsidRDefault="00A65480" w:rsidP="00AC0371">
      <w:pPr>
        <w:pStyle w:val="ListParagraph"/>
        <w:numPr>
          <w:ilvl w:val="0"/>
          <w:numId w:val="6"/>
        </w:numPr>
        <w:spacing w:after="0" w:line="240" w:lineRule="auto"/>
        <w:rPr>
          <w:b/>
        </w:rPr>
      </w:pPr>
      <w:r w:rsidRPr="009F50F4">
        <w:rPr>
          <w:b/>
        </w:rPr>
        <w:t>Standard Offer Program</w:t>
      </w:r>
      <w:r w:rsidR="009F50F4">
        <w:rPr>
          <w:b/>
        </w:rPr>
        <w:t xml:space="preserve"> Update</w:t>
      </w:r>
    </w:p>
    <w:p w:rsidR="00C46DE6" w:rsidRPr="009F50F4" w:rsidRDefault="00C46DE6" w:rsidP="00AC0371">
      <w:pPr>
        <w:pStyle w:val="ListParagraph"/>
        <w:numPr>
          <w:ilvl w:val="0"/>
          <w:numId w:val="20"/>
        </w:numPr>
        <w:spacing w:after="0" w:line="240" w:lineRule="auto"/>
      </w:pPr>
      <w:r w:rsidRPr="009F50F4">
        <w:t xml:space="preserve">PECO: </w:t>
      </w:r>
      <w:r w:rsidR="00222126" w:rsidRPr="009F50F4">
        <w:t xml:space="preserve">Final Order adopted on 2/14/13; </w:t>
      </w:r>
      <w:r w:rsidRPr="009F50F4">
        <w:t xml:space="preserve">Opt-in program on hold; Standard offer program on track for </w:t>
      </w:r>
      <w:r w:rsidR="00A65480" w:rsidRPr="009F50F4">
        <w:t>8/19/13</w:t>
      </w:r>
      <w:r w:rsidR="009C38D7" w:rsidRPr="009F50F4">
        <w:t xml:space="preserve"> implementation</w:t>
      </w:r>
      <w:r w:rsidRPr="009F50F4">
        <w:t>.</w:t>
      </w:r>
      <w:r w:rsidR="00D22BFF" w:rsidRPr="009F50F4">
        <w:t xml:space="preserve">  3 EGSs participating for the first month; others can join or leave going forward.</w:t>
      </w:r>
    </w:p>
    <w:p w:rsidR="00C46DE6" w:rsidRPr="009F50F4" w:rsidRDefault="00C46DE6" w:rsidP="00AC0371">
      <w:pPr>
        <w:pStyle w:val="ListParagraph"/>
        <w:numPr>
          <w:ilvl w:val="0"/>
          <w:numId w:val="20"/>
        </w:numPr>
        <w:spacing w:after="0" w:line="240" w:lineRule="auto"/>
      </w:pPr>
      <w:r w:rsidRPr="009F50F4">
        <w:lastRenderedPageBreak/>
        <w:t>PPL:  Final Order adopted on 1/24/13; Standard offer program on track for 8/1/13</w:t>
      </w:r>
      <w:r w:rsidR="00A65480" w:rsidRPr="009F50F4">
        <w:t xml:space="preserve"> implementation</w:t>
      </w:r>
      <w:r w:rsidRPr="009F50F4">
        <w:t>.</w:t>
      </w:r>
      <w:r w:rsidR="00D22BFF" w:rsidRPr="009F50F4">
        <w:t xml:space="preserve">  3 EGSs participating.</w:t>
      </w:r>
    </w:p>
    <w:p w:rsidR="00C46DE6" w:rsidRPr="009F50F4" w:rsidRDefault="00C46DE6" w:rsidP="00AC0371">
      <w:pPr>
        <w:pStyle w:val="ListParagraph"/>
        <w:numPr>
          <w:ilvl w:val="0"/>
          <w:numId w:val="20"/>
        </w:numPr>
        <w:spacing w:after="0" w:line="240" w:lineRule="auto"/>
      </w:pPr>
      <w:r w:rsidRPr="009F50F4">
        <w:t xml:space="preserve">FE:  </w:t>
      </w:r>
      <w:r w:rsidR="00222126" w:rsidRPr="009F50F4">
        <w:t xml:space="preserve">Final Order adopted on 2/14/13; </w:t>
      </w:r>
      <w:r w:rsidR="001C702F" w:rsidRPr="009F50F4">
        <w:t xml:space="preserve">Standard </w:t>
      </w:r>
      <w:r w:rsidR="00A65480" w:rsidRPr="009F50F4">
        <w:t>o</w:t>
      </w:r>
      <w:r w:rsidR="001C702F" w:rsidRPr="009F50F4">
        <w:t xml:space="preserve">ffer </w:t>
      </w:r>
      <w:r w:rsidR="00A65480" w:rsidRPr="009F50F4">
        <w:t>p</w:t>
      </w:r>
      <w:r w:rsidR="001C702F" w:rsidRPr="009F50F4">
        <w:t xml:space="preserve">rogram </w:t>
      </w:r>
      <w:r w:rsidR="00C76A30" w:rsidRPr="009F50F4">
        <w:t>on track for 8/1/13</w:t>
      </w:r>
      <w:r w:rsidR="00A65480" w:rsidRPr="009F50F4">
        <w:t xml:space="preserve"> implementation</w:t>
      </w:r>
      <w:r w:rsidR="001C702F" w:rsidRPr="009F50F4">
        <w:t>.</w:t>
      </w:r>
      <w:r w:rsidR="00D22BFF" w:rsidRPr="009F50F4">
        <w:t xml:space="preserve">  3 EGSs participating.</w:t>
      </w:r>
    </w:p>
    <w:p w:rsidR="009F50F4" w:rsidRPr="000A572F" w:rsidRDefault="00C46DE6" w:rsidP="00AC0371">
      <w:pPr>
        <w:pStyle w:val="ListParagraph"/>
        <w:numPr>
          <w:ilvl w:val="0"/>
          <w:numId w:val="20"/>
        </w:numPr>
        <w:spacing w:after="0" w:line="240" w:lineRule="auto"/>
        <w:rPr>
          <w:b/>
          <w:i/>
          <w:color w:val="FF0000"/>
          <w:u w:val="single"/>
        </w:rPr>
      </w:pPr>
      <w:r w:rsidRPr="009F50F4">
        <w:t xml:space="preserve">Duquesne: Final Order adopted on 1/24/13; </w:t>
      </w:r>
      <w:r w:rsidR="004A7EA0" w:rsidRPr="009F50F4">
        <w:t>Opt-in program on hold</w:t>
      </w:r>
      <w:r w:rsidRPr="009F50F4">
        <w:t xml:space="preserve">; Standard offer program on track for </w:t>
      </w:r>
      <w:r w:rsidR="00D22BFF" w:rsidRPr="009F50F4">
        <w:t>8/16/13 implementation; no EGS applications received as of 8/1/13.</w:t>
      </w:r>
      <w:r w:rsidR="009F50F4">
        <w:t xml:space="preserve">  </w:t>
      </w:r>
      <w:r w:rsidR="009F50F4" w:rsidRPr="000A572F">
        <w:rPr>
          <w:b/>
          <w:i/>
        </w:rPr>
        <w:t>1 EGS participating</w:t>
      </w:r>
      <w:r w:rsidR="000A572F" w:rsidRPr="000A572F">
        <w:rPr>
          <w:b/>
          <w:i/>
        </w:rPr>
        <w:t xml:space="preserve"> as of the implementation date</w:t>
      </w:r>
      <w:r w:rsidR="009F50F4" w:rsidRPr="000A572F">
        <w:rPr>
          <w:b/>
          <w:i/>
        </w:rPr>
        <w:t>.</w:t>
      </w:r>
    </w:p>
    <w:p w:rsidR="00C46DE6" w:rsidRPr="00E57C13" w:rsidRDefault="009F50F4" w:rsidP="00AC0371">
      <w:pPr>
        <w:pStyle w:val="ListParagraph"/>
        <w:numPr>
          <w:ilvl w:val="0"/>
          <w:numId w:val="20"/>
        </w:numPr>
        <w:spacing w:after="0" w:line="240" w:lineRule="auto"/>
        <w:rPr>
          <w:b/>
          <w:color w:val="FF0000"/>
          <w:u w:val="single"/>
        </w:rPr>
      </w:pPr>
      <w:r w:rsidRPr="000A572F">
        <w:rPr>
          <w:b/>
          <w:i/>
        </w:rPr>
        <w:t xml:space="preserve">Sign-up or “Take Numbers” are very attractive across the EDC service territories.  No indications of issues on EDC-EGS </w:t>
      </w:r>
      <w:r w:rsidR="00F12BE0" w:rsidRPr="000A572F">
        <w:rPr>
          <w:b/>
          <w:i/>
        </w:rPr>
        <w:t>interactions</w:t>
      </w:r>
      <w:r w:rsidR="000A572F" w:rsidRPr="000A572F">
        <w:rPr>
          <w:b/>
          <w:i/>
        </w:rPr>
        <w:t xml:space="preserve"> </w:t>
      </w:r>
      <w:r w:rsidRPr="000A572F">
        <w:rPr>
          <w:b/>
          <w:i/>
        </w:rPr>
        <w:t>at this point in time.</w:t>
      </w:r>
      <w:r w:rsidR="00294DE4">
        <w:rPr>
          <w:b/>
          <w:i/>
        </w:rPr>
        <w:t xml:space="preserve"> </w:t>
      </w:r>
      <w:r w:rsidR="00294DE4">
        <w:rPr>
          <w:b/>
          <w:i/>
        </w:rPr>
        <w:br/>
        <w:t xml:space="preserve">- An EGS asked if there has been any discussion about the need for suppliers to be licensed to service both residential and commercial classes to participate in the programs.  No one recalled this being a major issue of contention in the proceedings.  OCMO will look into the matter to see if this is something that should be discussed further.      </w:t>
      </w:r>
      <w:r w:rsidR="00294DE4">
        <w:rPr>
          <w:b/>
          <w:i/>
        </w:rPr>
        <w:br/>
        <w:t xml:space="preserve">-  PPL asked about possible slamming/dropped customer complaints.  Other EDCs indicated they have not seen </w:t>
      </w:r>
      <w:r w:rsidR="001F0C51">
        <w:rPr>
          <w:b/>
          <w:i/>
        </w:rPr>
        <w:t xml:space="preserve">any </w:t>
      </w:r>
      <w:r w:rsidR="00294DE4">
        <w:rPr>
          <w:b/>
          <w:i/>
        </w:rPr>
        <w:t xml:space="preserve">such problems.  OCMO will contact PPL to discuss any concerns. </w:t>
      </w:r>
      <w:r w:rsidR="00D22BFF" w:rsidRPr="009F50F4">
        <w:t xml:space="preserve"> </w:t>
      </w:r>
      <w:r w:rsidR="00D22BFF" w:rsidRPr="009F50F4">
        <w:rPr>
          <w:b/>
          <w:color w:val="FF0000"/>
          <w:u w:val="single"/>
        </w:rPr>
        <w:t xml:space="preserve"> </w:t>
      </w:r>
      <w:r w:rsidR="00D20EB8">
        <w:rPr>
          <w:b/>
          <w:color w:val="FF0000"/>
          <w:u w:val="single"/>
        </w:rPr>
        <w:br/>
      </w:r>
      <w:r w:rsidR="00E57C13" w:rsidRPr="009F50F4">
        <w:rPr>
          <w:b/>
          <w:color w:val="FF0000"/>
          <w:u w:val="single"/>
        </w:rPr>
        <w:br/>
      </w:r>
    </w:p>
    <w:p w:rsidR="00B518CC" w:rsidRPr="004A7EA0" w:rsidRDefault="00B518CC" w:rsidP="00AC0371">
      <w:pPr>
        <w:pStyle w:val="ListParagraph"/>
        <w:numPr>
          <w:ilvl w:val="0"/>
          <w:numId w:val="6"/>
        </w:numPr>
        <w:spacing w:after="0" w:line="240" w:lineRule="auto"/>
        <w:rPr>
          <w:rStyle w:val="Hyperlink"/>
          <w:color w:val="auto"/>
          <w:u w:val="none"/>
        </w:rPr>
      </w:pPr>
      <w:r w:rsidRPr="00222126">
        <w:t xml:space="preserve">Commission issued Secretarial Letter on </w:t>
      </w:r>
      <w:r w:rsidR="004A7EA0">
        <w:t>1/29/13</w:t>
      </w:r>
      <w:r w:rsidRPr="00222126">
        <w:t xml:space="preserve"> on New/Moving Customer Scripts:  </w:t>
      </w:r>
      <w:hyperlink r:id="rId24" w:history="1">
        <w:r w:rsidRPr="00222126">
          <w:rPr>
            <w:rStyle w:val="Hyperlink"/>
          </w:rPr>
          <w:t>http://www.puc.state.pa.us/pcdocs/1211101.docx</w:t>
        </w:r>
      </w:hyperlink>
    </w:p>
    <w:p w:rsidR="004A7EA0" w:rsidRDefault="004A7EA0" w:rsidP="004A7EA0">
      <w:pPr>
        <w:spacing w:after="0" w:line="240" w:lineRule="auto"/>
      </w:pPr>
    </w:p>
    <w:p w:rsidR="00FC5F0B" w:rsidRPr="00103F57" w:rsidRDefault="004A7EA0" w:rsidP="00FC5F0B">
      <w:pPr>
        <w:spacing w:after="0" w:line="240" w:lineRule="auto"/>
      </w:pPr>
      <w:r w:rsidRPr="00E26B43">
        <w:rPr>
          <w:b/>
        </w:rPr>
        <w:t>46A</w:t>
      </w:r>
      <w:r w:rsidRPr="004A7EA0">
        <w:rPr>
          <w:b/>
          <w:i/>
        </w:rPr>
        <w:t>.</w:t>
      </w:r>
      <w:r>
        <w:rPr>
          <w:b/>
          <w:i/>
        </w:rPr>
        <w:tab/>
      </w:r>
      <w:r w:rsidR="00FC5F0B" w:rsidRPr="00103F57">
        <w:rPr>
          <w:b/>
          <w:u w:val="single"/>
        </w:rPr>
        <w:t>Letter of Authorization –</w:t>
      </w:r>
      <w:r w:rsidR="00F9265B">
        <w:rPr>
          <w:b/>
          <w:u w:val="single"/>
        </w:rPr>
        <w:t xml:space="preserve"> Access to Customer Information</w:t>
      </w:r>
      <w:r w:rsidR="00E600E3">
        <w:rPr>
          <w:b/>
          <w:u w:val="single"/>
        </w:rPr>
        <w:t xml:space="preserve">  Update</w:t>
      </w:r>
    </w:p>
    <w:p w:rsidR="00FC5F0B" w:rsidRPr="00103F57" w:rsidRDefault="00FC5F0B" w:rsidP="00FC5F0B">
      <w:pPr>
        <w:spacing w:after="0" w:line="240" w:lineRule="auto"/>
      </w:pPr>
    </w:p>
    <w:p w:rsidR="00FC5F0B" w:rsidRPr="00103F57" w:rsidRDefault="00FC5F0B" w:rsidP="00AC0371">
      <w:pPr>
        <w:pStyle w:val="ListParagraph"/>
        <w:numPr>
          <w:ilvl w:val="0"/>
          <w:numId w:val="21"/>
        </w:numPr>
        <w:spacing w:after="0" w:line="240" w:lineRule="auto"/>
      </w:pPr>
      <w:r w:rsidRPr="00103F57">
        <w:t>RMI Intermediate Work Plan Order adopted 3/1/12 directed OCMO to convene stakeholders to review and revise LOA to authorize EGSs to gain access to customer information needed to initiate service and provide other services.</w:t>
      </w:r>
    </w:p>
    <w:p w:rsidR="00E600E3" w:rsidRPr="00E600E3" w:rsidRDefault="00A65480" w:rsidP="009C38D7">
      <w:pPr>
        <w:pStyle w:val="ListParagraph"/>
        <w:numPr>
          <w:ilvl w:val="0"/>
          <w:numId w:val="21"/>
        </w:numPr>
        <w:spacing w:after="0" w:line="240" w:lineRule="auto"/>
        <w:rPr>
          <w:b/>
          <w:i/>
          <w:color w:val="FF0000"/>
        </w:rPr>
      </w:pPr>
      <w:r w:rsidRPr="00E600E3">
        <w:t>Small subgroup is drafting LOA template for the working group to review</w:t>
      </w:r>
      <w:r w:rsidR="00D22BFF" w:rsidRPr="00E600E3">
        <w:t>; the first call was scheduled for 8/2/13</w:t>
      </w:r>
      <w:r w:rsidR="009C38D7" w:rsidRPr="00E600E3">
        <w:t>.</w:t>
      </w:r>
    </w:p>
    <w:p w:rsidR="00C10F38" w:rsidRPr="000A572F" w:rsidRDefault="00E600E3" w:rsidP="009C38D7">
      <w:pPr>
        <w:pStyle w:val="ListParagraph"/>
        <w:numPr>
          <w:ilvl w:val="0"/>
          <w:numId w:val="21"/>
        </w:numPr>
        <w:spacing w:after="0" w:line="240" w:lineRule="auto"/>
        <w:rPr>
          <w:b/>
          <w:i/>
          <w:color w:val="FF0000"/>
        </w:rPr>
      </w:pPr>
      <w:r w:rsidRPr="000A572F">
        <w:rPr>
          <w:b/>
          <w:i/>
        </w:rPr>
        <w:t>Comments filed to LOA template on 9/13.  Staff reviewing comments, will submit updated LOA Template to full working group for comment within the next week.</w:t>
      </w:r>
      <w:r w:rsidR="009C38D7" w:rsidRPr="000A572F">
        <w:rPr>
          <w:b/>
          <w:i/>
        </w:rPr>
        <w:t xml:space="preserve">  </w:t>
      </w:r>
      <w:r w:rsidR="001F0C51">
        <w:rPr>
          <w:b/>
          <w:i/>
        </w:rPr>
        <w:br/>
        <w:t xml:space="preserve">- Staff intends to distribute an updated template next week.  Access to advanced metering data has been a central issue.   </w:t>
      </w:r>
      <w:r w:rsidR="00E57C13" w:rsidRPr="000A572F">
        <w:rPr>
          <w:b/>
          <w:i/>
        </w:rPr>
        <w:br/>
      </w:r>
    </w:p>
    <w:p w:rsidR="00FC5F0B" w:rsidRPr="00103F57" w:rsidRDefault="00FC5F0B" w:rsidP="00FC5F0B">
      <w:pPr>
        <w:spacing w:after="0" w:line="240" w:lineRule="auto"/>
        <w:rPr>
          <w:b/>
        </w:rPr>
      </w:pPr>
      <w:r w:rsidRPr="00103F57">
        <w:rPr>
          <w:b/>
        </w:rPr>
        <w:t>46B</w:t>
      </w:r>
      <w:r w:rsidRPr="00FC5F0B">
        <w:rPr>
          <w:b/>
          <w:i/>
        </w:rPr>
        <w:t>.</w:t>
      </w:r>
      <w:r>
        <w:rPr>
          <w:b/>
          <w:i/>
        </w:rPr>
        <w:tab/>
      </w:r>
      <w:r w:rsidRPr="00103F57">
        <w:rPr>
          <w:b/>
          <w:u w:val="single"/>
        </w:rPr>
        <w:t>EGS Bonding/EDC Creditworthiness Requirements</w:t>
      </w:r>
      <w:r w:rsidR="00E600E3">
        <w:rPr>
          <w:b/>
          <w:u w:val="single"/>
        </w:rPr>
        <w:t xml:space="preserve"> Update</w:t>
      </w:r>
      <w:r w:rsidRPr="00103F57">
        <w:rPr>
          <w:b/>
        </w:rPr>
        <w:t xml:space="preserve"> </w:t>
      </w:r>
    </w:p>
    <w:p w:rsidR="00FC5F0B" w:rsidRPr="00103F57" w:rsidRDefault="00FC5F0B" w:rsidP="00FC5F0B">
      <w:pPr>
        <w:spacing w:after="0" w:line="240" w:lineRule="auto"/>
        <w:rPr>
          <w:b/>
        </w:rPr>
      </w:pPr>
    </w:p>
    <w:p w:rsidR="00FC5F0B" w:rsidRPr="00103F57" w:rsidRDefault="00FC5F0B" w:rsidP="00AC0371">
      <w:pPr>
        <w:pStyle w:val="ListParagraph"/>
        <w:numPr>
          <w:ilvl w:val="0"/>
          <w:numId w:val="22"/>
        </w:numPr>
        <w:spacing w:after="0" w:line="240" w:lineRule="auto"/>
        <w:rPr>
          <w:b/>
        </w:rPr>
      </w:pPr>
      <w:r w:rsidRPr="00103F57">
        <w:t>RMI Intermediate Work Plan Order adopted 3/1/12 directed OCMO to convene stakeholders to discuss changes to existing creditworthiness requirements and submit recommendations to Commission.</w:t>
      </w:r>
    </w:p>
    <w:p w:rsidR="00FC5F0B" w:rsidRPr="00F9265B" w:rsidRDefault="00FC5F0B" w:rsidP="00AC0371">
      <w:pPr>
        <w:pStyle w:val="ListParagraph"/>
        <w:numPr>
          <w:ilvl w:val="0"/>
          <w:numId w:val="22"/>
        </w:numPr>
        <w:spacing w:after="0" w:line="240" w:lineRule="auto"/>
        <w:rPr>
          <w:b/>
        </w:rPr>
      </w:pPr>
      <w:r w:rsidRPr="00103F57">
        <w:t xml:space="preserve">OCMO has received suggestions from EGSs and internal directives related to a review of existing bonding requirements in light of Pennsylvania’s laws requiring pre-payment of gross receipts tax.  </w:t>
      </w:r>
    </w:p>
    <w:p w:rsidR="00FC5F0B" w:rsidRPr="00E57C13" w:rsidRDefault="00FC5F0B" w:rsidP="00AC0371">
      <w:pPr>
        <w:pStyle w:val="ListParagraph"/>
        <w:numPr>
          <w:ilvl w:val="0"/>
          <w:numId w:val="22"/>
        </w:numPr>
        <w:spacing w:after="0" w:line="240" w:lineRule="auto"/>
        <w:rPr>
          <w:b/>
          <w:color w:val="FF0000"/>
        </w:rPr>
      </w:pPr>
      <w:r w:rsidRPr="00E600E3">
        <w:t xml:space="preserve">OCMO </w:t>
      </w:r>
      <w:r w:rsidR="00F9265B" w:rsidRPr="00E600E3">
        <w:t xml:space="preserve">has established a list of interested participants, reached out to PJM, </w:t>
      </w:r>
      <w:r w:rsidR="009C38D7" w:rsidRPr="00E600E3">
        <w:t xml:space="preserve">and sent a proposal on EGS bonding requirements to stakeholders on 5/22/13 seeking feedback by 6/3/13.  </w:t>
      </w:r>
      <w:r w:rsidR="006230E8" w:rsidRPr="000A572F">
        <w:rPr>
          <w:b/>
          <w:i/>
        </w:rPr>
        <w:t>Staff is preparing a proposal for the information of the Commission regarding the Commission’s current bonding requirements.  The next steps for the working group will be a call for comments on the EDC creditworthiness requirements, whether there is duplication of risk and appropriate collateral requirements to match actual risk.</w:t>
      </w:r>
      <w:r w:rsidR="001F0C51">
        <w:rPr>
          <w:b/>
          <w:i/>
        </w:rPr>
        <w:br/>
      </w:r>
      <w:r w:rsidR="001F0C51">
        <w:rPr>
          <w:b/>
          <w:i/>
        </w:rPr>
        <w:lastRenderedPageBreak/>
        <w:t xml:space="preserve">- Staff is preparing a recommendation to the Commission on PUC bonding requirements.  The group will then next look at EDC credit requirements.  </w:t>
      </w:r>
      <w:r w:rsidR="00E57C13" w:rsidRPr="00E600E3">
        <w:br/>
      </w:r>
    </w:p>
    <w:p w:rsidR="00FC5F0B" w:rsidRPr="00103F57" w:rsidRDefault="00FC5F0B" w:rsidP="00FC5F0B">
      <w:pPr>
        <w:spacing w:after="0" w:line="240" w:lineRule="auto"/>
        <w:rPr>
          <w:u w:val="single"/>
        </w:rPr>
      </w:pPr>
      <w:r w:rsidRPr="00103F57">
        <w:rPr>
          <w:b/>
        </w:rPr>
        <w:t>46C.</w:t>
      </w:r>
      <w:r w:rsidRPr="00103F57">
        <w:rPr>
          <w:b/>
        </w:rPr>
        <w:tab/>
      </w:r>
      <w:r w:rsidRPr="00103F57">
        <w:rPr>
          <w:b/>
          <w:u w:val="single"/>
        </w:rPr>
        <w:t>Joint Bill</w:t>
      </w:r>
      <w:r w:rsidR="00DF6E12">
        <w:rPr>
          <w:b/>
          <w:u w:val="single"/>
        </w:rPr>
        <w:t xml:space="preserve"> Update</w:t>
      </w:r>
      <w:r w:rsidRPr="00103F57">
        <w:rPr>
          <w:b/>
        </w:rPr>
        <w:t xml:space="preserve"> </w:t>
      </w:r>
    </w:p>
    <w:p w:rsidR="00FC5F0B" w:rsidRPr="00103F57" w:rsidRDefault="00FC5F0B" w:rsidP="00FC5F0B">
      <w:pPr>
        <w:spacing w:after="0" w:line="240" w:lineRule="auto"/>
        <w:rPr>
          <w:u w:val="single"/>
        </w:rPr>
      </w:pPr>
    </w:p>
    <w:p w:rsidR="00FC5F0B" w:rsidRPr="00103F57" w:rsidRDefault="00FC5F0B" w:rsidP="00AC0371">
      <w:pPr>
        <w:pStyle w:val="ListParagraph"/>
        <w:numPr>
          <w:ilvl w:val="0"/>
          <w:numId w:val="23"/>
        </w:numPr>
        <w:spacing w:after="0" w:line="240" w:lineRule="auto"/>
      </w:pPr>
      <w:r w:rsidRPr="00103F57">
        <w:t>RMI Final Order adopted 2/14/13 directs OCMO to explore options to create more supplier-oriented utility consolidated bill and provide recommenda</w:t>
      </w:r>
      <w:r w:rsidR="001C702F" w:rsidRPr="00103F57">
        <w:t>tions to Commission by 12/31/13.</w:t>
      </w:r>
    </w:p>
    <w:p w:rsidR="00103F57" w:rsidRDefault="00103F57" w:rsidP="00FC5F0B">
      <w:pPr>
        <w:pStyle w:val="ListParagraph"/>
        <w:numPr>
          <w:ilvl w:val="0"/>
          <w:numId w:val="23"/>
        </w:numPr>
        <w:spacing w:after="0" w:line="240" w:lineRule="auto"/>
      </w:pPr>
      <w:r w:rsidRPr="009C38D7">
        <w:t xml:space="preserve">Staff sent note to solicit ideas from stakeholders on 3/25/13.  Feedback </w:t>
      </w:r>
      <w:r w:rsidR="009C38D7">
        <w:t xml:space="preserve">was </w:t>
      </w:r>
      <w:r w:rsidRPr="009C38D7">
        <w:t xml:space="preserve">due on 5/1/13 and should be sent to </w:t>
      </w:r>
      <w:hyperlink r:id="rId25" w:history="1">
        <w:r w:rsidRPr="009C38D7">
          <w:rPr>
            <w:rStyle w:val="Hyperlink"/>
          </w:rPr>
          <w:t>ra-OCMO@pa.gov</w:t>
        </w:r>
      </w:hyperlink>
      <w:r w:rsidRPr="009C38D7">
        <w:t xml:space="preserve">.  </w:t>
      </w:r>
      <w:r w:rsidRPr="00DF6E12">
        <w:t xml:space="preserve">Staff </w:t>
      </w:r>
      <w:r w:rsidR="009C38D7" w:rsidRPr="00DF6E12">
        <w:t>is</w:t>
      </w:r>
      <w:r w:rsidRPr="00DF6E12">
        <w:t xml:space="preserve"> review</w:t>
      </w:r>
      <w:r w:rsidR="009C38D7" w:rsidRPr="00DF6E12">
        <w:t>ing</w:t>
      </w:r>
      <w:r w:rsidRPr="00DF6E12">
        <w:t xml:space="preserve"> submissions</w:t>
      </w:r>
      <w:r w:rsidR="0084202E" w:rsidRPr="00DF6E12">
        <w:t>, reach</w:t>
      </w:r>
      <w:r w:rsidR="009C38D7" w:rsidRPr="00DF6E12">
        <w:t>ing</w:t>
      </w:r>
      <w:r w:rsidR="0084202E" w:rsidRPr="00DF6E12">
        <w:t xml:space="preserve"> out to commenters with questions</w:t>
      </w:r>
      <w:r w:rsidRPr="00DF6E12">
        <w:t xml:space="preserve"> and </w:t>
      </w:r>
      <w:r w:rsidR="009C38D7" w:rsidRPr="00DF6E12">
        <w:t xml:space="preserve">will </w:t>
      </w:r>
      <w:r w:rsidRPr="00DF6E12">
        <w:t xml:space="preserve">contact all stakeholders </w:t>
      </w:r>
      <w:r w:rsidR="009C38D7" w:rsidRPr="00DF6E12">
        <w:t xml:space="preserve">in </w:t>
      </w:r>
      <w:r w:rsidR="00E57C13" w:rsidRPr="00DF6E12">
        <w:t>September/October</w:t>
      </w:r>
      <w:r w:rsidRPr="00DF6E12">
        <w:t xml:space="preserve"> with information about the next steps in the process.</w:t>
      </w:r>
    </w:p>
    <w:p w:rsidR="00DF6E12" w:rsidRPr="000A572F" w:rsidRDefault="00DF6E12" w:rsidP="00FC5F0B">
      <w:pPr>
        <w:pStyle w:val="ListParagraph"/>
        <w:numPr>
          <w:ilvl w:val="0"/>
          <w:numId w:val="23"/>
        </w:numPr>
        <w:spacing w:after="0" w:line="240" w:lineRule="auto"/>
        <w:rPr>
          <w:b/>
          <w:i/>
        </w:rPr>
      </w:pPr>
      <w:r w:rsidRPr="000A572F">
        <w:rPr>
          <w:b/>
          <w:i/>
        </w:rPr>
        <w:t xml:space="preserve">Staff will host a stakeholder call on Wednesday, October 16, 2013, from 1:30 to 3:30 PM.  </w:t>
      </w:r>
      <w:r w:rsidR="00180DB8" w:rsidRPr="000A572F">
        <w:rPr>
          <w:b/>
          <w:i/>
        </w:rPr>
        <w:t xml:space="preserve"> Call-in information as follows: 1-888-330-1716; Participant code: 6060145</w:t>
      </w:r>
      <w:r w:rsidRPr="000A572F">
        <w:rPr>
          <w:b/>
          <w:i/>
        </w:rPr>
        <w:t>.</w:t>
      </w:r>
      <w:r w:rsidR="001F0C51">
        <w:rPr>
          <w:b/>
          <w:i/>
        </w:rPr>
        <w:br/>
        <w:t>-- A brief summary of the informal comments submitted in May are attached to this recap.</w:t>
      </w:r>
      <w:r w:rsidR="001F0C51">
        <w:rPr>
          <w:b/>
          <w:i/>
        </w:rPr>
        <w:br/>
        <w:t>-- Any party wanting to file additional informal comments, please do so by Friday, September 27</w:t>
      </w:r>
      <w:r w:rsidR="001F0C51" w:rsidRPr="001F0C51">
        <w:rPr>
          <w:b/>
          <w:i/>
          <w:vertAlign w:val="superscript"/>
        </w:rPr>
        <w:t>th</w:t>
      </w:r>
      <w:r w:rsidR="001F0C51">
        <w:rPr>
          <w:b/>
          <w:i/>
        </w:rPr>
        <w:t xml:space="preserve">.  Email </w:t>
      </w:r>
      <w:proofErr w:type="gramStart"/>
      <w:r w:rsidR="001F0C51">
        <w:rPr>
          <w:b/>
          <w:i/>
        </w:rPr>
        <w:t xml:space="preserve">to  </w:t>
      </w:r>
      <w:proofErr w:type="gramEnd"/>
      <w:hyperlink r:id="rId26" w:history="1">
        <w:r w:rsidR="001F0C51" w:rsidRPr="009C38D7">
          <w:rPr>
            <w:rStyle w:val="Hyperlink"/>
          </w:rPr>
          <w:t>ra-OCMO@pa.gov</w:t>
        </w:r>
      </w:hyperlink>
      <w:r w:rsidR="001F0C51" w:rsidRPr="009C38D7">
        <w:t>.</w:t>
      </w:r>
      <w:r w:rsidR="001F0C51">
        <w:br/>
      </w:r>
      <w:r w:rsidR="001F0C51" w:rsidRPr="001F0C51">
        <w:rPr>
          <w:b/>
          <w:i/>
        </w:rPr>
        <w:t xml:space="preserve">-- An agenda will be distributed by October 9 for the October 16 call. </w:t>
      </w:r>
    </w:p>
    <w:p w:rsidR="00A65480" w:rsidRPr="00A65480" w:rsidRDefault="00A65480" w:rsidP="00A65480">
      <w:pPr>
        <w:spacing w:after="0" w:line="240" w:lineRule="auto"/>
        <w:ind w:left="720"/>
        <w:rPr>
          <w:b/>
          <w:i/>
        </w:rPr>
      </w:pPr>
    </w:p>
    <w:p w:rsidR="00FC5F0B" w:rsidRPr="00F9265B" w:rsidRDefault="00FC5F0B" w:rsidP="00FC5F0B">
      <w:pPr>
        <w:spacing w:after="0" w:line="240" w:lineRule="auto"/>
        <w:rPr>
          <w:b/>
          <w:i/>
        </w:rPr>
      </w:pPr>
      <w:r w:rsidRPr="00F9265B">
        <w:rPr>
          <w:b/>
        </w:rPr>
        <w:t>46D</w:t>
      </w:r>
      <w:r w:rsidRPr="00C10F38">
        <w:rPr>
          <w:b/>
        </w:rPr>
        <w:t>.</w:t>
      </w:r>
      <w:r>
        <w:tab/>
      </w:r>
      <w:r w:rsidR="00C10F38" w:rsidRPr="00F9265B">
        <w:rPr>
          <w:b/>
          <w:u w:val="single"/>
        </w:rPr>
        <w:t>Procure</w:t>
      </w:r>
      <w:r w:rsidR="00E26B43">
        <w:rPr>
          <w:b/>
          <w:u w:val="single"/>
        </w:rPr>
        <w:t>ment Collaboration Working Group Update</w:t>
      </w:r>
    </w:p>
    <w:p w:rsidR="00C10F38" w:rsidRDefault="00C10F38" w:rsidP="00FC5F0B">
      <w:pPr>
        <w:spacing w:after="0" w:line="240" w:lineRule="auto"/>
        <w:rPr>
          <w:b/>
          <w:i/>
        </w:rPr>
      </w:pPr>
    </w:p>
    <w:p w:rsidR="00C10F38" w:rsidRPr="009C38D7" w:rsidRDefault="00C10F38" w:rsidP="00AC3050">
      <w:pPr>
        <w:pStyle w:val="ListParagraph"/>
        <w:numPr>
          <w:ilvl w:val="0"/>
          <w:numId w:val="24"/>
        </w:numPr>
        <w:spacing w:after="0" w:line="240" w:lineRule="auto"/>
      </w:pPr>
      <w:r w:rsidRPr="009C38D7">
        <w:t xml:space="preserve">RMI Final Order adopted 2/14/13 directs OCMO develop a working group to formulate uniform yearly certification process, uniform supply master agreement, procurement methodology and timeline for quarterly auctions.  </w:t>
      </w:r>
    </w:p>
    <w:p w:rsidR="00C10F38" w:rsidRPr="009C38D7" w:rsidRDefault="00C10F38" w:rsidP="00AC0371">
      <w:pPr>
        <w:pStyle w:val="ListParagraph"/>
        <w:numPr>
          <w:ilvl w:val="0"/>
          <w:numId w:val="24"/>
        </w:numPr>
        <w:spacing w:after="0" w:line="240" w:lineRule="auto"/>
      </w:pPr>
      <w:r w:rsidRPr="009C38D7">
        <w:t>Work product must be completed by 4/1/14 for approval by Commission by 6/1/14.</w:t>
      </w:r>
    </w:p>
    <w:p w:rsidR="00C10F38" w:rsidRPr="00E26B43" w:rsidRDefault="00E26B43" w:rsidP="00AC3050">
      <w:pPr>
        <w:pStyle w:val="ListParagraph"/>
        <w:numPr>
          <w:ilvl w:val="0"/>
          <w:numId w:val="24"/>
        </w:numPr>
        <w:spacing w:after="0" w:line="240" w:lineRule="auto"/>
      </w:pPr>
      <w:r w:rsidRPr="008B00BD">
        <w:rPr>
          <w:b/>
          <w:i/>
        </w:rPr>
        <w:t>OCMO Staff is currently working with the EDCs and wholesale suppliers on a draft uniform SMA.  Additionally, OCMO staff is working with a number of independent third party consultants to learn about the consultants recommendations for implementation of the collaborative default service auctions.</w:t>
      </w:r>
      <w:r w:rsidR="008B00BD" w:rsidRPr="008B00BD">
        <w:rPr>
          <w:b/>
          <w:i/>
        </w:rPr>
        <w:br/>
        <w:t>--</w:t>
      </w:r>
      <w:r w:rsidR="008B00BD">
        <w:rPr>
          <w:b/>
          <w:i/>
        </w:rPr>
        <w:t xml:space="preserve"> Staff reported that this project is still on track for an April 2014 completion.   </w:t>
      </w:r>
      <w:r w:rsidR="008B00BD" w:rsidRPr="008B00BD">
        <w:rPr>
          <w:b/>
          <w:i/>
        </w:rPr>
        <w:t xml:space="preserve"> </w:t>
      </w:r>
      <w:r w:rsidR="008B00BD">
        <w:rPr>
          <w:b/>
          <w:i/>
        </w:rPr>
        <w:br/>
      </w:r>
    </w:p>
    <w:p w:rsidR="00C10F38" w:rsidRPr="00103F57" w:rsidRDefault="00C10F38" w:rsidP="00AC3050">
      <w:pPr>
        <w:spacing w:after="0" w:line="240" w:lineRule="auto"/>
      </w:pPr>
      <w:r w:rsidRPr="00103F57">
        <w:rPr>
          <w:b/>
        </w:rPr>
        <w:t>46E.</w:t>
      </w:r>
      <w:r w:rsidRPr="00103F57">
        <w:tab/>
      </w:r>
      <w:r w:rsidRPr="006230E8">
        <w:rPr>
          <w:b/>
          <w:u w:val="single"/>
        </w:rPr>
        <w:t xml:space="preserve">Alternative Default Service Model </w:t>
      </w:r>
      <w:r w:rsidR="006230E8" w:rsidRPr="006230E8">
        <w:rPr>
          <w:b/>
          <w:u w:val="single"/>
        </w:rPr>
        <w:t>Update</w:t>
      </w:r>
    </w:p>
    <w:p w:rsidR="00C10F38" w:rsidRDefault="00C10F38" w:rsidP="00C10F38">
      <w:pPr>
        <w:spacing w:after="0" w:line="240" w:lineRule="auto"/>
        <w:rPr>
          <w:i/>
        </w:rPr>
      </w:pPr>
    </w:p>
    <w:p w:rsidR="00C10F38" w:rsidRPr="00103F57" w:rsidRDefault="00C10F38" w:rsidP="00AC0371">
      <w:pPr>
        <w:pStyle w:val="ListParagraph"/>
        <w:numPr>
          <w:ilvl w:val="0"/>
          <w:numId w:val="25"/>
        </w:numPr>
        <w:spacing w:after="0" w:line="240" w:lineRule="auto"/>
      </w:pPr>
      <w:r w:rsidRPr="00103F57">
        <w:t>RMI Final Order adopted 2/14/13 directs OCMO to convene stakeholders to identify issues related to model in which alternative entity or multiple entities provide default service; and offer recommendations to Commission by 11/15/13.</w:t>
      </w:r>
    </w:p>
    <w:p w:rsidR="006230E8" w:rsidRPr="006230E8" w:rsidRDefault="009C38D7" w:rsidP="00E57C13">
      <w:pPr>
        <w:pStyle w:val="ListParagraph"/>
        <w:numPr>
          <w:ilvl w:val="0"/>
          <w:numId w:val="25"/>
        </w:numPr>
        <w:spacing w:after="0" w:line="240" w:lineRule="auto"/>
        <w:rPr>
          <w:b/>
        </w:rPr>
      </w:pPr>
      <w:r w:rsidRPr="00A744BD">
        <w:t>Lists of issues have been circulated to stakeholders.  Calls were held on 5/21/13, 6/3/13</w:t>
      </w:r>
      <w:r w:rsidR="00E57C13">
        <w:t>,</w:t>
      </w:r>
      <w:r w:rsidRPr="00A744BD">
        <w:t xml:space="preserve"> 6/18/</w:t>
      </w:r>
      <w:r w:rsidRPr="006230E8">
        <w:t>13</w:t>
      </w:r>
      <w:r w:rsidR="00E57C13" w:rsidRPr="006230E8">
        <w:t xml:space="preserve"> and</w:t>
      </w:r>
      <w:r w:rsidRPr="006230E8">
        <w:rPr>
          <w:b/>
          <w:i/>
        </w:rPr>
        <w:t xml:space="preserve"> </w:t>
      </w:r>
      <w:r w:rsidR="00A744BD" w:rsidRPr="006230E8">
        <w:t>8/20</w:t>
      </w:r>
      <w:r w:rsidRPr="006230E8">
        <w:t>/13</w:t>
      </w:r>
      <w:r w:rsidR="00E57C13" w:rsidRPr="00E57C13">
        <w:rPr>
          <w:b/>
          <w:i/>
        </w:rPr>
        <w:t xml:space="preserve">.  </w:t>
      </w:r>
      <w:r w:rsidR="00A744BD" w:rsidRPr="00E57C13">
        <w:rPr>
          <w:b/>
          <w:i/>
        </w:rPr>
        <w:t xml:space="preserve"> </w:t>
      </w:r>
    </w:p>
    <w:p w:rsidR="00B518CC" w:rsidRPr="000A572F" w:rsidRDefault="006230E8" w:rsidP="00E57C13">
      <w:pPr>
        <w:pStyle w:val="ListParagraph"/>
        <w:numPr>
          <w:ilvl w:val="0"/>
          <w:numId w:val="25"/>
        </w:numPr>
        <w:spacing w:after="0" w:line="240" w:lineRule="auto"/>
        <w:rPr>
          <w:b/>
          <w:i/>
        </w:rPr>
      </w:pPr>
      <w:r w:rsidRPr="000A572F">
        <w:rPr>
          <w:b/>
          <w:i/>
        </w:rPr>
        <w:t>Staff is preparing a recommendation for the information of the Commission.  It will most likely take the form of a Tentative Order seeking comments.  Timing of that Tentative Order is uncertain at this time.</w:t>
      </w:r>
      <w:r w:rsidR="00E57C13" w:rsidRPr="000A572F">
        <w:rPr>
          <w:b/>
          <w:i/>
          <w:color w:val="FF0000"/>
        </w:rPr>
        <w:t xml:space="preserve">   </w:t>
      </w:r>
      <w:r w:rsidR="00E57C13" w:rsidRPr="000A572F">
        <w:rPr>
          <w:b/>
          <w:i/>
          <w:color w:val="FF0000"/>
        </w:rPr>
        <w:br/>
      </w:r>
    </w:p>
    <w:p w:rsidR="005B47CB" w:rsidRPr="000A572F" w:rsidRDefault="005B47CB" w:rsidP="005B47CB">
      <w:pPr>
        <w:spacing w:after="0" w:line="240" w:lineRule="auto"/>
        <w:rPr>
          <w:b/>
        </w:rPr>
      </w:pPr>
      <w:r w:rsidRPr="0051669C">
        <w:rPr>
          <w:b/>
        </w:rPr>
        <w:t xml:space="preserve">57A. </w:t>
      </w:r>
      <w:r w:rsidRPr="0051669C">
        <w:rPr>
          <w:b/>
        </w:rPr>
        <w:tab/>
      </w:r>
      <w:r w:rsidRPr="0051669C">
        <w:rPr>
          <w:b/>
          <w:u w:val="single"/>
        </w:rPr>
        <w:t>PA Power Switch – General Upgrades</w:t>
      </w:r>
      <w:r w:rsidR="000A572F">
        <w:rPr>
          <w:b/>
          <w:u w:val="single"/>
        </w:rPr>
        <w:t xml:space="preserve"> </w:t>
      </w:r>
      <w:r w:rsidR="000A572F">
        <w:rPr>
          <w:b/>
        </w:rPr>
        <w:t xml:space="preserve"> (No Update)</w:t>
      </w:r>
    </w:p>
    <w:p w:rsidR="00133926" w:rsidRPr="005B2DAA" w:rsidRDefault="00133926" w:rsidP="00AC0371">
      <w:pPr>
        <w:pStyle w:val="ListParagraph"/>
        <w:numPr>
          <w:ilvl w:val="0"/>
          <w:numId w:val="7"/>
        </w:numPr>
        <w:spacing w:after="0" w:line="240" w:lineRule="auto"/>
      </w:pPr>
      <w:r w:rsidRPr="005B2DAA">
        <w:t>Enhancements suggested by CHARGE participants include:</w:t>
      </w:r>
    </w:p>
    <w:p w:rsidR="00133926" w:rsidRPr="005B2DAA" w:rsidRDefault="0063165F" w:rsidP="00AC0371">
      <w:pPr>
        <w:pStyle w:val="ListParagraph"/>
        <w:numPr>
          <w:ilvl w:val="1"/>
          <w:numId w:val="8"/>
        </w:numPr>
        <w:spacing w:after="0" w:line="240" w:lineRule="auto"/>
        <w:ind w:left="1800"/>
      </w:pPr>
      <w:r w:rsidRPr="005B2DAA">
        <w:t>I</w:t>
      </w:r>
      <w:r w:rsidR="009869F5" w:rsidRPr="005B2DAA">
        <w:t>ncluding fixed monthly fees in the calculation of monthly estimate, which currently factors in only usage and the charge per kWh.</w:t>
      </w:r>
    </w:p>
    <w:p w:rsidR="009869F5" w:rsidRPr="005B2DAA" w:rsidRDefault="009869F5" w:rsidP="00AC0371">
      <w:pPr>
        <w:pStyle w:val="ListParagraph"/>
        <w:numPr>
          <w:ilvl w:val="1"/>
          <w:numId w:val="8"/>
        </w:numPr>
        <w:spacing w:after="0" w:line="240" w:lineRule="auto"/>
        <w:ind w:left="1800"/>
      </w:pPr>
      <w:r w:rsidRPr="005B2DAA">
        <w:t>Allowing EGSs to display multiple product offerings instead of the current functionality that limits EGSs to one offer.</w:t>
      </w:r>
    </w:p>
    <w:p w:rsidR="009869F5" w:rsidRPr="005B2DAA" w:rsidRDefault="009869F5" w:rsidP="00AC0371">
      <w:pPr>
        <w:pStyle w:val="ListParagraph"/>
        <w:numPr>
          <w:ilvl w:val="1"/>
          <w:numId w:val="8"/>
        </w:numPr>
        <w:spacing w:after="0" w:line="240" w:lineRule="auto"/>
        <w:ind w:left="1800"/>
      </w:pPr>
      <w:r w:rsidRPr="005B2DAA">
        <w:lastRenderedPageBreak/>
        <w:t>Permitting EGSs to group by product types through the use of clickable tabs, such as Fixed Price, Variable Price, Renewable Offers, Time of Use Options and Other.</w:t>
      </w:r>
    </w:p>
    <w:p w:rsidR="009869F5" w:rsidRPr="005B2DAA" w:rsidRDefault="009869F5" w:rsidP="00AC0371">
      <w:pPr>
        <w:pStyle w:val="ListParagraph"/>
        <w:numPr>
          <w:ilvl w:val="1"/>
          <w:numId w:val="8"/>
        </w:numPr>
        <w:spacing w:after="0" w:line="240" w:lineRule="auto"/>
        <w:ind w:left="1800"/>
      </w:pPr>
      <w:r w:rsidRPr="005B2DAA">
        <w:t>Removing the “Additional Discounts” column.</w:t>
      </w:r>
    </w:p>
    <w:p w:rsidR="009869F5" w:rsidRPr="005B2DAA" w:rsidRDefault="009869F5" w:rsidP="00AC0371">
      <w:pPr>
        <w:pStyle w:val="ListParagraph"/>
        <w:numPr>
          <w:ilvl w:val="1"/>
          <w:numId w:val="8"/>
        </w:numPr>
        <w:spacing w:after="0" w:line="240" w:lineRule="auto"/>
        <w:ind w:left="1800"/>
      </w:pPr>
      <w:r w:rsidRPr="005B2DAA">
        <w:t>Giving all sortable attributes their own columns.</w:t>
      </w:r>
    </w:p>
    <w:p w:rsidR="009869F5" w:rsidRPr="005B2DAA" w:rsidRDefault="009869F5" w:rsidP="00AC0371">
      <w:pPr>
        <w:pStyle w:val="ListParagraph"/>
        <w:numPr>
          <w:ilvl w:val="1"/>
          <w:numId w:val="8"/>
        </w:numPr>
        <w:spacing w:after="0" w:line="240" w:lineRule="auto"/>
        <w:ind w:left="1800"/>
      </w:pPr>
      <w:r w:rsidRPr="005B2DAA">
        <w:t>Adding a column labeled “Product Term” to allow EGSs to specify the term in number of months.</w:t>
      </w:r>
    </w:p>
    <w:p w:rsidR="009869F5" w:rsidRPr="005B2DAA" w:rsidRDefault="009869F5" w:rsidP="00AC0371">
      <w:pPr>
        <w:pStyle w:val="ListParagraph"/>
        <w:numPr>
          <w:ilvl w:val="1"/>
          <w:numId w:val="8"/>
        </w:numPr>
        <w:spacing w:after="0" w:line="240" w:lineRule="auto"/>
        <w:ind w:left="1800"/>
      </w:pPr>
      <w:r w:rsidRPr="005B2DAA">
        <w:t>Fixing the price sorting feature that currently appears to be broken.</w:t>
      </w:r>
    </w:p>
    <w:p w:rsidR="009869F5" w:rsidRPr="005B2DAA" w:rsidRDefault="009869F5" w:rsidP="00AC0371">
      <w:pPr>
        <w:pStyle w:val="ListParagraph"/>
        <w:numPr>
          <w:ilvl w:val="1"/>
          <w:numId w:val="8"/>
        </w:numPr>
        <w:spacing w:after="0" w:line="240" w:lineRule="auto"/>
        <w:ind w:left="1800"/>
      </w:pPr>
      <w:r w:rsidRPr="005B2DAA">
        <w:t xml:space="preserve">Correcting the footnote regarding calculation of the monthly estimate, which currently states that the monthly estimate does not include introductory discounts while it appears that the calculation </w:t>
      </w:r>
      <w:r w:rsidR="0005630E" w:rsidRPr="005B2DAA">
        <w:t>does include them.</w:t>
      </w:r>
    </w:p>
    <w:p w:rsidR="009869F5" w:rsidRPr="005B2DAA" w:rsidRDefault="009869F5" w:rsidP="00AC0371">
      <w:pPr>
        <w:pStyle w:val="ListParagraph"/>
        <w:numPr>
          <w:ilvl w:val="1"/>
          <w:numId w:val="8"/>
        </w:numPr>
        <w:spacing w:after="0" w:line="240" w:lineRule="auto"/>
        <w:ind w:left="1800"/>
      </w:pPr>
      <w:r w:rsidRPr="005B2DAA">
        <w:t>Including information to show which EGSs offer net metering, such as through the use of a check box on the main supplier page or a section under the shop for electricity tab that lists EGSs offering net metering.</w:t>
      </w:r>
    </w:p>
    <w:p w:rsidR="009869F5" w:rsidRDefault="009869F5" w:rsidP="00AC0371">
      <w:pPr>
        <w:pStyle w:val="ListParagraph"/>
        <w:numPr>
          <w:ilvl w:val="1"/>
          <w:numId w:val="8"/>
        </w:numPr>
        <w:spacing w:after="0" w:line="240" w:lineRule="auto"/>
        <w:ind w:left="1800"/>
        <w:rPr>
          <w:i/>
        </w:rPr>
      </w:pPr>
      <w:r w:rsidRPr="005B2DAA">
        <w:t>Standardizing the way renewable energy offers and associated prices are displayed</w:t>
      </w:r>
      <w:r>
        <w:rPr>
          <w:i/>
        </w:rPr>
        <w:t>.</w:t>
      </w:r>
    </w:p>
    <w:p w:rsidR="007B58C1" w:rsidRPr="005B2DAA" w:rsidRDefault="007B58C1" w:rsidP="007B58C1">
      <w:pPr>
        <w:spacing w:after="0" w:line="240" w:lineRule="auto"/>
        <w:ind w:left="1440"/>
      </w:pPr>
    </w:p>
    <w:p w:rsidR="009869F5" w:rsidRPr="005B2DAA" w:rsidRDefault="007B58C1" w:rsidP="00AC0371">
      <w:pPr>
        <w:pStyle w:val="ListParagraph"/>
        <w:numPr>
          <w:ilvl w:val="0"/>
          <w:numId w:val="7"/>
        </w:numPr>
        <w:spacing w:after="0" w:line="240" w:lineRule="auto"/>
        <w:rPr>
          <w:b/>
        </w:rPr>
      </w:pPr>
      <w:r w:rsidRPr="005B2DAA">
        <w:t>Enhancements discussed during August 23</w:t>
      </w:r>
      <w:r w:rsidR="005B2DAA">
        <w:t>, 2012</w:t>
      </w:r>
      <w:r w:rsidRPr="005B2DAA">
        <w:t xml:space="preserve"> call; </w:t>
      </w:r>
      <w:r w:rsidR="00C534EE" w:rsidRPr="005B2DAA">
        <w:t xml:space="preserve">Staff </w:t>
      </w:r>
      <w:r w:rsidR="00214362" w:rsidRPr="005B2DAA">
        <w:t>provided update</w:t>
      </w:r>
      <w:r w:rsidR="00C534EE" w:rsidRPr="005B2DAA">
        <w:t xml:space="preserve"> during </w:t>
      </w:r>
      <w:r w:rsidR="00F416DC">
        <w:t>future</w:t>
      </w:r>
      <w:r w:rsidR="00B518CC">
        <w:t xml:space="preserve"> </w:t>
      </w:r>
      <w:r w:rsidR="0063165F" w:rsidRPr="005B2DAA">
        <w:t>call</w:t>
      </w:r>
      <w:r w:rsidR="00B518CC">
        <w:t>s</w:t>
      </w:r>
      <w:r w:rsidR="00F416DC">
        <w:t>.</w:t>
      </w:r>
    </w:p>
    <w:p w:rsidR="00214362" w:rsidRPr="00B518CC" w:rsidRDefault="00C46DE6" w:rsidP="00AC0371">
      <w:pPr>
        <w:pStyle w:val="ListParagraph"/>
        <w:numPr>
          <w:ilvl w:val="1"/>
          <w:numId w:val="7"/>
        </w:numPr>
        <w:spacing w:after="0" w:line="240" w:lineRule="auto"/>
        <w:rPr>
          <w:b/>
          <w:i/>
        </w:rPr>
      </w:pPr>
      <w:r w:rsidRPr="00F416DC">
        <w:t>Vendor has been selected for PAPowerSwitch and has provided quote and proposed solution to enable greater sorting and filtering.</w:t>
      </w:r>
      <w:r>
        <w:rPr>
          <w:b/>
          <w:i/>
        </w:rPr>
        <w:t xml:space="preserve">  </w:t>
      </w:r>
      <w:r w:rsidR="00103F57" w:rsidRPr="000A572F">
        <w:t xml:space="preserve">Changes </w:t>
      </w:r>
      <w:r w:rsidR="00A65480" w:rsidRPr="000A572F">
        <w:t xml:space="preserve">were implemented on </w:t>
      </w:r>
      <w:r w:rsidR="00103F57" w:rsidRPr="000A572F">
        <w:t>6/30/13.</w:t>
      </w:r>
    </w:p>
    <w:p w:rsidR="00D22BFF" w:rsidRPr="00E57C13" w:rsidRDefault="009C38D7" w:rsidP="00E57C13">
      <w:pPr>
        <w:pStyle w:val="ListParagraph"/>
        <w:numPr>
          <w:ilvl w:val="1"/>
          <w:numId w:val="7"/>
        </w:numPr>
        <w:spacing w:after="0" w:line="240" w:lineRule="auto"/>
        <w:rPr>
          <w:b/>
          <w:i/>
        </w:rPr>
      </w:pPr>
      <w:r>
        <w:t>Standardizing</w:t>
      </w:r>
      <w:r w:rsidR="00214362" w:rsidRPr="00B33165">
        <w:t xml:space="preserve"> the way renewable offers are displayed.</w:t>
      </w:r>
      <w:r w:rsidR="00F416DC">
        <w:t xml:space="preserve">  </w:t>
      </w:r>
      <w:r w:rsidR="00F416DC" w:rsidRPr="00547286">
        <w:t xml:space="preserve">Staff Update: </w:t>
      </w:r>
      <w:r w:rsidR="00103F57" w:rsidRPr="00547286">
        <w:t xml:space="preserve">Appears that </w:t>
      </w:r>
      <w:r w:rsidR="00BE4867" w:rsidRPr="00547286">
        <w:t>standardization is</w:t>
      </w:r>
      <w:r w:rsidR="00103F57" w:rsidRPr="00547286">
        <w:t xml:space="preserve"> not needed at this time.</w:t>
      </w:r>
      <w:r w:rsidR="0084202E" w:rsidRPr="00547286">
        <w:t xml:space="preserve">  </w:t>
      </w:r>
      <w:r w:rsidR="00D22BFF" w:rsidRPr="000A572F">
        <w:t>No participant expressed a need for further discussion of this issue.</w:t>
      </w:r>
      <w:r w:rsidR="00E57C13" w:rsidRPr="000A572F">
        <w:br/>
      </w:r>
    </w:p>
    <w:p w:rsidR="0071209F" w:rsidRPr="00A567A6" w:rsidRDefault="0071209F" w:rsidP="0071209F">
      <w:pPr>
        <w:spacing w:after="0" w:line="240" w:lineRule="auto"/>
        <w:rPr>
          <w:b/>
          <w:u w:val="single"/>
        </w:rPr>
      </w:pPr>
      <w:r w:rsidRPr="00A567A6">
        <w:rPr>
          <w:b/>
        </w:rPr>
        <w:t>58.</w:t>
      </w:r>
      <w:r w:rsidRPr="00A567A6">
        <w:rPr>
          <w:b/>
        </w:rPr>
        <w:tab/>
      </w:r>
      <w:r w:rsidRPr="00A567A6">
        <w:rPr>
          <w:b/>
          <w:u w:val="single"/>
        </w:rPr>
        <w:t>Cancellation Fees</w:t>
      </w:r>
      <w:r w:rsidR="005B2DAA" w:rsidRPr="005B2DAA">
        <w:rPr>
          <w:b/>
        </w:rPr>
        <w:t xml:space="preserve"> </w:t>
      </w:r>
      <w:r w:rsidR="00A744BD">
        <w:rPr>
          <w:b/>
        </w:rPr>
        <w:t>(No Update)</w:t>
      </w:r>
    </w:p>
    <w:p w:rsidR="0071209F" w:rsidRDefault="0071209F" w:rsidP="0071209F">
      <w:pPr>
        <w:spacing w:after="0" w:line="240" w:lineRule="auto"/>
        <w:rPr>
          <w:b/>
          <w:i/>
          <w:u w:val="single"/>
        </w:rPr>
      </w:pPr>
    </w:p>
    <w:p w:rsidR="0071209F" w:rsidRPr="00A567A6" w:rsidRDefault="0071209F" w:rsidP="00AC0371">
      <w:pPr>
        <w:pStyle w:val="ListParagraph"/>
        <w:numPr>
          <w:ilvl w:val="0"/>
          <w:numId w:val="9"/>
        </w:numPr>
        <w:spacing w:after="0" w:line="240" w:lineRule="auto"/>
        <w:rPr>
          <w:u w:val="single"/>
        </w:rPr>
      </w:pPr>
      <w:r w:rsidRPr="00A567A6">
        <w:t>An issue has been raised about the fact that consumers sometimes switch to EGSs and must pay cancellation fees to other EGSs under their contracts</w:t>
      </w:r>
      <w:r w:rsidR="0059677C">
        <w:t>.</w:t>
      </w:r>
    </w:p>
    <w:p w:rsidR="0071209F" w:rsidRPr="00A567A6" w:rsidRDefault="001B6270" w:rsidP="00AC0371">
      <w:pPr>
        <w:pStyle w:val="ListParagraph"/>
        <w:numPr>
          <w:ilvl w:val="0"/>
          <w:numId w:val="9"/>
        </w:numPr>
        <w:spacing w:after="0" w:line="240" w:lineRule="auto"/>
        <w:rPr>
          <w:u w:val="single"/>
        </w:rPr>
      </w:pPr>
      <w:r w:rsidRPr="00A567A6">
        <w:t>Suggestion has been made that switch be delayed to inform customer of the fee and that EDI transaction be developed to support this delay</w:t>
      </w:r>
      <w:r w:rsidR="0059677C">
        <w:t>.</w:t>
      </w:r>
    </w:p>
    <w:p w:rsidR="00541F8C" w:rsidRPr="00A567A6" w:rsidRDefault="00D67F1B" w:rsidP="00AC0371">
      <w:pPr>
        <w:pStyle w:val="ListParagraph"/>
        <w:numPr>
          <w:ilvl w:val="1"/>
          <w:numId w:val="10"/>
        </w:numPr>
        <w:spacing w:after="0" w:line="240" w:lineRule="auto"/>
        <w:rPr>
          <w:u w:val="single"/>
        </w:rPr>
      </w:pPr>
      <w:r w:rsidRPr="00A567A6">
        <w:t>Some participants support a delay to avoid later customer frustration</w:t>
      </w:r>
      <w:r w:rsidR="0059677C">
        <w:t>.</w:t>
      </w:r>
    </w:p>
    <w:p w:rsidR="00D67F1B" w:rsidRPr="00A567A6" w:rsidRDefault="00D67F1B" w:rsidP="00AC0371">
      <w:pPr>
        <w:pStyle w:val="ListParagraph"/>
        <w:numPr>
          <w:ilvl w:val="1"/>
          <w:numId w:val="10"/>
        </w:numPr>
        <w:spacing w:after="0" w:line="240" w:lineRule="auto"/>
        <w:rPr>
          <w:u w:val="single"/>
        </w:rPr>
      </w:pPr>
      <w:r w:rsidRPr="00A567A6">
        <w:t>Others noted that this is contrary to the efforts that are underway to accelerate the switching process and that it is incumbent upon customers to be aware of their contract provision</w:t>
      </w:r>
      <w:r w:rsidR="0059677C">
        <w:t>.</w:t>
      </w:r>
    </w:p>
    <w:p w:rsidR="00D67F1B" w:rsidRPr="00A567A6" w:rsidRDefault="00D67F1B" w:rsidP="00AC0371">
      <w:pPr>
        <w:pStyle w:val="ListParagraph"/>
        <w:numPr>
          <w:ilvl w:val="1"/>
          <w:numId w:val="10"/>
        </w:numPr>
        <w:spacing w:after="0" w:line="240" w:lineRule="auto"/>
        <w:rPr>
          <w:u w:val="single"/>
        </w:rPr>
      </w:pPr>
      <w:r w:rsidRPr="00A567A6">
        <w:t>Staff believes that some EDC’s current confirmation letters contain language warning customers to check contracts for possible cancellation fees</w:t>
      </w:r>
      <w:r w:rsidR="0059677C">
        <w:t>.</w:t>
      </w:r>
    </w:p>
    <w:p w:rsidR="00887AE2" w:rsidRPr="00133926" w:rsidRDefault="005B47CB" w:rsidP="00AC0371">
      <w:pPr>
        <w:pStyle w:val="ListParagraph"/>
        <w:numPr>
          <w:ilvl w:val="0"/>
          <w:numId w:val="9"/>
        </w:numPr>
        <w:spacing w:after="0" w:line="240" w:lineRule="auto"/>
        <w:rPr>
          <w:rStyle w:val="Hyperlink"/>
          <w:color w:val="auto"/>
        </w:rPr>
      </w:pPr>
      <w:r w:rsidRPr="00133926">
        <w:t xml:space="preserve">Commission </w:t>
      </w:r>
      <w:r w:rsidR="00E34794">
        <w:t xml:space="preserve">has added </w:t>
      </w:r>
      <w:r w:rsidRPr="00133926">
        <w:t>a feature to PA Power Switch to enable consumers to sort by “cancellation fee”</w:t>
      </w:r>
      <w:r w:rsidR="00133926" w:rsidRPr="00133926">
        <w:t xml:space="preserve">;  </w:t>
      </w:r>
      <w:r w:rsidR="00887AE2" w:rsidRPr="00133926">
        <w:t xml:space="preserve">Secretarial Letter circulated on June 19, 2012; </w:t>
      </w:r>
      <w:hyperlink r:id="rId27" w:history="1">
        <w:r w:rsidR="00887AE2" w:rsidRPr="00133926">
          <w:rPr>
            <w:rStyle w:val="Hyperlink"/>
          </w:rPr>
          <w:t>http://www.puc.</w:t>
        </w:r>
        <w:r w:rsidR="00B369C0">
          <w:rPr>
            <w:rStyle w:val="Hyperlink"/>
          </w:rPr>
          <w:t>pa.gov</w:t>
        </w:r>
        <w:r w:rsidR="00887AE2" w:rsidRPr="00133926">
          <w:rPr>
            <w:rStyle w:val="Hyperlink"/>
          </w:rPr>
          <w:t>/pcdocs/1181650.docx</w:t>
        </w:r>
      </w:hyperlink>
    </w:p>
    <w:p w:rsidR="00133926" w:rsidRPr="00F416DC" w:rsidRDefault="00133926" w:rsidP="00AC0371">
      <w:pPr>
        <w:pStyle w:val="ListParagraph"/>
        <w:numPr>
          <w:ilvl w:val="0"/>
          <w:numId w:val="9"/>
        </w:numPr>
        <w:spacing w:after="0" w:line="240" w:lineRule="auto"/>
        <w:rPr>
          <w:u w:val="single"/>
        </w:rPr>
      </w:pPr>
      <w:r w:rsidRPr="00E34794">
        <w:t xml:space="preserve">Although there are no further action items arising from this issue, Staff </w:t>
      </w:r>
      <w:r w:rsidR="00E34794">
        <w:t>is keeping</w:t>
      </w:r>
      <w:r w:rsidRPr="00E34794">
        <w:t xml:space="preserve"> the issue on the agenda for now so it can be monitored</w:t>
      </w:r>
      <w:r w:rsidR="0059677C" w:rsidRPr="00E34794">
        <w:t>.</w:t>
      </w:r>
    </w:p>
    <w:p w:rsidR="00F416DC" w:rsidRPr="004C7DA9" w:rsidRDefault="00F416DC" w:rsidP="00AC0371">
      <w:pPr>
        <w:pStyle w:val="ListParagraph"/>
        <w:numPr>
          <w:ilvl w:val="0"/>
          <w:numId w:val="9"/>
        </w:numPr>
        <w:spacing w:after="0" w:line="240" w:lineRule="auto"/>
        <w:rPr>
          <w:u w:val="single"/>
        </w:rPr>
      </w:pPr>
      <w:r w:rsidRPr="00103F57">
        <w:t xml:space="preserve">Issue has arisen internally regarding cancellation fees that are imposed when a customer switches to a different EGS near the end of the contract term and the switch is effectuated prior to the end of the contract term.  </w:t>
      </w:r>
    </w:p>
    <w:p w:rsidR="004C7DA9" w:rsidRPr="0032326B" w:rsidRDefault="004C7DA9" w:rsidP="004C7DA9">
      <w:pPr>
        <w:pStyle w:val="ListParagraph"/>
        <w:numPr>
          <w:ilvl w:val="1"/>
          <w:numId w:val="9"/>
        </w:numPr>
        <w:spacing w:after="0" w:line="240" w:lineRule="auto"/>
        <w:rPr>
          <w:u w:val="single"/>
        </w:rPr>
      </w:pPr>
      <w:r w:rsidRPr="0032326B">
        <w:t xml:space="preserve">Based on OCMO’s preliminary discussions with stakeholders, this does not appear to be a problem.  </w:t>
      </w:r>
    </w:p>
    <w:p w:rsidR="004C7DA9" w:rsidRPr="0032326B" w:rsidRDefault="004C7DA9" w:rsidP="004C7DA9">
      <w:pPr>
        <w:pStyle w:val="ListParagraph"/>
        <w:numPr>
          <w:ilvl w:val="1"/>
          <w:numId w:val="9"/>
        </w:numPr>
        <w:spacing w:after="0" w:line="240" w:lineRule="auto"/>
        <w:rPr>
          <w:u w:val="single"/>
        </w:rPr>
      </w:pPr>
      <w:r w:rsidRPr="0032326B">
        <w:t>EGSs seem to be using a certain number of billing cycles vs. a certain number of months or years to determine whether cancellation fees apply.</w:t>
      </w:r>
    </w:p>
    <w:p w:rsidR="004C7DA9" w:rsidRPr="0049197C" w:rsidRDefault="0032326B" w:rsidP="004C7DA9">
      <w:pPr>
        <w:pStyle w:val="ListParagraph"/>
        <w:numPr>
          <w:ilvl w:val="1"/>
          <w:numId w:val="9"/>
        </w:numPr>
        <w:spacing w:after="0" w:line="240" w:lineRule="auto"/>
        <w:rPr>
          <w:u w:val="single"/>
        </w:rPr>
      </w:pPr>
      <w:r w:rsidRPr="00547286">
        <w:lastRenderedPageBreak/>
        <w:t xml:space="preserve">Staff Update: </w:t>
      </w:r>
      <w:r w:rsidR="009C38D7" w:rsidRPr="00547286">
        <w:t>Appears that no action is needed at this time</w:t>
      </w:r>
      <w:r w:rsidR="004C7DA9" w:rsidRPr="00547286">
        <w:t>.</w:t>
      </w:r>
      <w:r w:rsidR="00F910C5">
        <w:t xml:space="preserve">  </w:t>
      </w:r>
      <w:r w:rsidR="00D22BFF" w:rsidRPr="0049197C">
        <w:t xml:space="preserve">No participant expressed a need for further discussion at this time.  </w:t>
      </w:r>
    </w:p>
    <w:p w:rsidR="009F10EC" w:rsidRDefault="009F10EC">
      <w:pPr>
        <w:spacing w:after="0" w:line="240" w:lineRule="auto"/>
        <w:rPr>
          <w:b/>
        </w:rPr>
      </w:pPr>
    </w:p>
    <w:p w:rsidR="00887AE2" w:rsidRDefault="00887AE2" w:rsidP="00CB3708">
      <w:pPr>
        <w:rPr>
          <w:b/>
          <w:u w:val="single"/>
        </w:rPr>
      </w:pPr>
      <w:r w:rsidRPr="00887AE2">
        <w:rPr>
          <w:b/>
        </w:rPr>
        <w:t>59.</w:t>
      </w:r>
      <w:r w:rsidRPr="00887AE2">
        <w:rPr>
          <w:b/>
        </w:rPr>
        <w:tab/>
      </w:r>
      <w:r w:rsidRPr="0059677C">
        <w:rPr>
          <w:b/>
          <w:u w:val="single"/>
        </w:rPr>
        <w:t>Account Numbers</w:t>
      </w:r>
      <w:r w:rsidR="00F416DC">
        <w:rPr>
          <w:b/>
          <w:u w:val="single"/>
        </w:rPr>
        <w:t xml:space="preserve"> Look Up Tool</w:t>
      </w:r>
      <w:r w:rsidR="006230E8">
        <w:rPr>
          <w:b/>
          <w:u w:val="single"/>
        </w:rPr>
        <w:t xml:space="preserve"> Update</w:t>
      </w:r>
      <w:r w:rsidRPr="0059677C">
        <w:rPr>
          <w:b/>
          <w:u w:val="single"/>
        </w:rPr>
        <w:t xml:space="preserve"> </w:t>
      </w:r>
    </w:p>
    <w:p w:rsidR="009A55F7" w:rsidRDefault="00887AE2" w:rsidP="00AC0371">
      <w:pPr>
        <w:numPr>
          <w:ilvl w:val="0"/>
          <w:numId w:val="11"/>
        </w:numPr>
        <w:spacing w:after="0" w:line="240" w:lineRule="auto"/>
      </w:pPr>
      <w:r>
        <w:t xml:space="preserve">Issue has been raised about the inability of EGSs to obtain account numbers for customers who are not on the Eligible Customer List but now wish to authorize (through LOAs) their EGSs to obtain them from EDCs; this occurs when EGSs sign customers </w:t>
      </w:r>
      <w:r w:rsidR="00AA19C7">
        <w:t>at locations other than their homes</w:t>
      </w:r>
      <w:r>
        <w:t xml:space="preserve"> and the customers do not have their bills or account numbers readily available</w:t>
      </w:r>
      <w:r w:rsidR="0059677C">
        <w:t>.</w:t>
      </w:r>
    </w:p>
    <w:p w:rsidR="001F62B3" w:rsidRDefault="001F62B3" w:rsidP="001F62B3">
      <w:pPr>
        <w:spacing w:after="0" w:line="240" w:lineRule="auto"/>
        <w:ind w:left="360"/>
      </w:pPr>
    </w:p>
    <w:p w:rsidR="009A55F7" w:rsidRDefault="009A55F7" w:rsidP="00AC0371">
      <w:pPr>
        <w:numPr>
          <w:ilvl w:val="0"/>
          <w:numId w:val="11"/>
        </w:numPr>
        <w:spacing w:after="0" w:line="240" w:lineRule="auto"/>
      </w:pPr>
      <w:r>
        <w:t>LOAs have been used in the past to permit EGSs to obtain historical usage data for customers who are not on the ECL; in these cases, the EGS had the customer’s account number</w:t>
      </w:r>
    </w:p>
    <w:p w:rsidR="001F62B3" w:rsidRPr="001F62B3" w:rsidRDefault="001F62B3" w:rsidP="001F62B3">
      <w:pPr>
        <w:spacing w:after="0" w:line="240" w:lineRule="auto"/>
        <w:ind w:left="1440"/>
        <w:rPr>
          <w:b/>
          <w:u w:val="single"/>
        </w:rPr>
      </w:pPr>
    </w:p>
    <w:p w:rsidR="006230E8" w:rsidRPr="006230E8" w:rsidRDefault="00F416DC" w:rsidP="006230E8">
      <w:pPr>
        <w:pStyle w:val="ListParagraph"/>
        <w:numPr>
          <w:ilvl w:val="0"/>
          <w:numId w:val="11"/>
        </w:numPr>
        <w:spacing w:after="0" w:line="240" w:lineRule="auto"/>
        <w:rPr>
          <w:rStyle w:val="Hyperlink"/>
          <w:b/>
          <w:i/>
          <w:color w:val="auto"/>
          <w:u w:val="none"/>
        </w:rPr>
      </w:pPr>
      <w:r w:rsidRPr="009C38D7">
        <w:t xml:space="preserve">Tentative Order </w:t>
      </w:r>
      <w:r w:rsidR="004C7DA9" w:rsidRPr="009C38D7">
        <w:t>adopted on 4/18</w:t>
      </w:r>
      <w:r w:rsidRPr="009C38D7">
        <w:t>/13 PM</w:t>
      </w:r>
      <w:r w:rsidR="004C7DA9" w:rsidRPr="009C38D7">
        <w:t xml:space="preserve"> which is available at the following link: </w:t>
      </w:r>
      <w:hyperlink r:id="rId28" w:history="1">
        <w:r w:rsidR="004C7DA9" w:rsidRPr="009C38D7">
          <w:rPr>
            <w:rStyle w:val="Hyperlink"/>
            <w:u w:val="none"/>
          </w:rPr>
          <w:t>http://www.puc.pa.gov//pcdocs/1225547.doc</w:t>
        </w:r>
      </w:hyperlink>
      <w:r w:rsidR="004C7DA9" w:rsidRPr="009C38D7">
        <w:t xml:space="preserve">; Comments </w:t>
      </w:r>
      <w:r w:rsidR="009C38D7" w:rsidRPr="009C38D7">
        <w:t>were</w:t>
      </w:r>
      <w:r w:rsidR="004C7DA9" w:rsidRPr="009C38D7">
        <w:t xml:space="preserve"> due 5/20/13</w:t>
      </w:r>
      <w:r w:rsidR="009C38D7">
        <w:rPr>
          <w:b/>
          <w:i/>
        </w:rPr>
        <w:t xml:space="preserve">; </w:t>
      </w:r>
      <w:r w:rsidR="00547286" w:rsidRPr="000A572F">
        <w:t>Final Order adopted on 7/16/13 and is available at the following link:</w:t>
      </w:r>
      <w:r w:rsidR="00547286">
        <w:rPr>
          <w:b/>
          <w:i/>
        </w:rPr>
        <w:t xml:space="preserve">  </w:t>
      </w:r>
      <w:hyperlink r:id="rId29" w:history="1">
        <w:r w:rsidR="00547286" w:rsidRPr="003173D8">
          <w:rPr>
            <w:rStyle w:val="Hyperlink"/>
            <w:b/>
            <w:i/>
          </w:rPr>
          <w:t>http://www.puc.pa.gov/pcdocs/1238689.doc</w:t>
        </w:r>
      </w:hyperlink>
    </w:p>
    <w:p w:rsidR="006230E8" w:rsidRPr="006230E8" w:rsidRDefault="006230E8" w:rsidP="006230E8">
      <w:pPr>
        <w:pStyle w:val="ListParagraph"/>
        <w:spacing w:after="0" w:line="240" w:lineRule="auto"/>
        <w:ind w:left="1080"/>
        <w:rPr>
          <w:rStyle w:val="Hyperlink"/>
          <w:b/>
          <w:i/>
          <w:color w:val="auto"/>
          <w:u w:val="none"/>
        </w:rPr>
      </w:pPr>
    </w:p>
    <w:p w:rsidR="006230E8" w:rsidRPr="000A572F" w:rsidRDefault="006230E8" w:rsidP="006230E8">
      <w:pPr>
        <w:pStyle w:val="ListParagraph"/>
        <w:numPr>
          <w:ilvl w:val="0"/>
          <w:numId w:val="11"/>
        </w:numPr>
        <w:spacing w:after="0" w:line="240" w:lineRule="auto"/>
        <w:rPr>
          <w:rStyle w:val="Hyperlink"/>
          <w:b/>
          <w:i/>
          <w:color w:val="auto"/>
          <w:u w:val="none"/>
        </w:rPr>
      </w:pPr>
      <w:r w:rsidRPr="000A572F">
        <w:rPr>
          <w:rStyle w:val="Hyperlink"/>
          <w:b/>
          <w:i/>
          <w:color w:val="auto"/>
          <w:u w:val="none"/>
        </w:rPr>
        <w:t>Staff has confirmed that EDCs are working with suppliers to develop basic parameters of the access tool (e.g., secure web platform).</w:t>
      </w:r>
    </w:p>
    <w:p w:rsidR="006230E8" w:rsidRPr="000A572F" w:rsidRDefault="006230E8" w:rsidP="006230E8">
      <w:pPr>
        <w:spacing w:after="0" w:line="240" w:lineRule="auto"/>
        <w:rPr>
          <w:b/>
          <w:i/>
        </w:rPr>
      </w:pPr>
    </w:p>
    <w:p w:rsidR="00C542D8" w:rsidRDefault="00D65E65" w:rsidP="00E57C13">
      <w:pPr>
        <w:spacing w:after="0" w:line="240" w:lineRule="auto"/>
        <w:rPr>
          <w:b/>
          <w:u w:val="single"/>
        </w:rPr>
      </w:pPr>
      <w:r w:rsidRPr="00D65E65">
        <w:rPr>
          <w:b/>
        </w:rPr>
        <w:t>60</w:t>
      </w:r>
      <w:r w:rsidRPr="00D65E65">
        <w:t>.</w:t>
      </w:r>
      <w:r w:rsidRPr="00D65E65">
        <w:tab/>
      </w:r>
      <w:r w:rsidRPr="0005630E">
        <w:rPr>
          <w:b/>
          <w:u w:val="single"/>
        </w:rPr>
        <w:t>Default Service Re</w:t>
      </w:r>
      <w:r w:rsidR="00133926" w:rsidRPr="0005630E">
        <w:rPr>
          <w:b/>
          <w:u w:val="single"/>
        </w:rPr>
        <w:t>conciliation Interim Guidelines</w:t>
      </w:r>
      <w:r w:rsidR="00A90A72">
        <w:rPr>
          <w:b/>
          <w:u w:val="single"/>
        </w:rPr>
        <w:t xml:space="preserve"> Update</w:t>
      </w:r>
    </w:p>
    <w:p w:rsidR="00D65E65" w:rsidRPr="00D65E65" w:rsidRDefault="005B2DAA" w:rsidP="00E57C13">
      <w:pPr>
        <w:spacing w:after="0" w:line="240" w:lineRule="auto"/>
        <w:rPr>
          <w:b/>
          <w:u w:val="single"/>
        </w:rPr>
      </w:pPr>
      <w:r w:rsidRPr="005B2DAA">
        <w:rPr>
          <w:b/>
        </w:rPr>
        <w:t xml:space="preserve"> </w:t>
      </w:r>
    </w:p>
    <w:p w:rsidR="00D65E65" w:rsidRDefault="00D65E65" w:rsidP="00AC0371">
      <w:pPr>
        <w:pStyle w:val="ListParagraph"/>
        <w:numPr>
          <w:ilvl w:val="0"/>
          <w:numId w:val="14"/>
        </w:numPr>
        <w:ind w:right="-720"/>
        <w:rPr>
          <w:u w:val="single"/>
        </w:rPr>
      </w:pPr>
      <w:r>
        <w:t xml:space="preserve">Staff noted that the Commission adopted the Motion of Commissioner Cawley on July 19, 2012, which is available at this link: </w:t>
      </w:r>
      <w:hyperlink r:id="rId30" w:history="1">
        <w:r w:rsidRPr="003C73F7">
          <w:rPr>
            <w:rStyle w:val="Hyperlink"/>
          </w:rPr>
          <w:t>http://www.puc.</w:t>
        </w:r>
        <w:r w:rsidR="00B369C0">
          <w:rPr>
            <w:rStyle w:val="Hyperlink"/>
          </w:rPr>
          <w:t>pa.gov</w:t>
        </w:r>
        <w:r w:rsidRPr="003C73F7">
          <w:rPr>
            <w:rStyle w:val="Hyperlink"/>
          </w:rPr>
          <w:t>//pcdocs/1185245.pdf</w:t>
        </w:r>
      </w:hyperlink>
      <w:r w:rsidR="0059677C">
        <w:rPr>
          <w:rStyle w:val="Hyperlink"/>
        </w:rPr>
        <w:t>.</w:t>
      </w:r>
    </w:p>
    <w:p w:rsidR="00D65E65" w:rsidRPr="00D65E65" w:rsidRDefault="00D65E65" w:rsidP="00AC0371">
      <w:pPr>
        <w:pStyle w:val="ListParagraph"/>
        <w:numPr>
          <w:ilvl w:val="1"/>
          <w:numId w:val="15"/>
        </w:numPr>
        <w:ind w:right="-720"/>
        <w:rPr>
          <w:u w:val="single"/>
        </w:rPr>
      </w:pPr>
      <w:r>
        <w:t>Motion notes that reconciliation riders have produced rate volatility and inaccurate price signals and have complicated shopping decisions for consumers</w:t>
      </w:r>
      <w:r w:rsidR="0059677C">
        <w:t>.</w:t>
      </w:r>
    </w:p>
    <w:p w:rsidR="00D65E65" w:rsidRPr="00D65E65" w:rsidRDefault="00D65E65" w:rsidP="00AC0371">
      <w:pPr>
        <w:pStyle w:val="ListParagraph"/>
        <w:numPr>
          <w:ilvl w:val="1"/>
          <w:numId w:val="15"/>
        </w:numPr>
        <w:ind w:right="-720"/>
        <w:rPr>
          <w:u w:val="single"/>
        </w:rPr>
      </w:pPr>
      <w:r>
        <w:t>Motion seeks feedback from market participants on changes that the Commission should make to reconciliation riders to minimize adjustments to the PTC</w:t>
      </w:r>
      <w:r w:rsidR="0059677C">
        <w:t>.</w:t>
      </w:r>
    </w:p>
    <w:p w:rsidR="00133926" w:rsidRPr="00E34794" w:rsidRDefault="00133926" w:rsidP="00AC0371">
      <w:pPr>
        <w:pStyle w:val="ListParagraph"/>
        <w:numPr>
          <w:ilvl w:val="0"/>
          <w:numId w:val="14"/>
        </w:numPr>
        <w:ind w:right="-720"/>
        <w:rPr>
          <w:u w:val="single"/>
        </w:rPr>
      </w:pPr>
      <w:r w:rsidRPr="00E34794">
        <w:t>Order</w:t>
      </w:r>
      <w:r w:rsidR="00E34794" w:rsidRPr="00E34794">
        <w:t xml:space="preserve"> http://www.puc.</w:t>
      </w:r>
      <w:r w:rsidR="00B369C0">
        <w:t>pa.gov</w:t>
      </w:r>
      <w:r w:rsidR="00E34794" w:rsidRPr="00E34794">
        <w:t>//pcdocs/1191608.doc</w:t>
      </w:r>
      <w:r w:rsidRPr="00E34794">
        <w:t xml:space="preserve"> entered on August 14, 2012:  </w:t>
      </w:r>
      <w:hyperlink r:id="rId31" w:history="1">
        <w:r w:rsidRPr="00E34794">
          <w:rPr>
            <w:rStyle w:val="Hyperlink"/>
          </w:rPr>
          <w:t>http://www.puc.</w:t>
        </w:r>
        <w:r w:rsidR="00B369C0">
          <w:rPr>
            <w:rStyle w:val="Hyperlink"/>
          </w:rPr>
          <w:t>pa.gov</w:t>
        </w:r>
        <w:r w:rsidRPr="00E34794">
          <w:rPr>
            <w:rStyle w:val="Hyperlink"/>
          </w:rPr>
          <w:t>//pcdocs/1187737.doc</w:t>
        </w:r>
      </w:hyperlink>
      <w:r w:rsidR="00C542D8">
        <w:rPr>
          <w:rStyle w:val="Hyperlink"/>
          <w:color w:val="auto"/>
        </w:rPr>
        <w:t>.</w:t>
      </w:r>
    </w:p>
    <w:p w:rsidR="00C542D8" w:rsidRPr="00A90A72" w:rsidRDefault="00E34794" w:rsidP="00C542D8">
      <w:pPr>
        <w:pStyle w:val="ListParagraph"/>
        <w:numPr>
          <w:ilvl w:val="0"/>
          <w:numId w:val="14"/>
        </w:numPr>
        <w:spacing w:after="0" w:line="240" w:lineRule="auto"/>
        <w:ind w:right="-720"/>
        <w:rPr>
          <w:rStyle w:val="Hyperlink"/>
        </w:rPr>
      </w:pPr>
      <w:r w:rsidRPr="00B33165">
        <w:t xml:space="preserve">By Secretarial Letter dated September 14, 2012, date for filing comments was extended to September 24, 2012 and reply comments </w:t>
      </w:r>
      <w:r w:rsidR="00B33165">
        <w:t>were</w:t>
      </w:r>
      <w:r w:rsidRPr="00B33165">
        <w:t xml:space="preserve"> due on October 4, 2012:</w:t>
      </w:r>
      <w:r w:rsidRPr="00232224">
        <w:rPr>
          <w:u w:val="single"/>
        </w:rPr>
        <w:t xml:space="preserve">  </w:t>
      </w:r>
      <w:hyperlink r:id="rId32" w:history="1">
        <w:r w:rsidRPr="00B33165">
          <w:rPr>
            <w:rStyle w:val="Hyperlink"/>
          </w:rPr>
          <w:t>http://www.puc.</w:t>
        </w:r>
        <w:r w:rsidR="00B369C0">
          <w:rPr>
            <w:rStyle w:val="Hyperlink"/>
          </w:rPr>
          <w:t>pa.gov</w:t>
        </w:r>
        <w:r w:rsidRPr="00B33165">
          <w:rPr>
            <w:rStyle w:val="Hyperlink"/>
          </w:rPr>
          <w:t>//pcdocs/1191608.doc</w:t>
        </w:r>
      </w:hyperlink>
      <w:r w:rsidR="00C542D8">
        <w:rPr>
          <w:rStyle w:val="Hyperlink"/>
          <w:color w:val="auto"/>
        </w:rPr>
        <w:t>.</w:t>
      </w:r>
    </w:p>
    <w:p w:rsidR="00A90A72" w:rsidRDefault="00A90A72" w:rsidP="00C542D8">
      <w:pPr>
        <w:pStyle w:val="ListParagraph"/>
        <w:numPr>
          <w:ilvl w:val="0"/>
          <w:numId w:val="14"/>
        </w:numPr>
        <w:spacing w:after="0" w:line="240" w:lineRule="auto"/>
        <w:ind w:right="-720"/>
        <w:rPr>
          <w:rStyle w:val="Hyperlink"/>
        </w:rPr>
      </w:pPr>
      <w:r>
        <w:rPr>
          <w:rStyle w:val="Hyperlink"/>
          <w:b/>
          <w:i/>
          <w:color w:val="auto"/>
          <w:u w:val="none"/>
        </w:rPr>
        <w:t xml:space="preserve">The Commission has pulled this issue back for </w:t>
      </w:r>
      <w:r w:rsidR="00501474">
        <w:rPr>
          <w:rStyle w:val="Hyperlink"/>
          <w:b/>
          <w:i/>
          <w:color w:val="auto"/>
          <w:u w:val="none"/>
        </w:rPr>
        <w:t xml:space="preserve">further </w:t>
      </w:r>
      <w:r>
        <w:rPr>
          <w:rStyle w:val="Hyperlink"/>
          <w:b/>
          <w:i/>
          <w:color w:val="auto"/>
          <w:u w:val="none"/>
        </w:rPr>
        <w:t>examination</w:t>
      </w:r>
      <w:r w:rsidR="00501474">
        <w:rPr>
          <w:rStyle w:val="Hyperlink"/>
          <w:b/>
          <w:i/>
          <w:color w:val="auto"/>
          <w:u w:val="none"/>
        </w:rPr>
        <w:t>.</w:t>
      </w:r>
    </w:p>
    <w:p w:rsidR="00C542D8" w:rsidRDefault="00C542D8" w:rsidP="00C542D8">
      <w:pPr>
        <w:pStyle w:val="ListParagraph"/>
        <w:spacing w:after="0" w:line="240" w:lineRule="auto"/>
        <w:ind w:right="-720"/>
        <w:rPr>
          <w:rStyle w:val="Hyperlink"/>
        </w:rPr>
      </w:pPr>
    </w:p>
    <w:p w:rsidR="00395124" w:rsidRDefault="0058240E" w:rsidP="006F4555">
      <w:pPr>
        <w:spacing w:after="0" w:line="240" w:lineRule="auto"/>
        <w:rPr>
          <w:b/>
          <w:u w:val="single"/>
        </w:rPr>
      </w:pPr>
      <w:r w:rsidRPr="0058240E">
        <w:rPr>
          <w:b/>
        </w:rPr>
        <w:t>63.</w:t>
      </w:r>
      <w:r w:rsidRPr="0058240E">
        <w:rPr>
          <w:b/>
        </w:rPr>
        <w:tab/>
      </w:r>
      <w:r w:rsidR="00395124" w:rsidRPr="00B33165">
        <w:rPr>
          <w:b/>
          <w:u w:val="single"/>
        </w:rPr>
        <w:t>Fixed Prices – Variable Components</w:t>
      </w:r>
      <w:r w:rsidR="00944205">
        <w:rPr>
          <w:b/>
          <w:u w:val="single"/>
        </w:rPr>
        <w:t xml:space="preserve"> Update</w:t>
      </w:r>
      <w:r w:rsidR="00395124" w:rsidRPr="002D01A3">
        <w:rPr>
          <w:b/>
        </w:rPr>
        <w:t xml:space="preserve"> </w:t>
      </w:r>
    </w:p>
    <w:p w:rsidR="006F4555" w:rsidRPr="00B33165" w:rsidRDefault="006F4555" w:rsidP="006F4555">
      <w:pPr>
        <w:spacing w:after="0" w:line="240" w:lineRule="auto"/>
        <w:rPr>
          <w:b/>
        </w:rPr>
      </w:pPr>
    </w:p>
    <w:p w:rsidR="00080D61" w:rsidRDefault="00395124" w:rsidP="00AC0371">
      <w:pPr>
        <w:pStyle w:val="ListParagraph"/>
        <w:numPr>
          <w:ilvl w:val="0"/>
          <w:numId w:val="16"/>
        </w:numPr>
        <w:spacing w:after="0" w:line="240" w:lineRule="auto"/>
      </w:pPr>
      <w:r w:rsidRPr="00B33165">
        <w:t xml:space="preserve">Staff has become aware of EGSs offering fixed prices </w:t>
      </w:r>
      <w:r w:rsidR="00214362" w:rsidRPr="00B33165">
        <w:t xml:space="preserve">to residential customers </w:t>
      </w:r>
      <w:r w:rsidRPr="00B33165">
        <w:t xml:space="preserve">for a set time period, during which prices may change </w:t>
      </w:r>
      <w:r w:rsidR="00080D61" w:rsidRPr="00B33165">
        <w:t>(without advance notice</w:t>
      </w:r>
      <w:r w:rsidR="00214362" w:rsidRPr="00B33165">
        <w:t xml:space="preserve"> except general language in disclosure statement</w:t>
      </w:r>
      <w:r w:rsidR="00080D61" w:rsidRPr="00B33165">
        <w:t xml:space="preserve">) </w:t>
      </w:r>
      <w:r w:rsidRPr="00B33165">
        <w:t>due to variable components such as</w:t>
      </w:r>
      <w:r w:rsidR="00080D61" w:rsidRPr="00B33165">
        <w:t xml:space="preserve"> charges being imposed on </w:t>
      </w:r>
      <w:r w:rsidR="00534706">
        <w:t>the EGS by RTO</w:t>
      </w:r>
      <w:r w:rsidR="00080D61" w:rsidRPr="00B33165">
        <w:t xml:space="preserve"> or similar entity, EDC, governmental entity or agency, NERC or other industry reliability organization or court</w:t>
      </w:r>
      <w:r w:rsidR="00501EA1" w:rsidRPr="00B33165">
        <w:t>; Customers are subject to cancellation fees</w:t>
      </w:r>
      <w:r w:rsidR="0058240E">
        <w:t>.</w:t>
      </w:r>
      <w:r w:rsidRPr="00B33165">
        <w:t xml:space="preserve"> </w:t>
      </w:r>
    </w:p>
    <w:p w:rsidR="0058240E" w:rsidRPr="00B33165" w:rsidRDefault="0058240E" w:rsidP="0058240E">
      <w:pPr>
        <w:spacing w:after="0" w:line="240" w:lineRule="auto"/>
        <w:ind w:left="360"/>
      </w:pPr>
    </w:p>
    <w:p w:rsidR="00214362" w:rsidRPr="00B33165" w:rsidRDefault="00080D61" w:rsidP="00AC0371">
      <w:pPr>
        <w:pStyle w:val="ListParagraph"/>
        <w:numPr>
          <w:ilvl w:val="0"/>
          <w:numId w:val="16"/>
        </w:numPr>
        <w:spacing w:after="0" w:line="240" w:lineRule="auto"/>
      </w:pPr>
      <w:r w:rsidRPr="00B33165">
        <w:lastRenderedPageBreak/>
        <w:t xml:space="preserve">Group discussion as to whether it is appropriate to have pass-through costs as part of a fixed price offer.  </w:t>
      </w:r>
    </w:p>
    <w:p w:rsidR="00214362" w:rsidRPr="00B33165" w:rsidRDefault="00501EA1" w:rsidP="00AC0371">
      <w:pPr>
        <w:pStyle w:val="ListParagraph"/>
        <w:numPr>
          <w:ilvl w:val="1"/>
          <w:numId w:val="17"/>
        </w:numPr>
        <w:spacing w:after="0" w:line="240" w:lineRule="auto"/>
      </w:pPr>
      <w:r w:rsidRPr="00B33165">
        <w:t>The point was made that this</w:t>
      </w:r>
      <w:r w:rsidR="00214362" w:rsidRPr="00B33165">
        <w:t xml:space="preserve"> is a pass-through cost </w:t>
      </w:r>
      <w:r w:rsidRPr="00B33165">
        <w:t>and EGSs earn no profit; it is intended to protect EGSs from price increases outside their control</w:t>
      </w:r>
      <w:r w:rsidR="009F10EC">
        <w:t>.</w:t>
      </w:r>
    </w:p>
    <w:p w:rsidR="00395124" w:rsidRPr="00B33165" w:rsidRDefault="00501EA1" w:rsidP="00AC0371">
      <w:pPr>
        <w:pStyle w:val="ListParagraph"/>
        <w:numPr>
          <w:ilvl w:val="1"/>
          <w:numId w:val="17"/>
        </w:numPr>
        <w:spacing w:after="0" w:line="240" w:lineRule="auto"/>
      </w:pPr>
      <w:r w:rsidRPr="00B33165">
        <w:t>It was also noted that it can be confusing to customers and some variables may be significant</w:t>
      </w:r>
      <w:r w:rsidR="009F10EC">
        <w:t>.</w:t>
      </w:r>
    </w:p>
    <w:p w:rsidR="00501EA1" w:rsidRDefault="00501EA1" w:rsidP="00AC0371">
      <w:pPr>
        <w:pStyle w:val="ListParagraph"/>
        <w:numPr>
          <w:ilvl w:val="1"/>
          <w:numId w:val="17"/>
        </w:numPr>
        <w:spacing w:after="0" w:line="240" w:lineRule="auto"/>
      </w:pPr>
      <w:r w:rsidRPr="00B33165">
        <w:t>Staff stressed that it is not looking to ban such offers but is concerned about the label of fixed price when there is a variable component</w:t>
      </w:r>
      <w:r w:rsidR="009F10EC">
        <w:t>.</w:t>
      </w:r>
    </w:p>
    <w:p w:rsidR="0058240E" w:rsidRPr="00B33165" w:rsidRDefault="0058240E" w:rsidP="0058240E">
      <w:pPr>
        <w:spacing w:after="0" w:line="240" w:lineRule="auto"/>
        <w:ind w:left="1080"/>
      </w:pPr>
    </w:p>
    <w:p w:rsidR="00501EA1" w:rsidRPr="006F4555" w:rsidRDefault="00501EA1" w:rsidP="00AC0371">
      <w:pPr>
        <w:pStyle w:val="ListParagraph"/>
        <w:numPr>
          <w:ilvl w:val="0"/>
          <w:numId w:val="16"/>
        </w:numPr>
        <w:spacing w:after="0" w:line="240" w:lineRule="auto"/>
      </w:pPr>
      <w:r w:rsidRPr="006F4555">
        <w:t xml:space="preserve">Staff </w:t>
      </w:r>
      <w:r w:rsidR="00B33165" w:rsidRPr="006F4555">
        <w:t xml:space="preserve">circulated a summary of issue or discussion during the November 1, 2012 </w:t>
      </w:r>
      <w:r w:rsidR="009F10EC" w:rsidRPr="006F4555">
        <w:t>call</w:t>
      </w:r>
      <w:r w:rsidR="00F208E0" w:rsidRPr="006F4555">
        <w:t>.</w:t>
      </w:r>
    </w:p>
    <w:p w:rsidR="00F208E0" w:rsidRPr="00F208E0" w:rsidRDefault="00F208E0" w:rsidP="00F208E0">
      <w:pPr>
        <w:spacing w:after="0" w:line="240" w:lineRule="auto"/>
        <w:ind w:left="720"/>
        <w:rPr>
          <w:b/>
          <w:i/>
        </w:rPr>
      </w:pPr>
    </w:p>
    <w:p w:rsidR="001C702F" w:rsidRDefault="004C7DA9" w:rsidP="009C38D7">
      <w:pPr>
        <w:pStyle w:val="ListParagraph"/>
        <w:numPr>
          <w:ilvl w:val="0"/>
          <w:numId w:val="16"/>
        </w:numPr>
        <w:spacing w:after="0" w:line="240" w:lineRule="auto"/>
      </w:pPr>
      <w:r w:rsidRPr="00D95363">
        <w:t xml:space="preserve">Tentative Order </w:t>
      </w:r>
      <w:r w:rsidR="009C38D7" w:rsidRPr="00D95363">
        <w:t xml:space="preserve">adopted 5/23/13 PM, which is available at this link: </w:t>
      </w:r>
      <w:hyperlink r:id="rId33" w:history="1">
        <w:r w:rsidR="009C38D7" w:rsidRPr="00D95363">
          <w:rPr>
            <w:rStyle w:val="Hyperlink"/>
          </w:rPr>
          <w:t>http://www.puc.pa.gov//pcdocs/1231502.doc</w:t>
        </w:r>
      </w:hyperlink>
      <w:r w:rsidR="009C38D7" w:rsidRPr="00D95363">
        <w:t xml:space="preserve">; comments </w:t>
      </w:r>
      <w:r w:rsidR="00D95363" w:rsidRPr="00D95363">
        <w:t>were</w:t>
      </w:r>
      <w:r w:rsidR="009C38D7" w:rsidRPr="00D95363">
        <w:t xml:space="preserve"> due 6/24/13.</w:t>
      </w:r>
    </w:p>
    <w:p w:rsidR="00944205" w:rsidRDefault="00944205" w:rsidP="00944205">
      <w:pPr>
        <w:pStyle w:val="ListParagraph"/>
        <w:spacing w:after="0" w:line="240" w:lineRule="auto"/>
        <w:ind w:left="1080"/>
      </w:pPr>
    </w:p>
    <w:p w:rsidR="00944205" w:rsidRPr="00944205" w:rsidRDefault="00A90A72" w:rsidP="009C38D7">
      <w:pPr>
        <w:pStyle w:val="ListParagraph"/>
        <w:numPr>
          <w:ilvl w:val="0"/>
          <w:numId w:val="16"/>
        </w:numPr>
        <w:spacing w:after="0" w:line="240" w:lineRule="auto"/>
        <w:rPr>
          <w:b/>
          <w:i/>
        </w:rPr>
      </w:pPr>
      <w:r>
        <w:rPr>
          <w:b/>
          <w:i/>
        </w:rPr>
        <w:t xml:space="preserve">Staff is continuing to evaluate the various </w:t>
      </w:r>
      <w:r w:rsidR="00501474">
        <w:rPr>
          <w:b/>
          <w:i/>
        </w:rPr>
        <w:t>questions</w:t>
      </w:r>
      <w:r>
        <w:rPr>
          <w:b/>
          <w:i/>
        </w:rPr>
        <w:t xml:space="preserve"> surrounding this issue. </w:t>
      </w:r>
      <w:r w:rsidR="008B00BD">
        <w:rPr>
          <w:b/>
          <w:i/>
        </w:rPr>
        <w:br/>
        <w:t xml:space="preserve">-- Staff is looking at this very carefully and has been consulting with the Commission’s Law Bureau on the legal issues involved.  Staff expects to have a recommendation to the Commission within the coming weeks and will keep CHARGE informed of any developments.   </w:t>
      </w:r>
      <w:r>
        <w:rPr>
          <w:b/>
          <w:i/>
        </w:rPr>
        <w:t xml:space="preserve"> </w:t>
      </w:r>
    </w:p>
    <w:p w:rsidR="00D95363" w:rsidRPr="00B154CD" w:rsidRDefault="00D95363" w:rsidP="00944205">
      <w:pPr>
        <w:pStyle w:val="ListParagraph"/>
        <w:spacing w:after="0" w:line="240" w:lineRule="auto"/>
        <w:ind w:left="1080"/>
        <w:rPr>
          <w:b/>
          <w:i/>
          <w:strike/>
        </w:rPr>
      </w:pPr>
    </w:p>
    <w:p w:rsidR="009F10EC" w:rsidRPr="006F4555" w:rsidRDefault="009F10EC" w:rsidP="009F10EC">
      <w:pPr>
        <w:spacing w:after="0" w:line="240" w:lineRule="auto"/>
      </w:pPr>
      <w:r w:rsidRPr="00EC31C4">
        <w:rPr>
          <w:b/>
        </w:rPr>
        <w:t>65</w:t>
      </w:r>
      <w:r w:rsidRPr="00042296">
        <w:rPr>
          <w:b/>
          <w:i/>
        </w:rPr>
        <w:t>.</w:t>
      </w:r>
      <w:r w:rsidRPr="00042296">
        <w:rPr>
          <w:b/>
          <w:i/>
        </w:rPr>
        <w:tab/>
      </w:r>
      <w:r w:rsidRPr="006F4555">
        <w:rPr>
          <w:b/>
          <w:u w:val="single"/>
        </w:rPr>
        <w:t>Generation Supply Cost Components</w:t>
      </w:r>
      <w:r w:rsidR="00944205">
        <w:rPr>
          <w:b/>
          <w:u w:val="single"/>
        </w:rPr>
        <w:t xml:space="preserve"> Update</w:t>
      </w:r>
    </w:p>
    <w:p w:rsidR="00042296" w:rsidRPr="006F4555" w:rsidRDefault="00042296" w:rsidP="009F10EC">
      <w:pPr>
        <w:spacing w:after="0" w:line="240" w:lineRule="auto"/>
      </w:pPr>
    </w:p>
    <w:p w:rsidR="00910313" w:rsidRDefault="006A6479" w:rsidP="00AC0371">
      <w:pPr>
        <w:pStyle w:val="ListParagraph"/>
        <w:numPr>
          <w:ilvl w:val="0"/>
          <w:numId w:val="18"/>
        </w:numPr>
        <w:spacing w:after="0" w:line="240" w:lineRule="auto"/>
      </w:pPr>
      <w:r w:rsidRPr="006F4555">
        <w:t>Concerns have been raised about possible confusion among customers and suppliers regarding the treatment of certain cost components in the genera</w:t>
      </w:r>
      <w:r w:rsidR="00564A95">
        <w:t xml:space="preserve">tion </w:t>
      </w:r>
      <w:r w:rsidRPr="006F4555">
        <w:t>supply charge (such as solar, NITS, RMR, etc.), beginning June 1, 2013</w:t>
      </w:r>
      <w:r w:rsidR="00910313" w:rsidRPr="006F4555">
        <w:t>.</w:t>
      </w:r>
    </w:p>
    <w:p w:rsidR="009E3030" w:rsidRPr="006F4555" w:rsidRDefault="009E3030" w:rsidP="009E3030">
      <w:pPr>
        <w:spacing w:after="0" w:line="240" w:lineRule="auto"/>
        <w:ind w:left="720"/>
      </w:pPr>
    </w:p>
    <w:p w:rsidR="00A41AF9" w:rsidRPr="00F416DC" w:rsidRDefault="00910313" w:rsidP="00AC0371">
      <w:pPr>
        <w:pStyle w:val="ListParagraph"/>
        <w:numPr>
          <w:ilvl w:val="0"/>
          <w:numId w:val="18"/>
        </w:numPr>
        <w:spacing w:after="0" w:line="240" w:lineRule="auto"/>
      </w:pPr>
      <w:r w:rsidRPr="006F4555">
        <w:t xml:space="preserve">A </w:t>
      </w:r>
      <w:r w:rsidR="006A6479" w:rsidRPr="006F4555">
        <w:t xml:space="preserve">suggestion has been made to use </w:t>
      </w:r>
      <w:r w:rsidR="00564A95">
        <w:t>previously circulated</w:t>
      </w:r>
      <w:r w:rsidR="006A6479" w:rsidRPr="006F4555">
        <w:t xml:space="preserve"> matrix to collect this information from the EDCs and make it readily available such as o</w:t>
      </w:r>
      <w:r w:rsidR="00F416DC">
        <w:t>n EDC supplier support websites</w:t>
      </w:r>
      <w:r w:rsidR="00A41AF9" w:rsidRPr="00F416DC">
        <w:rPr>
          <w:i/>
        </w:rPr>
        <w:t>.</w:t>
      </w:r>
    </w:p>
    <w:p w:rsidR="00F416DC" w:rsidRDefault="00F416DC" w:rsidP="00F416DC">
      <w:pPr>
        <w:pStyle w:val="ListParagraph"/>
      </w:pPr>
    </w:p>
    <w:p w:rsidR="00F416DC" w:rsidRPr="00BE4867" w:rsidRDefault="00F416DC" w:rsidP="00AC0371">
      <w:pPr>
        <w:pStyle w:val="ListParagraph"/>
        <w:numPr>
          <w:ilvl w:val="0"/>
          <w:numId w:val="18"/>
        </w:numPr>
        <w:spacing w:after="0" w:line="240" w:lineRule="auto"/>
      </w:pPr>
      <w:r w:rsidRPr="00BE4867">
        <w:t>Completed matrix of information submitted by EDCs and reviewed by OCMO</w:t>
      </w:r>
      <w:r w:rsidR="001C702F" w:rsidRPr="00BE4867">
        <w:t>, updated to correct an error circulated with the agenda,</w:t>
      </w:r>
      <w:r w:rsidRPr="00BE4867">
        <w:t xml:space="preserve"> </w:t>
      </w:r>
      <w:r w:rsidR="00BE4867">
        <w:t>was</w:t>
      </w:r>
      <w:r w:rsidRPr="00BE4867">
        <w:t xml:space="preserve"> attached</w:t>
      </w:r>
      <w:r w:rsidR="00BE4867">
        <w:t xml:space="preserve"> to 3/21/13 recap</w:t>
      </w:r>
      <w:r w:rsidRPr="00BE4867">
        <w:t>.</w:t>
      </w:r>
    </w:p>
    <w:p w:rsidR="001C702F" w:rsidRPr="001C702F" w:rsidRDefault="001C702F" w:rsidP="001C702F">
      <w:pPr>
        <w:pStyle w:val="ListParagraph"/>
        <w:rPr>
          <w:b/>
          <w:i/>
        </w:rPr>
      </w:pPr>
    </w:p>
    <w:p w:rsidR="00CA13CE" w:rsidRDefault="00BE4867" w:rsidP="00CA13CE">
      <w:pPr>
        <w:pStyle w:val="ListParagraph"/>
        <w:numPr>
          <w:ilvl w:val="0"/>
          <w:numId w:val="18"/>
        </w:numPr>
        <w:spacing w:after="0" w:line="240" w:lineRule="auto"/>
      </w:pPr>
      <w:r w:rsidRPr="00EC31C4">
        <w:t xml:space="preserve">EDCs </w:t>
      </w:r>
      <w:r w:rsidR="00F9265B" w:rsidRPr="00EC31C4">
        <w:t>to provide</w:t>
      </w:r>
      <w:r w:rsidRPr="00EC31C4">
        <w:t xml:space="preserve"> responses on feasibility of posting information on a public website so that consumers may access.</w:t>
      </w:r>
      <w:r w:rsidRPr="00BE4867">
        <w:rPr>
          <w:b/>
          <w:i/>
        </w:rPr>
        <w:t xml:space="preserve">  </w:t>
      </w:r>
      <w:r w:rsidR="002B4253" w:rsidRPr="00CA13CE">
        <w:t>Since information has been compiled for use by EGSs, it can easily be made more accessible to consumers.  Discussion centered on whether to have it posted on PUC website, PAPowerSwitch or EDC website.  OCMO will discuss offline with the EDCs the best approach for handling this and report back on the 9/19/13 call.</w:t>
      </w:r>
    </w:p>
    <w:p w:rsidR="00CA13CE" w:rsidRDefault="00CA13CE" w:rsidP="00CA13CE">
      <w:pPr>
        <w:pStyle w:val="ListParagraph"/>
        <w:spacing w:after="0" w:line="240" w:lineRule="auto"/>
        <w:ind w:left="1080"/>
      </w:pPr>
    </w:p>
    <w:p w:rsidR="00CA13CE" w:rsidRPr="009F4D93" w:rsidRDefault="00CA13CE" w:rsidP="003D04FA">
      <w:pPr>
        <w:pStyle w:val="ListParagraph"/>
        <w:numPr>
          <w:ilvl w:val="0"/>
          <w:numId w:val="18"/>
        </w:numPr>
        <w:spacing w:after="0" w:line="240" w:lineRule="auto"/>
        <w:rPr>
          <w:rStyle w:val="Hyperlink"/>
          <w:color w:val="auto"/>
          <w:u w:val="none"/>
        </w:rPr>
      </w:pPr>
      <w:r w:rsidRPr="00944205">
        <w:rPr>
          <w:b/>
          <w:i/>
        </w:rPr>
        <w:t xml:space="preserve">The Generation Cost Component Chart has been posted </w:t>
      </w:r>
      <w:r w:rsidR="003D04FA" w:rsidRPr="00944205">
        <w:rPr>
          <w:b/>
          <w:i/>
        </w:rPr>
        <w:t xml:space="preserve">under the Reports &amp; Information section </w:t>
      </w:r>
      <w:r w:rsidRPr="00944205">
        <w:rPr>
          <w:b/>
          <w:i/>
        </w:rPr>
        <w:t>on the OCMO page at the Commission’s website:</w:t>
      </w:r>
      <w:r>
        <w:t xml:space="preserve"> </w:t>
      </w:r>
      <w:hyperlink r:id="rId34" w:history="1">
        <w:r w:rsidR="003D04FA" w:rsidRPr="003D04FA">
          <w:rPr>
            <w:rStyle w:val="Hyperlink"/>
          </w:rPr>
          <w:t>http://www.puc.pa.gov/utility_industry/electricity/electric_competitive_market_oversight.aspx</w:t>
        </w:r>
      </w:hyperlink>
      <w:r w:rsidR="009F4D93">
        <w:rPr>
          <w:rStyle w:val="Hyperlink"/>
        </w:rPr>
        <w:t xml:space="preserve"> </w:t>
      </w:r>
    </w:p>
    <w:p w:rsidR="009F4D93" w:rsidRPr="00CA13CE" w:rsidRDefault="009F4D93" w:rsidP="009F4D93">
      <w:pPr>
        <w:spacing w:after="0" w:line="240" w:lineRule="auto"/>
        <w:ind w:left="720"/>
      </w:pPr>
      <w:r>
        <w:rPr>
          <w:b/>
        </w:rPr>
        <w:t xml:space="preserve">       -- </w:t>
      </w:r>
      <w:r w:rsidRPr="00AB7018">
        <w:rPr>
          <w:b/>
          <w:i/>
        </w:rPr>
        <w:t>This action completes the work on this issue</w:t>
      </w:r>
      <w:r w:rsidRPr="009F4D93">
        <w:rPr>
          <w:b/>
        </w:rPr>
        <w:t>.</w:t>
      </w:r>
    </w:p>
    <w:p w:rsidR="002D01A3" w:rsidRPr="003F00F2" w:rsidRDefault="00B154CD" w:rsidP="00BE4867">
      <w:pPr>
        <w:spacing w:after="0" w:line="240" w:lineRule="auto"/>
        <w:rPr>
          <w:rFonts w:asciiTheme="minorHAnsi" w:eastAsiaTheme="minorHAnsi" w:hAnsiTheme="minorHAnsi" w:cstheme="minorBidi"/>
          <w:b/>
          <w:u w:val="single"/>
        </w:rPr>
      </w:pPr>
      <w:bookmarkStart w:id="0" w:name="_GoBack"/>
      <w:bookmarkEnd w:id="0"/>
      <w:r>
        <w:rPr>
          <w:b/>
        </w:rPr>
        <w:br/>
      </w:r>
      <w:r w:rsidR="002D01A3" w:rsidRPr="003F00F2">
        <w:rPr>
          <w:b/>
        </w:rPr>
        <w:t>6</w:t>
      </w:r>
      <w:r w:rsidR="00BE4867">
        <w:rPr>
          <w:b/>
        </w:rPr>
        <w:t>6</w:t>
      </w:r>
      <w:r w:rsidR="002D01A3" w:rsidRPr="003F00F2">
        <w:rPr>
          <w:b/>
        </w:rPr>
        <w:t>.</w:t>
      </w:r>
      <w:r w:rsidR="002D01A3" w:rsidRPr="003F00F2">
        <w:rPr>
          <w:b/>
        </w:rPr>
        <w:tab/>
      </w:r>
      <w:r w:rsidR="002D01A3" w:rsidRPr="003F00F2">
        <w:rPr>
          <w:rFonts w:asciiTheme="minorHAnsi" w:eastAsiaTheme="minorHAnsi" w:hAnsiTheme="minorHAnsi" w:cstheme="minorBidi"/>
          <w:b/>
          <w:u w:val="single"/>
        </w:rPr>
        <w:t>Web Portal Working Group – EDEWG</w:t>
      </w:r>
      <w:r w:rsidR="00A41AF9" w:rsidRPr="00A744BD">
        <w:rPr>
          <w:rFonts w:asciiTheme="minorHAnsi" w:eastAsiaTheme="minorHAnsi" w:hAnsiTheme="minorHAnsi" w:cstheme="minorBidi"/>
          <w:b/>
        </w:rPr>
        <w:t xml:space="preserve"> </w:t>
      </w:r>
      <w:r w:rsidR="00A744BD" w:rsidRPr="00A744BD">
        <w:rPr>
          <w:rFonts w:asciiTheme="minorHAnsi" w:eastAsiaTheme="minorHAnsi" w:hAnsiTheme="minorHAnsi" w:cstheme="minorBidi"/>
          <w:b/>
        </w:rPr>
        <w:t>(No Update)</w:t>
      </w:r>
    </w:p>
    <w:p w:rsidR="003F00F2" w:rsidRDefault="003F00F2" w:rsidP="00BE4867">
      <w:pPr>
        <w:spacing w:after="0" w:line="240" w:lineRule="auto"/>
        <w:rPr>
          <w:rFonts w:asciiTheme="minorHAnsi" w:eastAsiaTheme="minorHAnsi" w:hAnsiTheme="minorHAnsi" w:cstheme="minorBidi"/>
          <w:b/>
          <w:u w:val="single"/>
        </w:rPr>
      </w:pPr>
    </w:p>
    <w:p w:rsidR="002D01A3" w:rsidRPr="003F00F2" w:rsidRDefault="002D01A3" w:rsidP="002D01A3">
      <w:pPr>
        <w:spacing w:after="0" w:line="240" w:lineRule="auto"/>
        <w:ind w:left="1080" w:hanging="360"/>
        <w:contextualSpacing/>
        <w:rPr>
          <w:rFonts w:asciiTheme="minorHAnsi" w:eastAsiaTheme="minorHAnsi" w:hAnsiTheme="minorHAnsi" w:cstheme="minorBidi"/>
        </w:rPr>
      </w:pPr>
      <w:r w:rsidRPr="003F00F2">
        <w:rPr>
          <w:rFonts w:asciiTheme="minorHAnsi" w:eastAsiaTheme="minorHAnsi" w:hAnsiTheme="minorHAnsi" w:cstheme="minorBidi"/>
        </w:rPr>
        <w:lastRenderedPageBreak/>
        <w:t>a.</w:t>
      </w:r>
      <w:r>
        <w:rPr>
          <w:rFonts w:asciiTheme="minorHAnsi" w:eastAsiaTheme="minorHAnsi" w:hAnsiTheme="minorHAnsi" w:cstheme="minorBidi"/>
        </w:rPr>
        <w:tab/>
      </w:r>
      <w:r w:rsidRPr="003F00F2">
        <w:rPr>
          <w:rFonts w:asciiTheme="minorHAnsi" w:eastAsiaTheme="minorHAnsi" w:hAnsiTheme="minorHAnsi" w:cstheme="minorBidi"/>
        </w:rPr>
        <w:t>EDEWG has been tasked by the Commission to form a Web Portal Working Group with the goal of developing a standardized solution for the acquisition of interval usage data via a secure web-portal.  Pertinent deadlines include:</w:t>
      </w:r>
    </w:p>
    <w:p w:rsidR="002D01A3" w:rsidRPr="003F00F2" w:rsidRDefault="002D01A3" w:rsidP="002D01A3">
      <w:pPr>
        <w:spacing w:after="0" w:line="240" w:lineRule="auto"/>
        <w:ind w:left="1080" w:hanging="360"/>
        <w:contextualSpacing/>
        <w:rPr>
          <w:rFonts w:asciiTheme="minorHAnsi" w:eastAsiaTheme="minorHAnsi" w:hAnsiTheme="minorHAnsi" w:cstheme="minorBidi"/>
        </w:rPr>
      </w:pPr>
    </w:p>
    <w:p w:rsidR="002D01A3" w:rsidRPr="003F00F2" w:rsidRDefault="002D01A3" w:rsidP="00AC0371">
      <w:pPr>
        <w:pStyle w:val="ListParagraph"/>
        <w:numPr>
          <w:ilvl w:val="0"/>
          <w:numId w:val="19"/>
        </w:numPr>
        <w:spacing w:after="0" w:line="240" w:lineRule="auto"/>
        <w:rPr>
          <w:rFonts w:asciiTheme="minorHAnsi" w:eastAsiaTheme="minorHAnsi" w:hAnsiTheme="minorHAnsi" w:cstheme="minorBidi"/>
        </w:rPr>
      </w:pPr>
      <w:r w:rsidRPr="003F00F2">
        <w:rPr>
          <w:rFonts w:asciiTheme="minorHAnsi" w:eastAsiaTheme="minorHAnsi" w:hAnsiTheme="minorHAnsi" w:cstheme="minorBidi"/>
        </w:rPr>
        <w:t>Develop standard solution for sharing of 12 months of HIU by March 1, 2014.</w:t>
      </w:r>
    </w:p>
    <w:p w:rsidR="002D01A3" w:rsidRPr="003F00F2" w:rsidRDefault="002D01A3" w:rsidP="002D01A3">
      <w:pPr>
        <w:spacing w:after="0" w:line="240" w:lineRule="auto"/>
        <w:ind w:left="720"/>
        <w:rPr>
          <w:rFonts w:asciiTheme="minorHAnsi" w:eastAsiaTheme="minorHAnsi" w:hAnsiTheme="minorHAnsi" w:cstheme="minorBidi"/>
        </w:rPr>
      </w:pPr>
    </w:p>
    <w:p w:rsidR="002D01A3" w:rsidRPr="003F00F2" w:rsidRDefault="002D01A3" w:rsidP="00AC0371">
      <w:pPr>
        <w:pStyle w:val="ListParagraph"/>
        <w:numPr>
          <w:ilvl w:val="0"/>
          <w:numId w:val="19"/>
        </w:numPr>
        <w:spacing w:after="0" w:line="240" w:lineRule="auto"/>
        <w:rPr>
          <w:rFonts w:asciiTheme="minorHAnsi" w:eastAsiaTheme="minorHAnsi" w:hAnsiTheme="minorHAnsi" w:cstheme="minorBidi"/>
        </w:rPr>
      </w:pPr>
      <w:r w:rsidRPr="003F00F2">
        <w:rPr>
          <w:rFonts w:asciiTheme="minorHAnsi" w:eastAsiaTheme="minorHAnsi" w:hAnsiTheme="minorHAnsi" w:cstheme="minorBidi"/>
        </w:rPr>
        <w:t>Develop standard solution for sharing of billing quality interval data within 24-48 hours of daily meter reads by March 1, 2015.</w:t>
      </w:r>
    </w:p>
    <w:p w:rsidR="002D01A3" w:rsidRPr="003F00F2" w:rsidRDefault="002D01A3" w:rsidP="002D01A3">
      <w:pPr>
        <w:pStyle w:val="ListParagraph"/>
        <w:spacing w:after="0" w:line="240" w:lineRule="auto"/>
        <w:rPr>
          <w:rFonts w:asciiTheme="minorHAnsi" w:eastAsiaTheme="minorHAnsi" w:hAnsiTheme="minorHAnsi" w:cstheme="minorBidi"/>
        </w:rPr>
      </w:pPr>
    </w:p>
    <w:p w:rsidR="002D01A3" w:rsidRPr="003F00F2" w:rsidRDefault="002D01A3" w:rsidP="00AC0371">
      <w:pPr>
        <w:pStyle w:val="ListParagraph"/>
        <w:numPr>
          <w:ilvl w:val="0"/>
          <w:numId w:val="19"/>
        </w:numPr>
        <w:spacing w:after="0" w:line="240" w:lineRule="auto"/>
        <w:rPr>
          <w:rFonts w:asciiTheme="minorHAnsi" w:eastAsiaTheme="minorHAnsi" w:hAnsiTheme="minorHAnsi" w:cstheme="minorBidi"/>
        </w:rPr>
      </w:pPr>
      <w:r w:rsidRPr="003F00F2">
        <w:rPr>
          <w:rFonts w:asciiTheme="minorHAnsi" w:eastAsiaTheme="minorHAnsi" w:hAnsiTheme="minorHAnsi" w:cstheme="minorBidi"/>
        </w:rPr>
        <w:t xml:space="preserve">Link to Order initiating the Web Portal Working Group can be found here: </w:t>
      </w:r>
      <w:hyperlink r:id="rId35" w:history="1">
        <w:r w:rsidRPr="003F00F2">
          <w:rPr>
            <w:rFonts w:asciiTheme="minorHAnsi" w:eastAsiaTheme="minorHAnsi" w:hAnsiTheme="minorHAnsi" w:cstheme="minorBidi"/>
            <w:color w:val="0000FF" w:themeColor="hyperlink"/>
            <w:u w:val="single"/>
          </w:rPr>
          <w:t>http://www.puc.pa.gov/about_puc/consolidated_case_view.aspx?Docket=M-2009-2092655</w:t>
        </w:r>
      </w:hyperlink>
      <w:r w:rsidRPr="003F00F2">
        <w:rPr>
          <w:rFonts w:asciiTheme="minorHAnsi" w:eastAsiaTheme="minorHAnsi" w:hAnsiTheme="minorHAnsi" w:cstheme="minorBidi"/>
        </w:rPr>
        <w:t>.  Scroll to the bottom of page, Order is link titled ‘20121009 SMI Final Order.’</w:t>
      </w:r>
    </w:p>
    <w:p w:rsidR="002D01A3" w:rsidRPr="003F00F2" w:rsidRDefault="002D01A3" w:rsidP="002D01A3">
      <w:pPr>
        <w:pStyle w:val="ListParagraph"/>
        <w:rPr>
          <w:rFonts w:asciiTheme="minorHAnsi" w:eastAsiaTheme="minorHAnsi" w:hAnsiTheme="minorHAnsi" w:cstheme="minorBidi"/>
        </w:rPr>
      </w:pPr>
    </w:p>
    <w:p w:rsidR="002D01A3" w:rsidRDefault="002D01A3" w:rsidP="00AC0371">
      <w:pPr>
        <w:pStyle w:val="ListParagraph"/>
        <w:numPr>
          <w:ilvl w:val="0"/>
          <w:numId w:val="19"/>
        </w:numPr>
        <w:spacing w:after="0" w:line="240" w:lineRule="auto"/>
        <w:rPr>
          <w:rFonts w:asciiTheme="minorHAnsi" w:eastAsiaTheme="minorHAnsi" w:hAnsiTheme="minorHAnsi" w:cstheme="minorBidi"/>
          <w:b/>
          <w:i/>
        </w:rPr>
      </w:pPr>
      <w:r w:rsidRPr="003F00F2">
        <w:rPr>
          <w:rFonts w:asciiTheme="minorHAnsi" w:eastAsiaTheme="minorHAnsi" w:hAnsiTheme="minorHAnsi" w:cstheme="minorBidi"/>
        </w:rPr>
        <w:t xml:space="preserve">EDCs covered by smart meter provisions are mandated to participate.  Other interested stakeholders are permitted.  Any person interested in participation can submit their contact info to the following e-mail: </w:t>
      </w:r>
      <w:hyperlink r:id="rId36" w:history="1">
        <w:r w:rsidR="00A41AF9" w:rsidRPr="003F00F2">
          <w:rPr>
            <w:rStyle w:val="Hyperlink"/>
            <w:rFonts w:asciiTheme="minorHAnsi" w:eastAsiaTheme="minorHAnsi" w:hAnsiTheme="minorHAnsi" w:cstheme="minorBidi"/>
          </w:rPr>
          <w:t>ra-EDEWG@pa.gov</w:t>
        </w:r>
      </w:hyperlink>
      <w:r w:rsidRPr="00A41AF9">
        <w:rPr>
          <w:rFonts w:asciiTheme="minorHAnsi" w:eastAsiaTheme="minorHAnsi" w:hAnsiTheme="minorHAnsi" w:cstheme="minorBidi"/>
          <w:b/>
          <w:i/>
        </w:rPr>
        <w:t>.</w:t>
      </w:r>
    </w:p>
    <w:p w:rsidR="003F00F2" w:rsidRPr="003F00F2" w:rsidRDefault="003F00F2" w:rsidP="003F00F2">
      <w:pPr>
        <w:pStyle w:val="ListParagraph"/>
        <w:rPr>
          <w:rFonts w:asciiTheme="minorHAnsi" w:eastAsiaTheme="minorHAnsi" w:hAnsiTheme="minorHAnsi" w:cstheme="minorBidi"/>
          <w:b/>
          <w:i/>
        </w:rPr>
      </w:pPr>
    </w:p>
    <w:p w:rsidR="003F00F2" w:rsidRPr="00BE4867" w:rsidRDefault="003F00F2" w:rsidP="00AC0371">
      <w:pPr>
        <w:pStyle w:val="ListParagraph"/>
        <w:numPr>
          <w:ilvl w:val="0"/>
          <w:numId w:val="17"/>
        </w:numPr>
        <w:spacing w:after="0" w:line="240" w:lineRule="auto"/>
        <w:rPr>
          <w:rFonts w:asciiTheme="minorHAnsi" w:eastAsiaTheme="minorHAnsi" w:hAnsiTheme="minorHAnsi" w:cstheme="minorBidi"/>
        </w:rPr>
      </w:pPr>
      <w:r w:rsidRPr="00BE4867">
        <w:rPr>
          <w:rFonts w:asciiTheme="minorHAnsi" w:eastAsiaTheme="minorHAnsi" w:hAnsiTheme="minorHAnsi" w:cstheme="minorBidi"/>
        </w:rPr>
        <w:t xml:space="preserve">On a related matter, First Energy Default Service Order entered 8/16/12 directed OCMO to prepare a report on providing EGSs with a web-based solution providing access to key usage and service information in a single </w:t>
      </w:r>
      <w:r w:rsidR="00BC170B" w:rsidRPr="00BE4867">
        <w:rPr>
          <w:rFonts w:asciiTheme="minorHAnsi" w:eastAsiaTheme="minorHAnsi" w:hAnsiTheme="minorHAnsi" w:cstheme="minorBidi"/>
        </w:rPr>
        <w:t>place</w:t>
      </w:r>
      <w:r w:rsidRPr="00BE4867">
        <w:rPr>
          <w:rFonts w:asciiTheme="minorHAnsi" w:eastAsiaTheme="minorHAnsi" w:hAnsiTheme="minorHAnsi" w:cstheme="minorBidi"/>
        </w:rPr>
        <w:t xml:space="preserve">, which can provide information in a timely manner to enable real time pricing to customers.  </w:t>
      </w:r>
    </w:p>
    <w:p w:rsidR="003F00F2" w:rsidRPr="003F00F2" w:rsidRDefault="003F00F2" w:rsidP="003F00F2">
      <w:pPr>
        <w:spacing w:after="0" w:line="240" w:lineRule="auto"/>
        <w:ind w:left="810"/>
        <w:rPr>
          <w:rFonts w:asciiTheme="minorHAnsi" w:eastAsiaTheme="minorHAnsi" w:hAnsiTheme="minorHAnsi" w:cstheme="minorBidi"/>
          <w:b/>
          <w:i/>
        </w:rPr>
      </w:pPr>
    </w:p>
    <w:p w:rsidR="003F00F2" w:rsidRPr="00EC31C4" w:rsidRDefault="003F00F2" w:rsidP="00AC0371">
      <w:pPr>
        <w:pStyle w:val="ListParagraph"/>
        <w:numPr>
          <w:ilvl w:val="1"/>
          <w:numId w:val="17"/>
        </w:numPr>
        <w:spacing w:after="0" w:line="240" w:lineRule="auto"/>
        <w:rPr>
          <w:rFonts w:asciiTheme="minorHAnsi" w:eastAsiaTheme="minorHAnsi" w:hAnsiTheme="minorHAnsi" w:cstheme="minorBidi"/>
        </w:rPr>
      </w:pPr>
      <w:r w:rsidRPr="00EC31C4">
        <w:rPr>
          <w:rFonts w:asciiTheme="minorHAnsi" w:eastAsiaTheme="minorHAnsi" w:hAnsiTheme="minorHAnsi" w:cstheme="minorBidi"/>
        </w:rPr>
        <w:t xml:space="preserve">OCMO provided report </w:t>
      </w:r>
      <w:r w:rsidR="00B272C6" w:rsidRPr="00EC31C4">
        <w:rPr>
          <w:rFonts w:asciiTheme="minorHAnsi" w:eastAsiaTheme="minorHAnsi" w:hAnsiTheme="minorHAnsi" w:cstheme="minorBidi"/>
        </w:rPr>
        <w:t xml:space="preserve">to Commission </w:t>
      </w:r>
      <w:r w:rsidRPr="00EC31C4">
        <w:rPr>
          <w:rFonts w:asciiTheme="minorHAnsi" w:eastAsiaTheme="minorHAnsi" w:hAnsiTheme="minorHAnsi" w:cstheme="minorBidi"/>
        </w:rPr>
        <w:t>on 2/15/13.</w:t>
      </w:r>
    </w:p>
    <w:p w:rsidR="001C702F" w:rsidRPr="00EC31C4" w:rsidRDefault="003F00F2" w:rsidP="00BE4867">
      <w:pPr>
        <w:pStyle w:val="ListParagraph"/>
        <w:numPr>
          <w:ilvl w:val="1"/>
          <w:numId w:val="17"/>
        </w:numPr>
        <w:spacing w:after="0" w:line="240" w:lineRule="auto"/>
        <w:rPr>
          <w:rFonts w:asciiTheme="minorHAnsi" w:eastAsiaTheme="minorHAnsi" w:hAnsiTheme="minorHAnsi" w:cstheme="minorBidi"/>
        </w:rPr>
      </w:pPr>
      <w:r w:rsidRPr="00EC31C4">
        <w:rPr>
          <w:rFonts w:asciiTheme="minorHAnsi" w:eastAsiaTheme="minorHAnsi" w:hAnsiTheme="minorHAnsi" w:cstheme="minorBidi"/>
        </w:rPr>
        <w:t xml:space="preserve">Secretarial Letter </w:t>
      </w:r>
      <w:r w:rsidR="00BE4867" w:rsidRPr="00EC31C4">
        <w:rPr>
          <w:rFonts w:asciiTheme="minorHAnsi" w:eastAsiaTheme="minorHAnsi" w:hAnsiTheme="minorHAnsi" w:cstheme="minorBidi"/>
        </w:rPr>
        <w:t>adopted</w:t>
      </w:r>
      <w:r w:rsidRPr="00EC31C4">
        <w:rPr>
          <w:rFonts w:asciiTheme="minorHAnsi" w:eastAsiaTheme="minorHAnsi" w:hAnsiTheme="minorHAnsi" w:cstheme="minorBidi"/>
        </w:rPr>
        <w:t xml:space="preserve"> at 4/4/13 Public Meeting</w:t>
      </w:r>
      <w:r w:rsidR="00BE4867" w:rsidRPr="00EC31C4">
        <w:rPr>
          <w:rFonts w:asciiTheme="minorHAnsi" w:eastAsiaTheme="minorHAnsi" w:hAnsiTheme="minorHAnsi" w:cstheme="minorBidi"/>
        </w:rPr>
        <w:t xml:space="preserve"> and is available at this link:</w:t>
      </w:r>
      <w:r w:rsidR="00BE4867" w:rsidRPr="00EC31C4">
        <w:t xml:space="preserve"> </w:t>
      </w:r>
      <w:hyperlink r:id="rId37" w:history="1">
        <w:r w:rsidR="00BE4867" w:rsidRPr="00EC31C4">
          <w:rPr>
            <w:rStyle w:val="Hyperlink"/>
            <w:rFonts w:asciiTheme="minorHAnsi" w:eastAsiaTheme="minorHAnsi" w:hAnsiTheme="minorHAnsi" w:cstheme="minorBidi"/>
          </w:rPr>
          <w:t>http://www.puc.pa.gov//pcdocs/1222777.docx</w:t>
        </w:r>
      </w:hyperlink>
    </w:p>
    <w:p w:rsidR="00BE4867" w:rsidRDefault="00BE4867" w:rsidP="003F00F2">
      <w:pPr>
        <w:spacing w:after="0" w:line="240" w:lineRule="auto"/>
        <w:rPr>
          <w:rFonts w:asciiTheme="minorHAnsi" w:eastAsiaTheme="minorHAnsi" w:hAnsiTheme="minorHAnsi" w:cstheme="minorBidi"/>
          <w:b/>
          <w:i/>
        </w:rPr>
      </w:pPr>
    </w:p>
    <w:p w:rsidR="003F00F2" w:rsidRPr="00EC31C4" w:rsidRDefault="003F00F2" w:rsidP="003F00F2">
      <w:pPr>
        <w:spacing w:after="0" w:line="240" w:lineRule="auto"/>
        <w:rPr>
          <w:rFonts w:asciiTheme="minorHAnsi" w:eastAsiaTheme="minorHAnsi" w:hAnsiTheme="minorHAnsi" w:cstheme="minorBidi"/>
          <w:b/>
        </w:rPr>
      </w:pPr>
      <w:r w:rsidRPr="00EC31C4">
        <w:rPr>
          <w:rFonts w:asciiTheme="minorHAnsi" w:eastAsiaTheme="minorHAnsi" w:hAnsiTheme="minorHAnsi" w:cstheme="minorBidi"/>
          <w:b/>
        </w:rPr>
        <w:t>67</w:t>
      </w:r>
      <w:r w:rsidRPr="00EC31C4">
        <w:rPr>
          <w:rFonts w:asciiTheme="minorHAnsi" w:eastAsiaTheme="minorHAnsi" w:hAnsiTheme="minorHAnsi" w:cstheme="minorBidi"/>
          <w:b/>
          <w:i/>
        </w:rPr>
        <w:t>.</w:t>
      </w:r>
      <w:r w:rsidRPr="00EC31C4">
        <w:rPr>
          <w:rFonts w:asciiTheme="minorHAnsi" w:eastAsiaTheme="minorHAnsi" w:hAnsiTheme="minorHAnsi" w:cstheme="minorBidi"/>
          <w:b/>
          <w:i/>
        </w:rPr>
        <w:tab/>
      </w:r>
      <w:r w:rsidRPr="00EC31C4">
        <w:rPr>
          <w:rFonts w:asciiTheme="minorHAnsi" w:eastAsiaTheme="minorHAnsi" w:hAnsiTheme="minorHAnsi" w:cstheme="minorBidi"/>
          <w:b/>
          <w:u w:val="single"/>
        </w:rPr>
        <w:t>Net Metering Credits</w:t>
      </w:r>
      <w:r w:rsidRPr="00EC31C4">
        <w:rPr>
          <w:rFonts w:asciiTheme="minorHAnsi" w:eastAsiaTheme="minorHAnsi" w:hAnsiTheme="minorHAnsi" w:cstheme="minorBidi"/>
          <w:b/>
        </w:rPr>
        <w:t xml:space="preserve"> </w:t>
      </w:r>
    </w:p>
    <w:p w:rsidR="003F00F2" w:rsidRPr="00BE4867" w:rsidRDefault="003F00F2" w:rsidP="003F00F2">
      <w:pPr>
        <w:spacing w:after="0" w:line="240" w:lineRule="auto"/>
        <w:rPr>
          <w:rFonts w:asciiTheme="minorHAnsi" w:eastAsiaTheme="minorHAnsi" w:hAnsiTheme="minorHAnsi" w:cstheme="minorBidi"/>
        </w:rPr>
      </w:pPr>
    </w:p>
    <w:p w:rsidR="003F00F2" w:rsidRPr="00BE4867" w:rsidRDefault="003F00F2" w:rsidP="00AC0371">
      <w:pPr>
        <w:pStyle w:val="ListParagraph"/>
        <w:numPr>
          <w:ilvl w:val="1"/>
          <w:numId w:val="14"/>
        </w:numPr>
        <w:tabs>
          <w:tab w:val="left" w:pos="90"/>
        </w:tabs>
        <w:spacing w:after="0" w:line="240" w:lineRule="auto"/>
        <w:ind w:left="1170"/>
        <w:rPr>
          <w:rFonts w:asciiTheme="minorHAnsi" w:eastAsiaTheme="minorHAnsi" w:hAnsiTheme="minorHAnsi" w:cstheme="minorBidi"/>
        </w:rPr>
      </w:pPr>
      <w:r w:rsidRPr="00BE4867">
        <w:rPr>
          <w:rFonts w:asciiTheme="minorHAnsi" w:eastAsiaTheme="minorHAnsi" w:hAnsiTheme="minorHAnsi" w:cstheme="minorBidi"/>
        </w:rPr>
        <w:t xml:space="preserve">OCMO has become aware of an issue in FirstEnergy’s territory regarding the way net metering customers’ usage is reported to PJM, which appears to </w:t>
      </w:r>
      <w:r w:rsidR="00B272C6" w:rsidRPr="00BE4867">
        <w:rPr>
          <w:rFonts w:asciiTheme="minorHAnsi" w:eastAsiaTheme="minorHAnsi" w:hAnsiTheme="minorHAnsi" w:cstheme="minorBidi"/>
        </w:rPr>
        <w:t>preclude customers from getting credits.</w:t>
      </w:r>
    </w:p>
    <w:p w:rsidR="00200F34" w:rsidRDefault="00BE4867" w:rsidP="00A744BD">
      <w:pPr>
        <w:pStyle w:val="ListParagraph"/>
        <w:numPr>
          <w:ilvl w:val="1"/>
          <w:numId w:val="14"/>
        </w:numPr>
        <w:tabs>
          <w:tab w:val="left" w:pos="90"/>
        </w:tabs>
        <w:spacing w:after="0" w:line="240" w:lineRule="auto"/>
        <w:ind w:left="1170"/>
        <w:rPr>
          <w:rFonts w:asciiTheme="minorHAnsi" w:eastAsiaTheme="minorHAnsi" w:hAnsiTheme="minorHAnsi" w:cstheme="minorBidi"/>
          <w:b/>
          <w:i/>
        </w:rPr>
      </w:pPr>
      <w:r w:rsidRPr="00944205">
        <w:rPr>
          <w:rFonts w:asciiTheme="minorHAnsi" w:eastAsiaTheme="minorHAnsi" w:hAnsiTheme="minorHAnsi" w:cstheme="minorBidi"/>
        </w:rPr>
        <w:t xml:space="preserve">Update from </w:t>
      </w:r>
      <w:r w:rsidR="0084202E" w:rsidRPr="00944205">
        <w:rPr>
          <w:rFonts w:asciiTheme="minorHAnsi" w:eastAsiaTheme="minorHAnsi" w:hAnsiTheme="minorHAnsi" w:cstheme="minorBidi"/>
        </w:rPr>
        <w:t xml:space="preserve">FE: Company is making a procedural change to </w:t>
      </w:r>
      <w:r w:rsidR="00A744BD" w:rsidRPr="00944205">
        <w:rPr>
          <w:rFonts w:asciiTheme="minorHAnsi" w:eastAsiaTheme="minorHAnsi" w:hAnsiTheme="minorHAnsi" w:cstheme="minorBidi"/>
        </w:rPr>
        <w:t>address</w:t>
      </w:r>
      <w:r w:rsidR="0084202E" w:rsidRPr="00944205">
        <w:rPr>
          <w:rFonts w:asciiTheme="minorHAnsi" w:eastAsiaTheme="minorHAnsi" w:hAnsiTheme="minorHAnsi" w:cstheme="minorBidi"/>
        </w:rPr>
        <w:t xml:space="preserve"> this issue</w:t>
      </w:r>
      <w:r w:rsidR="00D30200" w:rsidRPr="00944205">
        <w:rPr>
          <w:rFonts w:asciiTheme="minorHAnsi" w:eastAsiaTheme="minorHAnsi" w:hAnsiTheme="minorHAnsi" w:cstheme="minorBidi"/>
        </w:rPr>
        <w:t xml:space="preserve"> and expects implementation during the 4</w:t>
      </w:r>
      <w:r w:rsidR="00D30200" w:rsidRPr="00944205">
        <w:rPr>
          <w:rFonts w:asciiTheme="minorHAnsi" w:eastAsiaTheme="minorHAnsi" w:hAnsiTheme="minorHAnsi" w:cstheme="minorBidi"/>
          <w:vertAlign w:val="superscript"/>
        </w:rPr>
        <w:t>th</w:t>
      </w:r>
      <w:r w:rsidR="00D30200" w:rsidRPr="00944205">
        <w:rPr>
          <w:rFonts w:asciiTheme="minorHAnsi" w:eastAsiaTheme="minorHAnsi" w:hAnsiTheme="minorHAnsi" w:cstheme="minorBidi"/>
        </w:rPr>
        <w:t xml:space="preserve"> quarter of 2013</w:t>
      </w:r>
      <w:r w:rsidR="00D30200">
        <w:rPr>
          <w:rFonts w:asciiTheme="minorHAnsi" w:eastAsiaTheme="minorHAnsi" w:hAnsiTheme="minorHAnsi" w:cstheme="minorBidi"/>
          <w:b/>
          <w:i/>
        </w:rPr>
        <w:t>.</w:t>
      </w:r>
      <w:r w:rsidR="008B00BD">
        <w:rPr>
          <w:rFonts w:asciiTheme="minorHAnsi" w:eastAsiaTheme="minorHAnsi" w:hAnsiTheme="minorHAnsi" w:cstheme="minorBidi"/>
          <w:b/>
          <w:i/>
        </w:rPr>
        <w:br/>
        <w:t>-- FirstEnergy reported that they will be testing next week; looking to implement in the 4</w:t>
      </w:r>
      <w:r w:rsidR="008B00BD" w:rsidRPr="008B00BD">
        <w:rPr>
          <w:rFonts w:asciiTheme="minorHAnsi" w:eastAsiaTheme="minorHAnsi" w:hAnsiTheme="minorHAnsi" w:cstheme="minorBidi"/>
          <w:b/>
          <w:i/>
          <w:vertAlign w:val="superscript"/>
        </w:rPr>
        <w:t>th</w:t>
      </w:r>
      <w:r w:rsidR="008B00BD">
        <w:rPr>
          <w:rFonts w:asciiTheme="minorHAnsi" w:eastAsiaTheme="minorHAnsi" w:hAnsiTheme="minorHAnsi" w:cstheme="minorBidi"/>
          <w:b/>
          <w:i/>
        </w:rPr>
        <w:t xml:space="preserve"> quarter of 2013.</w:t>
      </w:r>
    </w:p>
    <w:p w:rsidR="00B154CD" w:rsidRDefault="00B154CD" w:rsidP="00B154CD">
      <w:pPr>
        <w:tabs>
          <w:tab w:val="left" w:pos="90"/>
        </w:tabs>
        <w:spacing w:after="0" w:line="240" w:lineRule="auto"/>
        <w:rPr>
          <w:rFonts w:asciiTheme="minorHAnsi" w:eastAsiaTheme="minorHAnsi" w:hAnsiTheme="minorHAnsi" w:cstheme="minorBidi"/>
          <w:b/>
          <w:i/>
        </w:rPr>
      </w:pPr>
    </w:p>
    <w:p w:rsidR="00B154CD" w:rsidRPr="004F1D94" w:rsidRDefault="00B154CD" w:rsidP="003F00F2">
      <w:pPr>
        <w:spacing w:after="0" w:line="240" w:lineRule="auto"/>
        <w:rPr>
          <w:rFonts w:asciiTheme="minorHAnsi" w:eastAsiaTheme="minorHAnsi" w:hAnsiTheme="minorHAnsi" w:cstheme="minorBidi"/>
          <w:b/>
          <w:i/>
        </w:rPr>
      </w:pPr>
      <w:r>
        <w:rPr>
          <w:rFonts w:asciiTheme="minorHAnsi" w:eastAsiaTheme="minorHAnsi" w:hAnsiTheme="minorHAnsi" w:cstheme="minorBidi"/>
        </w:rPr>
        <w:t xml:space="preserve">68.   </w:t>
      </w:r>
      <w:r>
        <w:rPr>
          <w:rFonts w:asciiTheme="minorHAnsi" w:eastAsiaTheme="minorHAnsi" w:hAnsiTheme="minorHAnsi" w:cstheme="minorBidi"/>
        </w:rPr>
        <w:tab/>
      </w:r>
      <w:r w:rsidRPr="004F1D94">
        <w:rPr>
          <w:rFonts w:asciiTheme="minorHAnsi" w:eastAsiaTheme="minorHAnsi" w:hAnsiTheme="minorHAnsi" w:cstheme="minorBidi"/>
          <w:b/>
          <w:i/>
          <w:u w:val="single"/>
        </w:rPr>
        <w:t>Renewal Notices and Self-Renewing Contracts</w:t>
      </w:r>
      <w:r w:rsidRPr="004F1D94">
        <w:rPr>
          <w:rFonts w:asciiTheme="minorHAnsi" w:eastAsiaTheme="minorHAnsi" w:hAnsiTheme="minorHAnsi" w:cstheme="minorBidi"/>
          <w:i/>
        </w:rPr>
        <w:t xml:space="preserve"> </w:t>
      </w:r>
      <w:r w:rsidRPr="004F1D94">
        <w:rPr>
          <w:rFonts w:asciiTheme="minorHAnsi" w:eastAsiaTheme="minorHAnsi" w:hAnsiTheme="minorHAnsi" w:cstheme="minorBidi"/>
          <w:b/>
          <w:i/>
        </w:rPr>
        <w:t>(New Item)</w:t>
      </w:r>
    </w:p>
    <w:p w:rsidR="00B154CD" w:rsidRPr="00944205" w:rsidRDefault="00B154CD" w:rsidP="003F00F2">
      <w:pPr>
        <w:spacing w:after="0" w:line="240" w:lineRule="auto"/>
        <w:rPr>
          <w:rFonts w:asciiTheme="minorHAnsi" w:eastAsiaTheme="minorHAnsi" w:hAnsiTheme="minorHAnsi" w:cstheme="minorBidi"/>
        </w:rPr>
      </w:pPr>
    </w:p>
    <w:p w:rsidR="00B154CD" w:rsidRPr="00944205" w:rsidRDefault="00B154CD" w:rsidP="00B154CD">
      <w:pPr>
        <w:pStyle w:val="ListParagraph"/>
        <w:numPr>
          <w:ilvl w:val="0"/>
          <w:numId w:val="28"/>
        </w:numPr>
        <w:spacing w:after="0" w:line="240" w:lineRule="auto"/>
        <w:rPr>
          <w:rFonts w:asciiTheme="minorHAnsi" w:eastAsiaTheme="minorHAnsi" w:hAnsiTheme="minorHAnsi" w:cstheme="minorBidi"/>
          <w:b/>
          <w:i/>
          <w:sz w:val="20"/>
          <w:szCs w:val="20"/>
        </w:rPr>
      </w:pPr>
      <w:r w:rsidRPr="00944205">
        <w:rPr>
          <w:rFonts w:asciiTheme="minorHAnsi" w:eastAsiaTheme="minorHAnsi" w:hAnsiTheme="minorHAnsi" w:cstheme="minorBidi"/>
          <w:b/>
          <w:i/>
        </w:rPr>
        <w:t xml:space="preserve">Reminder:  Contract renewal notices/change in term notices are addressed in this order:  </w:t>
      </w:r>
      <w:hyperlink r:id="rId38" w:tgtFrame="_blank" w:history="1">
        <w:r w:rsidRPr="00944205">
          <w:rPr>
            <w:rFonts w:ascii="Helvetica" w:hAnsi="Helvetica"/>
            <w:b/>
            <w:bCs/>
            <w:i/>
            <w:sz w:val="18"/>
            <w:szCs w:val="18"/>
            <w:u w:val="single"/>
          </w:rPr>
          <w:t>Order on Interim Guidelines Regarding Advance Notification</w:t>
        </w:r>
      </w:hyperlink>
      <w:r w:rsidRPr="00944205">
        <w:rPr>
          <w:rFonts w:ascii="Helvetica" w:hAnsi="Helvetica"/>
          <w:b/>
          <w:i/>
          <w:sz w:val="18"/>
          <w:szCs w:val="18"/>
        </w:rPr>
        <w:t xml:space="preserve"> - </w:t>
      </w:r>
      <w:r w:rsidRPr="00944205">
        <w:rPr>
          <w:rFonts w:asciiTheme="minorHAnsi" w:hAnsiTheme="minorHAnsi"/>
          <w:b/>
          <w:i/>
          <w:sz w:val="20"/>
          <w:szCs w:val="20"/>
        </w:rPr>
        <w:t>Order and Appendix A on Interim Guidelines Regarding Advance Notification by an Electric Generation Supplier of Impending Changes Affecting Customer Service; Amendment re: Supplier Contract Renewal/Change Notices. Docket No. M-2010-2195286. Dated September 23, 2010.</w:t>
      </w:r>
    </w:p>
    <w:p w:rsidR="00B154CD" w:rsidRPr="008B00BD" w:rsidRDefault="00B154CD" w:rsidP="00B154CD">
      <w:pPr>
        <w:pStyle w:val="ListParagraph"/>
        <w:numPr>
          <w:ilvl w:val="0"/>
          <w:numId w:val="28"/>
        </w:numPr>
        <w:spacing w:after="0" w:line="240" w:lineRule="auto"/>
        <w:rPr>
          <w:rFonts w:asciiTheme="minorHAnsi" w:eastAsiaTheme="minorHAnsi" w:hAnsiTheme="minorHAnsi" w:cstheme="minorBidi"/>
          <w:b/>
          <w:i/>
          <w:color w:val="FF0000"/>
        </w:rPr>
      </w:pPr>
      <w:r w:rsidRPr="00944205">
        <w:rPr>
          <w:rFonts w:asciiTheme="minorHAnsi" w:eastAsiaTheme="minorHAnsi" w:hAnsiTheme="minorHAnsi" w:cstheme="minorBidi"/>
          <w:b/>
          <w:i/>
        </w:rPr>
        <w:t>Staff is currently looking at the issue of self-renewing (aka “evergreen” or “automatic renewals”) and notice requirements.  We may soon reach out to CHARGE for informal input.  Refer to page 21 of the above order for more information and guidance on this topic</w:t>
      </w:r>
      <w:r w:rsidRPr="00944205">
        <w:rPr>
          <w:rFonts w:asciiTheme="minorHAnsi" w:eastAsiaTheme="minorHAnsi" w:hAnsiTheme="minorHAnsi" w:cstheme="minorBidi"/>
        </w:rPr>
        <w:t xml:space="preserve">. </w:t>
      </w:r>
      <w:r w:rsidR="008B00BD">
        <w:rPr>
          <w:rFonts w:asciiTheme="minorHAnsi" w:eastAsiaTheme="minorHAnsi" w:hAnsiTheme="minorHAnsi" w:cstheme="minorBidi"/>
        </w:rPr>
        <w:br/>
      </w:r>
      <w:r w:rsidR="008B00BD" w:rsidRPr="008B00BD">
        <w:rPr>
          <w:rFonts w:asciiTheme="minorHAnsi" w:eastAsiaTheme="minorHAnsi" w:hAnsiTheme="minorHAnsi" w:cstheme="minorBidi"/>
          <w:b/>
          <w:i/>
        </w:rPr>
        <w:t xml:space="preserve">-- In response to a question, staff advised that this issue is being raised due to a recent </w:t>
      </w:r>
      <w:r w:rsidR="008B00BD" w:rsidRPr="008B00BD">
        <w:rPr>
          <w:rFonts w:asciiTheme="minorHAnsi" w:eastAsiaTheme="minorHAnsi" w:hAnsiTheme="minorHAnsi" w:cstheme="minorBidi"/>
          <w:b/>
          <w:i/>
        </w:rPr>
        <w:lastRenderedPageBreak/>
        <w:t xml:space="preserve">uptick in questions and complaints from consumers alleging that they have not received renewal notices.  These complaints are related to all types of contracts; not just “self-renewing” contracts.    </w:t>
      </w:r>
      <w:r w:rsidRPr="008B00BD">
        <w:rPr>
          <w:rFonts w:asciiTheme="minorHAnsi" w:eastAsiaTheme="minorHAnsi" w:hAnsiTheme="minorHAnsi" w:cstheme="minorBidi"/>
          <w:b/>
          <w:i/>
        </w:rPr>
        <w:t xml:space="preserve">  </w:t>
      </w:r>
    </w:p>
    <w:p w:rsidR="00B154CD" w:rsidRDefault="00B154CD" w:rsidP="003F00F2">
      <w:pPr>
        <w:spacing w:after="0" w:line="240" w:lineRule="auto"/>
        <w:rPr>
          <w:rFonts w:asciiTheme="minorHAnsi" w:eastAsiaTheme="minorHAnsi" w:hAnsiTheme="minorHAnsi" w:cstheme="minorBidi"/>
        </w:rPr>
      </w:pPr>
    </w:p>
    <w:p w:rsidR="00B154CD" w:rsidRPr="00BE4867" w:rsidRDefault="00B154CD" w:rsidP="003F00F2">
      <w:pPr>
        <w:spacing w:after="0" w:line="240" w:lineRule="auto"/>
        <w:rPr>
          <w:rFonts w:asciiTheme="minorHAnsi" w:eastAsiaTheme="minorHAnsi" w:hAnsiTheme="minorHAnsi" w:cstheme="minorBidi"/>
        </w:rPr>
      </w:pPr>
    </w:p>
    <w:p w:rsidR="00DC3554" w:rsidRDefault="004952E3" w:rsidP="009A55F7">
      <w:pPr>
        <w:spacing w:after="0" w:line="240" w:lineRule="auto"/>
        <w:rPr>
          <w:b/>
          <w:u w:val="single"/>
        </w:rPr>
      </w:pPr>
      <w:r w:rsidRPr="009A55F7">
        <w:rPr>
          <w:b/>
          <w:u w:val="single"/>
        </w:rPr>
        <w:t>General Matters</w:t>
      </w:r>
    </w:p>
    <w:p w:rsidR="005B2DAA" w:rsidRDefault="005B2DAA" w:rsidP="009A55F7">
      <w:pPr>
        <w:spacing w:after="0" w:line="240" w:lineRule="auto"/>
        <w:rPr>
          <w:b/>
          <w:u w:val="single"/>
        </w:rPr>
      </w:pPr>
    </w:p>
    <w:p w:rsidR="00044F29" w:rsidRPr="008B00BD" w:rsidRDefault="00044F29" w:rsidP="00AC0371">
      <w:pPr>
        <w:numPr>
          <w:ilvl w:val="0"/>
          <w:numId w:val="3"/>
        </w:numPr>
        <w:rPr>
          <w:b/>
          <w:i/>
        </w:rPr>
      </w:pPr>
      <w:r>
        <w:rPr>
          <w:b/>
          <w:u w:val="single"/>
        </w:rPr>
        <w:t>New Issues</w:t>
      </w:r>
      <w:r w:rsidR="008B00BD">
        <w:rPr>
          <w:b/>
          <w:u w:val="single"/>
        </w:rPr>
        <w:br/>
      </w:r>
      <w:r w:rsidR="008B00BD">
        <w:rPr>
          <w:b/>
          <w:u w:val="single"/>
        </w:rPr>
        <w:br/>
      </w:r>
      <w:r w:rsidR="008B00BD" w:rsidRPr="008B00BD">
        <w:rPr>
          <w:b/>
          <w:i/>
        </w:rPr>
        <w:t xml:space="preserve">-- In response to a question about the Gas Eligible Customer List (ECL), staff reported that an entered order should soon be available.      </w:t>
      </w:r>
    </w:p>
    <w:p w:rsidR="00DC3554" w:rsidRDefault="00DC3554" w:rsidP="00AC0371">
      <w:pPr>
        <w:numPr>
          <w:ilvl w:val="0"/>
          <w:numId w:val="2"/>
        </w:numPr>
      </w:pPr>
      <w:r>
        <w:t xml:space="preserve">Any new issues or questions about issues previously discussed on CHARGE calls should be submitted to </w:t>
      </w:r>
      <w:hyperlink r:id="rId39" w:history="1">
        <w:r w:rsidR="00BC226D" w:rsidRPr="00784E22">
          <w:rPr>
            <w:rStyle w:val="Hyperlink"/>
          </w:rPr>
          <w:t>ra-ocmo@pa.gov</w:t>
        </w:r>
      </w:hyperlink>
    </w:p>
    <w:p w:rsidR="00DC3554" w:rsidRDefault="00A036A6" w:rsidP="004F7EA1">
      <w:pPr>
        <w:keepNext/>
        <w:keepLines/>
        <w:numPr>
          <w:ilvl w:val="0"/>
          <w:numId w:val="3"/>
        </w:numPr>
        <w:rPr>
          <w:b/>
          <w:u w:val="single"/>
        </w:rPr>
      </w:pPr>
      <w:r w:rsidRPr="00A036A6">
        <w:rPr>
          <w:b/>
          <w:u w:val="single"/>
        </w:rPr>
        <w:t>Old Agendas/Recaps</w:t>
      </w:r>
    </w:p>
    <w:p w:rsidR="00200F34" w:rsidRDefault="00A036A6" w:rsidP="004F7EA1">
      <w:pPr>
        <w:keepNext/>
        <w:keepLines/>
        <w:numPr>
          <w:ilvl w:val="0"/>
          <w:numId w:val="2"/>
        </w:numPr>
        <w:rPr>
          <w:rStyle w:val="Hyperlink"/>
        </w:rPr>
      </w:pPr>
      <w:r>
        <w:t xml:space="preserve">All agendas and recaps are posted on the OCMO page of the website along with various other documents that have been distributed or relied upon during CHARGE discussions, at the following link - </w:t>
      </w:r>
      <w:hyperlink r:id="rId40" w:history="1">
        <w:r w:rsidR="00E52D26" w:rsidRPr="007059C3">
          <w:rPr>
            <w:rStyle w:val="Hyperlink"/>
          </w:rPr>
          <w:t>http://www.puc.pa.gov/utility_industry/electricity/electric_competitive_market_oversight.aspx</w:t>
        </w:r>
      </w:hyperlink>
    </w:p>
    <w:p w:rsidR="00A036A6" w:rsidRPr="00440AAC" w:rsidRDefault="00A036A6" w:rsidP="00440AAC">
      <w:pPr>
        <w:pStyle w:val="ListParagraph"/>
        <w:numPr>
          <w:ilvl w:val="0"/>
          <w:numId w:val="3"/>
        </w:numPr>
        <w:spacing w:after="0" w:line="240" w:lineRule="auto"/>
        <w:rPr>
          <w:b/>
          <w:u w:val="single"/>
        </w:rPr>
      </w:pPr>
      <w:r w:rsidRPr="00440AAC">
        <w:rPr>
          <w:b/>
          <w:u w:val="single"/>
        </w:rPr>
        <w:t>CHARGE Distribution List</w:t>
      </w:r>
    </w:p>
    <w:p w:rsidR="00E046CE" w:rsidRDefault="00A036A6" w:rsidP="00AC0371">
      <w:pPr>
        <w:numPr>
          <w:ilvl w:val="0"/>
          <w:numId w:val="2"/>
        </w:numPr>
      </w:pPr>
      <w:r>
        <w:t xml:space="preserve">To be added to the CHARGE distribution list, please send an email to </w:t>
      </w:r>
      <w:hyperlink r:id="rId41" w:history="1">
        <w:r w:rsidR="00BC226D" w:rsidRPr="00784E22">
          <w:rPr>
            <w:rStyle w:val="Hyperlink"/>
          </w:rPr>
          <w:t>ra-ocmo@pa.gov</w:t>
        </w:r>
      </w:hyperlink>
    </w:p>
    <w:p w:rsidR="008822F9" w:rsidRPr="00253C27" w:rsidRDefault="008822F9" w:rsidP="00AC0371">
      <w:pPr>
        <w:numPr>
          <w:ilvl w:val="0"/>
          <w:numId w:val="3"/>
        </w:numPr>
        <w:rPr>
          <w:b/>
          <w:u w:val="single"/>
        </w:rPr>
      </w:pPr>
      <w:r w:rsidRPr="00253C27">
        <w:rPr>
          <w:b/>
          <w:u w:val="single"/>
        </w:rPr>
        <w:t>CHARGE Contact List</w:t>
      </w:r>
    </w:p>
    <w:p w:rsidR="008822F9" w:rsidRPr="00E52D26" w:rsidRDefault="008822F9" w:rsidP="006B2AF6">
      <w:pPr>
        <w:numPr>
          <w:ilvl w:val="0"/>
          <w:numId w:val="1"/>
        </w:numPr>
        <w:rPr>
          <w:b/>
          <w:u w:val="single"/>
        </w:rPr>
      </w:pPr>
      <w:r>
        <w:t>Contact list is o</w:t>
      </w:r>
      <w:r w:rsidR="00E52D26">
        <w:t>n website at the following link:</w:t>
      </w:r>
    </w:p>
    <w:p w:rsidR="00E52D26" w:rsidRPr="00E52D26" w:rsidRDefault="001F3146" w:rsidP="00E52D26">
      <w:pPr>
        <w:ind w:left="1080"/>
        <w:rPr>
          <w:b/>
          <w:u w:val="single"/>
        </w:rPr>
      </w:pPr>
      <w:hyperlink r:id="rId42" w:history="1">
        <w:r w:rsidR="00E52D26" w:rsidRPr="007059C3">
          <w:rPr>
            <w:rStyle w:val="Hyperlink"/>
          </w:rPr>
          <w:t>http://www.puc.pa.gov/utility_industry/electricity/electric_competitive_market_oversight.aspx</w:t>
        </w:r>
      </w:hyperlink>
    </w:p>
    <w:p w:rsidR="00887AE2" w:rsidRPr="00887AE2" w:rsidRDefault="008822F9" w:rsidP="006B2AF6">
      <w:pPr>
        <w:numPr>
          <w:ilvl w:val="0"/>
          <w:numId w:val="1"/>
        </w:numPr>
        <w:spacing w:after="0" w:line="240" w:lineRule="auto"/>
        <w:rPr>
          <w:rStyle w:val="Hyperlink"/>
          <w:b/>
          <w:color w:val="auto"/>
        </w:rPr>
      </w:pPr>
      <w:r>
        <w:t xml:space="preserve">Please send contact information or updates to </w:t>
      </w:r>
      <w:hyperlink r:id="rId43" w:history="1">
        <w:r w:rsidR="00377253" w:rsidRPr="00784E22">
          <w:rPr>
            <w:rStyle w:val="Hyperlink"/>
          </w:rPr>
          <w:t>ra-ocmo@pa.gov</w:t>
        </w:r>
      </w:hyperlink>
    </w:p>
    <w:p w:rsidR="00704956" w:rsidRPr="00887AE2" w:rsidRDefault="005B2DAA" w:rsidP="00AC0371">
      <w:pPr>
        <w:pStyle w:val="ListParagraph"/>
        <w:numPr>
          <w:ilvl w:val="0"/>
          <w:numId w:val="3"/>
        </w:numPr>
        <w:spacing w:before="100" w:beforeAutospacing="1" w:after="0" w:line="240" w:lineRule="auto"/>
        <w:rPr>
          <w:b/>
          <w:u w:val="single"/>
        </w:rPr>
      </w:pPr>
      <w:r w:rsidRPr="001F4148">
        <w:rPr>
          <w:b/>
          <w:u w:val="single"/>
        </w:rPr>
        <w:t xml:space="preserve">Meeting Schedule for </w:t>
      </w:r>
      <w:r w:rsidR="00BC170B">
        <w:rPr>
          <w:b/>
          <w:u w:val="single"/>
        </w:rPr>
        <w:t>Remainder of</w:t>
      </w:r>
      <w:r w:rsidR="001F4148">
        <w:rPr>
          <w:b/>
          <w:u w:val="single"/>
        </w:rPr>
        <w:t xml:space="preserve"> </w:t>
      </w:r>
      <w:r w:rsidRPr="001F4148">
        <w:rPr>
          <w:b/>
          <w:u w:val="single"/>
        </w:rPr>
        <w:t>2013</w:t>
      </w:r>
    </w:p>
    <w:p w:rsidR="00B154CD" w:rsidRDefault="00B154CD" w:rsidP="00BC170B">
      <w:pPr>
        <w:ind w:right="-720" w:firstLine="720"/>
      </w:pPr>
    </w:p>
    <w:p w:rsidR="001C702F" w:rsidRDefault="00BC170B" w:rsidP="00BC170B">
      <w:pPr>
        <w:ind w:right="-720" w:firstLine="720"/>
      </w:pPr>
      <w:r w:rsidRPr="00A744BD">
        <w:t xml:space="preserve">November 7, 2013, 9:30 a.m. </w:t>
      </w:r>
    </w:p>
    <w:p w:rsidR="00D20EB8" w:rsidRDefault="00D20EB8" w:rsidP="00BC170B">
      <w:pPr>
        <w:ind w:right="-720" w:firstLine="720"/>
      </w:pPr>
    </w:p>
    <w:p w:rsidR="00D20EB8" w:rsidRDefault="00D20EB8" w:rsidP="00BC170B">
      <w:pPr>
        <w:ind w:right="-720" w:firstLine="720"/>
      </w:pPr>
    </w:p>
    <w:p w:rsidR="00D20EB8" w:rsidRDefault="00D20EB8" w:rsidP="00BC170B">
      <w:pPr>
        <w:ind w:right="-720" w:firstLine="720"/>
      </w:pPr>
    </w:p>
    <w:p w:rsidR="00D20EB8" w:rsidRDefault="00D20EB8" w:rsidP="00BC170B">
      <w:pPr>
        <w:ind w:right="-720" w:firstLine="720"/>
        <w:sectPr w:rsidR="00D20EB8" w:rsidSect="00704956">
          <w:type w:val="continuous"/>
          <w:pgSz w:w="12240" w:h="15840"/>
          <w:pgMar w:top="1440" w:right="1440" w:bottom="1440" w:left="1440" w:header="720" w:footer="720" w:gutter="0"/>
          <w:cols w:space="720"/>
          <w:docGrid w:linePitch="360"/>
        </w:sectPr>
      </w:pPr>
      <w:r>
        <w:br w:type="page"/>
      </w:r>
    </w:p>
    <w:p w:rsidR="00D20EB8" w:rsidRDefault="00D20EB8" w:rsidP="00BC170B">
      <w:pPr>
        <w:ind w:right="-720" w:firstLine="720"/>
      </w:pPr>
    </w:p>
    <w:p w:rsidR="00D20EB8" w:rsidRPr="0079456C" w:rsidRDefault="00D20EB8" w:rsidP="00D20EB8">
      <w:pPr>
        <w:jc w:val="center"/>
        <w:rPr>
          <w:rFonts w:ascii="Palatino Linotype" w:hAnsi="Palatino Linotype"/>
          <w:b/>
          <w:caps/>
          <w:u w:val="double"/>
        </w:rPr>
      </w:pPr>
      <w:r w:rsidRPr="0079456C">
        <w:rPr>
          <w:rFonts w:ascii="Palatino Linotype" w:hAnsi="Palatino Linotype"/>
          <w:b/>
          <w:caps/>
          <w:u w:val="double"/>
        </w:rPr>
        <w:t>Joint EDC-EGS Bill Informal Comments</w:t>
      </w:r>
    </w:p>
    <w:p w:rsidR="00D20EB8" w:rsidRPr="0079456C" w:rsidRDefault="00D20EB8" w:rsidP="00D20EB8">
      <w:pPr>
        <w:rPr>
          <w:rFonts w:ascii="Palatino Linotype" w:hAnsi="Palatino Linotype"/>
          <w:b/>
        </w:rPr>
      </w:pPr>
      <w:r w:rsidRPr="0079456C">
        <w:rPr>
          <w:rFonts w:ascii="Palatino Linotype" w:hAnsi="Palatino Linotype"/>
          <w:b/>
          <w:u w:val="single"/>
        </w:rPr>
        <w:t>EGSs</w:t>
      </w:r>
    </w:p>
    <w:p w:rsidR="00D20EB8" w:rsidRDefault="00D20EB8" w:rsidP="00D20EB8">
      <w:pPr>
        <w:pStyle w:val="ListParagraph"/>
        <w:numPr>
          <w:ilvl w:val="0"/>
          <w:numId w:val="30"/>
        </w:numPr>
        <w:rPr>
          <w:rFonts w:ascii="Palatino Linotype" w:hAnsi="Palatino Linotype"/>
        </w:rPr>
      </w:pPr>
      <w:r>
        <w:rPr>
          <w:rFonts w:ascii="Palatino Linotype" w:hAnsi="Palatino Linotype"/>
        </w:rPr>
        <w:t>Prominence of switching number</w:t>
      </w:r>
    </w:p>
    <w:p w:rsidR="00D20EB8" w:rsidRDefault="00D20EB8" w:rsidP="00D20EB8">
      <w:pPr>
        <w:pStyle w:val="ListParagraph"/>
        <w:numPr>
          <w:ilvl w:val="0"/>
          <w:numId w:val="30"/>
        </w:numPr>
        <w:rPr>
          <w:rFonts w:ascii="Palatino Linotype" w:hAnsi="Palatino Linotype"/>
        </w:rPr>
      </w:pPr>
      <w:r>
        <w:rPr>
          <w:rFonts w:ascii="Palatino Linotype" w:hAnsi="Palatino Linotype"/>
        </w:rPr>
        <w:t>Prominence of EGS contact info, including website</w:t>
      </w:r>
    </w:p>
    <w:p w:rsidR="00D20EB8" w:rsidRDefault="00D20EB8" w:rsidP="00D20EB8">
      <w:pPr>
        <w:pStyle w:val="ListParagraph"/>
        <w:numPr>
          <w:ilvl w:val="0"/>
          <w:numId w:val="30"/>
        </w:numPr>
        <w:rPr>
          <w:rFonts w:ascii="Palatino Linotype" w:hAnsi="Palatino Linotype"/>
        </w:rPr>
      </w:pPr>
      <w:r>
        <w:rPr>
          <w:rFonts w:ascii="Palatino Linotype" w:hAnsi="Palatino Linotype"/>
        </w:rPr>
        <w:t>Display EGS logo</w:t>
      </w:r>
    </w:p>
    <w:p w:rsidR="00D20EB8" w:rsidRDefault="00D20EB8" w:rsidP="00D20EB8">
      <w:pPr>
        <w:pStyle w:val="ListParagraph"/>
        <w:numPr>
          <w:ilvl w:val="0"/>
          <w:numId w:val="30"/>
        </w:numPr>
        <w:rPr>
          <w:rFonts w:ascii="Palatino Linotype" w:hAnsi="Palatino Linotype"/>
        </w:rPr>
      </w:pPr>
      <w:r>
        <w:rPr>
          <w:rFonts w:ascii="Palatino Linotype" w:hAnsi="Palatino Linotype"/>
        </w:rPr>
        <w:t>Inclusion of EGS bill messaging</w:t>
      </w:r>
    </w:p>
    <w:p w:rsidR="00D20EB8" w:rsidRDefault="00D20EB8" w:rsidP="00D20EB8">
      <w:pPr>
        <w:pStyle w:val="ListParagraph"/>
        <w:numPr>
          <w:ilvl w:val="0"/>
          <w:numId w:val="30"/>
        </w:numPr>
        <w:rPr>
          <w:rFonts w:ascii="Palatino Linotype" w:hAnsi="Palatino Linotype"/>
        </w:rPr>
      </w:pPr>
      <w:r>
        <w:rPr>
          <w:rFonts w:ascii="Palatino Linotype" w:hAnsi="Palatino Linotype"/>
        </w:rPr>
        <w:t>Inclusion of EGS bill inserts</w:t>
      </w:r>
    </w:p>
    <w:p w:rsidR="00D20EB8" w:rsidRDefault="00D20EB8" w:rsidP="00D20EB8">
      <w:pPr>
        <w:pStyle w:val="ListParagraph"/>
        <w:numPr>
          <w:ilvl w:val="0"/>
          <w:numId w:val="30"/>
        </w:numPr>
        <w:rPr>
          <w:rFonts w:ascii="Palatino Linotype" w:hAnsi="Palatino Linotype"/>
        </w:rPr>
      </w:pPr>
      <w:r>
        <w:rPr>
          <w:rFonts w:ascii="Palatino Linotype" w:hAnsi="Palatino Linotype"/>
        </w:rPr>
        <w:t>Use of same billing channels as EDC (e.g. paper; electronic; etc.)</w:t>
      </w:r>
    </w:p>
    <w:p w:rsidR="00D20EB8" w:rsidRDefault="00D20EB8" w:rsidP="00D20EB8">
      <w:pPr>
        <w:pStyle w:val="ListParagraph"/>
        <w:numPr>
          <w:ilvl w:val="0"/>
          <w:numId w:val="30"/>
        </w:numPr>
        <w:rPr>
          <w:rFonts w:ascii="Palatino Linotype" w:hAnsi="Palatino Linotype"/>
        </w:rPr>
      </w:pPr>
      <w:r>
        <w:rPr>
          <w:rFonts w:ascii="Palatino Linotype" w:hAnsi="Palatino Linotype"/>
        </w:rPr>
        <w:t>Uniformity across utilities</w:t>
      </w:r>
    </w:p>
    <w:p w:rsidR="00D20EB8" w:rsidRDefault="00D20EB8" w:rsidP="00D20EB8">
      <w:pPr>
        <w:pStyle w:val="ListParagraph"/>
        <w:numPr>
          <w:ilvl w:val="0"/>
          <w:numId w:val="30"/>
        </w:numPr>
        <w:rPr>
          <w:rFonts w:ascii="Palatino Linotype" w:hAnsi="Palatino Linotype"/>
        </w:rPr>
      </w:pPr>
      <w:r>
        <w:rPr>
          <w:rFonts w:ascii="Palatino Linotype" w:hAnsi="Palatino Linotype"/>
        </w:rPr>
        <w:t>Availability of both rate ready and bill ready formats across utilities</w:t>
      </w:r>
    </w:p>
    <w:p w:rsidR="00D20EB8" w:rsidRDefault="00D20EB8" w:rsidP="00D20EB8">
      <w:pPr>
        <w:pStyle w:val="ListParagraph"/>
        <w:numPr>
          <w:ilvl w:val="0"/>
          <w:numId w:val="30"/>
        </w:numPr>
        <w:rPr>
          <w:rFonts w:ascii="Palatino Linotype" w:hAnsi="Palatino Linotype"/>
        </w:rPr>
      </w:pPr>
      <w:r>
        <w:rPr>
          <w:rFonts w:ascii="Palatino Linotype" w:hAnsi="Palatino Linotype"/>
        </w:rPr>
        <w:t>Impact of bill on customers should be from both EDC and EGS</w:t>
      </w:r>
    </w:p>
    <w:p w:rsidR="00D20EB8" w:rsidRDefault="00D20EB8" w:rsidP="00D20EB8">
      <w:pPr>
        <w:pStyle w:val="ListParagraph"/>
        <w:numPr>
          <w:ilvl w:val="0"/>
          <w:numId w:val="30"/>
        </w:numPr>
        <w:rPr>
          <w:rFonts w:ascii="Palatino Linotype" w:hAnsi="Palatino Linotype"/>
        </w:rPr>
      </w:pPr>
      <w:r>
        <w:rPr>
          <w:rFonts w:ascii="Palatino Linotype" w:hAnsi="Palatino Linotype"/>
        </w:rPr>
        <w:t>Charges clearly attributed to appropriate entities</w:t>
      </w:r>
    </w:p>
    <w:p w:rsidR="00D20EB8" w:rsidRDefault="00D20EB8" w:rsidP="00D20EB8">
      <w:pPr>
        <w:pStyle w:val="ListParagraph"/>
        <w:numPr>
          <w:ilvl w:val="0"/>
          <w:numId w:val="30"/>
        </w:numPr>
        <w:rPr>
          <w:rFonts w:ascii="Palatino Linotype" w:hAnsi="Palatino Linotype"/>
        </w:rPr>
      </w:pPr>
      <w:r>
        <w:rPr>
          <w:rFonts w:ascii="Palatino Linotype" w:hAnsi="Palatino Linotype"/>
        </w:rPr>
        <w:t>Allow EGSs to bill early termination fees</w:t>
      </w:r>
    </w:p>
    <w:p w:rsidR="00D20EB8" w:rsidRDefault="00D20EB8" w:rsidP="00D20EB8">
      <w:pPr>
        <w:pStyle w:val="ListParagraph"/>
        <w:numPr>
          <w:ilvl w:val="0"/>
          <w:numId w:val="30"/>
        </w:numPr>
        <w:rPr>
          <w:rFonts w:ascii="Palatino Linotype" w:hAnsi="Palatino Linotype"/>
        </w:rPr>
      </w:pPr>
      <w:r>
        <w:rPr>
          <w:rFonts w:ascii="Palatino Linotype" w:hAnsi="Palatino Linotype"/>
        </w:rPr>
        <w:t>Inclusion of annual and monthly usage</w:t>
      </w:r>
    </w:p>
    <w:p w:rsidR="00D20EB8" w:rsidRDefault="00D20EB8" w:rsidP="00D20EB8">
      <w:pPr>
        <w:pStyle w:val="ListParagraph"/>
        <w:numPr>
          <w:ilvl w:val="0"/>
          <w:numId w:val="30"/>
        </w:numPr>
        <w:rPr>
          <w:rFonts w:ascii="Palatino Linotype" w:hAnsi="Palatino Linotype"/>
        </w:rPr>
      </w:pPr>
      <w:r>
        <w:rPr>
          <w:rFonts w:ascii="Palatino Linotype" w:hAnsi="Palatino Linotype"/>
        </w:rPr>
        <w:t>Inclusion of clearly identified rate class, where applicable</w:t>
      </w:r>
    </w:p>
    <w:p w:rsidR="00D20EB8" w:rsidRDefault="00D20EB8" w:rsidP="00D20EB8">
      <w:pPr>
        <w:pStyle w:val="ListParagraph"/>
        <w:numPr>
          <w:ilvl w:val="0"/>
          <w:numId w:val="30"/>
        </w:numPr>
        <w:rPr>
          <w:rFonts w:ascii="Palatino Linotype" w:hAnsi="Palatino Linotype"/>
        </w:rPr>
      </w:pPr>
      <w:r>
        <w:rPr>
          <w:rFonts w:ascii="Palatino Linotype" w:hAnsi="Palatino Linotype"/>
        </w:rPr>
        <w:t>Inclusion of any charges/credits allowed for in customer’s EGS contract</w:t>
      </w:r>
    </w:p>
    <w:p w:rsidR="00D20EB8" w:rsidRDefault="00D20EB8" w:rsidP="00D20EB8">
      <w:pPr>
        <w:pStyle w:val="ListParagraph"/>
        <w:numPr>
          <w:ilvl w:val="0"/>
          <w:numId w:val="30"/>
        </w:numPr>
        <w:rPr>
          <w:rFonts w:ascii="Palatino Linotype" w:hAnsi="Palatino Linotype"/>
        </w:rPr>
      </w:pPr>
      <w:r>
        <w:rPr>
          <w:rFonts w:ascii="Palatino Linotype" w:hAnsi="Palatino Linotype"/>
        </w:rPr>
        <w:t>Inclusion of “rate messaging” line to describe generation product (e.g. “green”)</w:t>
      </w:r>
    </w:p>
    <w:p w:rsidR="00D20EB8" w:rsidRDefault="00D20EB8" w:rsidP="00D20EB8">
      <w:pPr>
        <w:pStyle w:val="ListParagraph"/>
        <w:numPr>
          <w:ilvl w:val="0"/>
          <w:numId w:val="30"/>
        </w:numPr>
        <w:rPr>
          <w:rFonts w:ascii="Palatino Linotype" w:hAnsi="Palatino Linotype"/>
        </w:rPr>
      </w:pPr>
      <w:r>
        <w:rPr>
          <w:rFonts w:ascii="Palatino Linotype" w:hAnsi="Palatino Linotype"/>
        </w:rPr>
        <w:t>Inclusion of default messaging in event EGS misses bill window and charges aren’t on bill</w:t>
      </w:r>
    </w:p>
    <w:p w:rsidR="00D20EB8" w:rsidRDefault="00D20EB8" w:rsidP="00D20EB8">
      <w:pPr>
        <w:pStyle w:val="ListParagraph"/>
        <w:numPr>
          <w:ilvl w:val="0"/>
          <w:numId w:val="30"/>
        </w:numPr>
        <w:rPr>
          <w:rFonts w:ascii="Palatino Linotype" w:hAnsi="Palatino Linotype"/>
        </w:rPr>
      </w:pPr>
      <w:r>
        <w:rPr>
          <w:rFonts w:ascii="Palatino Linotype" w:hAnsi="Palatino Linotype"/>
        </w:rPr>
        <w:t>Inclusion of explanations of any billing adjustments</w:t>
      </w:r>
    </w:p>
    <w:p w:rsidR="00D20EB8" w:rsidRDefault="00D20EB8" w:rsidP="00D20EB8">
      <w:pPr>
        <w:pStyle w:val="ListParagraph"/>
        <w:numPr>
          <w:ilvl w:val="0"/>
          <w:numId w:val="30"/>
        </w:numPr>
        <w:rPr>
          <w:rFonts w:ascii="Palatino Linotype" w:hAnsi="Palatino Linotype"/>
        </w:rPr>
      </w:pPr>
      <w:r>
        <w:rPr>
          <w:rFonts w:ascii="Palatino Linotype" w:hAnsi="Palatino Linotype"/>
        </w:rPr>
        <w:t xml:space="preserve">Cleaner display of </w:t>
      </w:r>
      <w:proofErr w:type="spellStart"/>
      <w:r>
        <w:rPr>
          <w:rFonts w:ascii="Palatino Linotype" w:hAnsi="Palatino Linotype"/>
        </w:rPr>
        <w:t>kWh@rate</w:t>
      </w:r>
      <w:proofErr w:type="spellEnd"/>
      <w:r>
        <w:rPr>
          <w:rFonts w:ascii="Palatino Linotype" w:hAnsi="Palatino Linotype"/>
        </w:rPr>
        <w:t xml:space="preserve"> language</w:t>
      </w:r>
    </w:p>
    <w:p w:rsidR="00D20EB8" w:rsidRDefault="00D20EB8" w:rsidP="00D20EB8">
      <w:pPr>
        <w:pStyle w:val="ListParagraph"/>
        <w:numPr>
          <w:ilvl w:val="0"/>
          <w:numId w:val="30"/>
        </w:numPr>
        <w:rPr>
          <w:rFonts w:ascii="Palatino Linotype" w:hAnsi="Palatino Linotype"/>
        </w:rPr>
      </w:pPr>
      <w:r>
        <w:rPr>
          <w:rFonts w:ascii="Palatino Linotype" w:hAnsi="Palatino Linotype"/>
        </w:rPr>
        <w:t>Have PTC and EGS rate in same format</w:t>
      </w:r>
    </w:p>
    <w:p w:rsidR="00D20EB8" w:rsidRDefault="00D20EB8" w:rsidP="00D20EB8">
      <w:pPr>
        <w:pStyle w:val="ListParagraph"/>
        <w:numPr>
          <w:ilvl w:val="0"/>
          <w:numId w:val="30"/>
        </w:numPr>
        <w:rPr>
          <w:rFonts w:ascii="Palatino Linotype" w:hAnsi="Palatino Linotype"/>
        </w:rPr>
      </w:pPr>
      <w:r>
        <w:rPr>
          <w:rFonts w:ascii="Palatino Linotype" w:hAnsi="Palatino Linotype"/>
        </w:rPr>
        <w:t>EGSs should receive exact copy of utility bill to aid EGS CSRs</w:t>
      </w:r>
    </w:p>
    <w:p w:rsidR="00D20EB8" w:rsidRDefault="00D20EB8" w:rsidP="00D20EB8">
      <w:pPr>
        <w:pStyle w:val="ListParagraph"/>
        <w:numPr>
          <w:ilvl w:val="0"/>
          <w:numId w:val="30"/>
        </w:numPr>
        <w:rPr>
          <w:rFonts w:ascii="Palatino Linotype" w:hAnsi="Palatino Linotype"/>
        </w:rPr>
      </w:pPr>
      <w:r>
        <w:rPr>
          <w:rFonts w:ascii="Palatino Linotype" w:hAnsi="Palatino Linotype"/>
        </w:rPr>
        <w:t>Inclusion of limited definitions of key terms with reference to website for further definitions</w:t>
      </w:r>
    </w:p>
    <w:p w:rsidR="00D20EB8" w:rsidRDefault="00D20EB8" w:rsidP="00D20EB8">
      <w:pPr>
        <w:pStyle w:val="ListParagraph"/>
        <w:numPr>
          <w:ilvl w:val="0"/>
          <w:numId w:val="30"/>
        </w:numPr>
        <w:rPr>
          <w:rFonts w:ascii="Palatino Linotype" w:hAnsi="Palatino Linotype"/>
        </w:rPr>
      </w:pPr>
      <w:r>
        <w:rPr>
          <w:rFonts w:ascii="Palatino Linotype" w:hAnsi="Palatino Linotype"/>
        </w:rPr>
        <w:t>Inclusion of explanation that it’s OK to switch</w:t>
      </w:r>
    </w:p>
    <w:p w:rsidR="00D20EB8" w:rsidRDefault="00D20EB8" w:rsidP="00D20EB8">
      <w:pPr>
        <w:pStyle w:val="ListParagraph"/>
        <w:numPr>
          <w:ilvl w:val="0"/>
          <w:numId w:val="30"/>
        </w:numPr>
        <w:rPr>
          <w:rFonts w:ascii="Palatino Linotype" w:hAnsi="Palatino Linotype"/>
        </w:rPr>
      </w:pPr>
      <w:r>
        <w:rPr>
          <w:rFonts w:ascii="Palatino Linotype" w:hAnsi="Palatino Linotype"/>
        </w:rPr>
        <w:t>Inclusion of box showing all information a customer would need in order to switch</w:t>
      </w:r>
    </w:p>
    <w:p w:rsidR="00D20EB8" w:rsidRDefault="00D20EB8" w:rsidP="00D20EB8">
      <w:pPr>
        <w:pStyle w:val="ListParagraph"/>
        <w:numPr>
          <w:ilvl w:val="0"/>
          <w:numId w:val="30"/>
        </w:numPr>
        <w:rPr>
          <w:rFonts w:ascii="Palatino Linotype" w:hAnsi="Palatino Linotype"/>
        </w:rPr>
      </w:pPr>
      <w:r>
        <w:rPr>
          <w:rFonts w:ascii="Palatino Linotype" w:hAnsi="Palatino Linotype"/>
        </w:rPr>
        <w:t>Inclusion of bar graph (see PPL bills)</w:t>
      </w:r>
    </w:p>
    <w:p w:rsidR="00D20EB8" w:rsidRPr="0079456C" w:rsidRDefault="00D20EB8" w:rsidP="00D20EB8">
      <w:pPr>
        <w:rPr>
          <w:rFonts w:ascii="Palatino Linotype" w:hAnsi="Palatino Linotype"/>
          <w:b/>
        </w:rPr>
      </w:pPr>
      <w:r w:rsidRPr="0079456C">
        <w:rPr>
          <w:rFonts w:ascii="Palatino Linotype" w:hAnsi="Palatino Linotype"/>
          <w:b/>
          <w:u w:val="single"/>
        </w:rPr>
        <w:t>EDCs</w:t>
      </w:r>
    </w:p>
    <w:p w:rsidR="00D20EB8" w:rsidRDefault="00D20EB8" w:rsidP="00D20EB8">
      <w:pPr>
        <w:pStyle w:val="ListParagraph"/>
        <w:numPr>
          <w:ilvl w:val="0"/>
          <w:numId w:val="31"/>
        </w:numPr>
        <w:rPr>
          <w:rFonts w:ascii="Palatino Linotype" w:hAnsi="Palatino Linotype"/>
        </w:rPr>
      </w:pPr>
      <w:r>
        <w:rPr>
          <w:rFonts w:ascii="Palatino Linotype" w:hAnsi="Palatino Linotype"/>
        </w:rPr>
        <w:t>Need agreement from all parties on content</w:t>
      </w:r>
    </w:p>
    <w:p w:rsidR="00D20EB8" w:rsidRDefault="00D20EB8" w:rsidP="00D20EB8">
      <w:pPr>
        <w:pStyle w:val="ListParagraph"/>
        <w:numPr>
          <w:ilvl w:val="0"/>
          <w:numId w:val="31"/>
        </w:numPr>
        <w:rPr>
          <w:rFonts w:ascii="Palatino Linotype" w:hAnsi="Palatino Linotype"/>
        </w:rPr>
      </w:pPr>
      <w:r>
        <w:rPr>
          <w:rFonts w:ascii="Palatino Linotype" w:hAnsi="Palatino Linotype"/>
        </w:rPr>
        <w:lastRenderedPageBreak/>
        <w:t>Consider weight and cost of inclusion of additional pages</w:t>
      </w:r>
    </w:p>
    <w:p w:rsidR="00D20EB8" w:rsidRDefault="00D20EB8" w:rsidP="00D20EB8">
      <w:pPr>
        <w:pStyle w:val="ListParagraph"/>
        <w:numPr>
          <w:ilvl w:val="0"/>
          <w:numId w:val="31"/>
        </w:numPr>
        <w:rPr>
          <w:rFonts w:ascii="Palatino Linotype" w:hAnsi="Palatino Linotype"/>
        </w:rPr>
      </w:pPr>
      <w:r>
        <w:rPr>
          <w:rFonts w:ascii="Palatino Linotype" w:hAnsi="Palatino Linotype"/>
        </w:rPr>
        <w:t>Take into account “look and feel” of any bill changes</w:t>
      </w:r>
    </w:p>
    <w:p w:rsidR="00D20EB8" w:rsidRDefault="00D20EB8" w:rsidP="00D20EB8">
      <w:pPr>
        <w:pStyle w:val="ListParagraph"/>
        <w:numPr>
          <w:ilvl w:val="0"/>
          <w:numId w:val="31"/>
        </w:numPr>
        <w:rPr>
          <w:rFonts w:ascii="Palatino Linotype" w:hAnsi="Palatino Linotype"/>
        </w:rPr>
      </w:pPr>
      <w:r>
        <w:rPr>
          <w:rFonts w:ascii="Palatino Linotype" w:hAnsi="Palatino Linotype"/>
        </w:rPr>
        <w:t>Ensure consistency and uniformity of supplier information</w:t>
      </w:r>
    </w:p>
    <w:p w:rsidR="00D20EB8" w:rsidRDefault="00D20EB8" w:rsidP="00D20EB8">
      <w:pPr>
        <w:pStyle w:val="ListParagraph"/>
        <w:numPr>
          <w:ilvl w:val="0"/>
          <w:numId w:val="31"/>
        </w:numPr>
        <w:rPr>
          <w:rFonts w:ascii="Palatino Linotype" w:hAnsi="Palatino Linotype"/>
        </w:rPr>
      </w:pPr>
      <w:r>
        <w:rPr>
          <w:rFonts w:ascii="Palatino Linotype" w:hAnsi="Palatino Linotype"/>
        </w:rPr>
        <w:t>Provide estimation of costs and benefits of any changes</w:t>
      </w:r>
    </w:p>
    <w:p w:rsidR="00D20EB8" w:rsidRDefault="00D20EB8" w:rsidP="00D20EB8">
      <w:pPr>
        <w:pStyle w:val="ListParagraph"/>
        <w:numPr>
          <w:ilvl w:val="0"/>
          <w:numId w:val="31"/>
        </w:numPr>
        <w:rPr>
          <w:rFonts w:ascii="Palatino Linotype" w:hAnsi="Palatino Linotype"/>
        </w:rPr>
      </w:pPr>
      <w:r>
        <w:rPr>
          <w:rFonts w:ascii="Palatino Linotype" w:hAnsi="Palatino Linotype"/>
        </w:rPr>
        <w:t>Provide full and current cost recovery</w:t>
      </w:r>
    </w:p>
    <w:p w:rsidR="00D20EB8" w:rsidRDefault="00D20EB8" w:rsidP="00D20EB8">
      <w:pPr>
        <w:pStyle w:val="ListParagraph"/>
        <w:numPr>
          <w:ilvl w:val="0"/>
          <w:numId w:val="31"/>
        </w:numPr>
        <w:rPr>
          <w:rFonts w:ascii="Palatino Linotype" w:hAnsi="Palatino Linotype"/>
        </w:rPr>
      </w:pPr>
      <w:r>
        <w:rPr>
          <w:rFonts w:ascii="Palatino Linotype" w:hAnsi="Palatino Linotype"/>
        </w:rPr>
        <w:t>Consider implementation time</w:t>
      </w:r>
    </w:p>
    <w:p w:rsidR="00D20EB8" w:rsidRDefault="00D20EB8" w:rsidP="00D20EB8">
      <w:pPr>
        <w:pStyle w:val="ListParagraph"/>
        <w:numPr>
          <w:ilvl w:val="0"/>
          <w:numId w:val="31"/>
        </w:numPr>
        <w:rPr>
          <w:rFonts w:ascii="Palatino Linotype" w:hAnsi="Palatino Linotype"/>
        </w:rPr>
      </w:pPr>
      <w:r>
        <w:rPr>
          <w:rFonts w:ascii="Palatino Linotype" w:hAnsi="Palatino Linotype"/>
        </w:rPr>
        <w:t>Survey practices in other jurisdictions</w:t>
      </w:r>
    </w:p>
    <w:p w:rsidR="00D20EB8" w:rsidRDefault="00D20EB8" w:rsidP="00D20EB8">
      <w:pPr>
        <w:pStyle w:val="ListParagraph"/>
        <w:numPr>
          <w:ilvl w:val="0"/>
          <w:numId w:val="31"/>
        </w:numPr>
        <w:rPr>
          <w:rFonts w:ascii="Palatino Linotype" w:hAnsi="Palatino Linotype"/>
        </w:rPr>
      </w:pPr>
      <w:r>
        <w:rPr>
          <w:rFonts w:ascii="Palatino Linotype" w:hAnsi="Palatino Linotype"/>
        </w:rPr>
        <w:t>Include stakeholders in discussions</w:t>
      </w:r>
    </w:p>
    <w:p w:rsidR="00D20EB8" w:rsidRDefault="00D20EB8" w:rsidP="00D20EB8">
      <w:pPr>
        <w:pStyle w:val="ListParagraph"/>
        <w:numPr>
          <w:ilvl w:val="0"/>
          <w:numId w:val="31"/>
        </w:numPr>
        <w:rPr>
          <w:rFonts w:ascii="Palatino Linotype" w:hAnsi="Palatino Linotype"/>
        </w:rPr>
      </w:pPr>
      <w:r>
        <w:rPr>
          <w:rFonts w:ascii="Palatino Linotype" w:hAnsi="Palatino Linotype"/>
        </w:rPr>
        <w:t>Keep customer ease of understanding as top priority</w:t>
      </w:r>
    </w:p>
    <w:p w:rsidR="00D20EB8" w:rsidRDefault="00D20EB8" w:rsidP="00D20EB8">
      <w:pPr>
        <w:pStyle w:val="ListParagraph"/>
        <w:numPr>
          <w:ilvl w:val="0"/>
          <w:numId w:val="31"/>
        </w:numPr>
        <w:rPr>
          <w:rFonts w:ascii="Palatino Linotype" w:hAnsi="Palatino Linotype"/>
        </w:rPr>
      </w:pPr>
      <w:r>
        <w:rPr>
          <w:rFonts w:ascii="Palatino Linotype" w:hAnsi="Palatino Linotype"/>
        </w:rPr>
        <w:t>Keep bill one page and double-sided</w:t>
      </w:r>
    </w:p>
    <w:p w:rsidR="00D20EB8" w:rsidRDefault="00D20EB8" w:rsidP="00D20EB8">
      <w:pPr>
        <w:pStyle w:val="ListParagraph"/>
        <w:numPr>
          <w:ilvl w:val="0"/>
          <w:numId w:val="31"/>
        </w:numPr>
        <w:rPr>
          <w:rFonts w:ascii="Palatino Linotype" w:hAnsi="Palatino Linotype"/>
        </w:rPr>
      </w:pPr>
      <w:r>
        <w:rPr>
          <w:rFonts w:ascii="Palatino Linotype" w:hAnsi="Palatino Linotype"/>
        </w:rPr>
        <w:t>Clarify who should be contacted for issues related to any billing information</w:t>
      </w:r>
    </w:p>
    <w:p w:rsidR="00D20EB8" w:rsidRDefault="00D20EB8" w:rsidP="00D20EB8">
      <w:pPr>
        <w:pStyle w:val="ListParagraph"/>
        <w:numPr>
          <w:ilvl w:val="0"/>
          <w:numId w:val="31"/>
        </w:numPr>
        <w:rPr>
          <w:rFonts w:ascii="Palatino Linotype" w:hAnsi="Palatino Linotype"/>
        </w:rPr>
      </w:pPr>
      <w:r>
        <w:rPr>
          <w:rFonts w:ascii="Palatino Linotype" w:hAnsi="Palatino Linotype"/>
        </w:rPr>
        <w:t>No technical barriers to including EGS logo – cost issue</w:t>
      </w:r>
    </w:p>
    <w:p w:rsidR="00D20EB8" w:rsidRDefault="00D20EB8" w:rsidP="00D20EB8">
      <w:pPr>
        <w:pStyle w:val="ListParagraph"/>
        <w:numPr>
          <w:ilvl w:val="0"/>
          <w:numId w:val="31"/>
        </w:numPr>
        <w:rPr>
          <w:rFonts w:ascii="Palatino Linotype" w:hAnsi="Palatino Linotype"/>
        </w:rPr>
      </w:pPr>
      <w:r>
        <w:rPr>
          <w:rFonts w:ascii="Palatino Linotype" w:hAnsi="Palatino Linotype"/>
        </w:rPr>
        <w:t>Explore options for developing non-EDI approach for improving EGSs’ messages</w:t>
      </w:r>
    </w:p>
    <w:p w:rsidR="00D20EB8" w:rsidRDefault="00D20EB8" w:rsidP="00D20EB8">
      <w:pPr>
        <w:pStyle w:val="ListParagraph"/>
        <w:numPr>
          <w:ilvl w:val="0"/>
          <w:numId w:val="31"/>
        </w:numPr>
        <w:rPr>
          <w:rFonts w:ascii="Palatino Linotype" w:hAnsi="Palatino Linotype"/>
        </w:rPr>
      </w:pPr>
      <w:r>
        <w:rPr>
          <w:rFonts w:ascii="Palatino Linotype" w:hAnsi="Palatino Linotype"/>
        </w:rPr>
        <w:t>Bill stuffers from multiple EGSs would be costly and impractical –lead time for printing; variation among rate classes adds cost; size must conform to printer’s requirements</w:t>
      </w:r>
    </w:p>
    <w:p w:rsidR="00D20EB8" w:rsidRDefault="00D20EB8" w:rsidP="00D20EB8">
      <w:pPr>
        <w:pStyle w:val="ListParagraph"/>
        <w:numPr>
          <w:ilvl w:val="1"/>
          <w:numId w:val="31"/>
        </w:numPr>
        <w:rPr>
          <w:rFonts w:ascii="Palatino Linotype" w:hAnsi="Palatino Linotype"/>
        </w:rPr>
      </w:pPr>
      <w:r>
        <w:rPr>
          <w:rFonts w:ascii="Palatino Linotype" w:hAnsi="Palatino Linotype"/>
        </w:rPr>
        <w:t>Could have second page dedicated to EGS – would increase printing and postage costs</w:t>
      </w:r>
    </w:p>
    <w:p w:rsidR="00D20EB8" w:rsidRDefault="00D20EB8" w:rsidP="00D20EB8">
      <w:pPr>
        <w:pStyle w:val="ListParagraph"/>
        <w:numPr>
          <w:ilvl w:val="0"/>
          <w:numId w:val="31"/>
        </w:numPr>
        <w:rPr>
          <w:rFonts w:ascii="Palatino Linotype" w:hAnsi="Palatino Linotype"/>
        </w:rPr>
      </w:pPr>
      <w:r>
        <w:rPr>
          <w:rFonts w:ascii="Palatino Linotype" w:hAnsi="Palatino Linotype"/>
        </w:rPr>
        <w:t>Consider other methods for promoting opportunities and benefits of shopping</w:t>
      </w:r>
    </w:p>
    <w:p w:rsidR="00D20EB8" w:rsidRDefault="00D20EB8" w:rsidP="00D20EB8">
      <w:pPr>
        <w:pStyle w:val="ListParagraph"/>
        <w:numPr>
          <w:ilvl w:val="0"/>
          <w:numId w:val="31"/>
        </w:numPr>
        <w:rPr>
          <w:rFonts w:ascii="Palatino Linotype" w:hAnsi="Palatino Linotype"/>
        </w:rPr>
      </w:pPr>
      <w:r>
        <w:rPr>
          <w:rFonts w:ascii="Palatino Linotype" w:hAnsi="Palatino Linotype"/>
        </w:rPr>
        <w:t>Could reformat current “to report an emergency or outage” section to include supplier information – poses potential regulatory issues</w:t>
      </w:r>
    </w:p>
    <w:p w:rsidR="00D20EB8" w:rsidRDefault="00D20EB8" w:rsidP="00D20EB8">
      <w:pPr>
        <w:pStyle w:val="ListParagraph"/>
        <w:numPr>
          <w:ilvl w:val="0"/>
          <w:numId w:val="31"/>
        </w:numPr>
        <w:rPr>
          <w:rFonts w:ascii="Palatino Linotype" w:hAnsi="Palatino Linotype"/>
        </w:rPr>
      </w:pPr>
      <w:r>
        <w:rPr>
          <w:rFonts w:ascii="Palatino Linotype" w:hAnsi="Palatino Linotype"/>
        </w:rPr>
        <w:t>Could potentially include 1 or 2 supplier inserts during most months of year if certain conditions are met</w:t>
      </w:r>
    </w:p>
    <w:p w:rsidR="00D20EB8" w:rsidRDefault="00D20EB8" w:rsidP="00D20EB8">
      <w:pPr>
        <w:pStyle w:val="ListParagraph"/>
        <w:numPr>
          <w:ilvl w:val="0"/>
          <w:numId w:val="31"/>
        </w:numPr>
        <w:rPr>
          <w:rFonts w:ascii="Palatino Linotype" w:hAnsi="Palatino Linotype"/>
        </w:rPr>
      </w:pPr>
      <w:r>
        <w:rPr>
          <w:rFonts w:ascii="Palatino Linotype" w:hAnsi="Palatino Linotype"/>
        </w:rPr>
        <w:t>Could include new messaging up to 254 characters and could also be substituted in place of some existing generic messaging</w:t>
      </w:r>
    </w:p>
    <w:p w:rsidR="00D20EB8" w:rsidRPr="0079456C" w:rsidRDefault="00D20EB8" w:rsidP="00D20EB8">
      <w:pPr>
        <w:rPr>
          <w:rFonts w:ascii="Palatino Linotype" w:hAnsi="Palatino Linotype"/>
          <w:b/>
        </w:rPr>
      </w:pPr>
      <w:r w:rsidRPr="0079456C">
        <w:rPr>
          <w:rFonts w:ascii="Palatino Linotype" w:hAnsi="Palatino Linotype"/>
          <w:b/>
          <w:u w:val="single"/>
        </w:rPr>
        <w:t>Advocates</w:t>
      </w:r>
    </w:p>
    <w:p w:rsidR="00D20EB8" w:rsidRDefault="00D20EB8" w:rsidP="00D20EB8">
      <w:pPr>
        <w:pStyle w:val="ListParagraph"/>
        <w:numPr>
          <w:ilvl w:val="0"/>
          <w:numId w:val="32"/>
        </w:numPr>
        <w:rPr>
          <w:rFonts w:ascii="Palatino Linotype" w:hAnsi="Palatino Linotype"/>
        </w:rPr>
      </w:pPr>
      <w:r>
        <w:rPr>
          <w:rFonts w:ascii="Palatino Linotype" w:hAnsi="Palatino Linotype"/>
        </w:rPr>
        <w:t xml:space="preserve">Ensure that customer protections outlined in </w:t>
      </w:r>
      <w:proofErr w:type="spellStart"/>
      <w:r>
        <w:rPr>
          <w:rFonts w:ascii="Palatino Linotype" w:hAnsi="Palatino Linotype"/>
        </w:rPr>
        <w:t>Chs</w:t>
      </w:r>
      <w:proofErr w:type="spellEnd"/>
      <w:r>
        <w:rPr>
          <w:rFonts w:ascii="Palatino Linotype" w:hAnsi="Palatino Linotype"/>
        </w:rPr>
        <w:t>. 14 and 56 remain, including mandatory disclosures and utility contact information in appropriate size and prominence</w:t>
      </w:r>
    </w:p>
    <w:p w:rsidR="00D20EB8" w:rsidRDefault="00D20EB8" w:rsidP="00D20EB8">
      <w:pPr>
        <w:pStyle w:val="ListParagraph"/>
        <w:numPr>
          <w:ilvl w:val="0"/>
          <w:numId w:val="32"/>
        </w:numPr>
        <w:rPr>
          <w:rFonts w:ascii="Palatino Linotype" w:hAnsi="Palatino Linotype"/>
        </w:rPr>
      </w:pPr>
      <w:r>
        <w:rPr>
          <w:rFonts w:ascii="Palatino Linotype" w:hAnsi="Palatino Linotype"/>
        </w:rPr>
        <w:t>Need cost analysis</w:t>
      </w:r>
    </w:p>
    <w:p w:rsidR="00D20EB8" w:rsidRDefault="00D20EB8" w:rsidP="00D20EB8">
      <w:pPr>
        <w:pStyle w:val="ListParagraph"/>
        <w:numPr>
          <w:ilvl w:val="0"/>
          <w:numId w:val="32"/>
        </w:numPr>
        <w:rPr>
          <w:rFonts w:ascii="Palatino Linotype" w:hAnsi="Palatino Linotype"/>
        </w:rPr>
      </w:pPr>
      <w:r>
        <w:rPr>
          <w:rFonts w:ascii="Palatino Linotype" w:hAnsi="Palatino Linotype"/>
        </w:rPr>
        <w:t>EGSs could pay at least a portion of costs associated with bill modifications or inclusion of EGS inserts</w:t>
      </w:r>
    </w:p>
    <w:p w:rsidR="00D20EB8" w:rsidRDefault="00D20EB8" w:rsidP="00D20EB8">
      <w:pPr>
        <w:pStyle w:val="ListParagraph"/>
        <w:numPr>
          <w:ilvl w:val="0"/>
          <w:numId w:val="32"/>
        </w:numPr>
        <w:rPr>
          <w:rFonts w:ascii="Palatino Linotype" w:hAnsi="Palatino Linotype"/>
        </w:rPr>
      </w:pPr>
      <w:r>
        <w:rPr>
          <w:rFonts w:ascii="Palatino Linotype" w:hAnsi="Palatino Linotype"/>
        </w:rPr>
        <w:t>Ensure that changes don’t increase customer confusion</w:t>
      </w:r>
    </w:p>
    <w:p w:rsidR="00D20EB8" w:rsidRDefault="00D20EB8" w:rsidP="00D20EB8">
      <w:pPr>
        <w:pStyle w:val="ListParagraph"/>
        <w:numPr>
          <w:ilvl w:val="0"/>
          <w:numId w:val="32"/>
        </w:numPr>
        <w:rPr>
          <w:rFonts w:ascii="Palatino Linotype" w:hAnsi="Palatino Linotype"/>
        </w:rPr>
      </w:pPr>
      <w:r>
        <w:rPr>
          <w:rFonts w:ascii="Palatino Linotype" w:hAnsi="Palatino Linotype"/>
        </w:rPr>
        <w:lastRenderedPageBreak/>
        <w:t>Focus should be on readability and clarity of charges assessed</w:t>
      </w:r>
    </w:p>
    <w:p w:rsidR="00D20EB8" w:rsidRDefault="00D20EB8" w:rsidP="00D20EB8">
      <w:pPr>
        <w:pStyle w:val="ListParagraph"/>
        <w:numPr>
          <w:ilvl w:val="0"/>
          <w:numId w:val="32"/>
        </w:numPr>
        <w:rPr>
          <w:rFonts w:ascii="Palatino Linotype" w:hAnsi="Palatino Linotype"/>
        </w:rPr>
      </w:pPr>
      <w:r>
        <w:rPr>
          <w:rFonts w:ascii="Palatino Linotype" w:hAnsi="Palatino Linotype"/>
        </w:rPr>
        <w:t>Make PTC and EGS rate consistent in format</w:t>
      </w:r>
    </w:p>
    <w:p w:rsidR="00D20EB8" w:rsidRDefault="00D20EB8" w:rsidP="00D20EB8">
      <w:pPr>
        <w:pStyle w:val="ListParagraph"/>
        <w:numPr>
          <w:ilvl w:val="0"/>
          <w:numId w:val="32"/>
        </w:numPr>
        <w:rPr>
          <w:rFonts w:ascii="Palatino Linotype" w:hAnsi="Palatino Linotype"/>
        </w:rPr>
      </w:pPr>
      <w:r>
        <w:rPr>
          <w:rFonts w:ascii="Palatino Linotype" w:hAnsi="Palatino Linotype"/>
        </w:rPr>
        <w:t>Make it clear that the bill is coming from the EDC and that the EDC should be the point of contact for any billing or service issues</w:t>
      </w:r>
    </w:p>
    <w:p w:rsidR="00D20EB8" w:rsidRDefault="00D20EB8" w:rsidP="00D20EB8">
      <w:pPr>
        <w:pStyle w:val="ListParagraph"/>
        <w:numPr>
          <w:ilvl w:val="0"/>
          <w:numId w:val="32"/>
        </w:numPr>
        <w:rPr>
          <w:rFonts w:ascii="Palatino Linotype" w:hAnsi="Palatino Linotype"/>
        </w:rPr>
      </w:pPr>
      <w:r>
        <w:rPr>
          <w:rFonts w:ascii="Palatino Linotype" w:hAnsi="Palatino Linotype"/>
        </w:rPr>
        <w:t>Ensure that this isn’t a transition step to supplier-consolidated billing</w:t>
      </w:r>
    </w:p>
    <w:p w:rsidR="00D20EB8" w:rsidRPr="006313C8" w:rsidRDefault="00D20EB8" w:rsidP="00D20EB8">
      <w:pPr>
        <w:pStyle w:val="ListParagraph"/>
        <w:rPr>
          <w:rFonts w:ascii="Palatino Linotype" w:hAnsi="Palatino Linotype"/>
        </w:rPr>
      </w:pPr>
    </w:p>
    <w:p w:rsidR="00D20EB8" w:rsidRPr="00A744BD" w:rsidRDefault="00D20EB8" w:rsidP="00BC170B">
      <w:pPr>
        <w:ind w:right="-720" w:firstLine="720"/>
      </w:pPr>
    </w:p>
    <w:sectPr w:rsidR="00D20EB8" w:rsidRPr="00A744BD" w:rsidSect="00D20EB8">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146" w:rsidRDefault="001F3146" w:rsidP="00BA5C48">
      <w:pPr>
        <w:spacing w:after="0" w:line="240" w:lineRule="auto"/>
      </w:pPr>
      <w:r>
        <w:separator/>
      </w:r>
    </w:p>
  </w:endnote>
  <w:endnote w:type="continuationSeparator" w:id="0">
    <w:p w:rsidR="001F3146" w:rsidRDefault="001F3146" w:rsidP="00BA5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EB8" w:rsidRPr="00B875CD" w:rsidRDefault="00D20EB8" w:rsidP="00D20EB8">
    <w:pPr>
      <w:pStyle w:val="Footer"/>
      <w:rPr>
        <w:rFonts w:ascii="Palatino Linotype" w:hAnsi="Palatino Linotype" w:cs="Arial"/>
        <w:sz w:val="20"/>
        <w:szCs w:val="20"/>
      </w:rPr>
    </w:pPr>
    <w:r w:rsidRPr="00B875CD">
      <w:rPr>
        <w:rFonts w:ascii="Palatino Linotype" w:hAnsi="Palatino Linotype" w:cs="Arial"/>
        <w:sz w:val="20"/>
        <w:szCs w:val="20"/>
      </w:rPr>
      <w:t>To the extent possible, information was compiled under one entity heading.  It should be noted that this information may not reflect the views/opinions of all entities encompassed under that heading (e.g. “EGSs”)</w:t>
    </w:r>
  </w:p>
  <w:p w:rsidR="00D20EB8" w:rsidRDefault="00D20EB8">
    <w:pPr>
      <w:pStyle w:val="Footer"/>
    </w:pPr>
  </w:p>
  <w:p w:rsidR="00D20EB8" w:rsidRDefault="00D20E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146" w:rsidRDefault="001F3146" w:rsidP="00BA5C48">
      <w:pPr>
        <w:spacing w:after="0" w:line="240" w:lineRule="auto"/>
      </w:pPr>
      <w:r>
        <w:separator/>
      </w:r>
    </w:p>
  </w:footnote>
  <w:footnote w:type="continuationSeparator" w:id="0">
    <w:p w:rsidR="001F3146" w:rsidRDefault="001F3146" w:rsidP="00BA5C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9AB"/>
    <w:multiLevelType w:val="hybridMultilevel"/>
    <w:tmpl w:val="1430F8E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133C9F"/>
    <w:multiLevelType w:val="hybridMultilevel"/>
    <w:tmpl w:val="C0620276"/>
    <w:lvl w:ilvl="0" w:tplc="E73ECB1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FF2C56"/>
    <w:multiLevelType w:val="hybridMultilevel"/>
    <w:tmpl w:val="197886FA"/>
    <w:lvl w:ilvl="0" w:tplc="032AE0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773BB5"/>
    <w:multiLevelType w:val="hybridMultilevel"/>
    <w:tmpl w:val="963056EE"/>
    <w:lvl w:ilvl="0" w:tplc="52E47E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8B0D17"/>
    <w:multiLevelType w:val="hybridMultilevel"/>
    <w:tmpl w:val="EDEAAC3A"/>
    <w:lvl w:ilvl="0" w:tplc="C7F6B2C0">
      <w:start w:val="1"/>
      <w:numFmt w:val="lowerLetter"/>
      <w:lvlText w:val="%1."/>
      <w:lvlJc w:val="left"/>
      <w:pPr>
        <w:ind w:left="1080" w:hanging="360"/>
      </w:pPr>
      <w:rPr>
        <w:rFonts w:hint="default"/>
        <w:b w:val="0"/>
        <w:i w:val="0"/>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84472E"/>
    <w:multiLevelType w:val="hybridMultilevel"/>
    <w:tmpl w:val="0DF24EA6"/>
    <w:lvl w:ilvl="0" w:tplc="BD7E2F98">
      <w:start w:val="1"/>
      <w:numFmt w:val="lowerLetter"/>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6844FC"/>
    <w:multiLevelType w:val="hybridMultilevel"/>
    <w:tmpl w:val="85E6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964252"/>
    <w:multiLevelType w:val="hybridMultilevel"/>
    <w:tmpl w:val="28A256B4"/>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91004C82">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297C37"/>
    <w:multiLevelType w:val="hybridMultilevel"/>
    <w:tmpl w:val="C77A4660"/>
    <w:lvl w:ilvl="0" w:tplc="6366A364">
      <w:start w:val="1"/>
      <w:numFmt w:val="lowerLetter"/>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630E49"/>
    <w:multiLevelType w:val="hybridMultilevel"/>
    <w:tmpl w:val="1A70A5DE"/>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EC918F1"/>
    <w:multiLevelType w:val="hybridMultilevel"/>
    <w:tmpl w:val="32E0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267F62"/>
    <w:multiLevelType w:val="hybridMultilevel"/>
    <w:tmpl w:val="A8206102"/>
    <w:lvl w:ilvl="0" w:tplc="03E82576">
      <w:start w:val="1"/>
      <w:numFmt w:val="lowerLetter"/>
      <w:lvlText w:val="%1."/>
      <w:lvlJc w:val="left"/>
      <w:pPr>
        <w:ind w:left="1080" w:hanging="360"/>
      </w:pPr>
      <w:rPr>
        <w:b w:val="0"/>
        <w:i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BA19B6"/>
    <w:multiLevelType w:val="hybridMultilevel"/>
    <w:tmpl w:val="B6625D38"/>
    <w:lvl w:ilvl="0" w:tplc="969E9202">
      <w:start w:val="1"/>
      <w:numFmt w:val="decimal"/>
      <w:lvlText w:val="%1."/>
      <w:lvlJc w:val="lef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8A00196"/>
    <w:multiLevelType w:val="hybridMultilevel"/>
    <w:tmpl w:val="BBBA4C30"/>
    <w:lvl w:ilvl="0" w:tplc="353C9A02">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BAC684D"/>
    <w:multiLevelType w:val="hybridMultilevel"/>
    <w:tmpl w:val="C81C89C6"/>
    <w:lvl w:ilvl="0" w:tplc="41C0B238">
      <w:start w:val="1"/>
      <w:numFmt w:val="lowerLetter"/>
      <w:lvlText w:val="%1."/>
      <w:lvlJc w:val="left"/>
      <w:pPr>
        <w:ind w:left="1080" w:hanging="360"/>
      </w:pPr>
      <w:rPr>
        <w:color w:val="auto"/>
      </w:rPr>
    </w:lvl>
    <w:lvl w:ilvl="1" w:tplc="12547E82">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12747B2"/>
    <w:multiLevelType w:val="hybridMultilevel"/>
    <w:tmpl w:val="C5140B0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11D1256"/>
    <w:multiLevelType w:val="hybridMultilevel"/>
    <w:tmpl w:val="72C8DD00"/>
    <w:lvl w:ilvl="0" w:tplc="086446F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4D54097"/>
    <w:multiLevelType w:val="hybridMultilevel"/>
    <w:tmpl w:val="235278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67B0125"/>
    <w:multiLevelType w:val="hybridMultilevel"/>
    <w:tmpl w:val="266C3EFE"/>
    <w:lvl w:ilvl="0" w:tplc="E2D22BF4">
      <w:start w:val="1"/>
      <w:numFmt w:val="lowerLetter"/>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6EC5598"/>
    <w:multiLevelType w:val="hybridMultilevel"/>
    <w:tmpl w:val="59A81A36"/>
    <w:lvl w:ilvl="0" w:tplc="E0FCDD8A">
      <w:start w:val="1"/>
      <w:numFmt w:val="lowerLetter"/>
      <w:lvlText w:val="%1."/>
      <w:lvlJc w:val="left"/>
      <w:pPr>
        <w:ind w:left="1080" w:hanging="360"/>
      </w:pPr>
      <w:rPr>
        <w:rFonts w:hint="default"/>
        <w:b w:val="0"/>
        <w:i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B9245C2"/>
    <w:multiLevelType w:val="hybridMultilevel"/>
    <w:tmpl w:val="FFD40BFE"/>
    <w:lvl w:ilvl="0" w:tplc="2C7E4116">
      <w:start w:val="1"/>
      <w:numFmt w:val="lowerLetter"/>
      <w:lvlText w:val="%1."/>
      <w:lvlJc w:val="left"/>
      <w:pPr>
        <w:ind w:left="1170" w:hanging="360"/>
      </w:pPr>
      <w:rPr>
        <w:rFonts w:hint="default"/>
        <w:b w:val="0"/>
        <w:i w:val="0"/>
      </w:rPr>
    </w:lvl>
    <w:lvl w:ilvl="1" w:tplc="5B18158C">
      <w:start w:val="1"/>
      <w:numFmt w:val="decimal"/>
      <w:lvlText w:val="%2."/>
      <w:lvlJc w:val="left"/>
      <w:pPr>
        <w:ind w:left="1440" w:hanging="360"/>
      </w:pPr>
      <w:rPr>
        <w:rFonts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4257F8"/>
    <w:multiLevelType w:val="hybridMultilevel"/>
    <w:tmpl w:val="633A0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187117"/>
    <w:multiLevelType w:val="hybridMultilevel"/>
    <w:tmpl w:val="9A38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0A6983"/>
    <w:multiLevelType w:val="hybridMultilevel"/>
    <w:tmpl w:val="8B7EE75E"/>
    <w:lvl w:ilvl="0" w:tplc="04090001">
      <w:start w:val="1"/>
      <w:numFmt w:val="bullet"/>
      <w:lvlText w:val=""/>
      <w:lvlJc w:val="left"/>
      <w:pPr>
        <w:ind w:left="720" w:hanging="360"/>
      </w:pPr>
      <w:rPr>
        <w:rFonts w:ascii="Symbol" w:hAnsi="Symbol" w:hint="default"/>
      </w:rPr>
    </w:lvl>
    <w:lvl w:ilvl="1" w:tplc="8DAA2B26">
      <w:start w:val="1"/>
      <w:numFmt w:val="decimal"/>
      <w:lvlText w:val="%2."/>
      <w:lvlJc w:val="left"/>
      <w:pPr>
        <w:ind w:left="1440" w:hanging="360"/>
      </w:pPr>
      <w:rPr>
        <w:rFonts w:hint="default"/>
        <w:i w:val="0"/>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3C7971"/>
    <w:multiLevelType w:val="hybridMultilevel"/>
    <w:tmpl w:val="BFD0FFDA"/>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3710ABE"/>
    <w:multiLevelType w:val="hybridMultilevel"/>
    <w:tmpl w:val="1F648C92"/>
    <w:lvl w:ilvl="0" w:tplc="3A043780">
      <w:start w:val="1"/>
      <w:numFmt w:val="decimal"/>
      <w:lvlText w:val="%1."/>
      <w:lvlJc w:val="left"/>
      <w:pPr>
        <w:ind w:left="1800" w:hanging="360"/>
      </w:pPr>
      <w:rPr>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3990587"/>
    <w:multiLevelType w:val="hybridMultilevel"/>
    <w:tmpl w:val="5722349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79614C3"/>
    <w:multiLevelType w:val="hybridMultilevel"/>
    <w:tmpl w:val="86201A56"/>
    <w:lvl w:ilvl="0" w:tplc="CC22AB86">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83143A3"/>
    <w:multiLevelType w:val="hybridMultilevel"/>
    <w:tmpl w:val="D91EE506"/>
    <w:lvl w:ilvl="0" w:tplc="983A8CEE">
      <w:start w:val="1"/>
      <w:numFmt w:val="lowerLetter"/>
      <w:lvlText w:val="%1."/>
      <w:lvlJc w:val="left"/>
      <w:pPr>
        <w:ind w:left="1080" w:hanging="360"/>
      </w:pPr>
      <w:rPr>
        <w:b w:val="0"/>
      </w:rPr>
    </w:lvl>
    <w:lvl w:ilvl="1" w:tplc="D4429B2A">
      <w:start w:val="1"/>
      <w:numFmt w:val="decimal"/>
      <w:lvlText w:val="%2."/>
      <w:lvlJc w:val="left"/>
      <w:pPr>
        <w:ind w:left="1800" w:hanging="360"/>
      </w:pPr>
      <w:rPr>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9242E57"/>
    <w:multiLevelType w:val="hybridMultilevel"/>
    <w:tmpl w:val="DFDC8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9D5D39"/>
    <w:multiLevelType w:val="hybridMultilevel"/>
    <w:tmpl w:val="D6A0768E"/>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E1D03C1"/>
    <w:multiLevelType w:val="hybridMultilevel"/>
    <w:tmpl w:val="84AAE328"/>
    <w:lvl w:ilvl="0" w:tplc="04090019">
      <w:start w:val="1"/>
      <w:numFmt w:val="lowerLetter"/>
      <w:lvlText w:val="%1."/>
      <w:lvlJc w:val="left"/>
      <w:pPr>
        <w:ind w:left="1080" w:hanging="360"/>
      </w:pPr>
      <w:rPr>
        <w:rFonts w:hint="default"/>
      </w:rPr>
    </w:lvl>
    <w:lvl w:ilvl="1" w:tplc="3AA07C4E">
      <w:start w:val="1"/>
      <w:numFmt w:val="decimal"/>
      <w:lvlText w:val="%2."/>
      <w:lvlJc w:val="left"/>
      <w:pPr>
        <w:ind w:left="1800" w:hanging="360"/>
      </w:pPr>
      <w:rPr>
        <w:rFonts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1"/>
  </w:num>
  <w:num w:numId="3">
    <w:abstractNumId w:val="21"/>
  </w:num>
  <w:num w:numId="4">
    <w:abstractNumId w:val="31"/>
  </w:num>
  <w:num w:numId="5">
    <w:abstractNumId w:val="9"/>
  </w:num>
  <w:num w:numId="6">
    <w:abstractNumId w:val="4"/>
  </w:num>
  <w:num w:numId="7">
    <w:abstractNumId w:val="28"/>
  </w:num>
  <w:num w:numId="8">
    <w:abstractNumId w:val="23"/>
  </w:num>
  <w:num w:numId="9">
    <w:abstractNumId w:val="24"/>
  </w:num>
  <w:num w:numId="10">
    <w:abstractNumId w:val="26"/>
  </w:num>
  <w:num w:numId="11">
    <w:abstractNumId w:val="11"/>
  </w:num>
  <w:num w:numId="12">
    <w:abstractNumId w:val="7"/>
  </w:num>
  <w:num w:numId="13">
    <w:abstractNumId w:val="12"/>
  </w:num>
  <w:num w:numId="14">
    <w:abstractNumId w:val="14"/>
  </w:num>
  <w:num w:numId="15">
    <w:abstractNumId w:val="0"/>
  </w:num>
  <w:num w:numId="16">
    <w:abstractNumId w:val="30"/>
  </w:num>
  <w:num w:numId="17">
    <w:abstractNumId w:val="20"/>
  </w:num>
  <w:num w:numId="18">
    <w:abstractNumId w:val="19"/>
  </w:num>
  <w:num w:numId="19">
    <w:abstractNumId w:val="13"/>
  </w:num>
  <w:num w:numId="20">
    <w:abstractNumId w:val="25"/>
  </w:num>
  <w:num w:numId="21">
    <w:abstractNumId w:val="8"/>
  </w:num>
  <w:num w:numId="22">
    <w:abstractNumId w:val="18"/>
  </w:num>
  <w:num w:numId="23">
    <w:abstractNumId w:val="16"/>
  </w:num>
  <w:num w:numId="24">
    <w:abstractNumId w:val="5"/>
  </w:num>
  <w:num w:numId="25">
    <w:abstractNumId w:val="2"/>
  </w:num>
  <w:num w:numId="26">
    <w:abstractNumId w:val="3"/>
  </w:num>
  <w:num w:numId="27">
    <w:abstractNumId w:val="6"/>
  </w:num>
  <w:num w:numId="28">
    <w:abstractNumId w:val="27"/>
  </w:num>
  <w:num w:numId="29">
    <w:abstractNumId w:val="15"/>
  </w:num>
  <w:num w:numId="30">
    <w:abstractNumId w:val="10"/>
  </w:num>
  <w:num w:numId="31">
    <w:abstractNumId w:val="29"/>
  </w:num>
  <w:num w:numId="32">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57"/>
    <w:rsid w:val="0000046D"/>
    <w:rsid w:val="0000293F"/>
    <w:rsid w:val="0000427D"/>
    <w:rsid w:val="00011785"/>
    <w:rsid w:val="00015CFA"/>
    <w:rsid w:val="0001677D"/>
    <w:rsid w:val="00016B31"/>
    <w:rsid w:val="000244C1"/>
    <w:rsid w:val="00026B8C"/>
    <w:rsid w:val="00030A5D"/>
    <w:rsid w:val="00031482"/>
    <w:rsid w:val="0003361D"/>
    <w:rsid w:val="0003479A"/>
    <w:rsid w:val="000361AA"/>
    <w:rsid w:val="00036B39"/>
    <w:rsid w:val="00037130"/>
    <w:rsid w:val="00042296"/>
    <w:rsid w:val="0004414C"/>
    <w:rsid w:val="00044F29"/>
    <w:rsid w:val="00045D3C"/>
    <w:rsid w:val="000506B8"/>
    <w:rsid w:val="000522E3"/>
    <w:rsid w:val="0005630E"/>
    <w:rsid w:val="00056592"/>
    <w:rsid w:val="00060D42"/>
    <w:rsid w:val="000626C3"/>
    <w:rsid w:val="000664B7"/>
    <w:rsid w:val="00071A74"/>
    <w:rsid w:val="00080D61"/>
    <w:rsid w:val="000814F8"/>
    <w:rsid w:val="0008593F"/>
    <w:rsid w:val="000875E0"/>
    <w:rsid w:val="000877B4"/>
    <w:rsid w:val="000902A2"/>
    <w:rsid w:val="00091E5A"/>
    <w:rsid w:val="000A572F"/>
    <w:rsid w:val="000A7271"/>
    <w:rsid w:val="000B09F0"/>
    <w:rsid w:val="000B14C2"/>
    <w:rsid w:val="000B1F55"/>
    <w:rsid w:val="000B645F"/>
    <w:rsid w:val="000C15AD"/>
    <w:rsid w:val="000C2E9E"/>
    <w:rsid w:val="000C38BB"/>
    <w:rsid w:val="000C4606"/>
    <w:rsid w:val="000C4B18"/>
    <w:rsid w:val="000C7FAC"/>
    <w:rsid w:val="000D0F39"/>
    <w:rsid w:val="000D104D"/>
    <w:rsid w:val="000D1811"/>
    <w:rsid w:val="000D28B4"/>
    <w:rsid w:val="000D451A"/>
    <w:rsid w:val="000D5B9D"/>
    <w:rsid w:val="000E041F"/>
    <w:rsid w:val="000E0ADC"/>
    <w:rsid w:val="000E1728"/>
    <w:rsid w:val="000E1FB6"/>
    <w:rsid w:val="000E5205"/>
    <w:rsid w:val="000E5C96"/>
    <w:rsid w:val="000F0129"/>
    <w:rsid w:val="000F24B8"/>
    <w:rsid w:val="000F2B76"/>
    <w:rsid w:val="000F47C1"/>
    <w:rsid w:val="000F77B2"/>
    <w:rsid w:val="00102D4F"/>
    <w:rsid w:val="00103F57"/>
    <w:rsid w:val="001075DF"/>
    <w:rsid w:val="00107D8E"/>
    <w:rsid w:val="00110987"/>
    <w:rsid w:val="001158D2"/>
    <w:rsid w:val="00115B7A"/>
    <w:rsid w:val="001164C2"/>
    <w:rsid w:val="00130AA8"/>
    <w:rsid w:val="00131B5D"/>
    <w:rsid w:val="00131DA6"/>
    <w:rsid w:val="001322FC"/>
    <w:rsid w:val="00133926"/>
    <w:rsid w:val="00133FC8"/>
    <w:rsid w:val="00143AEC"/>
    <w:rsid w:val="00144E4A"/>
    <w:rsid w:val="001471FD"/>
    <w:rsid w:val="00152819"/>
    <w:rsid w:val="00152F90"/>
    <w:rsid w:val="00160EDB"/>
    <w:rsid w:val="001632D6"/>
    <w:rsid w:val="00172AF4"/>
    <w:rsid w:val="001751F2"/>
    <w:rsid w:val="00175E95"/>
    <w:rsid w:val="00180DB8"/>
    <w:rsid w:val="001832C0"/>
    <w:rsid w:val="00185D68"/>
    <w:rsid w:val="00190402"/>
    <w:rsid w:val="00194A52"/>
    <w:rsid w:val="00195600"/>
    <w:rsid w:val="00197E1E"/>
    <w:rsid w:val="001A3025"/>
    <w:rsid w:val="001B136B"/>
    <w:rsid w:val="001B19E3"/>
    <w:rsid w:val="001B1FF6"/>
    <w:rsid w:val="001B517D"/>
    <w:rsid w:val="001B6270"/>
    <w:rsid w:val="001C028C"/>
    <w:rsid w:val="001C1403"/>
    <w:rsid w:val="001C1712"/>
    <w:rsid w:val="001C4F42"/>
    <w:rsid w:val="001C702F"/>
    <w:rsid w:val="001D0C51"/>
    <w:rsid w:val="001D3248"/>
    <w:rsid w:val="001D75D1"/>
    <w:rsid w:val="001D7D50"/>
    <w:rsid w:val="001E3DDC"/>
    <w:rsid w:val="001E759F"/>
    <w:rsid w:val="001F0B07"/>
    <w:rsid w:val="001F0C51"/>
    <w:rsid w:val="001F1E33"/>
    <w:rsid w:val="001F3146"/>
    <w:rsid w:val="001F39F4"/>
    <w:rsid w:val="001F4148"/>
    <w:rsid w:val="001F5C29"/>
    <w:rsid w:val="001F62B3"/>
    <w:rsid w:val="00200F34"/>
    <w:rsid w:val="00202C88"/>
    <w:rsid w:val="00214362"/>
    <w:rsid w:val="002168CE"/>
    <w:rsid w:val="00217A54"/>
    <w:rsid w:val="00222126"/>
    <w:rsid w:val="0022592D"/>
    <w:rsid w:val="00226373"/>
    <w:rsid w:val="002318FD"/>
    <w:rsid w:val="00232224"/>
    <w:rsid w:val="002326A5"/>
    <w:rsid w:val="00235E20"/>
    <w:rsid w:val="002460CC"/>
    <w:rsid w:val="00247AA8"/>
    <w:rsid w:val="00250A24"/>
    <w:rsid w:val="00251934"/>
    <w:rsid w:val="00251957"/>
    <w:rsid w:val="00252F36"/>
    <w:rsid w:val="00253C27"/>
    <w:rsid w:val="00255B36"/>
    <w:rsid w:val="00256A58"/>
    <w:rsid w:val="00257677"/>
    <w:rsid w:val="00263199"/>
    <w:rsid w:val="002673C4"/>
    <w:rsid w:val="0026757D"/>
    <w:rsid w:val="002707A7"/>
    <w:rsid w:val="00270862"/>
    <w:rsid w:val="00271B77"/>
    <w:rsid w:val="00272ABB"/>
    <w:rsid w:val="00272FA6"/>
    <w:rsid w:val="0027675D"/>
    <w:rsid w:val="00277592"/>
    <w:rsid w:val="00281DE0"/>
    <w:rsid w:val="00282F16"/>
    <w:rsid w:val="002853C0"/>
    <w:rsid w:val="002912D4"/>
    <w:rsid w:val="00292865"/>
    <w:rsid w:val="00294AE5"/>
    <w:rsid w:val="00294DE4"/>
    <w:rsid w:val="00296D79"/>
    <w:rsid w:val="002A00E0"/>
    <w:rsid w:val="002A5A75"/>
    <w:rsid w:val="002B0AFD"/>
    <w:rsid w:val="002B2197"/>
    <w:rsid w:val="002B4253"/>
    <w:rsid w:val="002B4A4E"/>
    <w:rsid w:val="002B679B"/>
    <w:rsid w:val="002B70E1"/>
    <w:rsid w:val="002B75C5"/>
    <w:rsid w:val="002C5C0F"/>
    <w:rsid w:val="002C5F07"/>
    <w:rsid w:val="002D01A3"/>
    <w:rsid w:val="002D214E"/>
    <w:rsid w:val="002D425C"/>
    <w:rsid w:val="002D47C6"/>
    <w:rsid w:val="002D63E8"/>
    <w:rsid w:val="002D7A2B"/>
    <w:rsid w:val="002D7BE9"/>
    <w:rsid w:val="002E082C"/>
    <w:rsid w:val="002E118A"/>
    <w:rsid w:val="002E4311"/>
    <w:rsid w:val="002E58EA"/>
    <w:rsid w:val="002E5C76"/>
    <w:rsid w:val="002F35ED"/>
    <w:rsid w:val="002F4B21"/>
    <w:rsid w:val="0030481E"/>
    <w:rsid w:val="003107B0"/>
    <w:rsid w:val="00310AE2"/>
    <w:rsid w:val="00311A0E"/>
    <w:rsid w:val="00313379"/>
    <w:rsid w:val="0031357A"/>
    <w:rsid w:val="0032326B"/>
    <w:rsid w:val="00327287"/>
    <w:rsid w:val="00327353"/>
    <w:rsid w:val="00327366"/>
    <w:rsid w:val="00327B5A"/>
    <w:rsid w:val="00327D0F"/>
    <w:rsid w:val="00331C62"/>
    <w:rsid w:val="00331F11"/>
    <w:rsid w:val="00331FDB"/>
    <w:rsid w:val="00340367"/>
    <w:rsid w:val="00341565"/>
    <w:rsid w:val="00341B35"/>
    <w:rsid w:val="003440EF"/>
    <w:rsid w:val="003462FE"/>
    <w:rsid w:val="003465C9"/>
    <w:rsid w:val="00346897"/>
    <w:rsid w:val="00346B05"/>
    <w:rsid w:val="0034792E"/>
    <w:rsid w:val="00347CC2"/>
    <w:rsid w:val="0035211F"/>
    <w:rsid w:val="00354551"/>
    <w:rsid w:val="0035509A"/>
    <w:rsid w:val="00362F7B"/>
    <w:rsid w:val="003745B6"/>
    <w:rsid w:val="00377253"/>
    <w:rsid w:val="0037744E"/>
    <w:rsid w:val="00385B7D"/>
    <w:rsid w:val="00392EA3"/>
    <w:rsid w:val="003940D3"/>
    <w:rsid w:val="00395124"/>
    <w:rsid w:val="003A0411"/>
    <w:rsid w:val="003A2158"/>
    <w:rsid w:val="003B26EA"/>
    <w:rsid w:val="003B275F"/>
    <w:rsid w:val="003B50D3"/>
    <w:rsid w:val="003B6FE5"/>
    <w:rsid w:val="003C25D0"/>
    <w:rsid w:val="003C4907"/>
    <w:rsid w:val="003C4BD2"/>
    <w:rsid w:val="003C5F56"/>
    <w:rsid w:val="003C7A43"/>
    <w:rsid w:val="003D04FA"/>
    <w:rsid w:val="003D075D"/>
    <w:rsid w:val="003D1CCE"/>
    <w:rsid w:val="003D5628"/>
    <w:rsid w:val="003D7F60"/>
    <w:rsid w:val="003E14E2"/>
    <w:rsid w:val="003E3A42"/>
    <w:rsid w:val="003E5B5F"/>
    <w:rsid w:val="003E5CBB"/>
    <w:rsid w:val="003F00F2"/>
    <w:rsid w:val="003F2232"/>
    <w:rsid w:val="003F3A60"/>
    <w:rsid w:val="00403CA0"/>
    <w:rsid w:val="00404D49"/>
    <w:rsid w:val="0041184B"/>
    <w:rsid w:val="004121BB"/>
    <w:rsid w:val="00412C02"/>
    <w:rsid w:val="0041425D"/>
    <w:rsid w:val="00416D62"/>
    <w:rsid w:val="00423405"/>
    <w:rsid w:val="004236E0"/>
    <w:rsid w:val="004240FD"/>
    <w:rsid w:val="00424F25"/>
    <w:rsid w:val="00424FFD"/>
    <w:rsid w:val="00426036"/>
    <w:rsid w:val="00426047"/>
    <w:rsid w:val="00426F62"/>
    <w:rsid w:val="004319A0"/>
    <w:rsid w:val="00440AAC"/>
    <w:rsid w:val="00440ACA"/>
    <w:rsid w:val="004431AF"/>
    <w:rsid w:val="00446113"/>
    <w:rsid w:val="00447C3D"/>
    <w:rsid w:val="004501DF"/>
    <w:rsid w:val="00454732"/>
    <w:rsid w:val="00456B40"/>
    <w:rsid w:val="00456FE3"/>
    <w:rsid w:val="00457A18"/>
    <w:rsid w:val="00460668"/>
    <w:rsid w:val="00461427"/>
    <w:rsid w:val="00462E36"/>
    <w:rsid w:val="00466D23"/>
    <w:rsid w:val="0047242D"/>
    <w:rsid w:val="0047547B"/>
    <w:rsid w:val="0049197C"/>
    <w:rsid w:val="00492312"/>
    <w:rsid w:val="004926D7"/>
    <w:rsid w:val="00493FCD"/>
    <w:rsid w:val="004952E3"/>
    <w:rsid w:val="00495F4D"/>
    <w:rsid w:val="004A0B1D"/>
    <w:rsid w:val="004A2D1E"/>
    <w:rsid w:val="004A73E9"/>
    <w:rsid w:val="004A7EA0"/>
    <w:rsid w:val="004B47AC"/>
    <w:rsid w:val="004B76F1"/>
    <w:rsid w:val="004C042B"/>
    <w:rsid w:val="004C2986"/>
    <w:rsid w:val="004C4C43"/>
    <w:rsid w:val="004C74B9"/>
    <w:rsid w:val="004C7DA9"/>
    <w:rsid w:val="004D099C"/>
    <w:rsid w:val="004D3906"/>
    <w:rsid w:val="004D48F1"/>
    <w:rsid w:val="004E5F78"/>
    <w:rsid w:val="004F1D94"/>
    <w:rsid w:val="004F7EA1"/>
    <w:rsid w:val="0050061B"/>
    <w:rsid w:val="00501474"/>
    <w:rsid w:val="00501EA1"/>
    <w:rsid w:val="00502A12"/>
    <w:rsid w:val="00505A85"/>
    <w:rsid w:val="0051669C"/>
    <w:rsid w:val="0051789F"/>
    <w:rsid w:val="00517FEA"/>
    <w:rsid w:val="0052067F"/>
    <w:rsid w:val="005237FB"/>
    <w:rsid w:val="00524CC2"/>
    <w:rsid w:val="00525DA7"/>
    <w:rsid w:val="00527DD5"/>
    <w:rsid w:val="00532D78"/>
    <w:rsid w:val="00533683"/>
    <w:rsid w:val="00534706"/>
    <w:rsid w:val="00537CA7"/>
    <w:rsid w:val="005404C5"/>
    <w:rsid w:val="00540589"/>
    <w:rsid w:val="0054092F"/>
    <w:rsid w:val="00541A12"/>
    <w:rsid w:val="00541F8C"/>
    <w:rsid w:val="0054274B"/>
    <w:rsid w:val="005441B5"/>
    <w:rsid w:val="005458B9"/>
    <w:rsid w:val="00547286"/>
    <w:rsid w:val="005509C1"/>
    <w:rsid w:val="005521B9"/>
    <w:rsid w:val="00552A16"/>
    <w:rsid w:val="0055468B"/>
    <w:rsid w:val="00554AF8"/>
    <w:rsid w:val="00554F56"/>
    <w:rsid w:val="0055648C"/>
    <w:rsid w:val="00556D22"/>
    <w:rsid w:val="00556FE4"/>
    <w:rsid w:val="00563DFE"/>
    <w:rsid w:val="00564A95"/>
    <w:rsid w:val="005652FE"/>
    <w:rsid w:val="00574047"/>
    <w:rsid w:val="00575448"/>
    <w:rsid w:val="00577BDA"/>
    <w:rsid w:val="00580005"/>
    <w:rsid w:val="0058002F"/>
    <w:rsid w:val="0058240E"/>
    <w:rsid w:val="00582B6D"/>
    <w:rsid w:val="005839E9"/>
    <w:rsid w:val="00583F99"/>
    <w:rsid w:val="005864BC"/>
    <w:rsid w:val="00587D10"/>
    <w:rsid w:val="00592C2E"/>
    <w:rsid w:val="00592D2B"/>
    <w:rsid w:val="00592D55"/>
    <w:rsid w:val="00595C3A"/>
    <w:rsid w:val="005966E0"/>
    <w:rsid w:val="0059677C"/>
    <w:rsid w:val="00596FD5"/>
    <w:rsid w:val="00597740"/>
    <w:rsid w:val="005A1AD4"/>
    <w:rsid w:val="005A3159"/>
    <w:rsid w:val="005B0462"/>
    <w:rsid w:val="005B0FDB"/>
    <w:rsid w:val="005B2DAA"/>
    <w:rsid w:val="005B32CD"/>
    <w:rsid w:val="005B47CB"/>
    <w:rsid w:val="005B7F51"/>
    <w:rsid w:val="005C01E7"/>
    <w:rsid w:val="005C2FB7"/>
    <w:rsid w:val="005D1241"/>
    <w:rsid w:val="005D1CFA"/>
    <w:rsid w:val="005D2FF4"/>
    <w:rsid w:val="005D5665"/>
    <w:rsid w:val="005D6488"/>
    <w:rsid w:val="005E2B73"/>
    <w:rsid w:val="005E50F5"/>
    <w:rsid w:val="005E7679"/>
    <w:rsid w:val="005F3582"/>
    <w:rsid w:val="005F6C68"/>
    <w:rsid w:val="005F78DB"/>
    <w:rsid w:val="00601D7A"/>
    <w:rsid w:val="0060446B"/>
    <w:rsid w:val="0060582B"/>
    <w:rsid w:val="00611389"/>
    <w:rsid w:val="00615769"/>
    <w:rsid w:val="00621C02"/>
    <w:rsid w:val="006227B9"/>
    <w:rsid w:val="00622E9F"/>
    <w:rsid w:val="006230E8"/>
    <w:rsid w:val="00631584"/>
    <w:rsid w:val="0063165F"/>
    <w:rsid w:val="0063285F"/>
    <w:rsid w:val="0064199C"/>
    <w:rsid w:val="006473FA"/>
    <w:rsid w:val="00647498"/>
    <w:rsid w:val="00654610"/>
    <w:rsid w:val="00654D95"/>
    <w:rsid w:val="00655397"/>
    <w:rsid w:val="00655D63"/>
    <w:rsid w:val="00656DA6"/>
    <w:rsid w:val="00662436"/>
    <w:rsid w:val="006633EA"/>
    <w:rsid w:val="0067674D"/>
    <w:rsid w:val="00677106"/>
    <w:rsid w:val="006805E1"/>
    <w:rsid w:val="00682A1E"/>
    <w:rsid w:val="00683B2D"/>
    <w:rsid w:val="00683D28"/>
    <w:rsid w:val="00684AE2"/>
    <w:rsid w:val="00686C9B"/>
    <w:rsid w:val="00687999"/>
    <w:rsid w:val="0069393A"/>
    <w:rsid w:val="00693FC8"/>
    <w:rsid w:val="00694A1B"/>
    <w:rsid w:val="006A434E"/>
    <w:rsid w:val="006A6479"/>
    <w:rsid w:val="006A663F"/>
    <w:rsid w:val="006B2AF6"/>
    <w:rsid w:val="006B5B69"/>
    <w:rsid w:val="006B5DAD"/>
    <w:rsid w:val="006B6338"/>
    <w:rsid w:val="006B6BA2"/>
    <w:rsid w:val="006C07C2"/>
    <w:rsid w:val="006C31CA"/>
    <w:rsid w:val="006C7E81"/>
    <w:rsid w:val="006E0855"/>
    <w:rsid w:val="006E0991"/>
    <w:rsid w:val="006E0AC7"/>
    <w:rsid w:val="006E3AFE"/>
    <w:rsid w:val="006E5D45"/>
    <w:rsid w:val="006E6D58"/>
    <w:rsid w:val="006E7187"/>
    <w:rsid w:val="006E7F2C"/>
    <w:rsid w:val="006F30A3"/>
    <w:rsid w:val="006F4555"/>
    <w:rsid w:val="006F5504"/>
    <w:rsid w:val="006F700B"/>
    <w:rsid w:val="006F7899"/>
    <w:rsid w:val="00703DBB"/>
    <w:rsid w:val="00704956"/>
    <w:rsid w:val="00705624"/>
    <w:rsid w:val="0071209F"/>
    <w:rsid w:val="00712677"/>
    <w:rsid w:val="0071710F"/>
    <w:rsid w:val="00720445"/>
    <w:rsid w:val="007214AA"/>
    <w:rsid w:val="007257F5"/>
    <w:rsid w:val="00725831"/>
    <w:rsid w:val="0072731D"/>
    <w:rsid w:val="00733F8E"/>
    <w:rsid w:val="00734690"/>
    <w:rsid w:val="00736DEA"/>
    <w:rsid w:val="007429E0"/>
    <w:rsid w:val="00742CB8"/>
    <w:rsid w:val="007441D1"/>
    <w:rsid w:val="00745BE6"/>
    <w:rsid w:val="00745CFA"/>
    <w:rsid w:val="00746050"/>
    <w:rsid w:val="007465FB"/>
    <w:rsid w:val="00750279"/>
    <w:rsid w:val="00750A4A"/>
    <w:rsid w:val="00750C1B"/>
    <w:rsid w:val="00754CA5"/>
    <w:rsid w:val="007557B5"/>
    <w:rsid w:val="00760A49"/>
    <w:rsid w:val="00762013"/>
    <w:rsid w:val="00763FA6"/>
    <w:rsid w:val="00765833"/>
    <w:rsid w:val="007675A9"/>
    <w:rsid w:val="00772549"/>
    <w:rsid w:val="00772811"/>
    <w:rsid w:val="0077450A"/>
    <w:rsid w:val="00775A5D"/>
    <w:rsid w:val="007802B4"/>
    <w:rsid w:val="00780C74"/>
    <w:rsid w:val="00782780"/>
    <w:rsid w:val="00785A26"/>
    <w:rsid w:val="00786385"/>
    <w:rsid w:val="00786395"/>
    <w:rsid w:val="00791D7C"/>
    <w:rsid w:val="00793FB4"/>
    <w:rsid w:val="00794540"/>
    <w:rsid w:val="00794B00"/>
    <w:rsid w:val="007A1D6A"/>
    <w:rsid w:val="007A2486"/>
    <w:rsid w:val="007A37DD"/>
    <w:rsid w:val="007A3D35"/>
    <w:rsid w:val="007A4D73"/>
    <w:rsid w:val="007A4FDC"/>
    <w:rsid w:val="007A5751"/>
    <w:rsid w:val="007B1955"/>
    <w:rsid w:val="007B2D54"/>
    <w:rsid w:val="007B2DB3"/>
    <w:rsid w:val="007B58C1"/>
    <w:rsid w:val="007B72CE"/>
    <w:rsid w:val="007C649B"/>
    <w:rsid w:val="007C7B9E"/>
    <w:rsid w:val="007D0FED"/>
    <w:rsid w:val="007D1B22"/>
    <w:rsid w:val="007D4C21"/>
    <w:rsid w:val="007D4E4B"/>
    <w:rsid w:val="007E1833"/>
    <w:rsid w:val="007E5AF2"/>
    <w:rsid w:val="007F0CA6"/>
    <w:rsid w:val="007F60F2"/>
    <w:rsid w:val="007F6837"/>
    <w:rsid w:val="007F6E76"/>
    <w:rsid w:val="007F7A23"/>
    <w:rsid w:val="00801C63"/>
    <w:rsid w:val="00801EA2"/>
    <w:rsid w:val="008067A5"/>
    <w:rsid w:val="00810919"/>
    <w:rsid w:val="008131D7"/>
    <w:rsid w:val="008133B2"/>
    <w:rsid w:val="00813512"/>
    <w:rsid w:val="00815338"/>
    <w:rsid w:val="00816A72"/>
    <w:rsid w:val="008177AA"/>
    <w:rsid w:val="00822FE7"/>
    <w:rsid w:val="008248E8"/>
    <w:rsid w:val="00826097"/>
    <w:rsid w:val="008418F4"/>
    <w:rsid w:val="0084202E"/>
    <w:rsid w:val="008602CC"/>
    <w:rsid w:val="00860A5E"/>
    <w:rsid w:val="0086349F"/>
    <w:rsid w:val="00863BF7"/>
    <w:rsid w:val="00866040"/>
    <w:rsid w:val="008708B1"/>
    <w:rsid w:val="008735D0"/>
    <w:rsid w:val="008765C1"/>
    <w:rsid w:val="00876D3D"/>
    <w:rsid w:val="008778D4"/>
    <w:rsid w:val="00880E84"/>
    <w:rsid w:val="008822F9"/>
    <w:rsid w:val="00884BA1"/>
    <w:rsid w:val="00886565"/>
    <w:rsid w:val="00887AE2"/>
    <w:rsid w:val="008907F9"/>
    <w:rsid w:val="00891849"/>
    <w:rsid w:val="00895AC0"/>
    <w:rsid w:val="00897709"/>
    <w:rsid w:val="008A3AC6"/>
    <w:rsid w:val="008A44E1"/>
    <w:rsid w:val="008A65DB"/>
    <w:rsid w:val="008B00BD"/>
    <w:rsid w:val="008B0A44"/>
    <w:rsid w:val="008B399E"/>
    <w:rsid w:val="008C0C68"/>
    <w:rsid w:val="008D0E32"/>
    <w:rsid w:val="008D1ADF"/>
    <w:rsid w:val="008D2660"/>
    <w:rsid w:val="008D6B5A"/>
    <w:rsid w:val="008E089E"/>
    <w:rsid w:val="008E452F"/>
    <w:rsid w:val="008E4D7C"/>
    <w:rsid w:val="008E56F2"/>
    <w:rsid w:val="008F2A37"/>
    <w:rsid w:val="008F674A"/>
    <w:rsid w:val="009006AA"/>
    <w:rsid w:val="00902D0E"/>
    <w:rsid w:val="00905696"/>
    <w:rsid w:val="0090716B"/>
    <w:rsid w:val="00910313"/>
    <w:rsid w:val="00911F8B"/>
    <w:rsid w:val="009134E7"/>
    <w:rsid w:val="009141DC"/>
    <w:rsid w:val="00914B1F"/>
    <w:rsid w:val="00915A9D"/>
    <w:rsid w:val="00922E19"/>
    <w:rsid w:val="00925053"/>
    <w:rsid w:val="00925AE0"/>
    <w:rsid w:val="00926570"/>
    <w:rsid w:val="0093361A"/>
    <w:rsid w:val="009352A2"/>
    <w:rsid w:val="009364C2"/>
    <w:rsid w:val="00936E39"/>
    <w:rsid w:val="009378A2"/>
    <w:rsid w:val="00940A38"/>
    <w:rsid w:val="009419D6"/>
    <w:rsid w:val="00943023"/>
    <w:rsid w:val="00943937"/>
    <w:rsid w:val="00944205"/>
    <w:rsid w:val="0094723E"/>
    <w:rsid w:val="00954D98"/>
    <w:rsid w:val="0096724B"/>
    <w:rsid w:val="009715A2"/>
    <w:rsid w:val="00971A84"/>
    <w:rsid w:val="009745C4"/>
    <w:rsid w:val="00975027"/>
    <w:rsid w:val="00975CB9"/>
    <w:rsid w:val="00977B38"/>
    <w:rsid w:val="00983414"/>
    <w:rsid w:val="0098608F"/>
    <w:rsid w:val="009869F5"/>
    <w:rsid w:val="00990675"/>
    <w:rsid w:val="009910B3"/>
    <w:rsid w:val="00992F08"/>
    <w:rsid w:val="00993A78"/>
    <w:rsid w:val="00997F3C"/>
    <w:rsid w:val="009A55F7"/>
    <w:rsid w:val="009A729B"/>
    <w:rsid w:val="009B01A2"/>
    <w:rsid w:val="009B387F"/>
    <w:rsid w:val="009B5109"/>
    <w:rsid w:val="009C006D"/>
    <w:rsid w:val="009C1BC5"/>
    <w:rsid w:val="009C38D7"/>
    <w:rsid w:val="009C64E4"/>
    <w:rsid w:val="009D2F87"/>
    <w:rsid w:val="009D57B0"/>
    <w:rsid w:val="009D7991"/>
    <w:rsid w:val="009E275D"/>
    <w:rsid w:val="009E3030"/>
    <w:rsid w:val="009E3B74"/>
    <w:rsid w:val="009E7806"/>
    <w:rsid w:val="009F064D"/>
    <w:rsid w:val="009F10EC"/>
    <w:rsid w:val="009F4D93"/>
    <w:rsid w:val="009F50F4"/>
    <w:rsid w:val="00A036A6"/>
    <w:rsid w:val="00A042CE"/>
    <w:rsid w:val="00A170ED"/>
    <w:rsid w:val="00A2422E"/>
    <w:rsid w:val="00A25D45"/>
    <w:rsid w:val="00A267AA"/>
    <w:rsid w:val="00A2736D"/>
    <w:rsid w:val="00A3040B"/>
    <w:rsid w:val="00A327EE"/>
    <w:rsid w:val="00A33F84"/>
    <w:rsid w:val="00A35E19"/>
    <w:rsid w:val="00A37C6C"/>
    <w:rsid w:val="00A40581"/>
    <w:rsid w:val="00A41AF9"/>
    <w:rsid w:val="00A422DF"/>
    <w:rsid w:val="00A42456"/>
    <w:rsid w:val="00A47282"/>
    <w:rsid w:val="00A558D5"/>
    <w:rsid w:val="00A567A6"/>
    <w:rsid w:val="00A57A4E"/>
    <w:rsid w:val="00A61D05"/>
    <w:rsid w:val="00A624C6"/>
    <w:rsid w:val="00A630A4"/>
    <w:rsid w:val="00A64F92"/>
    <w:rsid w:val="00A65478"/>
    <w:rsid w:val="00A65480"/>
    <w:rsid w:val="00A6698B"/>
    <w:rsid w:val="00A67EA8"/>
    <w:rsid w:val="00A70830"/>
    <w:rsid w:val="00A721B4"/>
    <w:rsid w:val="00A744BD"/>
    <w:rsid w:val="00A74FDD"/>
    <w:rsid w:val="00A81054"/>
    <w:rsid w:val="00A841F2"/>
    <w:rsid w:val="00A86598"/>
    <w:rsid w:val="00A86EB9"/>
    <w:rsid w:val="00A90A72"/>
    <w:rsid w:val="00A968A9"/>
    <w:rsid w:val="00A972FB"/>
    <w:rsid w:val="00AA19C7"/>
    <w:rsid w:val="00AA19ED"/>
    <w:rsid w:val="00AA6D72"/>
    <w:rsid w:val="00AA6EF5"/>
    <w:rsid w:val="00AB34DC"/>
    <w:rsid w:val="00AB5320"/>
    <w:rsid w:val="00AB581A"/>
    <w:rsid w:val="00AB69F5"/>
    <w:rsid w:val="00AB7018"/>
    <w:rsid w:val="00AC0371"/>
    <w:rsid w:val="00AC3050"/>
    <w:rsid w:val="00AC4690"/>
    <w:rsid w:val="00AC6A33"/>
    <w:rsid w:val="00AD0E25"/>
    <w:rsid w:val="00AD16B3"/>
    <w:rsid w:val="00AD38AA"/>
    <w:rsid w:val="00AD620D"/>
    <w:rsid w:val="00AD63B7"/>
    <w:rsid w:val="00AD66CD"/>
    <w:rsid w:val="00AD6BB6"/>
    <w:rsid w:val="00AE2BC0"/>
    <w:rsid w:val="00AE3CEC"/>
    <w:rsid w:val="00AE3D80"/>
    <w:rsid w:val="00AE4304"/>
    <w:rsid w:val="00AE6BF3"/>
    <w:rsid w:val="00AE6F7B"/>
    <w:rsid w:val="00AE76EB"/>
    <w:rsid w:val="00AF21A3"/>
    <w:rsid w:val="00B019FA"/>
    <w:rsid w:val="00B02CB1"/>
    <w:rsid w:val="00B04021"/>
    <w:rsid w:val="00B045D4"/>
    <w:rsid w:val="00B0523F"/>
    <w:rsid w:val="00B06BD0"/>
    <w:rsid w:val="00B10148"/>
    <w:rsid w:val="00B1447C"/>
    <w:rsid w:val="00B14D21"/>
    <w:rsid w:val="00B154CD"/>
    <w:rsid w:val="00B232D5"/>
    <w:rsid w:val="00B23BEF"/>
    <w:rsid w:val="00B23C80"/>
    <w:rsid w:val="00B25BA2"/>
    <w:rsid w:val="00B25DD8"/>
    <w:rsid w:val="00B260A5"/>
    <w:rsid w:val="00B2649F"/>
    <w:rsid w:val="00B272C6"/>
    <w:rsid w:val="00B27EC3"/>
    <w:rsid w:val="00B31BBB"/>
    <w:rsid w:val="00B33165"/>
    <w:rsid w:val="00B352DE"/>
    <w:rsid w:val="00B369C0"/>
    <w:rsid w:val="00B40ADF"/>
    <w:rsid w:val="00B411F5"/>
    <w:rsid w:val="00B45513"/>
    <w:rsid w:val="00B518CC"/>
    <w:rsid w:val="00B52E37"/>
    <w:rsid w:val="00B53309"/>
    <w:rsid w:val="00B57890"/>
    <w:rsid w:val="00B6669F"/>
    <w:rsid w:val="00B66751"/>
    <w:rsid w:val="00B727DB"/>
    <w:rsid w:val="00B72E6B"/>
    <w:rsid w:val="00B73C1D"/>
    <w:rsid w:val="00B7557D"/>
    <w:rsid w:val="00B7715D"/>
    <w:rsid w:val="00B8165D"/>
    <w:rsid w:val="00B834E3"/>
    <w:rsid w:val="00B846A1"/>
    <w:rsid w:val="00B84BB1"/>
    <w:rsid w:val="00B861A9"/>
    <w:rsid w:val="00B909FA"/>
    <w:rsid w:val="00B9230F"/>
    <w:rsid w:val="00B951A1"/>
    <w:rsid w:val="00B9748A"/>
    <w:rsid w:val="00B974AB"/>
    <w:rsid w:val="00B97E07"/>
    <w:rsid w:val="00BA06B8"/>
    <w:rsid w:val="00BA1765"/>
    <w:rsid w:val="00BA4F46"/>
    <w:rsid w:val="00BA5C48"/>
    <w:rsid w:val="00BA60A3"/>
    <w:rsid w:val="00BA7B7A"/>
    <w:rsid w:val="00BB4F84"/>
    <w:rsid w:val="00BB754D"/>
    <w:rsid w:val="00BC170B"/>
    <w:rsid w:val="00BC1D12"/>
    <w:rsid w:val="00BC226D"/>
    <w:rsid w:val="00BD0BBC"/>
    <w:rsid w:val="00BD283C"/>
    <w:rsid w:val="00BD6203"/>
    <w:rsid w:val="00BE3860"/>
    <w:rsid w:val="00BE4867"/>
    <w:rsid w:val="00BE5ED0"/>
    <w:rsid w:val="00BF0AD2"/>
    <w:rsid w:val="00BF320F"/>
    <w:rsid w:val="00BF38E8"/>
    <w:rsid w:val="00BF3E53"/>
    <w:rsid w:val="00BF50DD"/>
    <w:rsid w:val="00BF7693"/>
    <w:rsid w:val="00C03E85"/>
    <w:rsid w:val="00C05878"/>
    <w:rsid w:val="00C10EAF"/>
    <w:rsid w:val="00C10F38"/>
    <w:rsid w:val="00C14EBE"/>
    <w:rsid w:val="00C205E4"/>
    <w:rsid w:val="00C20C16"/>
    <w:rsid w:val="00C20F2C"/>
    <w:rsid w:val="00C21750"/>
    <w:rsid w:val="00C2583E"/>
    <w:rsid w:val="00C333F5"/>
    <w:rsid w:val="00C37E1D"/>
    <w:rsid w:val="00C421D2"/>
    <w:rsid w:val="00C46DE6"/>
    <w:rsid w:val="00C522CB"/>
    <w:rsid w:val="00C534EE"/>
    <w:rsid w:val="00C536CB"/>
    <w:rsid w:val="00C542D8"/>
    <w:rsid w:val="00C6593C"/>
    <w:rsid w:val="00C67E96"/>
    <w:rsid w:val="00C714DF"/>
    <w:rsid w:val="00C73A9E"/>
    <w:rsid w:val="00C76495"/>
    <w:rsid w:val="00C76A30"/>
    <w:rsid w:val="00C812AA"/>
    <w:rsid w:val="00C820EC"/>
    <w:rsid w:val="00C8291D"/>
    <w:rsid w:val="00C8417B"/>
    <w:rsid w:val="00C8634B"/>
    <w:rsid w:val="00C87436"/>
    <w:rsid w:val="00C9311A"/>
    <w:rsid w:val="00C94F15"/>
    <w:rsid w:val="00C9682F"/>
    <w:rsid w:val="00C96898"/>
    <w:rsid w:val="00C97AFD"/>
    <w:rsid w:val="00CA02FE"/>
    <w:rsid w:val="00CA13CE"/>
    <w:rsid w:val="00CA455D"/>
    <w:rsid w:val="00CB1970"/>
    <w:rsid w:val="00CB3708"/>
    <w:rsid w:val="00CB48B8"/>
    <w:rsid w:val="00CC2F64"/>
    <w:rsid w:val="00CC4003"/>
    <w:rsid w:val="00CC4CCB"/>
    <w:rsid w:val="00CC57BC"/>
    <w:rsid w:val="00CC600A"/>
    <w:rsid w:val="00CD1C56"/>
    <w:rsid w:val="00CE006F"/>
    <w:rsid w:val="00CE02F7"/>
    <w:rsid w:val="00CE1E63"/>
    <w:rsid w:val="00CE31DE"/>
    <w:rsid w:val="00CE434E"/>
    <w:rsid w:val="00CE7066"/>
    <w:rsid w:val="00CE78B4"/>
    <w:rsid w:val="00CF55D0"/>
    <w:rsid w:val="00D0623D"/>
    <w:rsid w:val="00D0635B"/>
    <w:rsid w:val="00D06512"/>
    <w:rsid w:val="00D1074A"/>
    <w:rsid w:val="00D10ECF"/>
    <w:rsid w:val="00D133EA"/>
    <w:rsid w:val="00D154F9"/>
    <w:rsid w:val="00D15EAE"/>
    <w:rsid w:val="00D20EB8"/>
    <w:rsid w:val="00D210BF"/>
    <w:rsid w:val="00D21439"/>
    <w:rsid w:val="00D219E1"/>
    <w:rsid w:val="00D22BFF"/>
    <w:rsid w:val="00D2464F"/>
    <w:rsid w:val="00D25300"/>
    <w:rsid w:val="00D30200"/>
    <w:rsid w:val="00D31266"/>
    <w:rsid w:val="00D31C0B"/>
    <w:rsid w:val="00D33C0B"/>
    <w:rsid w:val="00D33E3C"/>
    <w:rsid w:val="00D40D1E"/>
    <w:rsid w:val="00D40DFA"/>
    <w:rsid w:val="00D46A45"/>
    <w:rsid w:val="00D47603"/>
    <w:rsid w:val="00D53685"/>
    <w:rsid w:val="00D53BBE"/>
    <w:rsid w:val="00D5448B"/>
    <w:rsid w:val="00D571F0"/>
    <w:rsid w:val="00D5743C"/>
    <w:rsid w:val="00D60047"/>
    <w:rsid w:val="00D65E65"/>
    <w:rsid w:val="00D67F1B"/>
    <w:rsid w:val="00D736DF"/>
    <w:rsid w:val="00D74BA9"/>
    <w:rsid w:val="00D77038"/>
    <w:rsid w:val="00D8407E"/>
    <w:rsid w:val="00D843E1"/>
    <w:rsid w:val="00D875DE"/>
    <w:rsid w:val="00D94DAB"/>
    <w:rsid w:val="00D95363"/>
    <w:rsid w:val="00D96CC3"/>
    <w:rsid w:val="00D973A0"/>
    <w:rsid w:val="00DA0810"/>
    <w:rsid w:val="00DA6E16"/>
    <w:rsid w:val="00DB33E2"/>
    <w:rsid w:val="00DB4612"/>
    <w:rsid w:val="00DB672F"/>
    <w:rsid w:val="00DC0E03"/>
    <w:rsid w:val="00DC119F"/>
    <w:rsid w:val="00DC13DB"/>
    <w:rsid w:val="00DC3554"/>
    <w:rsid w:val="00DC5FC6"/>
    <w:rsid w:val="00DD02D4"/>
    <w:rsid w:val="00DD0D1F"/>
    <w:rsid w:val="00DD2C8E"/>
    <w:rsid w:val="00DD6441"/>
    <w:rsid w:val="00DE237E"/>
    <w:rsid w:val="00DE3DB6"/>
    <w:rsid w:val="00DE6D84"/>
    <w:rsid w:val="00DF1866"/>
    <w:rsid w:val="00DF1EC9"/>
    <w:rsid w:val="00DF3627"/>
    <w:rsid w:val="00DF46E5"/>
    <w:rsid w:val="00DF5908"/>
    <w:rsid w:val="00DF6E12"/>
    <w:rsid w:val="00E0305B"/>
    <w:rsid w:val="00E03989"/>
    <w:rsid w:val="00E046CE"/>
    <w:rsid w:val="00E0496D"/>
    <w:rsid w:val="00E06713"/>
    <w:rsid w:val="00E07D34"/>
    <w:rsid w:val="00E13E4A"/>
    <w:rsid w:val="00E1541D"/>
    <w:rsid w:val="00E15C19"/>
    <w:rsid w:val="00E174BF"/>
    <w:rsid w:val="00E1765D"/>
    <w:rsid w:val="00E208D6"/>
    <w:rsid w:val="00E2109A"/>
    <w:rsid w:val="00E25A6A"/>
    <w:rsid w:val="00E26B43"/>
    <w:rsid w:val="00E27DF5"/>
    <w:rsid w:val="00E305A5"/>
    <w:rsid w:val="00E30FA2"/>
    <w:rsid w:val="00E33C20"/>
    <w:rsid w:val="00E34794"/>
    <w:rsid w:val="00E40E8C"/>
    <w:rsid w:val="00E43DD3"/>
    <w:rsid w:val="00E476DD"/>
    <w:rsid w:val="00E519DC"/>
    <w:rsid w:val="00E52AD6"/>
    <w:rsid w:val="00E52D26"/>
    <w:rsid w:val="00E53037"/>
    <w:rsid w:val="00E53E18"/>
    <w:rsid w:val="00E54BC1"/>
    <w:rsid w:val="00E576FE"/>
    <w:rsid w:val="00E57C13"/>
    <w:rsid w:val="00E600E3"/>
    <w:rsid w:val="00E61255"/>
    <w:rsid w:val="00E63FDE"/>
    <w:rsid w:val="00E64B23"/>
    <w:rsid w:val="00E6606E"/>
    <w:rsid w:val="00E6643B"/>
    <w:rsid w:val="00E71EA5"/>
    <w:rsid w:val="00E740B3"/>
    <w:rsid w:val="00E741DA"/>
    <w:rsid w:val="00E74E75"/>
    <w:rsid w:val="00E74EF7"/>
    <w:rsid w:val="00E75B3D"/>
    <w:rsid w:val="00E75F04"/>
    <w:rsid w:val="00E761F7"/>
    <w:rsid w:val="00E82542"/>
    <w:rsid w:val="00E8272C"/>
    <w:rsid w:val="00E8429B"/>
    <w:rsid w:val="00E867A9"/>
    <w:rsid w:val="00E9207D"/>
    <w:rsid w:val="00E93276"/>
    <w:rsid w:val="00E93887"/>
    <w:rsid w:val="00E93A6E"/>
    <w:rsid w:val="00E96660"/>
    <w:rsid w:val="00E96A5E"/>
    <w:rsid w:val="00EA12B3"/>
    <w:rsid w:val="00EA36D8"/>
    <w:rsid w:val="00EA3CE1"/>
    <w:rsid w:val="00EB0BE9"/>
    <w:rsid w:val="00EB0CC4"/>
    <w:rsid w:val="00EB3E3B"/>
    <w:rsid w:val="00EB43A6"/>
    <w:rsid w:val="00EB6B51"/>
    <w:rsid w:val="00EB6EE4"/>
    <w:rsid w:val="00EB7030"/>
    <w:rsid w:val="00EC0D3E"/>
    <w:rsid w:val="00EC1E29"/>
    <w:rsid w:val="00EC2456"/>
    <w:rsid w:val="00EC31C4"/>
    <w:rsid w:val="00EC7806"/>
    <w:rsid w:val="00EC7AED"/>
    <w:rsid w:val="00ED0798"/>
    <w:rsid w:val="00ED0C50"/>
    <w:rsid w:val="00ED231C"/>
    <w:rsid w:val="00ED4C22"/>
    <w:rsid w:val="00ED55BA"/>
    <w:rsid w:val="00EE1183"/>
    <w:rsid w:val="00EE6E76"/>
    <w:rsid w:val="00EE76D5"/>
    <w:rsid w:val="00EF4459"/>
    <w:rsid w:val="00EF68C4"/>
    <w:rsid w:val="00EF72BF"/>
    <w:rsid w:val="00F00B3C"/>
    <w:rsid w:val="00F023C4"/>
    <w:rsid w:val="00F0603A"/>
    <w:rsid w:val="00F10FF9"/>
    <w:rsid w:val="00F117F1"/>
    <w:rsid w:val="00F12BE0"/>
    <w:rsid w:val="00F17C8A"/>
    <w:rsid w:val="00F208E0"/>
    <w:rsid w:val="00F22DE1"/>
    <w:rsid w:val="00F25AF6"/>
    <w:rsid w:val="00F25E87"/>
    <w:rsid w:val="00F2603A"/>
    <w:rsid w:val="00F2670E"/>
    <w:rsid w:val="00F3312D"/>
    <w:rsid w:val="00F346D6"/>
    <w:rsid w:val="00F379AA"/>
    <w:rsid w:val="00F405E3"/>
    <w:rsid w:val="00F416DC"/>
    <w:rsid w:val="00F441AE"/>
    <w:rsid w:val="00F471D1"/>
    <w:rsid w:val="00F50709"/>
    <w:rsid w:val="00F522D4"/>
    <w:rsid w:val="00F52EC8"/>
    <w:rsid w:val="00F55BD5"/>
    <w:rsid w:val="00F62AC9"/>
    <w:rsid w:val="00F62FA6"/>
    <w:rsid w:val="00F64DDD"/>
    <w:rsid w:val="00F66C82"/>
    <w:rsid w:val="00F76680"/>
    <w:rsid w:val="00F767F4"/>
    <w:rsid w:val="00F80C5A"/>
    <w:rsid w:val="00F81375"/>
    <w:rsid w:val="00F910C5"/>
    <w:rsid w:val="00F9265B"/>
    <w:rsid w:val="00F94A9A"/>
    <w:rsid w:val="00F96DF8"/>
    <w:rsid w:val="00FA21DA"/>
    <w:rsid w:val="00FA5BCB"/>
    <w:rsid w:val="00FA77AA"/>
    <w:rsid w:val="00FA78F0"/>
    <w:rsid w:val="00FB1F92"/>
    <w:rsid w:val="00FC1478"/>
    <w:rsid w:val="00FC40E6"/>
    <w:rsid w:val="00FC5F0B"/>
    <w:rsid w:val="00FD20A8"/>
    <w:rsid w:val="00FD4CF1"/>
    <w:rsid w:val="00FD7D32"/>
    <w:rsid w:val="00FE50E1"/>
    <w:rsid w:val="00FE5FC8"/>
    <w:rsid w:val="00FE66A9"/>
    <w:rsid w:val="00FE7376"/>
    <w:rsid w:val="00FE7A8E"/>
    <w:rsid w:val="00FF201F"/>
    <w:rsid w:val="00FF3D50"/>
    <w:rsid w:val="00FF4CC5"/>
    <w:rsid w:val="00FF62CF"/>
    <w:rsid w:val="00FF6520"/>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unhideWhenUsed/>
    <w:rsid w:val="00BA5C48"/>
    <w:pPr>
      <w:tabs>
        <w:tab w:val="center" w:pos="4680"/>
        <w:tab w:val="right" w:pos="9360"/>
      </w:tabs>
    </w:pPr>
  </w:style>
  <w:style w:type="character" w:customStyle="1" w:styleId="HeaderChar">
    <w:name w:val="Header Char"/>
    <w:basedOn w:val="DefaultParagraphFont"/>
    <w:link w:val="Header"/>
    <w:uiPriority w:val="99"/>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unhideWhenUsed/>
    <w:rsid w:val="00BA5C48"/>
    <w:pPr>
      <w:tabs>
        <w:tab w:val="center" w:pos="4680"/>
        <w:tab w:val="right" w:pos="9360"/>
      </w:tabs>
    </w:pPr>
  </w:style>
  <w:style w:type="character" w:customStyle="1" w:styleId="HeaderChar">
    <w:name w:val="Header Char"/>
    <w:basedOn w:val="DefaultParagraphFont"/>
    <w:link w:val="Header"/>
    <w:uiPriority w:val="99"/>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5275">
      <w:bodyDiv w:val="1"/>
      <w:marLeft w:val="0"/>
      <w:marRight w:val="0"/>
      <w:marTop w:val="0"/>
      <w:marBottom w:val="0"/>
      <w:divBdr>
        <w:top w:val="none" w:sz="0" w:space="0" w:color="auto"/>
        <w:left w:val="none" w:sz="0" w:space="0" w:color="auto"/>
        <w:bottom w:val="none" w:sz="0" w:space="0" w:color="auto"/>
        <w:right w:val="none" w:sz="0" w:space="0" w:color="auto"/>
      </w:divBdr>
    </w:div>
    <w:div w:id="98844414">
      <w:bodyDiv w:val="1"/>
      <w:marLeft w:val="0"/>
      <w:marRight w:val="0"/>
      <w:marTop w:val="0"/>
      <w:marBottom w:val="0"/>
      <w:divBdr>
        <w:top w:val="none" w:sz="0" w:space="0" w:color="auto"/>
        <w:left w:val="none" w:sz="0" w:space="0" w:color="auto"/>
        <w:bottom w:val="none" w:sz="0" w:space="0" w:color="auto"/>
        <w:right w:val="none" w:sz="0" w:space="0" w:color="auto"/>
      </w:divBdr>
    </w:div>
    <w:div w:id="634680323">
      <w:bodyDiv w:val="1"/>
      <w:marLeft w:val="0"/>
      <w:marRight w:val="0"/>
      <w:marTop w:val="0"/>
      <w:marBottom w:val="0"/>
      <w:divBdr>
        <w:top w:val="none" w:sz="0" w:space="0" w:color="auto"/>
        <w:left w:val="none" w:sz="0" w:space="0" w:color="auto"/>
        <w:bottom w:val="none" w:sz="0" w:space="0" w:color="auto"/>
        <w:right w:val="none" w:sz="0" w:space="0" w:color="auto"/>
      </w:divBdr>
    </w:div>
    <w:div w:id="846988740">
      <w:bodyDiv w:val="1"/>
      <w:marLeft w:val="0"/>
      <w:marRight w:val="0"/>
      <w:marTop w:val="0"/>
      <w:marBottom w:val="0"/>
      <w:divBdr>
        <w:top w:val="none" w:sz="0" w:space="0" w:color="auto"/>
        <w:left w:val="none" w:sz="0" w:space="0" w:color="auto"/>
        <w:bottom w:val="none" w:sz="0" w:space="0" w:color="auto"/>
        <w:right w:val="none" w:sz="0" w:space="0" w:color="auto"/>
      </w:divBdr>
    </w:div>
    <w:div w:id="1017849923">
      <w:bodyDiv w:val="1"/>
      <w:marLeft w:val="0"/>
      <w:marRight w:val="0"/>
      <w:marTop w:val="0"/>
      <w:marBottom w:val="0"/>
      <w:divBdr>
        <w:top w:val="none" w:sz="0" w:space="0" w:color="auto"/>
        <w:left w:val="none" w:sz="0" w:space="0" w:color="auto"/>
        <w:bottom w:val="none" w:sz="0" w:space="0" w:color="auto"/>
        <w:right w:val="none" w:sz="0" w:space="0" w:color="auto"/>
      </w:divBdr>
    </w:div>
    <w:div w:id="1207453214">
      <w:bodyDiv w:val="1"/>
      <w:marLeft w:val="0"/>
      <w:marRight w:val="0"/>
      <w:marTop w:val="0"/>
      <w:marBottom w:val="0"/>
      <w:divBdr>
        <w:top w:val="none" w:sz="0" w:space="0" w:color="auto"/>
        <w:left w:val="none" w:sz="0" w:space="0" w:color="auto"/>
        <w:bottom w:val="none" w:sz="0" w:space="0" w:color="auto"/>
        <w:right w:val="none" w:sz="0" w:space="0" w:color="auto"/>
      </w:divBdr>
    </w:div>
    <w:div w:id="1524705010">
      <w:bodyDiv w:val="1"/>
      <w:marLeft w:val="0"/>
      <w:marRight w:val="0"/>
      <w:marTop w:val="0"/>
      <w:marBottom w:val="0"/>
      <w:divBdr>
        <w:top w:val="none" w:sz="0" w:space="0" w:color="auto"/>
        <w:left w:val="none" w:sz="0" w:space="0" w:color="auto"/>
        <w:bottom w:val="none" w:sz="0" w:space="0" w:color="auto"/>
        <w:right w:val="none" w:sz="0" w:space="0" w:color="auto"/>
      </w:divBdr>
    </w:div>
    <w:div w:id="1907495927">
      <w:bodyDiv w:val="1"/>
      <w:marLeft w:val="0"/>
      <w:marRight w:val="0"/>
      <w:marTop w:val="0"/>
      <w:marBottom w:val="0"/>
      <w:divBdr>
        <w:top w:val="none" w:sz="0" w:space="0" w:color="auto"/>
        <w:left w:val="none" w:sz="0" w:space="0" w:color="auto"/>
        <w:bottom w:val="none" w:sz="0" w:space="0" w:color="auto"/>
        <w:right w:val="none" w:sz="0" w:space="0" w:color="auto"/>
      </w:divBdr>
    </w:div>
    <w:div w:id="191504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c.pa.gov/about_puc/consolidated_case_view.aspx?Docket=L-2010-2208332" TargetMode="External"/><Relationship Id="rId18" Type="http://schemas.openxmlformats.org/officeDocument/2006/relationships/hyperlink" Target="http://www.puc.state.pa.us/pcdocs/1196717.docx" TargetMode="External"/><Relationship Id="rId26" Type="http://schemas.openxmlformats.org/officeDocument/2006/relationships/hyperlink" Target="mailto:ra-OCMO@pa.gov" TargetMode="External"/><Relationship Id="rId39" Type="http://schemas.openxmlformats.org/officeDocument/2006/relationships/hyperlink" Target="mailto:ra-ocmo@pa.gov" TargetMode="External"/><Relationship Id="rId3" Type="http://schemas.openxmlformats.org/officeDocument/2006/relationships/styles" Target="styles.xml"/><Relationship Id="rId21" Type="http://schemas.openxmlformats.org/officeDocument/2006/relationships/hyperlink" Target="http://www.puc.state.pa.us/about_puc/consolidated_case_view.aspx?Docket=I-2011-2237952" TargetMode="External"/><Relationship Id="rId34" Type="http://schemas.openxmlformats.org/officeDocument/2006/relationships/hyperlink" Target="http://www.puc.pa.gov/utility_industry/electricity/electric_competitive_market_oversight.aspx" TargetMode="External"/><Relationship Id="rId42" Type="http://schemas.openxmlformats.org/officeDocument/2006/relationships/hyperlink" Target="http://www.puc.pa.gov/utility_industry/electricity/electric_competitive_market_oversight.aspx" TargetMode="External"/><Relationship Id="rId7" Type="http://schemas.openxmlformats.org/officeDocument/2006/relationships/footnotes" Target="footnotes.xml"/><Relationship Id="rId12" Type="http://schemas.openxmlformats.org/officeDocument/2006/relationships/hyperlink" Target="http://www.puc.pa.gov/pcdocs/1196732.docx" TargetMode="External"/><Relationship Id="rId17" Type="http://schemas.openxmlformats.org/officeDocument/2006/relationships/hyperlink" Target="http://www.puc.pa.gov/about_puc/consolidated_case_view.aspx?Docket=M-2011-2270442" TargetMode="External"/><Relationship Id="rId25" Type="http://schemas.openxmlformats.org/officeDocument/2006/relationships/hyperlink" Target="mailto:ra-OCMO@pa.gov" TargetMode="External"/><Relationship Id="rId33" Type="http://schemas.openxmlformats.org/officeDocument/2006/relationships/hyperlink" Target="http://www.puc.pa.gov//pcdocs/1231502.doc" TargetMode="External"/><Relationship Id="rId38" Type="http://schemas.openxmlformats.org/officeDocument/2006/relationships/hyperlink" Target="http://www.puc.pa.gov/electric/docs/OCMO/Order-IGAN_Renewal_Notice092310.doc"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A-PCDOORTODOOR@pa.gov" TargetMode="External"/><Relationship Id="rId20" Type="http://schemas.openxmlformats.org/officeDocument/2006/relationships/hyperlink" Target="http://www.puc.state.pa.us//pcdocs/1193057.docx" TargetMode="External"/><Relationship Id="rId29" Type="http://schemas.openxmlformats.org/officeDocument/2006/relationships/hyperlink" Target="http://www.puc.pa.gov/pcdocs/1238689.doc" TargetMode="External"/><Relationship Id="rId41" Type="http://schemas.openxmlformats.org/officeDocument/2006/relationships/hyperlink" Target="mailto:ra-ocmo@p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bulletin.com/secure/data/vol41/41-43/1789.html" TargetMode="External"/><Relationship Id="rId24" Type="http://schemas.openxmlformats.org/officeDocument/2006/relationships/hyperlink" Target="http://www.puc.state.pa.us/pcdocs/1211101.docx" TargetMode="External"/><Relationship Id="rId32" Type="http://schemas.openxmlformats.org/officeDocument/2006/relationships/hyperlink" Target="http://www.puc.state.pa.us//pcdocs/1191608.doc" TargetMode="External"/><Relationship Id="rId37" Type="http://schemas.openxmlformats.org/officeDocument/2006/relationships/hyperlink" Target="http://www.puc.pa.gov//pcdocs/1222777.docx" TargetMode="External"/><Relationship Id="rId40" Type="http://schemas.openxmlformats.org/officeDocument/2006/relationships/hyperlink" Target="http://www.puc.pa.gov/utility_industry/electricity/electric_competitive_market_oversight.aspx"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abulletin.com/secure/data/vol43/43-26/1154.html" TargetMode="External"/><Relationship Id="rId23" Type="http://schemas.openxmlformats.org/officeDocument/2006/relationships/hyperlink" Target="http://www.puc.pa.gov//pcdocs/1231501.docx" TargetMode="External"/><Relationship Id="rId28" Type="http://schemas.openxmlformats.org/officeDocument/2006/relationships/hyperlink" Target="http://www.puc.pa.gov//pcdocs/1225547.doc" TargetMode="External"/><Relationship Id="rId36" Type="http://schemas.openxmlformats.org/officeDocument/2006/relationships/hyperlink" Target="mailto:ra-EDEWG@pa.gov" TargetMode="External"/><Relationship Id="rId10" Type="http://schemas.openxmlformats.org/officeDocument/2006/relationships/hyperlink" Target="http://www.puc.pa.gov/pcdocs/1121422.doc" TargetMode="External"/><Relationship Id="rId19" Type="http://schemas.openxmlformats.org/officeDocument/2006/relationships/hyperlink" Target="http://www.puc.pa.gov/utility_industry/electricity/retail_markets_investigation.aspx" TargetMode="External"/><Relationship Id="rId31" Type="http://schemas.openxmlformats.org/officeDocument/2006/relationships/hyperlink" Target="http://www.puc.state.pa.us//pcdocs/1187737.doc"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uc.pa.gov/pcdocs/1101235.docx" TargetMode="External"/><Relationship Id="rId14" Type="http://schemas.openxmlformats.org/officeDocument/2006/relationships/hyperlink" Target="http://www.puc.pa.gov//pcdocs/1222787.doc" TargetMode="External"/><Relationship Id="rId22" Type="http://schemas.openxmlformats.org/officeDocument/2006/relationships/hyperlink" Target="http://www.puc.state.pa.us/electric/pdf/RetailMI/PPL_8x17_tri-fold-lo-rez.pdf" TargetMode="External"/><Relationship Id="rId27" Type="http://schemas.openxmlformats.org/officeDocument/2006/relationships/hyperlink" Target="http://www.puc.state.pa.us/pcdocs/1181650.docx" TargetMode="External"/><Relationship Id="rId30" Type="http://schemas.openxmlformats.org/officeDocument/2006/relationships/hyperlink" Target="http://www.puc.state.pa.us//pcdocs/1185245.pdf" TargetMode="External"/><Relationship Id="rId35" Type="http://schemas.openxmlformats.org/officeDocument/2006/relationships/hyperlink" Target="http://www.puc.pa.gov/about_puc/consolidated_case_view.aspx?Docket=M-2009-2092655" TargetMode="External"/><Relationship Id="rId43" Type="http://schemas.openxmlformats.org/officeDocument/2006/relationships/hyperlink" Target="mailto:ra-ocm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B9D01-A275-43AD-B01D-ECC3FEE7F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4133</Words>
  <Characters>23559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27637</CharactersWithSpaces>
  <SharedDoc>false</SharedDoc>
  <HLinks>
    <vt:vector size="60" baseType="variant">
      <vt:variant>
        <vt:i4>7012435</vt:i4>
      </vt:variant>
      <vt:variant>
        <vt:i4>27</vt:i4>
      </vt:variant>
      <vt:variant>
        <vt:i4>0</vt:i4>
      </vt:variant>
      <vt:variant>
        <vt:i4>5</vt:i4>
      </vt:variant>
      <vt:variant>
        <vt:lpwstr>mailto:ra-ocmo@state.pa.us</vt:lpwstr>
      </vt:variant>
      <vt:variant>
        <vt:lpwstr/>
      </vt:variant>
      <vt:variant>
        <vt:i4>1966122</vt:i4>
      </vt:variant>
      <vt:variant>
        <vt:i4>24</vt:i4>
      </vt:variant>
      <vt:variant>
        <vt:i4>0</vt:i4>
      </vt:variant>
      <vt:variant>
        <vt:i4>5</vt:i4>
      </vt:variant>
      <vt:variant>
        <vt:lpwstr>http://www.puc.state.pa.us/electric/electric_CompetitiveMarketOversight.aspx</vt:lpwstr>
      </vt:variant>
      <vt:variant>
        <vt:lpwstr/>
      </vt:variant>
      <vt:variant>
        <vt:i4>7012435</vt:i4>
      </vt:variant>
      <vt:variant>
        <vt:i4>21</vt:i4>
      </vt:variant>
      <vt:variant>
        <vt:i4>0</vt:i4>
      </vt:variant>
      <vt:variant>
        <vt:i4>5</vt:i4>
      </vt:variant>
      <vt:variant>
        <vt:lpwstr>mailto:ra-ocmo@state.pa.us</vt:lpwstr>
      </vt:variant>
      <vt:variant>
        <vt:lpwstr/>
      </vt:variant>
      <vt:variant>
        <vt:i4>1966122</vt:i4>
      </vt:variant>
      <vt:variant>
        <vt:i4>18</vt:i4>
      </vt:variant>
      <vt:variant>
        <vt:i4>0</vt:i4>
      </vt:variant>
      <vt:variant>
        <vt:i4>5</vt:i4>
      </vt:variant>
      <vt:variant>
        <vt:lpwstr>http://www.puc.state.pa.us/electric/electric_CompetitiveMarketOversight.aspx</vt:lpwstr>
      </vt:variant>
      <vt:variant>
        <vt:lpwstr/>
      </vt:variant>
      <vt:variant>
        <vt:i4>7012435</vt:i4>
      </vt:variant>
      <vt:variant>
        <vt:i4>15</vt:i4>
      </vt:variant>
      <vt:variant>
        <vt:i4>0</vt:i4>
      </vt:variant>
      <vt:variant>
        <vt:i4>5</vt:i4>
      </vt:variant>
      <vt:variant>
        <vt:lpwstr>mailto:ra-ocmo@state.pa.us</vt:lpwstr>
      </vt:variant>
      <vt:variant>
        <vt:lpwstr/>
      </vt:variant>
      <vt:variant>
        <vt:i4>2752537</vt:i4>
      </vt:variant>
      <vt:variant>
        <vt:i4>12</vt:i4>
      </vt:variant>
      <vt:variant>
        <vt:i4>0</vt:i4>
      </vt:variant>
      <vt:variant>
        <vt:i4>5</vt:i4>
      </vt:variant>
      <vt:variant>
        <vt:lpwstr>mailto:ra-RMI@state.pa.us</vt:lpwstr>
      </vt:variant>
      <vt:variant>
        <vt:lpwstr/>
      </vt:variant>
      <vt:variant>
        <vt:i4>6946922</vt:i4>
      </vt:variant>
      <vt:variant>
        <vt:i4>9</vt:i4>
      </vt:variant>
      <vt:variant>
        <vt:i4>0</vt:i4>
      </vt:variant>
      <vt:variant>
        <vt:i4>5</vt:i4>
      </vt:variant>
      <vt:variant>
        <vt:lpwstr>http://www.puc.state.pa.us/electric/Retail_Electricity_Market.aspx</vt:lpwstr>
      </vt:variant>
      <vt:variant>
        <vt:lpwstr/>
      </vt:variant>
      <vt:variant>
        <vt:i4>2228320</vt:i4>
      </vt:variant>
      <vt:variant>
        <vt:i4>6</vt:i4>
      </vt:variant>
      <vt:variant>
        <vt:i4>0</vt:i4>
      </vt:variant>
      <vt:variant>
        <vt:i4>5</vt:i4>
      </vt:variant>
      <vt:variant>
        <vt:lpwstr>http://www.puc.state.pa.us/general/ConsolidatedCaseView.aspx?Docket=M-2010-2183412</vt:lpwstr>
      </vt:variant>
      <vt:variant>
        <vt:lpwstr/>
      </vt:variant>
      <vt:variant>
        <vt:i4>2949227</vt:i4>
      </vt:variant>
      <vt:variant>
        <vt:i4>3</vt:i4>
      </vt:variant>
      <vt:variant>
        <vt:i4>0</vt:i4>
      </vt:variant>
      <vt:variant>
        <vt:i4>5</vt:i4>
      </vt:variant>
      <vt:variant>
        <vt:lpwstr>http://www.puc.state.pa.us/general/ConsolidatedCaseView.aspx?Docket=L-2010-2208332</vt:lpwstr>
      </vt:variant>
      <vt:variant>
        <vt:lpwstr/>
      </vt:variant>
      <vt:variant>
        <vt:i4>2883695</vt:i4>
      </vt:variant>
      <vt:variant>
        <vt:i4>0</vt:i4>
      </vt:variant>
      <vt:variant>
        <vt:i4>0</vt:i4>
      </vt:variant>
      <vt:variant>
        <vt:i4>5</vt:i4>
      </vt:variant>
      <vt:variant>
        <vt:lpwstr>http://www.puc.state.pa.us/general/ConsolidatedCaseView.aspx?Docket=M-2010-2185981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kmoury</dc:creator>
  <cp:lastModifiedBy>hhouse</cp:lastModifiedBy>
  <cp:revision>4</cp:revision>
  <cp:lastPrinted>2013-09-16T18:37:00Z</cp:lastPrinted>
  <dcterms:created xsi:type="dcterms:W3CDTF">2013-09-20T18:22:00Z</dcterms:created>
  <dcterms:modified xsi:type="dcterms:W3CDTF">2013-09-20T18:32:00Z</dcterms:modified>
</cp:coreProperties>
</file>