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21B613B6"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4864D0">
        <w:rPr>
          <w:sz w:val="24"/>
          <w:szCs w:val="24"/>
        </w:rPr>
        <w:t>1</w:t>
      </w:r>
      <w:r w:rsidR="007902EA">
        <w:rPr>
          <w:sz w:val="24"/>
          <w:szCs w:val="24"/>
        </w:rPr>
        <w:t>/</w:t>
      </w:r>
      <w:r w:rsidR="004864D0">
        <w:rPr>
          <w:sz w:val="24"/>
          <w:szCs w:val="24"/>
        </w:rPr>
        <w:t>2</w:t>
      </w:r>
      <w:r w:rsidR="00DB7C50">
        <w:rPr>
          <w:sz w:val="24"/>
          <w:szCs w:val="24"/>
        </w:rPr>
        <w:t>/20</w:t>
      </w:r>
      <w:r w:rsidR="00F841EA">
        <w:rPr>
          <w:sz w:val="24"/>
          <w:szCs w:val="24"/>
        </w:rPr>
        <w:t>2</w:t>
      </w:r>
      <w:r w:rsidR="00887ECA">
        <w:rPr>
          <w:sz w:val="24"/>
          <w:szCs w:val="24"/>
        </w:rPr>
        <w:t>2</w:t>
      </w:r>
    </w:p>
    <w:p w14:paraId="2D3C9B11" w14:textId="77777777" w:rsidR="0026733D" w:rsidRPr="00242BFB" w:rsidRDefault="0026733D">
      <w:pPr>
        <w:rPr>
          <w:sz w:val="24"/>
          <w:szCs w:val="24"/>
        </w:rPr>
      </w:pPr>
    </w:p>
    <w:p w14:paraId="091595A0" w14:textId="1EC36DCA"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AA4A24">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2647CA">
        <w:rPr>
          <w:sz w:val="24"/>
          <w:szCs w:val="24"/>
        </w:rPr>
        <w:t xml:space="preserve">PECO, </w:t>
      </w:r>
      <w:r w:rsidR="004A0996">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76D32849"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AA4A24">
        <w:rPr>
          <w:sz w:val="24"/>
          <w:szCs w:val="24"/>
        </w:rPr>
        <w:t xml:space="preserve">Agility CIS, </w:t>
      </w:r>
      <w:r w:rsidR="00365868">
        <w:rPr>
          <w:sz w:val="24"/>
          <w:szCs w:val="24"/>
        </w:rPr>
        <w:t>Ag</w:t>
      </w:r>
      <w:r w:rsidR="008428F4">
        <w:rPr>
          <w:sz w:val="24"/>
          <w:szCs w:val="24"/>
        </w:rPr>
        <w:t xml:space="preserve">way Energy, </w:t>
      </w:r>
      <w:r w:rsidR="00217211">
        <w:rPr>
          <w:sz w:val="24"/>
          <w:szCs w:val="24"/>
        </w:rPr>
        <w:t xml:space="preserve">Big Data Energy Services, </w:t>
      </w:r>
      <w:r w:rsidR="002647CA">
        <w:rPr>
          <w:sz w:val="24"/>
          <w:szCs w:val="24"/>
        </w:rPr>
        <w:t>Constellation</w:t>
      </w:r>
      <w:r w:rsidR="00217211">
        <w:rPr>
          <w:sz w:val="24"/>
          <w:szCs w:val="24"/>
        </w:rPr>
        <w:t xml:space="preserve">, </w:t>
      </w:r>
      <w:r w:rsidR="007C768A" w:rsidRPr="00C53F4A">
        <w:rPr>
          <w:sz w:val="24"/>
          <w:szCs w:val="24"/>
        </w:rPr>
        <w:t xml:space="preserve">Direct Energy, </w:t>
      </w:r>
      <w:r w:rsidR="00284B59">
        <w:rPr>
          <w:sz w:val="24"/>
          <w:szCs w:val="24"/>
        </w:rPr>
        <w:t xml:space="preserve">Energy Harbor, </w:t>
      </w:r>
      <w:r w:rsidR="00052488">
        <w:rPr>
          <w:sz w:val="24"/>
          <w:szCs w:val="24"/>
        </w:rPr>
        <w:t xml:space="preserve">Energy Services Group, </w:t>
      </w:r>
      <w:r w:rsidR="00AA4A24">
        <w:rPr>
          <w:sz w:val="24"/>
          <w:szCs w:val="24"/>
        </w:rPr>
        <w:t xml:space="preserve">Engie, Exelon, Hansen, IGS Energy, </w:t>
      </w:r>
      <w:r w:rsidR="002647CA">
        <w:rPr>
          <w:sz w:val="24"/>
          <w:szCs w:val="24"/>
        </w:rPr>
        <w:t xml:space="preserve">Intelometry, </w:t>
      </w:r>
      <w:r w:rsidR="002D78D4">
        <w:rPr>
          <w:sz w:val="24"/>
          <w:szCs w:val="24"/>
        </w:rPr>
        <w:t>M</w:t>
      </w:r>
      <w:r w:rsidR="006D7443" w:rsidRPr="00C53F4A">
        <w:rPr>
          <w:sz w:val="24"/>
          <w:szCs w:val="24"/>
        </w:rPr>
        <w:t>arket</w:t>
      </w:r>
      <w:r w:rsidR="00C13B9C" w:rsidRPr="00C53F4A">
        <w:rPr>
          <w:sz w:val="24"/>
          <w:szCs w:val="24"/>
        </w:rPr>
        <w:t>WISE</w:t>
      </w:r>
      <w:r w:rsidR="004B0712">
        <w:rPr>
          <w:sz w:val="24"/>
          <w:szCs w:val="24"/>
        </w:rPr>
        <w:t>,</w:t>
      </w:r>
      <w:r w:rsidR="00217211">
        <w:rPr>
          <w:sz w:val="24"/>
          <w:szCs w:val="24"/>
        </w:rPr>
        <w:t xml:space="preserve"> </w:t>
      </w:r>
      <w:r w:rsidR="002647CA">
        <w:rPr>
          <w:sz w:val="24"/>
          <w:szCs w:val="24"/>
        </w:rPr>
        <w:t xml:space="preserve">NRG, </w:t>
      </w:r>
      <w:r w:rsidR="00AA4A24">
        <w:rPr>
          <w:sz w:val="24"/>
          <w:szCs w:val="24"/>
        </w:rPr>
        <w:t xml:space="preserve">Vertex One, </w:t>
      </w:r>
      <w:r w:rsidR="00562003">
        <w:rPr>
          <w:sz w:val="24"/>
          <w:szCs w:val="24"/>
        </w:rPr>
        <w:t>V</w:t>
      </w:r>
      <w:r w:rsidR="00365868">
        <w:rPr>
          <w:sz w:val="24"/>
          <w:szCs w:val="24"/>
        </w:rPr>
        <w:t>ist</w:t>
      </w:r>
      <w:r w:rsidR="002D78D4">
        <w:rPr>
          <w:sz w:val="24"/>
          <w:szCs w:val="24"/>
        </w:rPr>
        <w:t>r</w:t>
      </w:r>
      <w:r w:rsidR="00365868">
        <w:rPr>
          <w:sz w:val="24"/>
          <w:szCs w:val="24"/>
        </w:rPr>
        <w:t>a Energy</w:t>
      </w:r>
      <w:r w:rsidR="00AA4A24">
        <w:rPr>
          <w:sz w:val="24"/>
          <w:szCs w:val="24"/>
        </w:rPr>
        <w:t>, WGL Energy</w:t>
      </w:r>
    </w:p>
    <w:p w14:paraId="5168C9D1" w14:textId="77777777" w:rsidR="000714B5" w:rsidRPr="00C53F4A" w:rsidRDefault="000714B5">
      <w:pPr>
        <w:rPr>
          <w:sz w:val="24"/>
          <w:szCs w:val="24"/>
        </w:rPr>
      </w:pPr>
    </w:p>
    <w:p w14:paraId="234050D4" w14:textId="1DBD63E5"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2D78D4">
        <w:rPr>
          <w:bCs/>
          <w:color w:val="000000"/>
          <w:sz w:val="24"/>
          <w:szCs w:val="24"/>
        </w:rPr>
        <w:t>Jeff McCracken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349A7C43" w:rsidR="00064F38" w:rsidRDefault="002647CA" w:rsidP="00BC1C72">
      <w:pPr>
        <w:rPr>
          <w:sz w:val="24"/>
          <w:szCs w:val="24"/>
        </w:rPr>
      </w:pPr>
      <w:r>
        <w:rPr>
          <w:sz w:val="24"/>
          <w:szCs w:val="24"/>
        </w:rPr>
        <w:t xml:space="preserve">Brandon Siegel, Intelometry (Secretary/Change Control Manager) </w:t>
      </w:r>
      <w:r w:rsidR="002D78D4">
        <w:rPr>
          <w:sz w:val="24"/>
          <w:szCs w:val="24"/>
        </w:rPr>
        <w:t>commenced roll call</w:t>
      </w:r>
      <w:r w:rsidR="002D78D4" w:rsidRPr="00F611AE">
        <w:rPr>
          <w:sz w:val="24"/>
          <w:szCs w:val="24"/>
        </w:rPr>
        <w:t xml:space="preserve"> </w:t>
      </w:r>
      <w:r w:rsidR="002D78D4">
        <w:rPr>
          <w:sz w:val="24"/>
          <w:szCs w:val="24"/>
        </w:rPr>
        <w:t xml:space="preserve">and </w:t>
      </w:r>
      <w:r>
        <w:rPr>
          <w:sz w:val="24"/>
          <w:szCs w:val="24"/>
        </w:rPr>
        <w:t xml:space="preserve">Monica Neibert,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FE0BC1">
        <w:rPr>
          <w:sz w:val="24"/>
          <w:szCs w:val="24"/>
        </w:rPr>
        <w:t>)</w:t>
      </w:r>
      <w:r w:rsidR="00AA4A24">
        <w:rPr>
          <w:sz w:val="24"/>
          <w:szCs w:val="24"/>
        </w:rPr>
        <w:t xml:space="preserve"> and </w:t>
      </w:r>
      <w:r w:rsidR="002D78D4">
        <w:rPr>
          <w:sz w:val="24"/>
          <w:szCs w:val="24"/>
        </w:rPr>
        <w:t>Jeff McCracken (PUC Staff)</w:t>
      </w:r>
      <w:r w:rsidR="00AA4A24">
        <w:rPr>
          <w:sz w:val="24"/>
          <w:szCs w:val="24"/>
        </w:rPr>
        <w:t>.</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54BAC0C0" w:rsidR="004B20BF" w:rsidRDefault="004B20BF" w:rsidP="004B20BF">
      <w:pPr>
        <w:rPr>
          <w:sz w:val="24"/>
          <w:szCs w:val="24"/>
        </w:rPr>
      </w:pPr>
      <w:r>
        <w:rPr>
          <w:sz w:val="24"/>
          <w:szCs w:val="24"/>
        </w:rPr>
        <w:t xml:space="preserve">The </w:t>
      </w:r>
      <w:r w:rsidR="00AA4A24">
        <w:rPr>
          <w:sz w:val="24"/>
          <w:szCs w:val="24"/>
        </w:rPr>
        <w:t>prior</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0FD06565" w14:textId="77777777" w:rsidR="00AA4A24" w:rsidRDefault="00AA4A24" w:rsidP="00AA4A24">
      <w:pPr>
        <w:pStyle w:val="Heading2"/>
        <w:numPr>
          <w:ilvl w:val="1"/>
          <w:numId w:val="1"/>
        </w:numPr>
        <w:ind w:left="360"/>
        <w:rPr>
          <w:color w:val="000000"/>
          <w:szCs w:val="24"/>
        </w:rPr>
      </w:pPr>
      <w:r>
        <w:rPr>
          <w:color w:val="000000"/>
          <w:szCs w:val="24"/>
        </w:rPr>
        <w:t>EDI Change Request #157:  Duquesne Light Company</w:t>
      </w:r>
      <w:r w:rsidRPr="00FE2C46">
        <w:rPr>
          <w:color w:val="000000"/>
          <w:szCs w:val="24"/>
        </w:rPr>
        <w:t xml:space="preserve"> (</w:t>
      </w:r>
      <w:r>
        <w:rPr>
          <w:color w:val="000000"/>
          <w:szCs w:val="24"/>
        </w:rPr>
        <w:t>Nicole Domitrovic</w:t>
      </w:r>
      <w:r w:rsidRPr="00FE2C46">
        <w:rPr>
          <w:color w:val="000000"/>
          <w:szCs w:val="24"/>
        </w:rPr>
        <w:t>) –</w:t>
      </w:r>
      <w:r>
        <w:rPr>
          <w:color w:val="000000"/>
          <w:szCs w:val="24"/>
        </w:rPr>
        <w:t xml:space="preserve"> new Reason Codes to replace Duquesne Light Company use of A13</w:t>
      </w:r>
    </w:p>
    <w:p w14:paraId="34A03FC1" w14:textId="23E2213C" w:rsidR="00AA4A24" w:rsidRDefault="00AA4A24" w:rsidP="00AA4A24">
      <w:pPr>
        <w:pStyle w:val="ListParagraph"/>
        <w:ind w:left="24"/>
        <w:rPr>
          <w:sz w:val="24"/>
          <w:szCs w:val="24"/>
        </w:rPr>
      </w:pPr>
      <w:r w:rsidRPr="00414C91">
        <w:rPr>
          <w:sz w:val="24"/>
          <w:szCs w:val="24"/>
        </w:rPr>
        <w:t xml:space="preserve">Brandon Siegel created EDI CC 157 based on the information Nicole emailed regarding request for new codes in place of A13 being used by DLC.  EDEWG agrees where possible, all EDCs should look to use similar codes in replacing existing use of A13.  Ernie Mathie (FirstEnergy) volunteered to review the master A13 spreadsheet, the new codes in EDI CC 157 and provide update to EDEWG.  </w:t>
      </w:r>
    </w:p>
    <w:p w14:paraId="02BA9566" w14:textId="6D453D51" w:rsidR="00AA4A24" w:rsidRPr="003E4984" w:rsidRDefault="00AA4A24" w:rsidP="00AA4A24">
      <w:pPr>
        <w:pStyle w:val="ListParagraph"/>
        <w:ind w:left="24"/>
        <w:rPr>
          <w:sz w:val="24"/>
          <w:szCs w:val="24"/>
        </w:rPr>
      </w:pPr>
      <w:r>
        <w:rPr>
          <w:sz w:val="24"/>
          <w:szCs w:val="24"/>
        </w:rPr>
        <w:t>January Discussion:  An update will be provided during the February 2022 meeting.</w:t>
      </w:r>
    </w:p>
    <w:p w14:paraId="4809857C" w14:textId="3052D3AB" w:rsidR="001F4946" w:rsidRDefault="001F4946" w:rsidP="001F4946">
      <w:pPr>
        <w:rPr>
          <w:sz w:val="24"/>
          <w:szCs w:val="24"/>
        </w:rPr>
      </w:pPr>
    </w:p>
    <w:p w14:paraId="748F16FE" w14:textId="77777777" w:rsidR="001F4946" w:rsidRPr="001F4946" w:rsidRDefault="001F4946" w:rsidP="001F4946">
      <w:pPr>
        <w:rPr>
          <w:sz w:val="24"/>
          <w:szCs w:val="24"/>
        </w:rPr>
      </w:pPr>
    </w:p>
    <w:p w14:paraId="5C3718D7" w14:textId="7DD6D281" w:rsidR="00AA4A24" w:rsidRDefault="00AA4A24" w:rsidP="00AA4A24">
      <w:pPr>
        <w:pStyle w:val="Heading2"/>
        <w:numPr>
          <w:ilvl w:val="1"/>
          <w:numId w:val="1"/>
        </w:numPr>
        <w:ind w:left="360"/>
        <w:rPr>
          <w:color w:val="000000"/>
          <w:szCs w:val="24"/>
        </w:rPr>
      </w:pPr>
      <w:r>
        <w:rPr>
          <w:color w:val="000000"/>
          <w:szCs w:val="24"/>
        </w:rPr>
        <w:t>EDI Change Request #163:  Add PA Note stating EDC use of EDI 248</w:t>
      </w:r>
    </w:p>
    <w:p w14:paraId="7F697050" w14:textId="3E70AD47" w:rsidR="00217211" w:rsidRDefault="001F4946" w:rsidP="00AA4A24">
      <w:pPr>
        <w:rPr>
          <w:sz w:val="24"/>
          <w:szCs w:val="24"/>
        </w:rPr>
      </w:pPr>
      <w:r>
        <w:rPr>
          <w:sz w:val="24"/>
          <w:szCs w:val="24"/>
        </w:rPr>
        <w:t xml:space="preserve">Brandon Siegel (Intelometry) </w:t>
      </w:r>
      <w:r w:rsidR="00AA4A24">
        <w:rPr>
          <w:sz w:val="24"/>
          <w:szCs w:val="24"/>
        </w:rPr>
        <w:t>briefed the group on EDI CC #163 which is a result of the EDC poll from the December meeting.   EDI CC #163 was approved without revision for incorporation into the next version update of the Implementation Guidelines.</w:t>
      </w:r>
    </w:p>
    <w:p w14:paraId="67A53188" w14:textId="77777777" w:rsidR="00A8000D" w:rsidRPr="00217211" w:rsidRDefault="00A8000D" w:rsidP="00217211">
      <w:pPr>
        <w:rPr>
          <w:sz w:val="24"/>
          <w:szCs w:val="24"/>
        </w:rPr>
      </w:pPr>
    </w:p>
    <w:p w14:paraId="3F2F8E8B" w14:textId="77777777" w:rsidR="00ED54DF" w:rsidRPr="00562003" w:rsidRDefault="00ED54DF" w:rsidP="00562003">
      <w:pPr>
        <w:rPr>
          <w:sz w:val="24"/>
          <w:szCs w:val="24"/>
        </w:rPr>
      </w:pPr>
    </w:p>
    <w:p w14:paraId="41571980" w14:textId="5D462D7A" w:rsidR="00AA4A24" w:rsidRDefault="00AA4A24" w:rsidP="00AA4A24">
      <w:pPr>
        <w:pStyle w:val="Heading2"/>
        <w:numPr>
          <w:ilvl w:val="1"/>
          <w:numId w:val="1"/>
        </w:numPr>
        <w:ind w:left="360"/>
        <w:rPr>
          <w:color w:val="000000"/>
          <w:szCs w:val="24"/>
        </w:rPr>
      </w:pPr>
      <w:r>
        <w:rPr>
          <w:color w:val="000000"/>
          <w:szCs w:val="24"/>
        </w:rPr>
        <w:t>EDI Change Request #164:  PECO request to add IHA reject code to 814HU response</w:t>
      </w:r>
    </w:p>
    <w:p w14:paraId="457A1506" w14:textId="146939FB" w:rsidR="00AA4A24" w:rsidRDefault="00AA4A24" w:rsidP="00AA4A24">
      <w:pPr>
        <w:rPr>
          <w:sz w:val="24"/>
          <w:szCs w:val="24"/>
        </w:rPr>
      </w:pPr>
      <w:r>
        <w:rPr>
          <w:sz w:val="24"/>
          <w:szCs w:val="24"/>
        </w:rPr>
        <w:t xml:space="preserve">Sue Scheetz (PECO) briefed the group on EDI CC #164 which adds the reject code “IHA” (Insufficient History Available) to the REF7G of the EDI 814 Historical Interval response.   EDI </w:t>
      </w:r>
      <w:r>
        <w:rPr>
          <w:sz w:val="24"/>
          <w:szCs w:val="24"/>
        </w:rPr>
        <w:lastRenderedPageBreak/>
        <w:t>CC #164 was approved without revision for incorporation into the next version update of the Implementation Guidelines.</w:t>
      </w:r>
    </w:p>
    <w:p w14:paraId="50BFE751" w14:textId="144E44B0" w:rsidR="00AA4A24" w:rsidRDefault="00AA4A24" w:rsidP="00AA4A24">
      <w:pPr>
        <w:pStyle w:val="Heading2"/>
        <w:ind w:left="360"/>
        <w:rPr>
          <w:color w:val="000000"/>
          <w:szCs w:val="24"/>
        </w:rPr>
      </w:pPr>
    </w:p>
    <w:p w14:paraId="19ADDBF2" w14:textId="77777777" w:rsidR="00AA4A24" w:rsidRPr="00AA4A24" w:rsidRDefault="00AA4A24" w:rsidP="00AA4A24"/>
    <w:p w14:paraId="481E1168" w14:textId="3CCE2670" w:rsidR="00AA4A24" w:rsidRDefault="00AA4A24" w:rsidP="00AA4A24">
      <w:pPr>
        <w:pStyle w:val="Heading2"/>
        <w:numPr>
          <w:ilvl w:val="1"/>
          <w:numId w:val="1"/>
        </w:numPr>
        <w:ind w:left="360"/>
        <w:rPr>
          <w:color w:val="000000"/>
          <w:szCs w:val="24"/>
        </w:rPr>
      </w:pPr>
      <w:r>
        <w:rPr>
          <w:color w:val="000000"/>
          <w:szCs w:val="24"/>
        </w:rPr>
        <w:t>EDI Change Request #165:  Update REF*SPL to Optional in EDI 814M &amp; 814R</w:t>
      </w:r>
    </w:p>
    <w:p w14:paraId="448E8DEF" w14:textId="2B878662" w:rsidR="00AA4A24" w:rsidRDefault="00AA4A24" w:rsidP="00AA4A24">
      <w:pPr>
        <w:rPr>
          <w:sz w:val="24"/>
          <w:szCs w:val="24"/>
        </w:rPr>
      </w:pPr>
      <w:r>
        <w:rPr>
          <w:sz w:val="24"/>
          <w:szCs w:val="24"/>
        </w:rPr>
        <w:t xml:space="preserve">Brandon Siegel (Intelometry) briefed the group on EDI CC #165 which aligns the EDI 814 Move and Reinstatement request’s </w:t>
      </w:r>
      <w:r w:rsidR="00C26863">
        <w:rPr>
          <w:sz w:val="24"/>
          <w:szCs w:val="24"/>
        </w:rPr>
        <w:t>PA Use gray box in the REF*SPL (PJM LMP BUS) from Require to Optional</w:t>
      </w:r>
      <w:r>
        <w:rPr>
          <w:sz w:val="24"/>
          <w:szCs w:val="24"/>
        </w:rPr>
        <w:t>.   EDI CC #</w:t>
      </w:r>
      <w:r w:rsidR="00C26863">
        <w:rPr>
          <w:sz w:val="24"/>
          <w:szCs w:val="24"/>
        </w:rPr>
        <w:t xml:space="preserve">119 originally approved in 2014 made the REF*SPL optional however we missed updating the EDI 814 Reinstatement and did not update during the first version of the EDI 814 Move.   EDI CC #165 was </w:t>
      </w:r>
      <w:r>
        <w:rPr>
          <w:sz w:val="24"/>
          <w:szCs w:val="24"/>
        </w:rPr>
        <w:t>approved without revision for incorporation into the next version update of the Implementation Guidelines.</w:t>
      </w:r>
    </w:p>
    <w:p w14:paraId="093B2A8E" w14:textId="77777777" w:rsidR="00C26863" w:rsidRDefault="00C26863" w:rsidP="00AA4A24">
      <w:pPr>
        <w:rPr>
          <w:sz w:val="24"/>
          <w:szCs w:val="24"/>
        </w:rPr>
      </w:pPr>
    </w:p>
    <w:p w14:paraId="64A2798D" w14:textId="77777777" w:rsidR="00AA4A24" w:rsidRDefault="00AA4A24" w:rsidP="00AA4A24">
      <w:pPr>
        <w:pStyle w:val="Heading2"/>
        <w:ind w:left="360"/>
        <w:rPr>
          <w:color w:val="000000"/>
          <w:szCs w:val="24"/>
        </w:rPr>
      </w:pPr>
    </w:p>
    <w:p w14:paraId="1BF21AF7" w14:textId="0130A021" w:rsidR="00AA4A24" w:rsidRDefault="00AA4A24" w:rsidP="00AA4A24">
      <w:pPr>
        <w:pStyle w:val="Heading2"/>
        <w:numPr>
          <w:ilvl w:val="1"/>
          <w:numId w:val="1"/>
        </w:numPr>
        <w:ind w:left="360"/>
        <w:rPr>
          <w:color w:val="000000"/>
          <w:szCs w:val="24"/>
        </w:rPr>
      </w:pPr>
      <w:r>
        <w:rPr>
          <w:color w:val="000000"/>
          <w:szCs w:val="24"/>
        </w:rPr>
        <w:t>EDI Change Request #166:  Add PA Note stating EDC use of EDI 248</w:t>
      </w:r>
    </w:p>
    <w:p w14:paraId="3201412F" w14:textId="3D229C35" w:rsidR="00AA4A24" w:rsidRDefault="00C26863" w:rsidP="00AA4A24">
      <w:pPr>
        <w:rPr>
          <w:sz w:val="24"/>
          <w:szCs w:val="24"/>
        </w:rPr>
      </w:pPr>
      <w:r>
        <w:rPr>
          <w:sz w:val="24"/>
          <w:szCs w:val="24"/>
        </w:rPr>
        <w:t>Cheryl Oehler</w:t>
      </w:r>
      <w:r w:rsidR="00AA4A24">
        <w:rPr>
          <w:sz w:val="24"/>
          <w:szCs w:val="24"/>
        </w:rPr>
        <w:t xml:space="preserve"> (</w:t>
      </w:r>
      <w:r>
        <w:rPr>
          <w:sz w:val="24"/>
          <w:szCs w:val="24"/>
        </w:rPr>
        <w:t>PPL</w:t>
      </w:r>
      <w:r w:rsidR="00AA4A24">
        <w:rPr>
          <w:sz w:val="24"/>
          <w:szCs w:val="24"/>
        </w:rPr>
        <w:t>) briefed the group on EDI CC #16</w:t>
      </w:r>
      <w:r>
        <w:rPr>
          <w:sz w:val="24"/>
          <w:szCs w:val="24"/>
        </w:rPr>
        <w:t>6</w:t>
      </w:r>
      <w:r w:rsidR="00AA4A24">
        <w:rPr>
          <w:sz w:val="24"/>
          <w:szCs w:val="24"/>
        </w:rPr>
        <w:t xml:space="preserve"> which </w:t>
      </w:r>
      <w:r>
        <w:rPr>
          <w:sz w:val="24"/>
          <w:szCs w:val="24"/>
        </w:rPr>
        <w:t>adds the reject code B39 (Unable to Process Request due to Pending Drop) to the REF*7G of the EDI 814 Change</w:t>
      </w:r>
      <w:r w:rsidR="00AA4A24">
        <w:rPr>
          <w:sz w:val="24"/>
          <w:szCs w:val="24"/>
        </w:rPr>
        <w:t>.   EDI CC #16</w:t>
      </w:r>
      <w:r>
        <w:rPr>
          <w:sz w:val="24"/>
          <w:szCs w:val="24"/>
        </w:rPr>
        <w:t>6</w:t>
      </w:r>
      <w:r w:rsidR="00AA4A24">
        <w:rPr>
          <w:sz w:val="24"/>
          <w:szCs w:val="24"/>
        </w:rPr>
        <w:t xml:space="preserve"> was approved without revision for incorporation into the next version update of the Implementation Guidelines.</w:t>
      </w:r>
    </w:p>
    <w:p w14:paraId="7B26D624" w14:textId="73CF70B9" w:rsidR="00AA4A24" w:rsidRDefault="00AA4A24" w:rsidP="00AA4A24">
      <w:pPr>
        <w:pStyle w:val="Heading2"/>
        <w:ind w:left="360"/>
        <w:rPr>
          <w:color w:val="000000"/>
          <w:szCs w:val="24"/>
        </w:rPr>
      </w:pPr>
    </w:p>
    <w:p w14:paraId="78246762" w14:textId="77777777" w:rsidR="00C26863" w:rsidRPr="00C26863" w:rsidRDefault="00C26863" w:rsidP="00C26863"/>
    <w:p w14:paraId="65028DE7" w14:textId="2BE7EAC8" w:rsidR="00414C91" w:rsidRDefault="00C502E6" w:rsidP="00414C91">
      <w:pPr>
        <w:pStyle w:val="Heading2"/>
        <w:numPr>
          <w:ilvl w:val="1"/>
          <w:numId w:val="1"/>
        </w:numPr>
        <w:ind w:left="360"/>
        <w:rPr>
          <w:color w:val="000000"/>
          <w:szCs w:val="24"/>
        </w:rPr>
      </w:pPr>
      <w:r>
        <w:rPr>
          <w:color w:val="000000"/>
          <w:szCs w:val="24"/>
        </w:rPr>
        <w:t>Annual version update to regional EDI Implementation Guidelines</w:t>
      </w:r>
    </w:p>
    <w:p w14:paraId="34DDD5F6" w14:textId="2E7B31D3" w:rsidR="002D78D4" w:rsidRDefault="00414C91" w:rsidP="00414C91">
      <w:pPr>
        <w:pStyle w:val="ListParagraph"/>
        <w:ind w:left="24"/>
        <w:rPr>
          <w:sz w:val="24"/>
          <w:szCs w:val="24"/>
        </w:rPr>
      </w:pPr>
      <w:r w:rsidRPr="00414C91">
        <w:rPr>
          <w:sz w:val="24"/>
          <w:szCs w:val="24"/>
        </w:rPr>
        <w:t xml:space="preserve">Brandon Siegel </w:t>
      </w:r>
      <w:r w:rsidR="00C502E6">
        <w:rPr>
          <w:sz w:val="24"/>
          <w:szCs w:val="24"/>
        </w:rPr>
        <w:t xml:space="preserve">reports he is targeting distribution of the annual version update redline Implementation Guidelines </w:t>
      </w:r>
      <w:r w:rsidR="00C26863">
        <w:rPr>
          <w:sz w:val="24"/>
          <w:szCs w:val="24"/>
        </w:rPr>
        <w:t>mid to late January</w:t>
      </w:r>
      <w:r w:rsidR="007C0778">
        <w:rPr>
          <w:sz w:val="24"/>
          <w:szCs w:val="24"/>
        </w:rPr>
        <w:t xml:space="preserve"> </w:t>
      </w:r>
      <w:r w:rsidR="00C502E6">
        <w:rPr>
          <w:sz w:val="24"/>
          <w:szCs w:val="24"/>
        </w:rPr>
        <w:t>to include all approved EDI change controls from 2021</w:t>
      </w:r>
      <w:r w:rsidR="00C26863">
        <w:rPr>
          <w:sz w:val="24"/>
          <w:szCs w:val="24"/>
        </w:rPr>
        <w:t xml:space="preserve"> and the 4 changes approved during this meeting.</w:t>
      </w:r>
    </w:p>
    <w:p w14:paraId="10F21879" w14:textId="77777777" w:rsidR="002D78D4" w:rsidRDefault="002D78D4" w:rsidP="00414C91">
      <w:pPr>
        <w:pStyle w:val="ListParagraph"/>
        <w:ind w:left="24"/>
        <w:rPr>
          <w:sz w:val="24"/>
          <w:szCs w:val="24"/>
        </w:rPr>
      </w:pPr>
    </w:p>
    <w:p w14:paraId="5F7CEC60" w14:textId="13A986F4" w:rsidR="00E534A7" w:rsidRPr="00E534A7" w:rsidRDefault="00E534A7" w:rsidP="00E534A7"/>
    <w:p w14:paraId="45D100CA" w14:textId="2A835B95" w:rsidR="003E4984" w:rsidRDefault="00C26863" w:rsidP="003E4984">
      <w:pPr>
        <w:pStyle w:val="Heading2"/>
        <w:numPr>
          <w:ilvl w:val="1"/>
          <w:numId w:val="1"/>
        </w:numPr>
        <w:ind w:left="360"/>
        <w:rPr>
          <w:color w:val="000000"/>
          <w:szCs w:val="24"/>
        </w:rPr>
      </w:pPr>
      <w:r>
        <w:rPr>
          <w:color w:val="000000"/>
          <w:szCs w:val="24"/>
        </w:rPr>
        <w:t>EDEWG Leadership – 2022 Team</w:t>
      </w:r>
    </w:p>
    <w:p w14:paraId="3B5AEB00" w14:textId="1A1D0646" w:rsidR="00F23D6C" w:rsidRDefault="00C26863" w:rsidP="003E4984">
      <w:pPr>
        <w:pStyle w:val="ListParagraph"/>
        <w:ind w:left="24"/>
        <w:rPr>
          <w:sz w:val="24"/>
          <w:szCs w:val="24"/>
        </w:rPr>
      </w:pPr>
      <w:r>
        <w:rPr>
          <w:sz w:val="24"/>
          <w:szCs w:val="24"/>
        </w:rPr>
        <w:t>Brandon Siegel stated he received zero nominations for the EDEWG Co-Chair Supplier or EDEWG Secretary / Change Control Manager positions for 2022 term.   The current leadership team accepted these positions and will continue their roles for the 2022 term.</w:t>
      </w:r>
    </w:p>
    <w:p w14:paraId="668660C7" w14:textId="4C3B98B8" w:rsidR="00C26863" w:rsidRDefault="00C26863" w:rsidP="003E4984">
      <w:pPr>
        <w:pStyle w:val="ListParagraph"/>
        <w:ind w:left="24"/>
        <w:rPr>
          <w:sz w:val="24"/>
          <w:szCs w:val="24"/>
        </w:rPr>
      </w:pPr>
    </w:p>
    <w:p w14:paraId="255EB04C" w14:textId="25502BD7" w:rsidR="00C26863" w:rsidRDefault="00C26863" w:rsidP="003E4984">
      <w:pPr>
        <w:pStyle w:val="ListParagraph"/>
        <w:ind w:left="24"/>
        <w:rPr>
          <w:sz w:val="24"/>
          <w:szCs w:val="24"/>
        </w:rPr>
      </w:pPr>
      <w:r>
        <w:rPr>
          <w:sz w:val="24"/>
          <w:szCs w:val="24"/>
        </w:rPr>
        <w:tab/>
        <w:t>EDEWG Co-Chair Supplier – Monica Neibert (ESG)</w:t>
      </w:r>
    </w:p>
    <w:p w14:paraId="0FAE990C" w14:textId="6B654BD0" w:rsidR="00C26863" w:rsidRDefault="00C26863" w:rsidP="003E4984">
      <w:pPr>
        <w:pStyle w:val="ListParagraph"/>
        <w:ind w:left="24"/>
        <w:rPr>
          <w:sz w:val="24"/>
          <w:szCs w:val="24"/>
        </w:rPr>
      </w:pPr>
      <w:r>
        <w:rPr>
          <w:sz w:val="24"/>
          <w:szCs w:val="24"/>
        </w:rPr>
        <w:tab/>
        <w:t>EDEWG Co-Chair Utility – Ernie Mathie (FirstEnergy)</w:t>
      </w:r>
    </w:p>
    <w:p w14:paraId="281A6094" w14:textId="2BD28D88" w:rsidR="00C26863" w:rsidRPr="003E4984" w:rsidRDefault="00C26863" w:rsidP="003E4984">
      <w:pPr>
        <w:pStyle w:val="ListParagraph"/>
        <w:ind w:left="24"/>
        <w:rPr>
          <w:sz w:val="24"/>
          <w:szCs w:val="24"/>
        </w:rPr>
      </w:pPr>
      <w:r>
        <w:rPr>
          <w:sz w:val="24"/>
          <w:szCs w:val="24"/>
        </w:rPr>
        <w:tab/>
        <w:t>EDEWG Secretary/Change Control Manager – Brandon Siegel (Intelometry)</w:t>
      </w:r>
    </w:p>
    <w:p w14:paraId="56291F96" w14:textId="7C14563D" w:rsidR="00F021D1" w:rsidRDefault="00F021D1" w:rsidP="00F021D1">
      <w:pPr>
        <w:pStyle w:val="Heading2"/>
        <w:rPr>
          <w:color w:val="000000"/>
          <w:szCs w:val="24"/>
        </w:rPr>
      </w:pPr>
    </w:p>
    <w:p w14:paraId="2BC616B8" w14:textId="77777777" w:rsidR="003E4984" w:rsidRPr="003E4984" w:rsidRDefault="003E4984" w:rsidP="003E4984"/>
    <w:p w14:paraId="70B9590D" w14:textId="33E9E318" w:rsidR="00C26863" w:rsidRDefault="00F021D1" w:rsidP="003E4984">
      <w:pPr>
        <w:pStyle w:val="Heading2"/>
        <w:numPr>
          <w:ilvl w:val="1"/>
          <w:numId w:val="1"/>
        </w:numPr>
        <w:ind w:left="360"/>
        <w:rPr>
          <w:color w:val="000000"/>
          <w:szCs w:val="24"/>
        </w:rPr>
      </w:pPr>
      <w:r>
        <w:rPr>
          <w:color w:val="000000"/>
          <w:szCs w:val="24"/>
        </w:rPr>
        <w:t xml:space="preserve"> </w:t>
      </w:r>
      <w:r w:rsidR="00C26863">
        <w:rPr>
          <w:color w:val="000000"/>
          <w:szCs w:val="24"/>
        </w:rPr>
        <w:t>EDI 867 Monthly &amp; Interval Usage – invalid service periods</w:t>
      </w:r>
    </w:p>
    <w:p w14:paraId="1CFBD92B" w14:textId="72F4D96B" w:rsidR="00C26863" w:rsidRDefault="00C26863" w:rsidP="00C26863">
      <w:pPr>
        <w:rPr>
          <w:sz w:val="24"/>
          <w:szCs w:val="24"/>
        </w:rPr>
      </w:pPr>
      <w:r>
        <w:rPr>
          <w:sz w:val="24"/>
          <w:szCs w:val="24"/>
        </w:rPr>
        <w:t>In December, Brandon Siegel (Intelometry) reported two EDCs have sent invalid service periods in EDI 867 Monthly and Interval usage transactions.   The service periods across all PTD loops should align and the format of the service period should remain consistent from month to month.   Likewise, 867 Monthly and Interval usage transactions must follow the same service period formats for a given utility.  When this does not occur, it may cause processing issues for the Supplier which requires intervention to ensure bill window are met.</w:t>
      </w:r>
    </w:p>
    <w:p w14:paraId="63A89DE5" w14:textId="77777777" w:rsidR="00C26863" w:rsidRDefault="00C26863" w:rsidP="00C26863">
      <w:pPr>
        <w:pStyle w:val="ListParagraph"/>
        <w:numPr>
          <w:ilvl w:val="0"/>
          <w:numId w:val="15"/>
        </w:numPr>
        <w:rPr>
          <w:sz w:val="24"/>
          <w:szCs w:val="24"/>
        </w:rPr>
      </w:pPr>
      <w:r>
        <w:rPr>
          <w:sz w:val="24"/>
          <w:szCs w:val="24"/>
        </w:rPr>
        <w:t>Service Period Mismatch - loops within same transaction must have the same service period unless there is a meter exchange (DTM514) or interval increment change (DTM328)</w:t>
      </w:r>
    </w:p>
    <w:p w14:paraId="56BE4257" w14:textId="77777777" w:rsidR="00C26863" w:rsidRDefault="00C26863" w:rsidP="00C26863">
      <w:pPr>
        <w:pStyle w:val="ListParagraph"/>
        <w:numPr>
          <w:ilvl w:val="0"/>
          <w:numId w:val="15"/>
        </w:numPr>
        <w:rPr>
          <w:sz w:val="24"/>
          <w:szCs w:val="24"/>
        </w:rPr>
      </w:pPr>
      <w:r>
        <w:rPr>
          <w:sz w:val="24"/>
          <w:szCs w:val="24"/>
        </w:rPr>
        <w:t>Service Period Format – the service period format must be consistent across all 867 MU/IU from a given utility.</w:t>
      </w:r>
    </w:p>
    <w:p w14:paraId="2EB9CE83" w14:textId="3645CA4B" w:rsidR="00C26863" w:rsidRPr="00C26863" w:rsidRDefault="00C26863" w:rsidP="00C26863">
      <w:pPr>
        <w:rPr>
          <w:sz w:val="24"/>
          <w:szCs w:val="24"/>
        </w:rPr>
      </w:pPr>
    </w:p>
    <w:p w14:paraId="2E6E72CB" w14:textId="33236AC1" w:rsidR="00C26863" w:rsidRPr="00C26863" w:rsidRDefault="00C26863" w:rsidP="00C26863">
      <w:pPr>
        <w:rPr>
          <w:sz w:val="24"/>
          <w:szCs w:val="24"/>
        </w:rPr>
      </w:pPr>
      <w:r w:rsidRPr="00C26863">
        <w:rPr>
          <w:sz w:val="24"/>
          <w:szCs w:val="24"/>
        </w:rPr>
        <w:t xml:space="preserve">January Discussion </w:t>
      </w:r>
      <w:r>
        <w:rPr>
          <w:sz w:val="24"/>
          <w:szCs w:val="24"/>
        </w:rPr>
        <w:t>–</w:t>
      </w:r>
      <w:r w:rsidRPr="00C26863">
        <w:rPr>
          <w:sz w:val="24"/>
          <w:szCs w:val="24"/>
        </w:rPr>
        <w:t xml:space="preserve"> </w:t>
      </w:r>
      <w:r>
        <w:rPr>
          <w:sz w:val="24"/>
          <w:szCs w:val="24"/>
        </w:rPr>
        <w:t xml:space="preserve">Brandon stated one EDC </w:t>
      </w:r>
      <w:r w:rsidR="00871752">
        <w:rPr>
          <w:sz w:val="24"/>
          <w:szCs w:val="24"/>
        </w:rPr>
        <w:t xml:space="preserve">put in a fix effective Feb 1, </w:t>
      </w:r>
      <w:proofErr w:type="gramStart"/>
      <w:r w:rsidR="00871752">
        <w:rPr>
          <w:sz w:val="24"/>
          <w:szCs w:val="24"/>
        </w:rPr>
        <w:t>2022</w:t>
      </w:r>
      <w:proofErr w:type="gramEnd"/>
      <w:r w:rsidR="00871752">
        <w:rPr>
          <w:sz w:val="24"/>
          <w:szCs w:val="24"/>
        </w:rPr>
        <w:t xml:space="preserve"> and the other EDC has not sent any additional instances.</w:t>
      </w:r>
    </w:p>
    <w:p w14:paraId="298229E1" w14:textId="478C6988" w:rsidR="00C84088" w:rsidRDefault="00C84088" w:rsidP="003E4984">
      <w:pPr>
        <w:pStyle w:val="Heading2"/>
        <w:numPr>
          <w:ilvl w:val="1"/>
          <w:numId w:val="1"/>
        </w:numPr>
        <w:ind w:left="360"/>
        <w:rPr>
          <w:color w:val="000000"/>
          <w:szCs w:val="24"/>
        </w:rPr>
      </w:pPr>
      <w:r>
        <w:rPr>
          <w:color w:val="000000"/>
          <w:szCs w:val="24"/>
        </w:rPr>
        <w:lastRenderedPageBreak/>
        <w:t>New Business</w:t>
      </w:r>
    </w:p>
    <w:p w14:paraId="7F2263AC" w14:textId="6A1977A6" w:rsidR="003E4984" w:rsidRPr="00020850" w:rsidRDefault="00871752" w:rsidP="00020850">
      <w:pPr>
        <w:rPr>
          <w:sz w:val="24"/>
          <w:szCs w:val="24"/>
        </w:rPr>
      </w:pPr>
      <w:r>
        <w:rPr>
          <w:sz w:val="24"/>
          <w:szCs w:val="24"/>
        </w:rPr>
        <w:t>None</w:t>
      </w:r>
    </w:p>
    <w:p w14:paraId="01CCD132" w14:textId="6D54635B" w:rsidR="00C84088" w:rsidRDefault="00C84088" w:rsidP="00B77DD6">
      <w:pPr>
        <w:pStyle w:val="ListParagraph"/>
      </w:pPr>
    </w:p>
    <w:p w14:paraId="7F471583" w14:textId="77777777" w:rsidR="00F021D1" w:rsidRDefault="00F021D1" w:rsidP="00F021D1">
      <w:pPr>
        <w:pStyle w:val="Heading2"/>
        <w:rPr>
          <w:color w:val="000000"/>
          <w:szCs w:val="24"/>
        </w:rPr>
      </w:pPr>
    </w:p>
    <w:p w14:paraId="128560F3" w14:textId="31CF91D5" w:rsidR="0026733D" w:rsidRPr="00FD42C3" w:rsidRDefault="00F021D1" w:rsidP="003E4984">
      <w:pPr>
        <w:pStyle w:val="Heading2"/>
        <w:numPr>
          <w:ilvl w:val="1"/>
          <w:numId w:val="1"/>
        </w:numPr>
        <w:ind w:left="360"/>
        <w:rPr>
          <w:color w:val="000000"/>
          <w:szCs w:val="24"/>
        </w:rPr>
      </w:pPr>
      <w:r>
        <w:rPr>
          <w:color w:val="000000"/>
          <w:szCs w:val="24"/>
        </w:rPr>
        <w:t xml:space="preserve"> </w:t>
      </w:r>
      <w:r w:rsidR="0026733D" w:rsidRPr="00FD42C3">
        <w:rPr>
          <w:color w:val="000000"/>
          <w:szCs w:val="24"/>
        </w:rPr>
        <w:t>Next Meeting</w:t>
      </w:r>
    </w:p>
    <w:p w14:paraId="64AB463C" w14:textId="4075814C"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871752">
        <w:rPr>
          <w:sz w:val="24"/>
          <w:szCs w:val="24"/>
        </w:rPr>
        <w:t>February</w:t>
      </w:r>
      <w:r w:rsidR="00D97478">
        <w:rPr>
          <w:sz w:val="24"/>
          <w:szCs w:val="24"/>
        </w:rPr>
        <w:t xml:space="preserve"> </w:t>
      </w:r>
      <w:r w:rsidR="00871752">
        <w:rPr>
          <w:sz w:val="24"/>
          <w:szCs w:val="24"/>
        </w:rPr>
        <w:t>3</w:t>
      </w:r>
      <w:r w:rsidR="00871752" w:rsidRPr="00871752">
        <w:rPr>
          <w:sz w:val="24"/>
          <w:szCs w:val="24"/>
          <w:vertAlign w:val="superscript"/>
        </w:rPr>
        <w:t>rd</w:t>
      </w:r>
      <w:r w:rsidR="00871752">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A360" w14:textId="77777777" w:rsidR="0041346A" w:rsidRDefault="0041346A">
      <w:r>
        <w:separator/>
      </w:r>
    </w:p>
  </w:endnote>
  <w:endnote w:type="continuationSeparator" w:id="0">
    <w:p w14:paraId="63857D47" w14:textId="77777777" w:rsidR="0041346A" w:rsidRDefault="0041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6288" w14:textId="77777777" w:rsidR="0041346A" w:rsidRDefault="0041346A">
      <w:r>
        <w:separator/>
      </w:r>
    </w:p>
  </w:footnote>
  <w:footnote w:type="continuationSeparator" w:id="0">
    <w:p w14:paraId="18FAE92E" w14:textId="77777777" w:rsidR="0041346A" w:rsidRDefault="0041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0444B"/>
    <w:multiLevelType w:val="hybridMultilevel"/>
    <w:tmpl w:val="908E3F6C"/>
    <w:lvl w:ilvl="0" w:tplc="2F9E2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82894"/>
    <w:multiLevelType w:val="hybridMultilevel"/>
    <w:tmpl w:val="FBDCDDC8"/>
    <w:lvl w:ilvl="0" w:tplc="63807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6B9E"/>
    <w:multiLevelType w:val="hybridMultilevel"/>
    <w:tmpl w:val="A89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05E8D"/>
    <w:multiLevelType w:val="hybridMultilevel"/>
    <w:tmpl w:val="1478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1"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C3145"/>
    <w:multiLevelType w:val="hybridMultilevel"/>
    <w:tmpl w:val="D60C063A"/>
    <w:lvl w:ilvl="0" w:tplc="2F9E2EEC">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0"/>
  </w:num>
  <w:num w:numId="3">
    <w:abstractNumId w:val="12"/>
  </w:num>
  <w:num w:numId="4">
    <w:abstractNumId w:val="9"/>
  </w:num>
  <w:num w:numId="5">
    <w:abstractNumId w:val="7"/>
  </w:num>
  <w:num w:numId="6">
    <w:abstractNumId w:val="1"/>
  </w:num>
  <w:num w:numId="7">
    <w:abstractNumId w:val="6"/>
  </w:num>
  <w:num w:numId="8">
    <w:abstractNumId w:val="4"/>
  </w:num>
  <w:num w:numId="9">
    <w:abstractNumId w:val="13"/>
  </w:num>
  <w:num w:numId="10">
    <w:abstractNumId w:val="11"/>
  </w:num>
  <w:num w:numId="11">
    <w:abstractNumId w:val="3"/>
  </w:num>
  <w:num w:numId="12">
    <w:abstractNumId w:val="8"/>
  </w:num>
  <w:num w:numId="13">
    <w:abstractNumId w:val="2"/>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850"/>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4946"/>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17211"/>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47CA"/>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D78D4"/>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477F"/>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4984"/>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346A"/>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64D0"/>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23C8"/>
    <w:rsid w:val="006840FA"/>
    <w:rsid w:val="006842AE"/>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0778"/>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1752"/>
    <w:rsid w:val="00872072"/>
    <w:rsid w:val="00873835"/>
    <w:rsid w:val="0087437C"/>
    <w:rsid w:val="00874F0E"/>
    <w:rsid w:val="00875529"/>
    <w:rsid w:val="0087689E"/>
    <w:rsid w:val="00881509"/>
    <w:rsid w:val="00881D96"/>
    <w:rsid w:val="008827B4"/>
    <w:rsid w:val="00883A79"/>
    <w:rsid w:val="00884AD2"/>
    <w:rsid w:val="00885D23"/>
    <w:rsid w:val="00886E1D"/>
    <w:rsid w:val="00887ECA"/>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2F16"/>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000D"/>
    <w:rsid w:val="00A823CD"/>
    <w:rsid w:val="00A824F7"/>
    <w:rsid w:val="00A83373"/>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A4A24"/>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863"/>
    <w:rsid w:val="00C26EEF"/>
    <w:rsid w:val="00C27A63"/>
    <w:rsid w:val="00C32981"/>
    <w:rsid w:val="00C33388"/>
    <w:rsid w:val="00C34B8A"/>
    <w:rsid w:val="00C404FE"/>
    <w:rsid w:val="00C40B65"/>
    <w:rsid w:val="00C41F67"/>
    <w:rsid w:val="00C430B9"/>
    <w:rsid w:val="00C45FA7"/>
    <w:rsid w:val="00C47F1E"/>
    <w:rsid w:val="00C502E6"/>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5A39"/>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21D1"/>
    <w:rsid w:val="00F029E3"/>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989"/>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 w:val="00FF5C0D"/>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4960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2022-06-29T12:00:00Z</dcterms:created>
  <dcterms:modified xsi:type="dcterms:W3CDTF">2022-06-29T12:00:00Z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