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4CA" w:rsidRDefault="00EF54CA" w:rsidP="00EF54CA">
      <w:pPr>
        <w:pStyle w:val="PlainText"/>
      </w:pPr>
      <w:bookmarkStart w:id="0" w:name="_GoBack"/>
      <w:bookmarkEnd w:id="0"/>
      <w:r>
        <w:t>In the recap of the RMI Tech Conference held on 10/27, Kirk House asks the following question regarding Appropriate Credit Instruments: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House: Reviewed Met-Ed credit standards in supplier tariff.  Seem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appropriate</w:t>
      </w:r>
      <w:proofErr w:type="gramEnd"/>
      <w:r>
        <w:t xml:space="preserve">.  </w:t>
      </w:r>
      <w:proofErr w:type="gramStart"/>
      <w:r>
        <w:t>Comments?</w:t>
      </w:r>
      <w:proofErr w:type="gramEnd"/>
      <w:r>
        <w:t xml:space="preserve">  </w:t>
      </w:r>
      <w:proofErr w:type="gramStart"/>
      <w:r>
        <w:t>Additions?</w:t>
      </w:r>
      <w:proofErr w:type="gramEnd"/>
      <w:r>
        <w:t xml:space="preserve">  Discuss on next RMI cc.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>RESA would like to submit the following response: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The credit requirements found in the Met-Ed Supplier Tariff (pg. 22)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offer</w:t>
      </w:r>
      <w:proofErr w:type="gramEnd"/>
      <w:r>
        <w:t xml:space="preserve"> a good start to establishing optimal flexibility for the credit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instruments</w:t>
      </w:r>
      <w:proofErr w:type="gramEnd"/>
      <w:r>
        <w:t xml:space="preserve"> EGS can submit to cover their definable and appropriate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credit</w:t>
      </w:r>
      <w:proofErr w:type="gramEnd"/>
      <w:r>
        <w:t xml:space="preserve"> obligations with the EDC.  However, to achieve the goal of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optimal</w:t>
      </w:r>
      <w:proofErr w:type="gramEnd"/>
      <w:r>
        <w:t xml:space="preserve"> flexibility as RESA proposed in its comments on the subject,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the</w:t>
      </w:r>
      <w:proofErr w:type="gramEnd"/>
      <w:r>
        <w:t xml:space="preserve"> tariff requires a slightly expanded list of eligible credit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vehicles</w:t>
      </w:r>
      <w:proofErr w:type="gramEnd"/>
      <w:r>
        <w:t xml:space="preserve"> that can be used to meet the EGS credit obligation.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RESA believes that Met-Ed should be commended for allowing an EGS to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meet</w:t>
      </w:r>
      <w:proofErr w:type="gramEnd"/>
      <w:r>
        <w:t xml:space="preserve"> its credit obligation by demonstrating that it has investment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grade</w:t>
      </w:r>
      <w:proofErr w:type="gramEnd"/>
      <w:r>
        <w:t xml:space="preserve"> long-term bond ratings from two of the four major rating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agencies</w:t>
      </w:r>
      <w:proofErr w:type="gramEnd"/>
      <w:r>
        <w:t xml:space="preserve"> (i.e. S&amp;P, Moody’s, Fitch, or Duff &amp; Phelps).  Met-Ed uses a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table</w:t>
      </w:r>
      <w:proofErr w:type="gramEnd"/>
      <w:r>
        <w:t xml:space="preserve"> in its Supplier Tariff to clearly show the ratings that must be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maintained</w:t>
      </w:r>
      <w:proofErr w:type="gramEnd"/>
      <w:r>
        <w:t xml:space="preserve"> for an EGS to meet its obligation in this manner.  EGS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that</w:t>
      </w:r>
      <w:proofErr w:type="gramEnd"/>
      <w:r>
        <w:t xml:space="preserve"> maintain these long-term bond ratings do not have submit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additional</w:t>
      </w:r>
      <w:proofErr w:type="gramEnd"/>
      <w:r>
        <w:t xml:space="preserve"> credit vehicles to the EDC (i.e. an unsecured credit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limit</w:t>
      </w:r>
      <w:proofErr w:type="gramEnd"/>
      <w:r>
        <w:t>).  All EDCs in the Commonwealth should adopt this standard if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they</w:t>
      </w:r>
      <w:proofErr w:type="gramEnd"/>
      <w:r>
        <w:t xml:space="preserve"> have not already done so.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However, RESA believes that Met-Ed needs to update its Supplier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Tariff to include more eligible credit vehicles.</w:t>
      </w:r>
      <w:proofErr w:type="gramEnd"/>
      <w:r>
        <w:t xml:space="preserve">  Currently, the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tariff</w:t>
      </w:r>
      <w:proofErr w:type="gramEnd"/>
      <w:r>
        <w:t xml:space="preserve"> reads as follows: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      The EGS may choose from any of the following credit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arrangements</w:t>
      </w:r>
      <w:proofErr w:type="gramEnd"/>
      <w:r>
        <w:t xml:space="preserve"> in a format acceptable to the Company: an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irrevocable</w:t>
      </w:r>
      <w:proofErr w:type="gramEnd"/>
      <w:r>
        <w:t xml:space="preserve"> Letter of Credit; a cash deposit established with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the</w:t>
      </w:r>
      <w:proofErr w:type="gramEnd"/>
      <w:r>
        <w:t xml:space="preserve"> Company; including the Company as a beneficiary; or other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mutually</w:t>
      </w:r>
      <w:proofErr w:type="gramEnd"/>
      <w:r>
        <w:t xml:space="preserve"> agreeable security or arrangement.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RESA believes that it would be more appropriate to include a more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comprehensive</w:t>
      </w:r>
      <w:proofErr w:type="gramEnd"/>
      <w:r>
        <w:t xml:space="preserve"> list of eligible credit vehicles while maintaining the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flexibility</w:t>
      </w:r>
      <w:proofErr w:type="gramEnd"/>
      <w:r>
        <w:t xml:space="preserve"> of the “mutually agreeable security or arrangement”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option</w:t>
      </w:r>
      <w:proofErr w:type="gramEnd"/>
      <w:r>
        <w:t>.  RESA would like to propose the following tariff language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that</w:t>
      </w:r>
      <w:proofErr w:type="gramEnd"/>
      <w:r>
        <w:t xml:space="preserve"> could be adopted by all EDCs in the Commonwealth: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      The EGS may choose from any of the following credit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arrangements</w:t>
      </w:r>
      <w:proofErr w:type="gramEnd"/>
      <w:r>
        <w:t xml:space="preserve"> in a format acceptable to the Company: an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irrevocable</w:t>
      </w:r>
      <w:proofErr w:type="gramEnd"/>
      <w:r>
        <w:t xml:space="preserve"> Letter of Credit; a Parental Guarantee from a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credit-worthy</w:t>
      </w:r>
      <w:proofErr w:type="gramEnd"/>
      <w:r>
        <w:t xml:space="preserve"> corporate parent; a Surety Bond; a cash deposit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established</w:t>
      </w:r>
      <w:proofErr w:type="gramEnd"/>
      <w:r>
        <w:t xml:space="preserve"> with the Company; including the Company as a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beneficiary</w:t>
      </w:r>
      <w:proofErr w:type="gramEnd"/>
      <w:r>
        <w:t>; or other mutually agreeable security or</w:t>
      </w:r>
    </w:p>
    <w:p w:rsidR="00EF54CA" w:rsidRDefault="00EF54CA" w:rsidP="00EF54CA">
      <w:pPr>
        <w:pStyle w:val="PlainText"/>
      </w:pPr>
      <w:r>
        <w:t xml:space="preserve">            </w:t>
      </w:r>
      <w:proofErr w:type="gramStart"/>
      <w:r>
        <w:t>arrangement</w:t>
      </w:r>
      <w:proofErr w:type="gramEnd"/>
      <w:r>
        <w:t>.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RESA suggests that the same standard that is used to judge whether an</w:t>
      </w:r>
    </w:p>
    <w:p w:rsidR="00EF54CA" w:rsidRDefault="00EF54CA" w:rsidP="00EF54CA">
      <w:pPr>
        <w:pStyle w:val="PlainText"/>
      </w:pPr>
      <w:r>
        <w:lastRenderedPageBreak/>
        <w:t xml:space="preserve">      EGS can receive an unsecured credit limit (i.e. demonstrable ratings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from</w:t>
      </w:r>
      <w:proofErr w:type="gramEnd"/>
      <w:r>
        <w:t xml:space="preserve"> 2 agencies as specified in the table on pg. 22) can be used to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determine</w:t>
      </w:r>
      <w:proofErr w:type="gramEnd"/>
      <w:r>
        <w:t xml:space="preserve"> the creditworthiness of a corporate parent that provides a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Parental Guarantee.</w:t>
      </w:r>
      <w:proofErr w:type="gramEnd"/>
      <w:r>
        <w:t xml:space="preserve">  RESA also notes that the First Energy Supplier</w:t>
      </w:r>
    </w:p>
    <w:p w:rsidR="00EF54CA" w:rsidRDefault="00EF54CA" w:rsidP="00EF54CA">
      <w:pPr>
        <w:pStyle w:val="PlainText"/>
      </w:pPr>
      <w:r>
        <w:t xml:space="preserve">      Services Creditworthiness web site (for PA) already seems to allow</w:t>
      </w:r>
    </w:p>
    <w:p w:rsidR="00EF54CA" w:rsidRDefault="00EF54CA" w:rsidP="00EF54CA">
      <w:pPr>
        <w:pStyle w:val="PlainText"/>
      </w:pPr>
      <w:r>
        <w:t xml:space="preserve">      Parental Guarantees as a mutually agreeable security or arrangement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although</w:t>
      </w:r>
      <w:proofErr w:type="gramEnd"/>
      <w:r>
        <w:t xml:space="preserve"> it is not currently explicitly listed in the Supplier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Tariff.</w:t>
      </w:r>
      <w:proofErr w:type="gramEnd"/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RESA notes that Met-Ed (and the other First Energy companies as well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as</w:t>
      </w:r>
      <w:proofErr w:type="gramEnd"/>
      <w:r>
        <w:t xml:space="preserve"> Duquesne) requires an initial credit amount of $250,000 from an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EGS doing business in its territory.</w:t>
      </w:r>
      <w:proofErr w:type="gramEnd"/>
      <w:r>
        <w:t xml:space="preserve">  RESA would like to compare that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initial</w:t>
      </w:r>
      <w:proofErr w:type="gramEnd"/>
      <w:r>
        <w:t xml:space="preserve"> credit requirement to the credit standards that First Energy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has</w:t>
      </w:r>
      <w:proofErr w:type="gramEnd"/>
      <w:r>
        <w:t xml:space="preserve"> agreed to submit for the 11/17/2011 RMI conference call to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determine</w:t>
      </w:r>
      <w:proofErr w:type="gramEnd"/>
      <w:r>
        <w:t xml:space="preserve"> if the risks identified by First Energy are commensurate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with</w:t>
      </w:r>
      <w:proofErr w:type="gramEnd"/>
      <w:r>
        <w:t xml:space="preserve"> the credit obligation.</w:t>
      </w:r>
    </w:p>
    <w:p w:rsidR="00EF54CA" w:rsidRDefault="00EF54CA" w:rsidP="00EF54CA">
      <w:pPr>
        <w:pStyle w:val="PlainText"/>
      </w:pPr>
    </w:p>
    <w:p w:rsidR="00EF54CA" w:rsidRDefault="00EF54CA" w:rsidP="00EF54CA">
      <w:pPr>
        <w:pStyle w:val="PlainText"/>
      </w:pPr>
      <w:r>
        <w:t xml:space="preserve">      Finally, RESA would like to reiterate that standardized credit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practices</w:t>
      </w:r>
      <w:proofErr w:type="gramEnd"/>
      <w:r>
        <w:t xml:space="preserve"> that are based on unambiguous, transparent credit analysis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that</w:t>
      </w:r>
      <w:proofErr w:type="gramEnd"/>
      <w:r>
        <w:t xml:space="preserve"> identifies definable credit risks that are directly incurred by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the</w:t>
      </w:r>
      <w:proofErr w:type="gramEnd"/>
      <w:r>
        <w:t xml:space="preserve"> EDC as a result of EGS activity are the key to assuring that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credit</w:t>
      </w:r>
      <w:proofErr w:type="gramEnd"/>
      <w:r>
        <w:t xml:space="preserve"> requirements do not become an obstacle to EGS entry and</w:t>
      </w:r>
    </w:p>
    <w:p w:rsidR="00EF54CA" w:rsidRDefault="00EF54CA" w:rsidP="00EF54CA">
      <w:pPr>
        <w:pStyle w:val="PlainText"/>
      </w:pPr>
      <w:r>
        <w:t xml:space="preserve">      </w:t>
      </w:r>
      <w:proofErr w:type="gramStart"/>
      <w:r>
        <w:t>participation</w:t>
      </w:r>
      <w:proofErr w:type="gramEnd"/>
      <w:r>
        <w:t xml:space="preserve"> in the competitive retail market in Pennsylvania.</w:t>
      </w:r>
    </w:p>
    <w:p w:rsidR="00EF54CA" w:rsidRDefault="00EF54CA" w:rsidP="00EF54CA">
      <w:pPr>
        <w:pStyle w:val="PlainText"/>
      </w:pPr>
    </w:p>
    <w:p w:rsidR="007A213E" w:rsidRDefault="00935275"/>
    <w:sectPr w:rsidR="007A213E" w:rsidSect="00D302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4CA"/>
    <w:rsid w:val="00331FDB"/>
    <w:rsid w:val="003E14E2"/>
    <w:rsid w:val="00847579"/>
    <w:rsid w:val="00886983"/>
    <w:rsid w:val="00935275"/>
    <w:rsid w:val="00AB7800"/>
    <w:rsid w:val="00AF5CC3"/>
    <w:rsid w:val="00D30280"/>
    <w:rsid w:val="00EF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F54C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4C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2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EF54C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54C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9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3689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kmoury</dc:creator>
  <cp:lastModifiedBy>cypage</cp:lastModifiedBy>
  <cp:revision>2</cp:revision>
  <dcterms:created xsi:type="dcterms:W3CDTF">2011-11-14T21:48:00Z</dcterms:created>
  <dcterms:modified xsi:type="dcterms:W3CDTF">2011-11-14T21:48:00Z</dcterms:modified>
</cp:coreProperties>
</file>