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FE" w:rsidRDefault="008632FE" w:rsidP="008632FE">
      <w:pPr>
        <w:jc w:val="center"/>
        <w:rPr>
          <w:b/>
          <w:sz w:val="24"/>
          <w:szCs w:val="24"/>
        </w:rPr>
      </w:pPr>
      <w:bookmarkStart w:id="0" w:name="_GoBack"/>
      <w:bookmarkEnd w:id="0"/>
      <w:r w:rsidRPr="008632FE">
        <w:rPr>
          <w:b/>
          <w:sz w:val="24"/>
          <w:szCs w:val="24"/>
        </w:rPr>
        <w:t xml:space="preserve">RMI Technical Conference – </w:t>
      </w:r>
      <w:r w:rsidR="000052BA">
        <w:rPr>
          <w:b/>
          <w:sz w:val="24"/>
          <w:szCs w:val="24"/>
        </w:rPr>
        <w:t>November 8, 2011</w:t>
      </w:r>
    </w:p>
    <w:p w:rsidR="00761BAC" w:rsidRPr="008632FE" w:rsidRDefault="00761BAC" w:rsidP="008632FE">
      <w:pPr>
        <w:jc w:val="center"/>
        <w:rPr>
          <w:b/>
          <w:sz w:val="24"/>
          <w:szCs w:val="24"/>
        </w:rPr>
      </w:pPr>
    </w:p>
    <w:p w:rsidR="00761BAC" w:rsidRPr="00666302" w:rsidRDefault="00761BAC" w:rsidP="000052BA">
      <w:pPr>
        <w:jc w:val="center"/>
        <w:rPr>
          <w:b/>
          <w:sz w:val="24"/>
          <w:szCs w:val="24"/>
        </w:rPr>
      </w:pPr>
      <w:r w:rsidRPr="000052BA">
        <w:rPr>
          <w:b/>
          <w:sz w:val="24"/>
          <w:szCs w:val="24"/>
        </w:rPr>
        <w:t>Custo</w:t>
      </w:r>
      <w:r w:rsidR="000052BA">
        <w:rPr>
          <w:b/>
          <w:sz w:val="24"/>
          <w:szCs w:val="24"/>
        </w:rPr>
        <w:t>mer Referral Program Discussion</w:t>
      </w:r>
    </w:p>
    <w:p w:rsidR="008632FE" w:rsidRDefault="008632FE" w:rsidP="008632FE">
      <w:pPr>
        <w:jc w:val="center"/>
        <w:rPr>
          <w:b/>
          <w:sz w:val="24"/>
          <w:szCs w:val="24"/>
        </w:rPr>
      </w:pPr>
    </w:p>
    <w:p w:rsidR="00C250F5" w:rsidRDefault="00C250F5" w:rsidP="008632FE">
      <w:pPr>
        <w:jc w:val="center"/>
        <w:rPr>
          <w:b/>
          <w:sz w:val="24"/>
          <w:szCs w:val="24"/>
        </w:rPr>
      </w:pPr>
      <w:r>
        <w:rPr>
          <w:b/>
          <w:sz w:val="24"/>
          <w:szCs w:val="24"/>
        </w:rPr>
        <w:t xml:space="preserve">Submit all deliverables to </w:t>
      </w:r>
      <w:hyperlink r:id="rId8" w:history="1">
        <w:r w:rsidRPr="008D1D30">
          <w:rPr>
            <w:rStyle w:val="Hyperlink"/>
            <w:b/>
            <w:sz w:val="24"/>
            <w:szCs w:val="24"/>
          </w:rPr>
          <w:t>ra-rmi@pa.gov</w:t>
        </w:r>
      </w:hyperlink>
      <w:r>
        <w:rPr>
          <w:b/>
          <w:sz w:val="24"/>
          <w:szCs w:val="24"/>
        </w:rPr>
        <w:t xml:space="preserve"> </w:t>
      </w:r>
    </w:p>
    <w:p w:rsidR="00C250F5" w:rsidRDefault="00C250F5" w:rsidP="008632FE">
      <w:pPr>
        <w:jc w:val="center"/>
        <w:rPr>
          <w:b/>
          <w:sz w:val="24"/>
          <w:szCs w:val="24"/>
        </w:rPr>
      </w:pPr>
    </w:p>
    <w:p w:rsidR="00C250F5" w:rsidRDefault="00C250F5" w:rsidP="008632FE">
      <w:pPr>
        <w:jc w:val="center"/>
        <w:rPr>
          <w:b/>
          <w:sz w:val="24"/>
          <w:szCs w:val="24"/>
        </w:rPr>
      </w:pPr>
      <w:r>
        <w:rPr>
          <w:b/>
          <w:sz w:val="24"/>
          <w:szCs w:val="24"/>
        </w:rPr>
        <w:t>All discussion documents/deliverables available at</w:t>
      </w:r>
    </w:p>
    <w:p w:rsidR="00C250F5" w:rsidRDefault="00C250F5" w:rsidP="008632FE">
      <w:pPr>
        <w:jc w:val="center"/>
        <w:rPr>
          <w:b/>
          <w:sz w:val="24"/>
          <w:szCs w:val="24"/>
        </w:rPr>
      </w:pPr>
      <w:r>
        <w:rPr>
          <w:b/>
          <w:sz w:val="24"/>
          <w:szCs w:val="24"/>
        </w:rPr>
        <w:t xml:space="preserve"> </w:t>
      </w:r>
      <w:hyperlink r:id="rId9" w:history="1">
        <w:r w:rsidRPr="00C250F5">
          <w:rPr>
            <w:rStyle w:val="Hyperlink"/>
            <w:b/>
            <w:sz w:val="24"/>
            <w:szCs w:val="24"/>
          </w:rPr>
          <w:t>RMI Discussion Documents &amp; Deliverables</w:t>
        </w:r>
      </w:hyperlink>
    </w:p>
    <w:p w:rsidR="00C250F5" w:rsidRPr="008632FE" w:rsidRDefault="00C250F5" w:rsidP="008632FE">
      <w:pPr>
        <w:jc w:val="center"/>
        <w:rPr>
          <w:b/>
          <w:sz w:val="24"/>
          <w:szCs w:val="24"/>
        </w:rPr>
      </w:pPr>
    </w:p>
    <w:p w:rsidR="008632FE" w:rsidRPr="008632FE" w:rsidRDefault="008632FE" w:rsidP="008632FE">
      <w:pPr>
        <w:jc w:val="center"/>
        <w:rPr>
          <w:b/>
          <w:sz w:val="24"/>
          <w:szCs w:val="24"/>
        </w:rPr>
      </w:pPr>
      <w:r w:rsidRPr="008632FE">
        <w:rPr>
          <w:b/>
          <w:sz w:val="24"/>
          <w:szCs w:val="24"/>
          <w:highlight w:val="yellow"/>
        </w:rPr>
        <w:t>Action Items highlighted in yellow</w:t>
      </w:r>
    </w:p>
    <w:p w:rsidR="00B31005" w:rsidRPr="008632FE" w:rsidRDefault="00B31005" w:rsidP="008F062E">
      <w:pPr>
        <w:jc w:val="center"/>
        <w:rPr>
          <w:b/>
          <w:sz w:val="24"/>
          <w:szCs w:val="24"/>
        </w:rPr>
      </w:pPr>
    </w:p>
    <w:p w:rsidR="00B31005" w:rsidRPr="008632FE" w:rsidRDefault="00B31005" w:rsidP="00B31005">
      <w:pPr>
        <w:rPr>
          <w:sz w:val="24"/>
          <w:szCs w:val="24"/>
        </w:rPr>
      </w:pPr>
    </w:p>
    <w:p w:rsidR="00706B1A" w:rsidRPr="008632FE" w:rsidRDefault="00706B1A" w:rsidP="00B31005">
      <w:pPr>
        <w:rPr>
          <w:sz w:val="24"/>
          <w:szCs w:val="24"/>
        </w:rPr>
      </w:pPr>
      <w:r w:rsidRPr="008632FE">
        <w:rPr>
          <w:b/>
          <w:sz w:val="24"/>
          <w:szCs w:val="24"/>
        </w:rPr>
        <w:t>Organizational Issues</w:t>
      </w:r>
      <w:r w:rsidR="008632FE">
        <w:rPr>
          <w:sz w:val="24"/>
          <w:szCs w:val="24"/>
        </w:rPr>
        <w:t xml:space="preserve"> – Karen Moury</w:t>
      </w:r>
      <w:r w:rsidRPr="008632FE">
        <w:rPr>
          <w:b/>
          <w:sz w:val="24"/>
          <w:szCs w:val="24"/>
        </w:rPr>
        <w:tab/>
      </w:r>
      <w:r w:rsidRPr="008632FE">
        <w:rPr>
          <w:b/>
          <w:sz w:val="24"/>
          <w:szCs w:val="24"/>
        </w:rPr>
        <w:tab/>
      </w:r>
      <w:r w:rsidRPr="008632FE">
        <w:rPr>
          <w:b/>
          <w:sz w:val="24"/>
          <w:szCs w:val="24"/>
        </w:rPr>
        <w:tab/>
      </w:r>
      <w:r w:rsidRPr="008632FE">
        <w:rPr>
          <w:b/>
          <w:sz w:val="24"/>
          <w:szCs w:val="24"/>
        </w:rPr>
        <w:tab/>
      </w:r>
      <w:r w:rsidRPr="008632FE">
        <w:rPr>
          <w:b/>
          <w:sz w:val="24"/>
          <w:szCs w:val="24"/>
        </w:rPr>
        <w:tab/>
      </w:r>
      <w:r w:rsidRPr="008632FE">
        <w:rPr>
          <w:b/>
          <w:sz w:val="24"/>
          <w:szCs w:val="24"/>
        </w:rPr>
        <w:tab/>
      </w:r>
    </w:p>
    <w:p w:rsidR="00C549D0" w:rsidRPr="000052BA" w:rsidRDefault="00C549D0" w:rsidP="000052BA">
      <w:pPr>
        <w:rPr>
          <w:sz w:val="24"/>
          <w:szCs w:val="24"/>
        </w:rPr>
      </w:pPr>
    </w:p>
    <w:p w:rsidR="00DA782A" w:rsidRPr="00DA782A" w:rsidRDefault="00DA782A" w:rsidP="00C563D6">
      <w:pPr>
        <w:pStyle w:val="ListParagraph"/>
        <w:numPr>
          <w:ilvl w:val="0"/>
          <w:numId w:val="43"/>
        </w:numPr>
        <w:ind w:left="360"/>
        <w:rPr>
          <w:sz w:val="24"/>
          <w:szCs w:val="24"/>
        </w:rPr>
      </w:pPr>
      <w:r w:rsidRPr="00DA782A">
        <w:rPr>
          <w:sz w:val="24"/>
          <w:szCs w:val="24"/>
          <w:u w:val="single"/>
        </w:rPr>
        <w:t>Moury</w:t>
      </w:r>
      <w:r w:rsidRPr="00DA782A">
        <w:rPr>
          <w:sz w:val="24"/>
          <w:szCs w:val="24"/>
        </w:rPr>
        <w:t>: Offering call-in ability for</w:t>
      </w:r>
      <w:r w:rsidR="0018742C">
        <w:rPr>
          <w:sz w:val="24"/>
          <w:szCs w:val="24"/>
        </w:rPr>
        <w:t xml:space="preserve"> 11/10/11 RM</w:t>
      </w:r>
      <w:r>
        <w:rPr>
          <w:sz w:val="24"/>
          <w:szCs w:val="24"/>
        </w:rPr>
        <w:t>I</w:t>
      </w:r>
      <w:r w:rsidRPr="00DA782A">
        <w:rPr>
          <w:sz w:val="24"/>
          <w:szCs w:val="24"/>
        </w:rPr>
        <w:t xml:space="preserve"> en banc </w:t>
      </w:r>
      <w:r>
        <w:rPr>
          <w:sz w:val="24"/>
          <w:szCs w:val="24"/>
        </w:rPr>
        <w:t xml:space="preserve">hearing </w:t>
      </w:r>
      <w:r w:rsidRPr="00DA782A">
        <w:rPr>
          <w:sz w:val="24"/>
          <w:szCs w:val="24"/>
        </w:rPr>
        <w:t xml:space="preserve">– listen only.  Will be transcribed and recorded and recorded by PCN.  </w:t>
      </w:r>
    </w:p>
    <w:p w:rsidR="001C150F" w:rsidRPr="008632FE" w:rsidRDefault="001C150F" w:rsidP="00B31005">
      <w:pPr>
        <w:rPr>
          <w:sz w:val="24"/>
          <w:szCs w:val="24"/>
        </w:rPr>
      </w:pPr>
    </w:p>
    <w:p w:rsidR="00D900FE" w:rsidRPr="008632FE" w:rsidRDefault="00D900FE" w:rsidP="00CB179D">
      <w:pPr>
        <w:rPr>
          <w:sz w:val="24"/>
          <w:szCs w:val="24"/>
        </w:rPr>
      </w:pPr>
    </w:p>
    <w:p w:rsidR="00F567A2" w:rsidRPr="00D520B7" w:rsidRDefault="00F567A2" w:rsidP="00CB179D">
      <w:pPr>
        <w:rPr>
          <w:sz w:val="24"/>
          <w:szCs w:val="24"/>
        </w:rPr>
      </w:pPr>
      <w:r w:rsidRPr="008632FE">
        <w:rPr>
          <w:b/>
          <w:sz w:val="24"/>
          <w:szCs w:val="24"/>
        </w:rPr>
        <w:t>Customer Referral Program</w:t>
      </w:r>
      <w:r w:rsidR="00D520B7">
        <w:rPr>
          <w:sz w:val="24"/>
          <w:szCs w:val="24"/>
        </w:rPr>
        <w:t xml:space="preserve"> – Kirk House</w:t>
      </w:r>
    </w:p>
    <w:p w:rsidR="00834F99" w:rsidRPr="008632FE" w:rsidRDefault="00834F99" w:rsidP="00CB179D">
      <w:pPr>
        <w:rPr>
          <w:sz w:val="24"/>
          <w:szCs w:val="24"/>
        </w:rPr>
      </w:pPr>
    </w:p>
    <w:p w:rsidR="00EA62B0" w:rsidRPr="00DA782A" w:rsidRDefault="002C74D1" w:rsidP="00D520B7">
      <w:pPr>
        <w:pStyle w:val="ListParagraph"/>
        <w:numPr>
          <w:ilvl w:val="0"/>
          <w:numId w:val="28"/>
        </w:numPr>
        <w:rPr>
          <w:sz w:val="24"/>
          <w:szCs w:val="24"/>
        </w:rPr>
      </w:pPr>
      <w:r w:rsidRPr="00DA782A">
        <w:rPr>
          <w:i/>
          <w:sz w:val="24"/>
          <w:szCs w:val="24"/>
        </w:rPr>
        <w:t>New/Moving Customer Issues</w:t>
      </w:r>
      <w:r w:rsidR="00DA782A" w:rsidRPr="00DA782A">
        <w:rPr>
          <w:sz w:val="24"/>
          <w:szCs w:val="24"/>
        </w:rPr>
        <w:t xml:space="preserve">: </w:t>
      </w:r>
      <w:hyperlink r:id="rId10" w:history="1">
        <w:r w:rsidR="00D520B7" w:rsidRPr="00DA782A">
          <w:rPr>
            <w:rStyle w:val="Hyperlink"/>
            <w:sz w:val="24"/>
            <w:szCs w:val="24"/>
          </w:rPr>
          <w:t>RESA Discussion Document for New/Moving Customer Program &amp; Related Customer Choice Education - 10/5/11</w:t>
        </w:r>
      </w:hyperlink>
    </w:p>
    <w:p w:rsidR="00D520B7" w:rsidRPr="008632FE" w:rsidRDefault="00D520B7" w:rsidP="00D520B7">
      <w:pPr>
        <w:ind w:left="360"/>
        <w:rPr>
          <w:sz w:val="24"/>
          <w:szCs w:val="24"/>
        </w:rPr>
      </w:pPr>
    </w:p>
    <w:p w:rsidR="00D520B7" w:rsidRPr="00DA782A" w:rsidRDefault="00D520B7" w:rsidP="00D520B7">
      <w:pPr>
        <w:pStyle w:val="ListParagraph"/>
        <w:numPr>
          <w:ilvl w:val="0"/>
          <w:numId w:val="28"/>
        </w:numPr>
        <w:rPr>
          <w:rStyle w:val="Hyperlink"/>
          <w:rFonts w:cstheme="minorHAnsi"/>
          <w:color w:val="auto"/>
          <w:sz w:val="24"/>
          <w:szCs w:val="24"/>
          <w:u w:val="none"/>
        </w:rPr>
      </w:pPr>
      <w:r w:rsidRPr="00DA782A">
        <w:rPr>
          <w:rFonts w:cstheme="minorHAnsi"/>
          <w:i/>
          <w:sz w:val="24"/>
          <w:szCs w:val="24"/>
        </w:rPr>
        <w:t>Discussion of NY Referral Program</w:t>
      </w:r>
      <w:r w:rsidR="00DA782A" w:rsidRPr="00DA782A">
        <w:rPr>
          <w:rFonts w:cstheme="minorHAnsi"/>
          <w:sz w:val="24"/>
          <w:szCs w:val="24"/>
        </w:rPr>
        <w:t xml:space="preserve">: </w:t>
      </w:r>
      <w:hyperlink r:id="rId11" w:history="1">
        <w:r w:rsidRPr="00DA782A">
          <w:rPr>
            <w:rStyle w:val="Hyperlink"/>
            <w:rFonts w:cstheme="minorHAnsi"/>
            <w:sz w:val="24"/>
            <w:szCs w:val="24"/>
          </w:rPr>
          <w:t>DE - Description of NY Customer Referral Program</w:t>
        </w:r>
      </w:hyperlink>
    </w:p>
    <w:p w:rsidR="00DA782A" w:rsidRPr="00DA782A" w:rsidRDefault="00DA782A" w:rsidP="00DA782A">
      <w:pPr>
        <w:pStyle w:val="ListParagraph"/>
        <w:rPr>
          <w:rFonts w:cstheme="minorHAnsi"/>
          <w:sz w:val="24"/>
          <w:szCs w:val="24"/>
        </w:rPr>
      </w:pPr>
    </w:p>
    <w:p w:rsidR="00DA782A" w:rsidRPr="00DA782A" w:rsidRDefault="00DA782A" w:rsidP="00D520B7">
      <w:pPr>
        <w:pStyle w:val="ListParagraph"/>
        <w:numPr>
          <w:ilvl w:val="0"/>
          <w:numId w:val="28"/>
        </w:numPr>
        <w:rPr>
          <w:rFonts w:cstheme="minorHAnsi"/>
          <w:sz w:val="24"/>
          <w:szCs w:val="24"/>
        </w:rPr>
      </w:pPr>
      <w:r>
        <w:rPr>
          <w:rFonts w:cstheme="minorHAnsi"/>
          <w:i/>
          <w:sz w:val="24"/>
          <w:szCs w:val="24"/>
        </w:rPr>
        <w:t>RESA Customer Referral Program Proposal</w:t>
      </w:r>
      <w:r>
        <w:rPr>
          <w:rFonts w:cstheme="minorHAnsi"/>
          <w:sz w:val="24"/>
          <w:szCs w:val="24"/>
        </w:rPr>
        <w:t xml:space="preserve">: </w:t>
      </w:r>
      <w:hyperlink r:id="rId12" w:history="1">
        <w:r w:rsidRPr="00DA782A">
          <w:rPr>
            <w:rStyle w:val="Hyperlink"/>
            <w:rFonts w:cstheme="minorHAnsi"/>
            <w:sz w:val="24"/>
            <w:szCs w:val="24"/>
          </w:rPr>
          <w:t>RESA Customer Referral Program Proposal</w:t>
        </w:r>
      </w:hyperlink>
    </w:p>
    <w:p w:rsidR="00D520B7" w:rsidRPr="008632FE" w:rsidRDefault="00D520B7" w:rsidP="00D520B7">
      <w:pPr>
        <w:rPr>
          <w:sz w:val="24"/>
          <w:szCs w:val="24"/>
        </w:rPr>
      </w:pPr>
    </w:p>
    <w:p w:rsidR="005F2ED1" w:rsidRDefault="005F2ED1" w:rsidP="009B4DDD">
      <w:pPr>
        <w:rPr>
          <w:sz w:val="24"/>
          <w:szCs w:val="24"/>
        </w:rPr>
      </w:pPr>
    </w:p>
    <w:p w:rsidR="00903232" w:rsidRDefault="005F1F66" w:rsidP="00C563D6">
      <w:pPr>
        <w:pStyle w:val="ListParagraph"/>
        <w:numPr>
          <w:ilvl w:val="0"/>
          <w:numId w:val="43"/>
        </w:numPr>
        <w:tabs>
          <w:tab w:val="left" w:pos="-3060"/>
        </w:tabs>
        <w:ind w:left="360"/>
        <w:rPr>
          <w:sz w:val="24"/>
          <w:szCs w:val="24"/>
        </w:rPr>
      </w:pPr>
      <w:r>
        <w:rPr>
          <w:sz w:val="24"/>
          <w:szCs w:val="24"/>
          <w:u w:val="single"/>
        </w:rPr>
        <w:t>RESA</w:t>
      </w:r>
      <w:r>
        <w:rPr>
          <w:sz w:val="24"/>
          <w:szCs w:val="24"/>
        </w:rPr>
        <w:t xml:space="preserve">: 3 subgroup conference calls regarding the 10/5/11 document.  1 subgroup call regarding RESA’s updated proposal.  </w:t>
      </w:r>
      <w:r>
        <w:rPr>
          <w:i/>
          <w:sz w:val="24"/>
          <w:szCs w:val="24"/>
        </w:rPr>
        <w:t>Discussed contents of RESA Customer Referral Program Proposal</w:t>
      </w:r>
      <w:r>
        <w:rPr>
          <w:sz w:val="24"/>
          <w:szCs w:val="24"/>
        </w:rPr>
        <w:t>.  Main points: Referral program only for residential and small business</w:t>
      </w:r>
      <w:r w:rsidR="008747BB">
        <w:rPr>
          <w:sz w:val="24"/>
          <w:szCs w:val="24"/>
        </w:rPr>
        <w:t xml:space="preserve"> (based on EDC rate classifications)</w:t>
      </w:r>
      <w:r>
        <w:rPr>
          <w:sz w:val="24"/>
          <w:szCs w:val="24"/>
        </w:rPr>
        <w:t xml:space="preserve"> default service (DS) customers.  3-month introductory period w/EGS at rate 7% lower than current EDC PTC (will fluctuate with PTC quarterly changes).  3 months allows for EGS required notifications for rate changes.  </w:t>
      </w:r>
      <w:r w:rsidR="008747BB">
        <w:rPr>
          <w:sz w:val="24"/>
          <w:szCs w:val="24"/>
        </w:rPr>
        <w:t xml:space="preserve">After 3 months, customer must affirmatively choose to leave EGS or remain on month-to-month plan with no cancellation fees.  </w:t>
      </w:r>
      <w:r w:rsidR="008F2EE8">
        <w:rPr>
          <w:sz w:val="24"/>
          <w:szCs w:val="24"/>
        </w:rPr>
        <w:t xml:space="preserve">In NY, some customers revert to variable rate.  </w:t>
      </w:r>
      <w:r w:rsidR="008747BB">
        <w:rPr>
          <w:sz w:val="24"/>
          <w:szCs w:val="24"/>
        </w:rPr>
        <w:t xml:space="preserve">EDC customer service representatives (CSR) inform customers of program and provide information to appropriate EGS for customer enrollment.  Adopt prior to 6/1/13.  Open to idea of outsourced call center, but concerned about dropping calls.  Overarching concern: </w:t>
      </w:r>
      <w:r w:rsidR="0083691E">
        <w:rPr>
          <w:sz w:val="24"/>
          <w:szCs w:val="24"/>
        </w:rPr>
        <w:t>place</w:t>
      </w:r>
      <w:r w:rsidR="008747BB">
        <w:rPr>
          <w:sz w:val="24"/>
          <w:szCs w:val="24"/>
        </w:rPr>
        <w:t xml:space="preserve"> EGS selection </w:t>
      </w:r>
      <w:r w:rsidR="0083691E">
        <w:rPr>
          <w:sz w:val="24"/>
          <w:szCs w:val="24"/>
        </w:rPr>
        <w:t>on</w:t>
      </w:r>
      <w:r w:rsidR="008747BB">
        <w:rPr>
          <w:sz w:val="24"/>
          <w:szCs w:val="24"/>
        </w:rPr>
        <w:t xml:space="preserve"> equal footing </w:t>
      </w:r>
      <w:r w:rsidR="0083691E">
        <w:rPr>
          <w:sz w:val="24"/>
          <w:szCs w:val="24"/>
        </w:rPr>
        <w:t>with</w:t>
      </w:r>
      <w:r w:rsidR="008747BB">
        <w:rPr>
          <w:sz w:val="24"/>
          <w:szCs w:val="24"/>
        </w:rPr>
        <w:t xml:space="preserve"> DS selection.  </w:t>
      </w:r>
      <w:r w:rsidR="008F2EE8">
        <w:rPr>
          <w:sz w:val="24"/>
          <w:szCs w:val="24"/>
        </w:rPr>
        <w:t xml:space="preserve">Customers need clear decision point. </w:t>
      </w:r>
    </w:p>
    <w:p w:rsidR="008F2EE8" w:rsidRDefault="008F2EE8" w:rsidP="00C563D6">
      <w:pPr>
        <w:pStyle w:val="ListParagraph"/>
        <w:numPr>
          <w:ilvl w:val="0"/>
          <w:numId w:val="43"/>
        </w:numPr>
        <w:ind w:left="360"/>
        <w:rPr>
          <w:sz w:val="24"/>
          <w:szCs w:val="24"/>
        </w:rPr>
      </w:pPr>
      <w:r>
        <w:rPr>
          <w:sz w:val="24"/>
          <w:szCs w:val="24"/>
          <w:u w:val="single"/>
        </w:rPr>
        <w:t>EDCs</w:t>
      </w:r>
      <w:r w:rsidRPr="008F2EE8">
        <w:rPr>
          <w:sz w:val="24"/>
          <w:szCs w:val="24"/>
        </w:rPr>
        <w:t>:</w:t>
      </w:r>
      <w:r>
        <w:rPr>
          <w:sz w:val="24"/>
          <w:szCs w:val="24"/>
        </w:rPr>
        <w:t xml:space="preserve"> OK with 7% for 3 months if it follows EDC PTC.  Don’t want customers reverting to a variable rate after 3-month intro period.  Have customers reverted to fixed rate for months 4-12.  Agree with EGSs enrolling customers.  EDCs need to </w:t>
      </w:r>
      <w:r w:rsidR="0083691E">
        <w:rPr>
          <w:sz w:val="24"/>
          <w:szCs w:val="24"/>
        </w:rPr>
        <w:t xml:space="preserve">implement </w:t>
      </w:r>
      <w:r>
        <w:rPr>
          <w:sz w:val="24"/>
          <w:szCs w:val="24"/>
        </w:rPr>
        <w:t xml:space="preserve">system upgrades.  Utilize separate, statewide, outsourced call center.  Risk of losing some customers due to </w:t>
      </w:r>
      <w:r>
        <w:rPr>
          <w:sz w:val="24"/>
          <w:szCs w:val="24"/>
        </w:rPr>
        <w:lastRenderedPageBreak/>
        <w:t>lack of interest or technical problems is outweighed by use of outsourced CSRs.  May not be able to implement till 2013.  Want to phase out declining block rates.  May not be cost-effective for small business customers.</w:t>
      </w:r>
    </w:p>
    <w:p w:rsidR="008F2EE8" w:rsidRDefault="008F2EE8" w:rsidP="00C563D6">
      <w:pPr>
        <w:pStyle w:val="ListParagraph"/>
        <w:numPr>
          <w:ilvl w:val="0"/>
          <w:numId w:val="43"/>
        </w:numPr>
        <w:ind w:left="360"/>
        <w:rPr>
          <w:sz w:val="24"/>
          <w:szCs w:val="24"/>
        </w:rPr>
      </w:pPr>
      <w:r>
        <w:rPr>
          <w:sz w:val="24"/>
          <w:szCs w:val="24"/>
          <w:u w:val="single"/>
        </w:rPr>
        <w:t>OCA</w:t>
      </w:r>
      <w:r w:rsidRPr="008F2EE8">
        <w:rPr>
          <w:sz w:val="24"/>
          <w:szCs w:val="24"/>
        </w:rPr>
        <w:t>:</w:t>
      </w:r>
      <w:r>
        <w:rPr>
          <w:sz w:val="24"/>
          <w:szCs w:val="24"/>
        </w:rPr>
        <w:t xml:space="preserve"> Concerned about use of intro price but if intro price</w:t>
      </w:r>
      <w:r w:rsidR="0083691E">
        <w:rPr>
          <w:sz w:val="24"/>
          <w:szCs w:val="24"/>
        </w:rPr>
        <w:t xml:space="preserve"> is used</w:t>
      </w:r>
      <w:r>
        <w:rPr>
          <w:sz w:val="24"/>
          <w:szCs w:val="24"/>
        </w:rPr>
        <w:t xml:space="preserve">, tracking PTC and giving reasonable discount off PTC, with additional consumer protections should be OK.  Intro rate should be 4 months.  Post-intro rate, provide fixed rate or return to DS.  Some settlements, mergers, etc. have call center metrics that need to be adhered to.  Don’t liberalize standards.  </w:t>
      </w:r>
    </w:p>
    <w:p w:rsidR="008F2EE8" w:rsidRDefault="008F2EE8" w:rsidP="00C563D6">
      <w:pPr>
        <w:pStyle w:val="ListParagraph"/>
        <w:numPr>
          <w:ilvl w:val="0"/>
          <w:numId w:val="43"/>
        </w:numPr>
        <w:ind w:left="360"/>
        <w:rPr>
          <w:sz w:val="24"/>
          <w:szCs w:val="24"/>
        </w:rPr>
      </w:pPr>
      <w:r>
        <w:rPr>
          <w:sz w:val="24"/>
          <w:szCs w:val="24"/>
          <w:u w:val="single"/>
        </w:rPr>
        <w:t>AARP</w:t>
      </w:r>
      <w:r w:rsidRPr="008F2EE8">
        <w:rPr>
          <w:sz w:val="24"/>
          <w:szCs w:val="24"/>
        </w:rPr>
        <w:t>:</w:t>
      </w:r>
      <w:r>
        <w:rPr>
          <w:sz w:val="24"/>
          <w:szCs w:val="24"/>
        </w:rPr>
        <w:t xml:space="preserve"> NY – EDC ratepayers don’t fund implementation costs for programs.  DS customers shouldn’t pay for program.  Disagree with RESA’s proposed EDC call center scripts.  </w:t>
      </w:r>
    </w:p>
    <w:p w:rsidR="008F2EE8" w:rsidRDefault="008F2EE8" w:rsidP="00C563D6">
      <w:pPr>
        <w:pStyle w:val="ListParagraph"/>
        <w:numPr>
          <w:ilvl w:val="0"/>
          <w:numId w:val="43"/>
        </w:numPr>
        <w:ind w:left="360"/>
        <w:rPr>
          <w:sz w:val="24"/>
          <w:szCs w:val="24"/>
        </w:rPr>
      </w:pPr>
      <w:r>
        <w:rPr>
          <w:sz w:val="24"/>
          <w:szCs w:val="24"/>
          <w:u w:val="single"/>
        </w:rPr>
        <w:t>PULP</w:t>
      </w:r>
      <w:r w:rsidRPr="008F2EE8">
        <w:rPr>
          <w:sz w:val="24"/>
          <w:szCs w:val="24"/>
        </w:rPr>
        <w:t>:</w:t>
      </w:r>
      <w:r>
        <w:rPr>
          <w:sz w:val="24"/>
          <w:szCs w:val="24"/>
        </w:rPr>
        <w:t xml:space="preserve"> Difference in customer assistance program (CAP) requirements/standards for shopping across EDCs.  Concern with use of uniform scripts and call centers.  Need to know CAP issues.  Any indications about savings should be clearly indicated in relation to CAP rates.  </w:t>
      </w:r>
    </w:p>
    <w:p w:rsidR="008F2EE8" w:rsidRPr="005F1F66" w:rsidRDefault="008F2EE8" w:rsidP="00C563D6">
      <w:pPr>
        <w:pStyle w:val="ListParagraph"/>
        <w:numPr>
          <w:ilvl w:val="0"/>
          <w:numId w:val="43"/>
        </w:numPr>
        <w:tabs>
          <w:tab w:val="left" w:pos="0"/>
        </w:tabs>
        <w:ind w:left="360"/>
        <w:rPr>
          <w:sz w:val="24"/>
          <w:szCs w:val="24"/>
        </w:rPr>
      </w:pPr>
      <w:r>
        <w:rPr>
          <w:sz w:val="24"/>
          <w:szCs w:val="24"/>
          <w:u w:val="single"/>
        </w:rPr>
        <w:t>House</w:t>
      </w:r>
      <w:r w:rsidRPr="008F2EE8">
        <w:rPr>
          <w:sz w:val="24"/>
          <w:szCs w:val="24"/>
        </w:rPr>
        <w:t>:</w:t>
      </w:r>
      <w:r>
        <w:rPr>
          <w:sz w:val="24"/>
          <w:szCs w:val="24"/>
        </w:rPr>
        <w:t xml:space="preserve"> </w:t>
      </w:r>
      <w:r w:rsidR="00A5737D">
        <w:rPr>
          <w:sz w:val="24"/>
          <w:szCs w:val="24"/>
        </w:rPr>
        <w:t xml:space="preserve">No regulatory requirements for call center metrics.  Commission has found some EDC call center issues in past and contacted EDC directly.  If placing mandates on EDCs, possibly relax standards keeping in mind customer is being served.  Don’t negatively impact customers’ experiences.  </w:t>
      </w:r>
    </w:p>
    <w:p w:rsidR="00A30664" w:rsidRDefault="00A30664" w:rsidP="00761BAC">
      <w:pPr>
        <w:rPr>
          <w:sz w:val="24"/>
          <w:szCs w:val="24"/>
        </w:rPr>
      </w:pPr>
    </w:p>
    <w:p w:rsidR="00A30664" w:rsidRDefault="00A30664" w:rsidP="00761BAC">
      <w:pPr>
        <w:rPr>
          <w:sz w:val="24"/>
          <w:szCs w:val="24"/>
        </w:rPr>
      </w:pPr>
    </w:p>
    <w:p w:rsidR="00761BAC" w:rsidRPr="000052BA" w:rsidRDefault="00761BAC" w:rsidP="00761BAC">
      <w:pPr>
        <w:rPr>
          <w:b/>
          <w:sz w:val="24"/>
          <w:szCs w:val="24"/>
        </w:rPr>
      </w:pPr>
      <w:r w:rsidRPr="00761BAC">
        <w:rPr>
          <w:b/>
          <w:sz w:val="24"/>
          <w:szCs w:val="24"/>
        </w:rPr>
        <w:t>Future Meeting Dates:</w:t>
      </w:r>
    </w:p>
    <w:p w:rsidR="00761BAC" w:rsidRPr="00761BAC" w:rsidRDefault="000052BA" w:rsidP="00761BAC">
      <w:pPr>
        <w:rPr>
          <w:sz w:val="24"/>
          <w:szCs w:val="24"/>
        </w:rPr>
      </w:pPr>
      <w:r>
        <w:rPr>
          <w:sz w:val="24"/>
          <w:szCs w:val="24"/>
        </w:rPr>
        <w:t>1</w:t>
      </w:r>
      <w:r w:rsidR="00761BAC">
        <w:rPr>
          <w:sz w:val="24"/>
          <w:szCs w:val="24"/>
        </w:rPr>
        <w:t xml:space="preserve">. </w:t>
      </w:r>
      <w:r w:rsidR="00761BAC" w:rsidRPr="00761BAC">
        <w:rPr>
          <w:sz w:val="24"/>
          <w:szCs w:val="24"/>
        </w:rPr>
        <w:tab/>
        <w:t xml:space="preserve">En Banc Hearing: </w:t>
      </w:r>
      <w:r w:rsidR="00761BAC">
        <w:rPr>
          <w:sz w:val="24"/>
          <w:szCs w:val="24"/>
        </w:rPr>
        <w:t>Thursday, November 10, 2011 – 12:3</w:t>
      </w:r>
      <w:r w:rsidR="00761BAC" w:rsidRPr="00761BAC">
        <w:rPr>
          <w:sz w:val="24"/>
          <w:szCs w:val="24"/>
        </w:rPr>
        <w:t>0-5:00 PM – Hearing Room 1, Keystone Building, Harrisburg</w:t>
      </w:r>
    </w:p>
    <w:p w:rsidR="00761BAC" w:rsidRPr="00761BAC" w:rsidRDefault="000052BA" w:rsidP="00761BAC">
      <w:pPr>
        <w:rPr>
          <w:sz w:val="24"/>
          <w:szCs w:val="24"/>
        </w:rPr>
      </w:pPr>
      <w:r>
        <w:rPr>
          <w:sz w:val="24"/>
          <w:szCs w:val="24"/>
        </w:rPr>
        <w:t>2</w:t>
      </w:r>
      <w:r w:rsidR="00761BAC" w:rsidRPr="00761BAC">
        <w:rPr>
          <w:sz w:val="24"/>
          <w:szCs w:val="24"/>
        </w:rPr>
        <w:t>.</w:t>
      </w:r>
      <w:r w:rsidR="00761BAC" w:rsidRPr="00761BAC">
        <w:rPr>
          <w:sz w:val="24"/>
          <w:szCs w:val="24"/>
        </w:rPr>
        <w:tab/>
        <w:t>CC: Thursday, November 17, 2011 – 1:30 PM</w:t>
      </w:r>
    </w:p>
    <w:p w:rsidR="00761BAC" w:rsidRPr="00761BAC" w:rsidRDefault="000052BA" w:rsidP="00761BAC">
      <w:pPr>
        <w:rPr>
          <w:sz w:val="24"/>
          <w:szCs w:val="24"/>
        </w:rPr>
      </w:pPr>
      <w:r>
        <w:rPr>
          <w:sz w:val="24"/>
          <w:szCs w:val="24"/>
        </w:rPr>
        <w:t>3</w:t>
      </w:r>
      <w:r w:rsidR="00761BAC" w:rsidRPr="00761BAC">
        <w:rPr>
          <w:sz w:val="24"/>
          <w:szCs w:val="24"/>
        </w:rPr>
        <w:t>.</w:t>
      </w:r>
      <w:r w:rsidR="00761BAC" w:rsidRPr="00761BAC">
        <w:rPr>
          <w:sz w:val="24"/>
          <w:szCs w:val="24"/>
        </w:rPr>
        <w:tab/>
        <w:t>CC: Wednesday, November 30, 2011 – 10:00 AM</w:t>
      </w:r>
    </w:p>
    <w:p w:rsidR="00761BAC" w:rsidRPr="00761BAC" w:rsidRDefault="000052BA" w:rsidP="00761BAC">
      <w:pPr>
        <w:rPr>
          <w:sz w:val="24"/>
          <w:szCs w:val="24"/>
        </w:rPr>
      </w:pPr>
      <w:r>
        <w:rPr>
          <w:sz w:val="24"/>
          <w:szCs w:val="24"/>
        </w:rPr>
        <w:t>4</w:t>
      </w:r>
      <w:r w:rsidR="00761BAC" w:rsidRPr="00761BAC">
        <w:rPr>
          <w:sz w:val="24"/>
          <w:szCs w:val="24"/>
        </w:rPr>
        <w:t>.</w:t>
      </w:r>
      <w:r w:rsidR="00761BAC" w:rsidRPr="00761BAC">
        <w:rPr>
          <w:sz w:val="24"/>
          <w:szCs w:val="24"/>
        </w:rPr>
        <w:tab/>
        <w:t>CC: Wednesday, December 14, 2011 – 10:00 AM</w:t>
      </w:r>
    </w:p>
    <w:sectPr w:rsidR="00761BAC" w:rsidRPr="00761BAC" w:rsidSect="00D302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E9" w:rsidRDefault="00257DE9" w:rsidP="00C250F5">
      <w:r>
        <w:separator/>
      </w:r>
    </w:p>
  </w:endnote>
  <w:endnote w:type="continuationSeparator" w:id="0">
    <w:p w:rsidR="00257DE9" w:rsidRDefault="00257DE9" w:rsidP="00C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F5" w:rsidRPr="00B531DE" w:rsidRDefault="00C250F5" w:rsidP="00C250F5">
    <w:pPr>
      <w:pStyle w:val="Footer"/>
      <w:rPr>
        <w:rFonts w:ascii="Arial" w:hAnsi="Arial" w:cs="Arial"/>
        <w:sz w:val="20"/>
        <w:szCs w:val="20"/>
      </w:rPr>
    </w:pPr>
    <w:r w:rsidRPr="00B531DE">
      <w:rPr>
        <w:rFonts w:ascii="Arial" w:hAnsi="Arial" w:cs="Arial"/>
        <w:sz w:val="20"/>
        <w:szCs w:val="20"/>
      </w:rPr>
      <w:t>To the extent possible, information was compiled under one entity heading.  It should be noted that this information may not reflect the views/opinions of all entities encompassed under that heading (e.g. “EGSs”)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E9" w:rsidRDefault="00257DE9" w:rsidP="00C250F5">
      <w:r>
        <w:separator/>
      </w:r>
    </w:p>
  </w:footnote>
  <w:footnote w:type="continuationSeparator" w:id="0">
    <w:p w:rsidR="00257DE9" w:rsidRDefault="00257DE9" w:rsidP="00C2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42"/>
    <w:multiLevelType w:val="hybridMultilevel"/>
    <w:tmpl w:val="7DD01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064F4"/>
    <w:multiLevelType w:val="hybridMultilevel"/>
    <w:tmpl w:val="7FF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207A5"/>
    <w:multiLevelType w:val="hybridMultilevel"/>
    <w:tmpl w:val="D930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07A4F"/>
    <w:multiLevelType w:val="hybridMultilevel"/>
    <w:tmpl w:val="93D8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C1060"/>
    <w:multiLevelType w:val="hybridMultilevel"/>
    <w:tmpl w:val="D554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E5A3B"/>
    <w:multiLevelType w:val="hybridMultilevel"/>
    <w:tmpl w:val="B4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C0318"/>
    <w:multiLevelType w:val="hybridMultilevel"/>
    <w:tmpl w:val="BFAA89C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551F"/>
    <w:multiLevelType w:val="hybridMultilevel"/>
    <w:tmpl w:val="E48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E380F"/>
    <w:multiLevelType w:val="hybridMultilevel"/>
    <w:tmpl w:val="4166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B3583"/>
    <w:multiLevelType w:val="hybridMultilevel"/>
    <w:tmpl w:val="11845994"/>
    <w:lvl w:ilvl="0" w:tplc="1CE60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F432F"/>
    <w:multiLevelType w:val="hybridMultilevel"/>
    <w:tmpl w:val="2AAA17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2742E"/>
    <w:multiLevelType w:val="hybridMultilevel"/>
    <w:tmpl w:val="C25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F5E96"/>
    <w:multiLevelType w:val="hybridMultilevel"/>
    <w:tmpl w:val="DDC8D6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CA1CBC"/>
    <w:multiLevelType w:val="hybridMultilevel"/>
    <w:tmpl w:val="4EA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B71E8"/>
    <w:multiLevelType w:val="hybridMultilevel"/>
    <w:tmpl w:val="5A92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41A79"/>
    <w:multiLevelType w:val="hybridMultilevel"/>
    <w:tmpl w:val="6F96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3103A"/>
    <w:multiLevelType w:val="hybridMultilevel"/>
    <w:tmpl w:val="5810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56BB6"/>
    <w:multiLevelType w:val="hybridMultilevel"/>
    <w:tmpl w:val="D318FD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093E1C"/>
    <w:multiLevelType w:val="hybridMultilevel"/>
    <w:tmpl w:val="F8FC7D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922F8"/>
    <w:multiLevelType w:val="hybridMultilevel"/>
    <w:tmpl w:val="84B0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050DB"/>
    <w:multiLevelType w:val="hybridMultilevel"/>
    <w:tmpl w:val="D498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758F9"/>
    <w:multiLevelType w:val="hybridMultilevel"/>
    <w:tmpl w:val="3BE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6414E"/>
    <w:multiLevelType w:val="hybridMultilevel"/>
    <w:tmpl w:val="F8C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D5BE1"/>
    <w:multiLevelType w:val="hybridMultilevel"/>
    <w:tmpl w:val="C614A450"/>
    <w:lvl w:ilvl="0" w:tplc="0F0204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D0CEB"/>
    <w:multiLevelType w:val="hybridMultilevel"/>
    <w:tmpl w:val="AB7E83D8"/>
    <w:lvl w:ilvl="0" w:tplc="E93A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159EA"/>
    <w:multiLevelType w:val="hybridMultilevel"/>
    <w:tmpl w:val="701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F1C74"/>
    <w:multiLevelType w:val="hybridMultilevel"/>
    <w:tmpl w:val="68F274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31E5A"/>
    <w:multiLevelType w:val="hybridMultilevel"/>
    <w:tmpl w:val="464C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6288B"/>
    <w:multiLevelType w:val="hybridMultilevel"/>
    <w:tmpl w:val="2A7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32F85"/>
    <w:multiLevelType w:val="hybridMultilevel"/>
    <w:tmpl w:val="4C5273DA"/>
    <w:lvl w:ilvl="0" w:tplc="C96CE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CE1556"/>
    <w:multiLevelType w:val="hybridMultilevel"/>
    <w:tmpl w:val="4DF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00A1A"/>
    <w:multiLevelType w:val="hybridMultilevel"/>
    <w:tmpl w:val="E28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22F46"/>
    <w:multiLevelType w:val="hybridMultilevel"/>
    <w:tmpl w:val="F99A3C10"/>
    <w:lvl w:ilvl="0" w:tplc="393AF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E0F9A"/>
    <w:multiLevelType w:val="hybridMultilevel"/>
    <w:tmpl w:val="93E4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56A19"/>
    <w:multiLevelType w:val="hybridMultilevel"/>
    <w:tmpl w:val="062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6A381E"/>
    <w:multiLevelType w:val="hybridMultilevel"/>
    <w:tmpl w:val="1272EB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DB066C"/>
    <w:multiLevelType w:val="hybridMultilevel"/>
    <w:tmpl w:val="A65451B4"/>
    <w:lvl w:ilvl="0" w:tplc="DFE4B8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37A87"/>
    <w:multiLevelType w:val="hybridMultilevel"/>
    <w:tmpl w:val="4204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A6393"/>
    <w:multiLevelType w:val="hybridMultilevel"/>
    <w:tmpl w:val="89680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9357E"/>
    <w:multiLevelType w:val="hybridMultilevel"/>
    <w:tmpl w:val="6622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47DEF"/>
    <w:multiLevelType w:val="hybridMultilevel"/>
    <w:tmpl w:val="DEA2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660AD"/>
    <w:multiLevelType w:val="hybridMultilevel"/>
    <w:tmpl w:val="47F0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C482E"/>
    <w:multiLevelType w:val="hybridMultilevel"/>
    <w:tmpl w:val="21BA1F9E"/>
    <w:lvl w:ilvl="0" w:tplc="35CEA60C">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8"/>
  </w:num>
  <w:num w:numId="4">
    <w:abstractNumId w:val="10"/>
  </w:num>
  <w:num w:numId="5">
    <w:abstractNumId w:val="17"/>
  </w:num>
  <w:num w:numId="6">
    <w:abstractNumId w:val="35"/>
  </w:num>
  <w:num w:numId="7">
    <w:abstractNumId w:val="12"/>
  </w:num>
  <w:num w:numId="8">
    <w:abstractNumId w:val="19"/>
  </w:num>
  <w:num w:numId="9">
    <w:abstractNumId w:val="38"/>
  </w:num>
  <w:num w:numId="10">
    <w:abstractNumId w:val="11"/>
  </w:num>
  <w:num w:numId="11">
    <w:abstractNumId w:val="0"/>
  </w:num>
  <w:num w:numId="12">
    <w:abstractNumId w:val="37"/>
  </w:num>
  <w:num w:numId="13">
    <w:abstractNumId w:val="34"/>
  </w:num>
  <w:num w:numId="14">
    <w:abstractNumId w:val="41"/>
  </w:num>
  <w:num w:numId="15">
    <w:abstractNumId w:val="20"/>
  </w:num>
  <w:num w:numId="16">
    <w:abstractNumId w:val="14"/>
  </w:num>
  <w:num w:numId="17">
    <w:abstractNumId w:val="42"/>
  </w:num>
  <w:num w:numId="18">
    <w:abstractNumId w:val="25"/>
  </w:num>
  <w:num w:numId="19">
    <w:abstractNumId w:val="3"/>
  </w:num>
  <w:num w:numId="20">
    <w:abstractNumId w:val="36"/>
  </w:num>
  <w:num w:numId="21">
    <w:abstractNumId w:val="39"/>
  </w:num>
  <w:num w:numId="22">
    <w:abstractNumId w:val="16"/>
  </w:num>
  <w:num w:numId="23">
    <w:abstractNumId w:val="18"/>
  </w:num>
  <w:num w:numId="24">
    <w:abstractNumId w:val="26"/>
  </w:num>
  <w:num w:numId="25">
    <w:abstractNumId w:val="6"/>
  </w:num>
  <w:num w:numId="26">
    <w:abstractNumId w:val="23"/>
  </w:num>
  <w:num w:numId="27">
    <w:abstractNumId w:val="29"/>
  </w:num>
  <w:num w:numId="28">
    <w:abstractNumId w:val="24"/>
  </w:num>
  <w:num w:numId="29">
    <w:abstractNumId w:val="32"/>
  </w:num>
  <w:num w:numId="30">
    <w:abstractNumId w:val="31"/>
  </w:num>
  <w:num w:numId="31">
    <w:abstractNumId w:val="9"/>
  </w:num>
  <w:num w:numId="32">
    <w:abstractNumId w:val="21"/>
  </w:num>
  <w:num w:numId="33">
    <w:abstractNumId w:val="2"/>
  </w:num>
  <w:num w:numId="34">
    <w:abstractNumId w:val="33"/>
  </w:num>
  <w:num w:numId="35">
    <w:abstractNumId w:val="4"/>
  </w:num>
  <w:num w:numId="36">
    <w:abstractNumId w:val="7"/>
  </w:num>
  <w:num w:numId="37">
    <w:abstractNumId w:val="30"/>
  </w:num>
  <w:num w:numId="38">
    <w:abstractNumId w:val="22"/>
  </w:num>
  <w:num w:numId="39">
    <w:abstractNumId w:val="1"/>
  </w:num>
  <w:num w:numId="40">
    <w:abstractNumId w:val="13"/>
  </w:num>
  <w:num w:numId="41">
    <w:abstractNumId w:val="5"/>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2"/>
    <w:rsid w:val="00002AE3"/>
    <w:rsid w:val="000052BA"/>
    <w:rsid w:val="00013CA9"/>
    <w:rsid w:val="000237B6"/>
    <w:rsid w:val="0002574A"/>
    <w:rsid w:val="00027190"/>
    <w:rsid w:val="00032D53"/>
    <w:rsid w:val="00040AD4"/>
    <w:rsid w:val="00050711"/>
    <w:rsid w:val="00086FA2"/>
    <w:rsid w:val="000931FB"/>
    <w:rsid w:val="00093DBB"/>
    <w:rsid w:val="00096DE7"/>
    <w:rsid w:val="000A323D"/>
    <w:rsid w:val="000A6068"/>
    <w:rsid w:val="000A7C30"/>
    <w:rsid w:val="000A7E1F"/>
    <w:rsid w:val="000C15AD"/>
    <w:rsid w:val="000C1958"/>
    <w:rsid w:val="000C1D27"/>
    <w:rsid w:val="000D0437"/>
    <w:rsid w:val="00135455"/>
    <w:rsid w:val="0013705D"/>
    <w:rsid w:val="00140AC9"/>
    <w:rsid w:val="001705BF"/>
    <w:rsid w:val="0018742C"/>
    <w:rsid w:val="001B28EC"/>
    <w:rsid w:val="001C150F"/>
    <w:rsid w:val="001D1D81"/>
    <w:rsid w:val="001E02EC"/>
    <w:rsid w:val="001E1E55"/>
    <w:rsid w:val="001E5061"/>
    <w:rsid w:val="001F7E80"/>
    <w:rsid w:val="002007D0"/>
    <w:rsid w:val="002079BF"/>
    <w:rsid w:val="00212373"/>
    <w:rsid w:val="00214650"/>
    <w:rsid w:val="00217623"/>
    <w:rsid w:val="00220FF0"/>
    <w:rsid w:val="00221920"/>
    <w:rsid w:val="00226AA2"/>
    <w:rsid w:val="0024188F"/>
    <w:rsid w:val="002523BD"/>
    <w:rsid w:val="00254133"/>
    <w:rsid w:val="00257DE9"/>
    <w:rsid w:val="0027444C"/>
    <w:rsid w:val="00276725"/>
    <w:rsid w:val="00277A42"/>
    <w:rsid w:val="00284B94"/>
    <w:rsid w:val="002A527F"/>
    <w:rsid w:val="002A5AC5"/>
    <w:rsid w:val="002B35E3"/>
    <w:rsid w:val="002C5861"/>
    <w:rsid w:val="002C60E5"/>
    <w:rsid w:val="002C61A1"/>
    <w:rsid w:val="002C74D1"/>
    <w:rsid w:val="002C7BED"/>
    <w:rsid w:val="002D29D2"/>
    <w:rsid w:val="002E0BCD"/>
    <w:rsid w:val="002F43A3"/>
    <w:rsid w:val="00315BEC"/>
    <w:rsid w:val="00331FDB"/>
    <w:rsid w:val="003360EE"/>
    <w:rsid w:val="00341988"/>
    <w:rsid w:val="00350652"/>
    <w:rsid w:val="00363FCC"/>
    <w:rsid w:val="0036779E"/>
    <w:rsid w:val="003851AD"/>
    <w:rsid w:val="00386BE7"/>
    <w:rsid w:val="00393F5F"/>
    <w:rsid w:val="003B7987"/>
    <w:rsid w:val="003C41E1"/>
    <w:rsid w:val="003E14E2"/>
    <w:rsid w:val="003E2E8B"/>
    <w:rsid w:val="003E44F7"/>
    <w:rsid w:val="003E6988"/>
    <w:rsid w:val="003F0E64"/>
    <w:rsid w:val="004100D2"/>
    <w:rsid w:val="004158A8"/>
    <w:rsid w:val="00420467"/>
    <w:rsid w:val="0042156F"/>
    <w:rsid w:val="00424A41"/>
    <w:rsid w:val="004265A0"/>
    <w:rsid w:val="004364D9"/>
    <w:rsid w:val="0045715C"/>
    <w:rsid w:val="00457CB3"/>
    <w:rsid w:val="00467915"/>
    <w:rsid w:val="00472865"/>
    <w:rsid w:val="0048041C"/>
    <w:rsid w:val="0048557B"/>
    <w:rsid w:val="004872A5"/>
    <w:rsid w:val="00492CD0"/>
    <w:rsid w:val="004B03A8"/>
    <w:rsid w:val="00511A42"/>
    <w:rsid w:val="00512D8D"/>
    <w:rsid w:val="005208B9"/>
    <w:rsid w:val="005217C1"/>
    <w:rsid w:val="005401EF"/>
    <w:rsid w:val="005427B2"/>
    <w:rsid w:val="00580613"/>
    <w:rsid w:val="005D15CE"/>
    <w:rsid w:val="005D25BF"/>
    <w:rsid w:val="005D322F"/>
    <w:rsid w:val="005D3B43"/>
    <w:rsid w:val="005F1F66"/>
    <w:rsid w:val="005F2ED1"/>
    <w:rsid w:val="00610F09"/>
    <w:rsid w:val="00621391"/>
    <w:rsid w:val="00631766"/>
    <w:rsid w:val="006405FD"/>
    <w:rsid w:val="006406F0"/>
    <w:rsid w:val="00646FD4"/>
    <w:rsid w:val="0065058A"/>
    <w:rsid w:val="00652504"/>
    <w:rsid w:val="00653801"/>
    <w:rsid w:val="00653ADF"/>
    <w:rsid w:val="00665E03"/>
    <w:rsid w:val="00666302"/>
    <w:rsid w:val="00677D57"/>
    <w:rsid w:val="006B2E38"/>
    <w:rsid w:val="006B7204"/>
    <w:rsid w:val="006D003B"/>
    <w:rsid w:val="006E344A"/>
    <w:rsid w:val="006F0E86"/>
    <w:rsid w:val="00703342"/>
    <w:rsid w:val="00703D1F"/>
    <w:rsid w:val="00706B1A"/>
    <w:rsid w:val="00740C34"/>
    <w:rsid w:val="00761BAC"/>
    <w:rsid w:val="00773AE0"/>
    <w:rsid w:val="00775AFF"/>
    <w:rsid w:val="0078472D"/>
    <w:rsid w:val="007863C6"/>
    <w:rsid w:val="007A263F"/>
    <w:rsid w:val="007C38A0"/>
    <w:rsid w:val="007D6AB1"/>
    <w:rsid w:val="008141CA"/>
    <w:rsid w:val="00817A7D"/>
    <w:rsid w:val="0082544B"/>
    <w:rsid w:val="00831637"/>
    <w:rsid w:val="00834F99"/>
    <w:rsid w:val="0083691E"/>
    <w:rsid w:val="00847579"/>
    <w:rsid w:val="00857997"/>
    <w:rsid w:val="008632FE"/>
    <w:rsid w:val="008747BB"/>
    <w:rsid w:val="00874858"/>
    <w:rsid w:val="00876F58"/>
    <w:rsid w:val="00882A0F"/>
    <w:rsid w:val="00883819"/>
    <w:rsid w:val="008D03B4"/>
    <w:rsid w:val="008D3179"/>
    <w:rsid w:val="008D5C89"/>
    <w:rsid w:val="008E1C7D"/>
    <w:rsid w:val="008E7F8D"/>
    <w:rsid w:val="008F062E"/>
    <w:rsid w:val="008F2EE8"/>
    <w:rsid w:val="00903232"/>
    <w:rsid w:val="00911EB9"/>
    <w:rsid w:val="009459AD"/>
    <w:rsid w:val="0095484D"/>
    <w:rsid w:val="0098704A"/>
    <w:rsid w:val="009913F5"/>
    <w:rsid w:val="009A3128"/>
    <w:rsid w:val="009B4DDD"/>
    <w:rsid w:val="009D5293"/>
    <w:rsid w:val="009E0FCC"/>
    <w:rsid w:val="009E5161"/>
    <w:rsid w:val="009F47B0"/>
    <w:rsid w:val="00A1386D"/>
    <w:rsid w:val="00A24D48"/>
    <w:rsid w:val="00A30664"/>
    <w:rsid w:val="00A355BB"/>
    <w:rsid w:val="00A44526"/>
    <w:rsid w:val="00A51208"/>
    <w:rsid w:val="00A5737D"/>
    <w:rsid w:val="00A64EA1"/>
    <w:rsid w:val="00A6579B"/>
    <w:rsid w:val="00A70283"/>
    <w:rsid w:val="00A758D4"/>
    <w:rsid w:val="00A75F86"/>
    <w:rsid w:val="00A76D54"/>
    <w:rsid w:val="00AA5073"/>
    <w:rsid w:val="00AB5E0E"/>
    <w:rsid w:val="00AC5B99"/>
    <w:rsid w:val="00AC68A5"/>
    <w:rsid w:val="00AF2C06"/>
    <w:rsid w:val="00B206EE"/>
    <w:rsid w:val="00B31005"/>
    <w:rsid w:val="00B4277F"/>
    <w:rsid w:val="00B4659C"/>
    <w:rsid w:val="00B539F3"/>
    <w:rsid w:val="00B713F7"/>
    <w:rsid w:val="00B82220"/>
    <w:rsid w:val="00B83E7D"/>
    <w:rsid w:val="00B86FE7"/>
    <w:rsid w:val="00B91042"/>
    <w:rsid w:val="00BB2EDB"/>
    <w:rsid w:val="00BB483F"/>
    <w:rsid w:val="00BD0CF2"/>
    <w:rsid w:val="00BF1D3C"/>
    <w:rsid w:val="00C250F5"/>
    <w:rsid w:val="00C31B4D"/>
    <w:rsid w:val="00C3315B"/>
    <w:rsid w:val="00C33517"/>
    <w:rsid w:val="00C40299"/>
    <w:rsid w:val="00C50A52"/>
    <w:rsid w:val="00C525E4"/>
    <w:rsid w:val="00C54588"/>
    <w:rsid w:val="00C549D0"/>
    <w:rsid w:val="00C563D6"/>
    <w:rsid w:val="00C93192"/>
    <w:rsid w:val="00CB02B3"/>
    <w:rsid w:val="00CB179D"/>
    <w:rsid w:val="00D24F9B"/>
    <w:rsid w:val="00D258CA"/>
    <w:rsid w:val="00D30280"/>
    <w:rsid w:val="00D310D3"/>
    <w:rsid w:val="00D51BBC"/>
    <w:rsid w:val="00D520B7"/>
    <w:rsid w:val="00D56DAF"/>
    <w:rsid w:val="00D60FE3"/>
    <w:rsid w:val="00D759E1"/>
    <w:rsid w:val="00D900FE"/>
    <w:rsid w:val="00D936FA"/>
    <w:rsid w:val="00DA782A"/>
    <w:rsid w:val="00DB45AB"/>
    <w:rsid w:val="00DD25B7"/>
    <w:rsid w:val="00DE70EE"/>
    <w:rsid w:val="00DF047B"/>
    <w:rsid w:val="00DF0F66"/>
    <w:rsid w:val="00E00FFC"/>
    <w:rsid w:val="00E0605A"/>
    <w:rsid w:val="00E12B3E"/>
    <w:rsid w:val="00E4008F"/>
    <w:rsid w:val="00E4303D"/>
    <w:rsid w:val="00E71E9D"/>
    <w:rsid w:val="00E770FF"/>
    <w:rsid w:val="00E91469"/>
    <w:rsid w:val="00EA5170"/>
    <w:rsid w:val="00EA62B0"/>
    <w:rsid w:val="00ED3E51"/>
    <w:rsid w:val="00ED786E"/>
    <w:rsid w:val="00ED7F78"/>
    <w:rsid w:val="00F058B0"/>
    <w:rsid w:val="00F12844"/>
    <w:rsid w:val="00F173B8"/>
    <w:rsid w:val="00F36C49"/>
    <w:rsid w:val="00F567A2"/>
    <w:rsid w:val="00F61FB9"/>
    <w:rsid w:val="00F738E2"/>
    <w:rsid w:val="00F8416F"/>
    <w:rsid w:val="00F975DC"/>
    <w:rsid w:val="00FC3597"/>
    <w:rsid w:val="00FD266E"/>
    <w:rsid w:val="00FE6DE6"/>
    <w:rsid w:val="00FF5735"/>
    <w:rsid w:val="00FF5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7863C6"/>
    <w:rPr>
      <w:rFonts w:ascii="Tahoma" w:hAnsi="Tahoma" w:cs="Tahoma"/>
      <w:sz w:val="16"/>
      <w:szCs w:val="16"/>
    </w:rPr>
  </w:style>
  <w:style w:type="character" w:customStyle="1" w:styleId="BalloonTextChar">
    <w:name w:val="Balloon Text Char"/>
    <w:basedOn w:val="DefaultParagraphFont"/>
    <w:link w:val="BalloonText"/>
    <w:uiPriority w:val="99"/>
    <w:semiHidden/>
    <w:rsid w:val="007863C6"/>
    <w:rPr>
      <w:rFonts w:ascii="Tahoma" w:hAnsi="Tahoma" w:cs="Tahoma"/>
      <w:sz w:val="16"/>
      <w:szCs w:val="16"/>
    </w:rPr>
  </w:style>
  <w:style w:type="paragraph" w:styleId="Header">
    <w:name w:val="header"/>
    <w:basedOn w:val="Normal"/>
    <w:link w:val="HeaderChar"/>
    <w:uiPriority w:val="99"/>
    <w:unhideWhenUsed/>
    <w:rsid w:val="00C250F5"/>
    <w:pPr>
      <w:tabs>
        <w:tab w:val="center" w:pos="4680"/>
        <w:tab w:val="right" w:pos="9360"/>
      </w:tabs>
    </w:pPr>
  </w:style>
  <w:style w:type="character" w:customStyle="1" w:styleId="HeaderChar">
    <w:name w:val="Header Char"/>
    <w:basedOn w:val="DefaultParagraphFont"/>
    <w:link w:val="Header"/>
    <w:uiPriority w:val="99"/>
    <w:rsid w:val="00C250F5"/>
  </w:style>
  <w:style w:type="paragraph" w:styleId="Footer">
    <w:name w:val="footer"/>
    <w:basedOn w:val="Normal"/>
    <w:link w:val="FooterChar"/>
    <w:uiPriority w:val="99"/>
    <w:unhideWhenUsed/>
    <w:rsid w:val="00C250F5"/>
    <w:pPr>
      <w:tabs>
        <w:tab w:val="center" w:pos="4680"/>
        <w:tab w:val="right" w:pos="9360"/>
      </w:tabs>
    </w:pPr>
  </w:style>
  <w:style w:type="character" w:customStyle="1" w:styleId="FooterChar">
    <w:name w:val="Footer Char"/>
    <w:basedOn w:val="DefaultParagraphFont"/>
    <w:link w:val="Footer"/>
    <w:uiPriority w:val="99"/>
    <w:rsid w:val="00C250F5"/>
  </w:style>
  <w:style w:type="character" w:styleId="CommentReference">
    <w:name w:val="annotation reference"/>
    <w:basedOn w:val="DefaultParagraphFont"/>
    <w:uiPriority w:val="99"/>
    <w:semiHidden/>
    <w:unhideWhenUsed/>
    <w:rsid w:val="009A3128"/>
    <w:rPr>
      <w:sz w:val="16"/>
      <w:szCs w:val="16"/>
    </w:rPr>
  </w:style>
  <w:style w:type="paragraph" w:styleId="CommentText">
    <w:name w:val="annotation text"/>
    <w:basedOn w:val="Normal"/>
    <w:link w:val="CommentTextChar"/>
    <w:uiPriority w:val="99"/>
    <w:semiHidden/>
    <w:unhideWhenUsed/>
    <w:rsid w:val="009A3128"/>
    <w:rPr>
      <w:sz w:val="20"/>
      <w:szCs w:val="20"/>
    </w:rPr>
  </w:style>
  <w:style w:type="character" w:customStyle="1" w:styleId="CommentTextChar">
    <w:name w:val="Comment Text Char"/>
    <w:basedOn w:val="DefaultParagraphFont"/>
    <w:link w:val="CommentText"/>
    <w:uiPriority w:val="99"/>
    <w:semiHidden/>
    <w:rsid w:val="009A3128"/>
    <w:rPr>
      <w:sz w:val="20"/>
      <w:szCs w:val="20"/>
    </w:rPr>
  </w:style>
  <w:style w:type="paragraph" w:styleId="CommentSubject">
    <w:name w:val="annotation subject"/>
    <w:basedOn w:val="CommentText"/>
    <w:next w:val="CommentText"/>
    <w:link w:val="CommentSubjectChar"/>
    <w:uiPriority w:val="99"/>
    <w:semiHidden/>
    <w:unhideWhenUsed/>
    <w:rsid w:val="009A3128"/>
    <w:rPr>
      <w:b/>
      <w:bCs/>
    </w:rPr>
  </w:style>
  <w:style w:type="character" w:customStyle="1" w:styleId="CommentSubjectChar">
    <w:name w:val="Comment Subject Char"/>
    <w:basedOn w:val="CommentTextChar"/>
    <w:link w:val="CommentSubject"/>
    <w:uiPriority w:val="99"/>
    <w:semiHidden/>
    <w:rsid w:val="009A31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7863C6"/>
    <w:rPr>
      <w:rFonts w:ascii="Tahoma" w:hAnsi="Tahoma" w:cs="Tahoma"/>
      <w:sz w:val="16"/>
      <w:szCs w:val="16"/>
    </w:rPr>
  </w:style>
  <w:style w:type="character" w:customStyle="1" w:styleId="BalloonTextChar">
    <w:name w:val="Balloon Text Char"/>
    <w:basedOn w:val="DefaultParagraphFont"/>
    <w:link w:val="BalloonText"/>
    <w:uiPriority w:val="99"/>
    <w:semiHidden/>
    <w:rsid w:val="007863C6"/>
    <w:rPr>
      <w:rFonts w:ascii="Tahoma" w:hAnsi="Tahoma" w:cs="Tahoma"/>
      <w:sz w:val="16"/>
      <w:szCs w:val="16"/>
    </w:rPr>
  </w:style>
  <w:style w:type="paragraph" w:styleId="Header">
    <w:name w:val="header"/>
    <w:basedOn w:val="Normal"/>
    <w:link w:val="HeaderChar"/>
    <w:uiPriority w:val="99"/>
    <w:unhideWhenUsed/>
    <w:rsid w:val="00C250F5"/>
    <w:pPr>
      <w:tabs>
        <w:tab w:val="center" w:pos="4680"/>
        <w:tab w:val="right" w:pos="9360"/>
      </w:tabs>
    </w:pPr>
  </w:style>
  <w:style w:type="character" w:customStyle="1" w:styleId="HeaderChar">
    <w:name w:val="Header Char"/>
    <w:basedOn w:val="DefaultParagraphFont"/>
    <w:link w:val="Header"/>
    <w:uiPriority w:val="99"/>
    <w:rsid w:val="00C250F5"/>
  </w:style>
  <w:style w:type="paragraph" w:styleId="Footer">
    <w:name w:val="footer"/>
    <w:basedOn w:val="Normal"/>
    <w:link w:val="FooterChar"/>
    <w:uiPriority w:val="99"/>
    <w:unhideWhenUsed/>
    <w:rsid w:val="00C250F5"/>
    <w:pPr>
      <w:tabs>
        <w:tab w:val="center" w:pos="4680"/>
        <w:tab w:val="right" w:pos="9360"/>
      </w:tabs>
    </w:pPr>
  </w:style>
  <w:style w:type="character" w:customStyle="1" w:styleId="FooterChar">
    <w:name w:val="Footer Char"/>
    <w:basedOn w:val="DefaultParagraphFont"/>
    <w:link w:val="Footer"/>
    <w:uiPriority w:val="99"/>
    <w:rsid w:val="00C250F5"/>
  </w:style>
  <w:style w:type="character" w:styleId="CommentReference">
    <w:name w:val="annotation reference"/>
    <w:basedOn w:val="DefaultParagraphFont"/>
    <w:uiPriority w:val="99"/>
    <w:semiHidden/>
    <w:unhideWhenUsed/>
    <w:rsid w:val="009A3128"/>
    <w:rPr>
      <w:sz w:val="16"/>
      <w:szCs w:val="16"/>
    </w:rPr>
  </w:style>
  <w:style w:type="paragraph" w:styleId="CommentText">
    <w:name w:val="annotation text"/>
    <w:basedOn w:val="Normal"/>
    <w:link w:val="CommentTextChar"/>
    <w:uiPriority w:val="99"/>
    <w:semiHidden/>
    <w:unhideWhenUsed/>
    <w:rsid w:val="009A3128"/>
    <w:rPr>
      <w:sz w:val="20"/>
      <w:szCs w:val="20"/>
    </w:rPr>
  </w:style>
  <w:style w:type="character" w:customStyle="1" w:styleId="CommentTextChar">
    <w:name w:val="Comment Text Char"/>
    <w:basedOn w:val="DefaultParagraphFont"/>
    <w:link w:val="CommentText"/>
    <w:uiPriority w:val="99"/>
    <w:semiHidden/>
    <w:rsid w:val="009A3128"/>
    <w:rPr>
      <w:sz w:val="20"/>
      <w:szCs w:val="20"/>
    </w:rPr>
  </w:style>
  <w:style w:type="paragraph" w:styleId="CommentSubject">
    <w:name w:val="annotation subject"/>
    <w:basedOn w:val="CommentText"/>
    <w:next w:val="CommentText"/>
    <w:link w:val="CommentSubjectChar"/>
    <w:uiPriority w:val="99"/>
    <w:semiHidden/>
    <w:unhideWhenUsed/>
    <w:rsid w:val="009A3128"/>
    <w:rPr>
      <w:b/>
      <w:bCs/>
    </w:rPr>
  </w:style>
  <w:style w:type="character" w:customStyle="1" w:styleId="CommentSubjectChar">
    <w:name w:val="Comment Subject Char"/>
    <w:basedOn w:val="CommentTextChar"/>
    <w:link w:val="CommentSubject"/>
    <w:uiPriority w:val="99"/>
    <w:semiHidden/>
    <w:rsid w:val="009A3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rmi@p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electric/docs/RMI/DD-RESA_Mover_Customer_Referral_11081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electric/docs/RMI/DD-DE-NY_Referral_Programs_09301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electric/docs/RMI/DD-NewMoving_Customer_Program_100511.docx" TargetMode="External"/><Relationship Id="rId4" Type="http://schemas.openxmlformats.org/officeDocument/2006/relationships/settings" Target="settings.xml"/><Relationship Id="rId9" Type="http://schemas.openxmlformats.org/officeDocument/2006/relationships/hyperlink" Target="http://www.puc.state.pa.us/electric/Retail_Markets_Investigation_Discussion_Documen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2011-10-28T19:24:00Z</cp:lastPrinted>
  <dcterms:created xsi:type="dcterms:W3CDTF">2011-11-14T17:18:00Z</dcterms:created>
  <dcterms:modified xsi:type="dcterms:W3CDTF">2011-11-14T17:18:00Z</dcterms:modified>
</cp:coreProperties>
</file>