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3C" w:rsidRDefault="009D1A3C" w:rsidP="009D1A3C">
      <w:pPr>
        <w:jc w:val="center"/>
        <w:rPr>
          <w:rFonts w:cstheme="minorHAnsi"/>
          <w:b/>
          <w:sz w:val="24"/>
          <w:szCs w:val="24"/>
        </w:rPr>
      </w:pPr>
      <w:r>
        <w:rPr>
          <w:rFonts w:cstheme="minorHAnsi"/>
          <w:b/>
          <w:sz w:val="24"/>
          <w:szCs w:val="24"/>
        </w:rPr>
        <w:t>RMI Technical Conference – December 2, 2011</w:t>
      </w:r>
    </w:p>
    <w:p w:rsidR="009D1A3C" w:rsidRDefault="009D1A3C" w:rsidP="009D1A3C">
      <w:pPr>
        <w:jc w:val="center"/>
        <w:rPr>
          <w:rFonts w:cstheme="minorHAnsi"/>
          <w:b/>
          <w:sz w:val="24"/>
          <w:szCs w:val="24"/>
        </w:rPr>
      </w:pPr>
    </w:p>
    <w:p w:rsidR="009D1A3C" w:rsidRDefault="009D1A3C" w:rsidP="009D1A3C">
      <w:pPr>
        <w:jc w:val="center"/>
        <w:rPr>
          <w:rFonts w:cstheme="minorHAnsi"/>
          <w:b/>
          <w:sz w:val="24"/>
          <w:szCs w:val="24"/>
        </w:rPr>
      </w:pPr>
      <w:r>
        <w:rPr>
          <w:rFonts w:cstheme="minorHAnsi"/>
          <w:b/>
          <w:sz w:val="24"/>
          <w:szCs w:val="24"/>
        </w:rPr>
        <w:t xml:space="preserve">Submit all deliverables to </w:t>
      </w:r>
      <w:hyperlink r:id="rId9" w:history="1">
        <w:r>
          <w:rPr>
            <w:rStyle w:val="Hyperlink"/>
            <w:rFonts w:cstheme="minorHAnsi"/>
            <w:b/>
            <w:sz w:val="24"/>
            <w:szCs w:val="24"/>
          </w:rPr>
          <w:t>ra-rmi@pa.gov</w:t>
        </w:r>
      </w:hyperlink>
      <w:r>
        <w:rPr>
          <w:rFonts w:cstheme="minorHAnsi"/>
          <w:b/>
          <w:sz w:val="24"/>
          <w:szCs w:val="24"/>
        </w:rPr>
        <w:t xml:space="preserve"> </w:t>
      </w:r>
    </w:p>
    <w:p w:rsidR="009D1A3C" w:rsidRDefault="009D1A3C" w:rsidP="009D1A3C">
      <w:pPr>
        <w:jc w:val="center"/>
        <w:rPr>
          <w:rFonts w:cstheme="minorHAnsi"/>
          <w:b/>
          <w:sz w:val="24"/>
          <w:szCs w:val="24"/>
        </w:rPr>
      </w:pPr>
    </w:p>
    <w:p w:rsidR="009D1A3C" w:rsidRDefault="009D1A3C" w:rsidP="009D1A3C">
      <w:pPr>
        <w:jc w:val="center"/>
        <w:rPr>
          <w:rFonts w:cstheme="minorHAnsi"/>
          <w:b/>
          <w:sz w:val="24"/>
          <w:szCs w:val="24"/>
        </w:rPr>
      </w:pPr>
      <w:r>
        <w:rPr>
          <w:rFonts w:cstheme="minorHAnsi"/>
          <w:b/>
          <w:sz w:val="24"/>
          <w:szCs w:val="24"/>
        </w:rPr>
        <w:t>All discussion documents/deliverables available at</w:t>
      </w:r>
    </w:p>
    <w:p w:rsidR="009D1A3C" w:rsidRDefault="009D1A3C" w:rsidP="009D1A3C">
      <w:pPr>
        <w:jc w:val="center"/>
        <w:rPr>
          <w:rFonts w:cstheme="minorHAnsi"/>
          <w:b/>
          <w:sz w:val="24"/>
          <w:szCs w:val="24"/>
        </w:rPr>
      </w:pPr>
      <w:r>
        <w:rPr>
          <w:rFonts w:cstheme="minorHAnsi"/>
          <w:b/>
          <w:sz w:val="24"/>
          <w:szCs w:val="24"/>
        </w:rPr>
        <w:t xml:space="preserve"> </w:t>
      </w:r>
      <w:hyperlink r:id="rId10" w:history="1">
        <w:r>
          <w:rPr>
            <w:rStyle w:val="Hyperlink"/>
            <w:rFonts w:cstheme="minorHAnsi"/>
            <w:b/>
            <w:sz w:val="24"/>
            <w:szCs w:val="24"/>
          </w:rPr>
          <w:t>RMI Discussion Documents &amp; Deliverables</w:t>
        </w:r>
      </w:hyperlink>
    </w:p>
    <w:p w:rsidR="009D1A3C" w:rsidRDefault="009D1A3C" w:rsidP="009D1A3C">
      <w:pPr>
        <w:jc w:val="center"/>
        <w:rPr>
          <w:rFonts w:cstheme="minorHAnsi"/>
          <w:b/>
          <w:sz w:val="24"/>
          <w:szCs w:val="24"/>
        </w:rPr>
      </w:pPr>
    </w:p>
    <w:p w:rsidR="009D1A3C" w:rsidRDefault="009D1A3C" w:rsidP="009D1A3C">
      <w:pPr>
        <w:jc w:val="center"/>
        <w:rPr>
          <w:rFonts w:cstheme="minorHAnsi"/>
          <w:b/>
          <w:sz w:val="24"/>
          <w:szCs w:val="24"/>
        </w:rPr>
      </w:pPr>
      <w:r>
        <w:rPr>
          <w:rFonts w:cstheme="minorHAnsi"/>
          <w:b/>
          <w:sz w:val="24"/>
          <w:szCs w:val="24"/>
          <w:highlight w:val="yellow"/>
        </w:rPr>
        <w:t>Action Items highlighted in yellow</w:t>
      </w:r>
    </w:p>
    <w:p w:rsidR="009D1A3C" w:rsidRDefault="009D1A3C" w:rsidP="009D1A3C">
      <w:pPr>
        <w:jc w:val="center"/>
        <w:rPr>
          <w:rFonts w:cstheme="minorHAnsi"/>
          <w:b/>
          <w:sz w:val="24"/>
          <w:szCs w:val="24"/>
        </w:rPr>
      </w:pPr>
    </w:p>
    <w:p w:rsidR="009D1A3C" w:rsidRDefault="009D1A3C" w:rsidP="009D1A3C">
      <w:pPr>
        <w:rPr>
          <w:rFonts w:cstheme="minorHAnsi"/>
          <w:sz w:val="24"/>
          <w:szCs w:val="24"/>
        </w:rPr>
      </w:pPr>
    </w:p>
    <w:p w:rsidR="00FF58B1" w:rsidRPr="0004409B" w:rsidRDefault="0021666D" w:rsidP="00AA5073">
      <w:pPr>
        <w:rPr>
          <w:rFonts w:cstheme="minorHAnsi"/>
          <w:sz w:val="24"/>
          <w:szCs w:val="24"/>
        </w:rPr>
      </w:pPr>
      <w:r>
        <w:rPr>
          <w:rFonts w:cstheme="minorHAnsi"/>
          <w:b/>
          <w:sz w:val="24"/>
          <w:szCs w:val="24"/>
        </w:rPr>
        <w:t>Retail Opt-In Auction</w:t>
      </w:r>
      <w:r w:rsidR="0004409B">
        <w:rPr>
          <w:rFonts w:cstheme="minorHAnsi"/>
          <w:sz w:val="24"/>
          <w:szCs w:val="24"/>
        </w:rPr>
        <w:t xml:space="preserve"> </w:t>
      </w:r>
    </w:p>
    <w:p w:rsidR="00DD598D" w:rsidRDefault="00215F78" w:rsidP="00DD598D">
      <w:pPr>
        <w:rPr>
          <w:rStyle w:val="Hyperlink"/>
          <w:rFonts w:cstheme="minorHAnsi"/>
          <w:sz w:val="24"/>
          <w:szCs w:val="24"/>
          <w:u w:val="none"/>
        </w:rPr>
      </w:pPr>
      <w:hyperlink r:id="rId11" w:history="1">
        <w:r w:rsidR="00994D65" w:rsidRPr="00994D65">
          <w:rPr>
            <w:rStyle w:val="Hyperlink"/>
            <w:rFonts w:cstheme="minorHAnsi"/>
            <w:sz w:val="24"/>
            <w:szCs w:val="24"/>
          </w:rPr>
          <w:t>Retail Opt-In Auction Subgroup Final Report 11 30 11</w:t>
        </w:r>
      </w:hyperlink>
    </w:p>
    <w:p w:rsidR="00466950" w:rsidRPr="00466950" w:rsidRDefault="00466950" w:rsidP="00DD598D">
      <w:pPr>
        <w:rPr>
          <w:rStyle w:val="Hyperlink"/>
          <w:rFonts w:cstheme="minorHAnsi"/>
          <w:i/>
          <w:sz w:val="24"/>
          <w:szCs w:val="24"/>
          <w:u w:val="none"/>
        </w:rPr>
      </w:pPr>
      <w:r w:rsidRPr="00466950">
        <w:rPr>
          <w:rStyle w:val="Hyperlink"/>
          <w:rFonts w:cstheme="minorHAnsi"/>
          <w:i/>
          <w:sz w:val="24"/>
          <w:szCs w:val="24"/>
          <w:u w:val="none"/>
        </w:rPr>
        <w:t xml:space="preserve">See discussion document for more detailed positions.  </w:t>
      </w:r>
    </w:p>
    <w:p w:rsidR="00510138" w:rsidRDefault="00510138" w:rsidP="00DD598D">
      <w:pPr>
        <w:rPr>
          <w:rStyle w:val="Hyperlink"/>
          <w:rFonts w:cstheme="minorHAnsi"/>
          <w:sz w:val="24"/>
          <w:szCs w:val="24"/>
        </w:rPr>
      </w:pPr>
    </w:p>
    <w:p w:rsidR="00C17EDA" w:rsidRDefault="00C17EDA" w:rsidP="00B65A69">
      <w:pPr>
        <w:pStyle w:val="ListParagraph"/>
        <w:numPr>
          <w:ilvl w:val="0"/>
          <w:numId w:val="1"/>
        </w:numPr>
        <w:rPr>
          <w:rFonts w:cstheme="minorHAnsi"/>
          <w:i/>
          <w:sz w:val="24"/>
          <w:szCs w:val="24"/>
        </w:rPr>
      </w:pPr>
      <w:r>
        <w:rPr>
          <w:rFonts w:cstheme="minorHAnsi"/>
          <w:i/>
          <w:sz w:val="24"/>
          <w:szCs w:val="24"/>
        </w:rPr>
        <w:t>Participation</w:t>
      </w:r>
    </w:p>
    <w:p w:rsidR="00C17EDA" w:rsidRDefault="00C17EDA" w:rsidP="00B65A69">
      <w:pPr>
        <w:pStyle w:val="ListParagraph"/>
        <w:numPr>
          <w:ilvl w:val="1"/>
          <w:numId w:val="1"/>
        </w:numPr>
        <w:rPr>
          <w:rFonts w:cstheme="minorHAnsi"/>
          <w:i/>
          <w:sz w:val="24"/>
          <w:szCs w:val="24"/>
        </w:rPr>
      </w:pPr>
      <w:r>
        <w:rPr>
          <w:rFonts w:cstheme="minorHAnsi"/>
          <w:i/>
          <w:sz w:val="24"/>
          <w:szCs w:val="24"/>
        </w:rPr>
        <w:t>Rate class (i.e. residential, small commercial, etc.)</w:t>
      </w:r>
      <w:r w:rsidR="00682B61">
        <w:rPr>
          <w:rFonts w:cstheme="minorHAnsi"/>
          <w:i/>
          <w:sz w:val="24"/>
          <w:szCs w:val="24"/>
        </w:rPr>
        <w:t xml:space="preserve"> – pg. 14</w:t>
      </w:r>
    </w:p>
    <w:p w:rsidR="00C17EDA" w:rsidRDefault="00C17EDA" w:rsidP="00C17EDA">
      <w:pPr>
        <w:rPr>
          <w:rFonts w:cstheme="minorHAnsi"/>
          <w:sz w:val="24"/>
          <w:szCs w:val="24"/>
        </w:rPr>
      </w:pPr>
    </w:p>
    <w:p w:rsidR="00682B61" w:rsidRPr="00682B61" w:rsidRDefault="00682B61" w:rsidP="00B65A69">
      <w:pPr>
        <w:pStyle w:val="ListParagraph"/>
        <w:numPr>
          <w:ilvl w:val="0"/>
          <w:numId w:val="2"/>
        </w:numPr>
        <w:rPr>
          <w:rFonts w:cstheme="minorHAnsi"/>
          <w:sz w:val="24"/>
          <w:szCs w:val="24"/>
        </w:rPr>
      </w:pPr>
      <w:r>
        <w:rPr>
          <w:rFonts w:cstheme="minorHAnsi"/>
          <w:sz w:val="24"/>
          <w:szCs w:val="24"/>
          <w:u w:val="single"/>
        </w:rPr>
        <w:t>Retail Opt-In Auction Subgr</w:t>
      </w:r>
      <w:r w:rsidRPr="00682B61">
        <w:rPr>
          <w:rFonts w:cstheme="minorHAnsi"/>
          <w:sz w:val="24"/>
          <w:szCs w:val="24"/>
          <w:u w:val="single"/>
        </w:rPr>
        <w:t>oup (Subgroup)</w:t>
      </w:r>
      <w:r>
        <w:rPr>
          <w:rFonts w:cstheme="minorHAnsi"/>
          <w:sz w:val="24"/>
          <w:szCs w:val="24"/>
        </w:rPr>
        <w:t xml:space="preserve">: Consensus: definitely have residential included.  Non-consensus: inclusion of small commercial.  </w:t>
      </w:r>
    </w:p>
    <w:p w:rsidR="00C17EDA" w:rsidRDefault="00C17EDA" w:rsidP="00B65A69">
      <w:pPr>
        <w:pStyle w:val="ListParagraph"/>
        <w:numPr>
          <w:ilvl w:val="0"/>
          <w:numId w:val="2"/>
        </w:numPr>
        <w:rPr>
          <w:rFonts w:cstheme="minorHAnsi"/>
          <w:sz w:val="24"/>
          <w:szCs w:val="24"/>
        </w:rPr>
      </w:pPr>
      <w:r>
        <w:rPr>
          <w:rFonts w:cstheme="minorHAnsi"/>
          <w:sz w:val="24"/>
          <w:szCs w:val="24"/>
          <w:u w:val="single"/>
        </w:rPr>
        <w:t xml:space="preserve">Electric Generation </w:t>
      </w:r>
      <w:r w:rsidRPr="00682B61">
        <w:rPr>
          <w:rFonts w:cstheme="minorHAnsi"/>
          <w:sz w:val="24"/>
          <w:szCs w:val="24"/>
          <w:u w:val="single"/>
        </w:rPr>
        <w:t>Suppliers (EGSs)</w:t>
      </w:r>
      <w:r>
        <w:rPr>
          <w:rFonts w:cstheme="minorHAnsi"/>
          <w:sz w:val="24"/>
          <w:szCs w:val="24"/>
        </w:rPr>
        <w:t>: Data shows large amount of small commercial customers not shopping – “sticky.”</w:t>
      </w:r>
      <w:r w:rsidRPr="00682B61">
        <w:rPr>
          <w:rFonts w:cstheme="minorHAnsi"/>
          <w:b/>
          <w:sz w:val="24"/>
          <w:szCs w:val="24"/>
        </w:rPr>
        <w:t xml:space="preserve"> </w:t>
      </w:r>
      <w:r>
        <w:rPr>
          <w:rFonts w:cstheme="minorHAnsi"/>
          <w:sz w:val="24"/>
          <w:szCs w:val="24"/>
        </w:rPr>
        <w:t xml:space="preserve"> Purpose should be to get as many shopping as possible.</w:t>
      </w:r>
    </w:p>
    <w:p w:rsidR="00C17EDA" w:rsidRDefault="00C17EDA" w:rsidP="00B65A69">
      <w:pPr>
        <w:pStyle w:val="ListParagraph"/>
        <w:numPr>
          <w:ilvl w:val="0"/>
          <w:numId w:val="2"/>
        </w:numPr>
        <w:rPr>
          <w:rFonts w:cstheme="minorHAnsi"/>
          <w:sz w:val="24"/>
          <w:szCs w:val="24"/>
        </w:rPr>
      </w:pPr>
      <w:r>
        <w:rPr>
          <w:rFonts w:cstheme="minorHAnsi"/>
          <w:sz w:val="24"/>
          <w:szCs w:val="24"/>
          <w:u w:val="single"/>
        </w:rPr>
        <w:t xml:space="preserve">Electric Distribution </w:t>
      </w:r>
      <w:r w:rsidRPr="00682B61">
        <w:rPr>
          <w:rFonts w:cstheme="minorHAnsi"/>
          <w:sz w:val="24"/>
          <w:szCs w:val="24"/>
          <w:u w:val="single"/>
        </w:rPr>
        <w:t>Companies (EDCs)</w:t>
      </w:r>
      <w:r>
        <w:rPr>
          <w:rFonts w:cstheme="minorHAnsi"/>
          <w:sz w:val="24"/>
          <w:szCs w:val="24"/>
        </w:rPr>
        <w:t xml:space="preserve">: General consensus: only to residential.  Small commercial rate classes differ among EDCs.  Commercial customers also in separate procurement groups.  </w:t>
      </w:r>
    </w:p>
    <w:p w:rsidR="00C17EDA" w:rsidRDefault="00C92B6D" w:rsidP="00B65A69">
      <w:pPr>
        <w:pStyle w:val="ListParagraph"/>
        <w:numPr>
          <w:ilvl w:val="0"/>
          <w:numId w:val="2"/>
        </w:numPr>
        <w:rPr>
          <w:rFonts w:cstheme="minorHAnsi"/>
          <w:sz w:val="24"/>
          <w:szCs w:val="24"/>
        </w:rPr>
      </w:pPr>
      <w:r>
        <w:rPr>
          <w:rFonts w:cstheme="minorHAnsi"/>
          <w:sz w:val="24"/>
          <w:szCs w:val="24"/>
          <w:u w:val="single"/>
        </w:rPr>
        <w:t>Moury</w:t>
      </w:r>
      <w:r>
        <w:rPr>
          <w:rFonts w:cstheme="minorHAnsi"/>
          <w:sz w:val="24"/>
          <w:szCs w:val="24"/>
        </w:rPr>
        <w:t xml:space="preserve">: Because challenging to define small commercial and because all commercial customers are also residential customers, may be easier and as valuable to only offer to residential customers.  </w:t>
      </w:r>
    </w:p>
    <w:p w:rsidR="00C92B6D" w:rsidRDefault="00C92B6D" w:rsidP="00C92B6D">
      <w:pPr>
        <w:rPr>
          <w:rFonts w:cstheme="minorHAnsi"/>
          <w:sz w:val="24"/>
          <w:szCs w:val="24"/>
        </w:rPr>
      </w:pPr>
    </w:p>
    <w:p w:rsidR="00C92B6D" w:rsidRDefault="00C92B6D" w:rsidP="00B65A69">
      <w:pPr>
        <w:pStyle w:val="ListParagraph"/>
        <w:numPr>
          <w:ilvl w:val="1"/>
          <w:numId w:val="1"/>
        </w:numPr>
        <w:rPr>
          <w:rFonts w:cstheme="minorHAnsi"/>
          <w:i/>
          <w:sz w:val="24"/>
          <w:szCs w:val="24"/>
        </w:rPr>
      </w:pPr>
      <w:r w:rsidRPr="00C92B6D">
        <w:rPr>
          <w:rFonts w:cstheme="minorHAnsi"/>
          <w:i/>
          <w:sz w:val="24"/>
          <w:szCs w:val="24"/>
        </w:rPr>
        <w:t>Non-shopping vs. shopping customers</w:t>
      </w:r>
      <w:r w:rsidR="00682B61">
        <w:rPr>
          <w:rFonts w:cstheme="minorHAnsi"/>
          <w:i/>
          <w:sz w:val="24"/>
          <w:szCs w:val="24"/>
        </w:rPr>
        <w:t xml:space="preserve"> – pg. 15</w:t>
      </w:r>
    </w:p>
    <w:p w:rsidR="00C92B6D" w:rsidRDefault="00C92B6D" w:rsidP="00C92B6D">
      <w:pPr>
        <w:rPr>
          <w:rFonts w:cstheme="minorHAnsi"/>
          <w:i/>
          <w:sz w:val="24"/>
          <w:szCs w:val="24"/>
        </w:rPr>
      </w:pPr>
    </w:p>
    <w:p w:rsidR="00C92B6D" w:rsidRDefault="00682B61" w:rsidP="00B65A69">
      <w:pPr>
        <w:pStyle w:val="ListParagraph"/>
        <w:numPr>
          <w:ilvl w:val="0"/>
          <w:numId w:val="3"/>
        </w:numPr>
        <w:rPr>
          <w:rFonts w:cstheme="minorHAnsi"/>
          <w:sz w:val="24"/>
          <w:szCs w:val="24"/>
        </w:rPr>
      </w:pPr>
      <w:r>
        <w:rPr>
          <w:rFonts w:cstheme="minorHAnsi"/>
          <w:sz w:val="24"/>
          <w:szCs w:val="24"/>
          <w:u w:val="single"/>
        </w:rPr>
        <w:t>Subgroup</w:t>
      </w:r>
      <w:r>
        <w:rPr>
          <w:rFonts w:cstheme="minorHAnsi"/>
          <w:sz w:val="24"/>
          <w:szCs w:val="24"/>
        </w:rPr>
        <w:t>: Consensus: target non-shopping customers.  Need proper consumer education.  What happens to existing EGS customer when they hear about auction and want to go to default service (DS) to participate?</w:t>
      </w:r>
    </w:p>
    <w:p w:rsidR="00682B61" w:rsidRDefault="00682B61" w:rsidP="00B65A69">
      <w:pPr>
        <w:pStyle w:val="ListParagraph"/>
        <w:numPr>
          <w:ilvl w:val="0"/>
          <w:numId w:val="3"/>
        </w:numPr>
        <w:rPr>
          <w:rFonts w:cstheme="minorHAnsi"/>
          <w:sz w:val="24"/>
          <w:szCs w:val="24"/>
        </w:rPr>
      </w:pPr>
      <w:r>
        <w:rPr>
          <w:rFonts w:cstheme="minorHAnsi"/>
          <w:sz w:val="24"/>
          <w:szCs w:val="24"/>
          <w:u w:val="single"/>
        </w:rPr>
        <w:t>EGSs</w:t>
      </w:r>
      <w:r>
        <w:rPr>
          <w:rFonts w:cstheme="minorHAnsi"/>
          <w:sz w:val="24"/>
          <w:szCs w:val="24"/>
        </w:rPr>
        <w:t xml:space="preserve">: </w:t>
      </w:r>
      <w:r w:rsidR="001D4B9F">
        <w:rPr>
          <w:rFonts w:cstheme="minorHAnsi"/>
          <w:sz w:val="24"/>
          <w:szCs w:val="24"/>
        </w:rPr>
        <w:t xml:space="preserve">Concern with migration of existing EGS customers.  When </w:t>
      </w:r>
      <w:proofErr w:type="gramStart"/>
      <w:r w:rsidR="001D4B9F">
        <w:rPr>
          <w:rFonts w:cstheme="minorHAnsi"/>
          <w:sz w:val="24"/>
          <w:szCs w:val="24"/>
        </w:rPr>
        <w:t>existing</w:t>
      </w:r>
      <w:proofErr w:type="gramEnd"/>
      <w:r w:rsidR="001D4B9F">
        <w:rPr>
          <w:rFonts w:cstheme="minorHAnsi"/>
          <w:sz w:val="24"/>
          <w:szCs w:val="24"/>
        </w:rPr>
        <w:t xml:space="preserve"> customer contacts EDC to drop back to DS to participate, EDC should have customer contact EGS to perform drop.  Gives EGS chance to offer customers incentive to stay.  To participate, customer should be on DS at beginning of enrollment period.  Some EGSs believe focus should be on non-shopping only.  Provide customer with as much information as possible to make decision.  Create messaging ahead of time that only non-shopping customers can participate – may limit number of existing EGS customer who </w:t>
      </w:r>
      <w:proofErr w:type="gramStart"/>
      <w:r w:rsidR="001D4B9F">
        <w:rPr>
          <w:rFonts w:cstheme="minorHAnsi"/>
          <w:sz w:val="24"/>
          <w:szCs w:val="24"/>
        </w:rPr>
        <w:t>try</w:t>
      </w:r>
      <w:proofErr w:type="gramEnd"/>
      <w:r w:rsidR="001D4B9F">
        <w:rPr>
          <w:rFonts w:cstheme="minorHAnsi"/>
          <w:sz w:val="24"/>
          <w:szCs w:val="24"/>
        </w:rPr>
        <w:t xml:space="preserve"> to participate.  </w:t>
      </w:r>
    </w:p>
    <w:p w:rsidR="001D4B9F" w:rsidRDefault="001D4B9F" w:rsidP="00B65A69">
      <w:pPr>
        <w:pStyle w:val="ListParagraph"/>
        <w:numPr>
          <w:ilvl w:val="0"/>
          <w:numId w:val="3"/>
        </w:numPr>
        <w:rPr>
          <w:rFonts w:cstheme="minorHAnsi"/>
          <w:sz w:val="24"/>
          <w:szCs w:val="24"/>
        </w:rPr>
      </w:pPr>
      <w:r>
        <w:rPr>
          <w:rFonts w:cstheme="minorHAnsi"/>
          <w:sz w:val="24"/>
          <w:szCs w:val="24"/>
          <w:u w:val="single"/>
        </w:rPr>
        <w:lastRenderedPageBreak/>
        <w:t>EDCs</w:t>
      </w:r>
      <w:r w:rsidRPr="001D4B9F">
        <w:rPr>
          <w:rFonts w:cstheme="minorHAnsi"/>
          <w:sz w:val="24"/>
          <w:szCs w:val="24"/>
        </w:rPr>
        <w:t>:</w:t>
      </w:r>
      <w:r>
        <w:rPr>
          <w:rFonts w:cstheme="minorHAnsi"/>
          <w:sz w:val="24"/>
          <w:szCs w:val="24"/>
        </w:rPr>
        <w:t xml:space="preserve"> Don’t want to act as “traffic cop” by telling customers they cannot participate.  Referring those EGS customer</w:t>
      </w:r>
      <w:r w:rsidR="004D63E2">
        <w:rPr>
          <w:rFonts w:cstheme="minorHAnsi"/>
          <w:sz w:val="24"/>
          <w:szCs w:val="24"/>
        </w:rPr>
        <w:t>s</w:t>
      </w:r>
      <w:r>
        <w:rPr>
          <w:rFonts w:cstheme="minorHAnsi"/>
          <w:sz w:val="24"/>
          <w:szCs w:val="24"/>
        </w:rPr>
        <w:t xml:space="preserve"> who want to participate back to their associated EGS would be more intense conversations than those EDCs currently have with customers.  Need to be careful with marketing and customer protection issues.  Make process simple.  Target customers who aren’t shopping but allow shopping customers who want to participate the opportunity to do so.  </w:t>
      </w:r>
    </w:p>
    <w:p w:rsidR="001D4B9F" w:rsidRDefault="001D4B9F" w:rsidP="00B65A69">
      <w:pPr>
        <w:pStyle w:val="ListParagraph"/>
        <w:numPr>
          <w:ilvl w:val="0"/>
          <w:numId w:val="3"/>
        </w:numPr>
        <w:rPr>
          <w:rFonts w:cstheme="minorHAnsi"/>
          <w:sz w:val="24"/>
          <w:szCs w:val="24"/>
        </w:rPr>
      </w:pPr>
      <w:r>
        <w:rPr>
          <w:rFonts w:cstheme="minorHAnsi"/>
          <w:sz w:val="24"/>
          <w:szCs w:val="24"/>
          <w:u w:val="single"/>
        </w:rPr>
        <w:t>AARP</w:t>
      </w:r>
      <w:r w:rsidRPr="001D4B9F">
        <w:rPr>
          <w:rFonts w:cstheme="minorHAnsi"/>
          <w:sz w:val="24"/>
          <w:szCs w:val="24"/>
        </w:rPr>
        <w:t>:</w:t>
      </w:r>
      <w:r>
        <w:rPr>
          <w:rFonts w:cstheme="minorHAnsi"/>
          <w:sz w:val="24"/>
          <w:szCs w:val="24"/>
        </w:rPr>
        <w:t xml:space="preserve"> Difficult to handle EGS customers who want to participate and may incur early termination fees by ending contract.  May cause adverse customer reactions.  </w:t>
      </w:r>
    </w:p>
    <w:p w:rsidR="00C92B6D" w:rsidRDefault="001D4B9F" w:rsidP="00B65A69">
      <w:pPr>
        <w:pStyle w:val="ListParagraph"/>
        <w:numPr>
          <w:ilvl w:val="0"/>
          <w:numId w:val="3"/>
        </w:numPr>
        <w:rPr>
          <w:rFonts w:cstheme="minorHAnsi"/>
          <w:sz w:val="24"/>
          <w:szCs w:val="24"/>
        </w:rPr>
      </w:pPr>
      <w:r>
        <w:rPr>
          <w:rFonts w:cstheme="minorHAnsi"/>
          <w:sz w:val="24"/>
          <w:szCs w:val="24"/>
          <w:u w:val="single"/>
        </w:rPr>
        <w:t>Moury</w:t>
      </w:r>
      <w:r w:rsidRPr="001D4B9F">
        <w:rPr>
          <w:rFonts w:cstheme="minorHAnsi"/>
          <w:sz w:val="24"/>
          <w:szCs w:val="24"/>
        </w:rPr>
        <w:t>:</w:t>
      </w:r>
      <w:r>
        <w:rPr>
          <w:rFonts w:cstheme="minorHAnsi"/>
          <w:sz w:val="24"/>
          <w:szCs w:val="24"/>
        </w:rPr>
        <w:t xml:space="preserve"> </w:t>
      </w:r>
      <w:r w:rsidR="00F029C2">
        <w:rPr>
          <w:rFonts w:cstheme="minorHAnsi"/>
          <w:sz w:val="24"/>
          <w:szCs w:val="24"/>
        </w:rPr>
        <w:t>Reasonable approach may be to</w:t>
      </w:r>
      <w:r>
        <w:rPr>
          <w:rFonts w:cstheme="minorHAnsi"/>
          <w:sz w:val="24"/>
          <w:szCs w:val="24"/>
        </w:rPr>
        <w:t xml:space="preserve"> market to non-shopping customers but no</w:t>
      </w:r>
      <w:r w:rsidR="00844935">
        <w:rPr>
          <w:rFonts w:cstheme="minorHAnsi"/>
          <w:sz w:val="24"/>
          <w:szCs w:val="24"/>
        </w:rPr>
        <w:t>t</w:t>
      </w:r>
      <w:r>
        <w:rPr>
          <w:rFonts w:cstheme="minorHAnsi"/>
          <w:sz w:val="24"/>
          <w:szCs w:val="24"/>
        </w:rPr>
        <w:t xml:space="preserve"> exclude other customers who want to participate.  </w:t>
      </w:r>
    </w:p>
    <w:p w:rsidR="006825EA" w:rsidRDefault="006825EA" w:rsidP="006825EA">
      <w:pPr>
        <w:rPr>
          <w:rFonts w:cstheme="minorHAnsi"/>
          <w:sz w:val="24"/>
          <w:szCs w:val="24"/>
        </w:rPr>
      </w:pPr>
    </w:p>
    <w:p w:rsidR="006825EA" w:rsidRDefault="006825EA" w:rsidP="00B65A69">
      <w:pPr>
        <w:pStyle w:val="ListParagraph"/>
        <w:numPr>
          <w:ilvl w:val="0"/>
          <w:numId w:val="1"/>
        </w:numPr>
        <w:rPr>
          <w:rFonts w:cstheme="minorHAnsi"/>
          <w:i/>
          <w:sz w:val="24"/>
          <w:szCs w:val="24"/>
        </w:rPr>
      </w:pPr>
      <w:r>
        <w:rPr>
          <w:rFonts w:cstheme="minorHAnsi"/>
          <w:i/>
          <w:sz w:val="24"/>
          <w:szCs w:val="24"/>
        </w:rPr>
        <w:t>Incentives</w:t>
      </w:r>
    </w:p>
    <w:p w:rsidR="006825EA" w:rsidRDefault="006825EA" w:rsidP="00B65A69">
      <w:pPr>
        <w:pStyle w:val="ListParagraph"/>
        <w:numPr>
          <w:ilvl w:val="1"/>
          <w:numId w:val="1"/>
        </w:numPr>
        <w:rPr>
          <w:rFonts w:cstheme="minorHAnsi"/>
          <w:i/>
          <w:sz w:val="24"/>
          <w:szCs w:val="24"/>
        </w:rPr>
      </w:pPr>
      <w:r>
        <w:rPr>
          <w:rFonts w:cstheme="minorHAnsi"/>
          <w:i/>
          <w:sz w:val="24"/>
          <w:szCs w:val="24"/>
        </w:rPr>
        <w:t>Non-bonus incentives – pg. 18</w:t>
      </w:r>
    </w:p>
    <w:p w:rsidR="006825EA" w:rsidRDefault="006825EA" w:rsidP="006825EA">
      <w:pPr>
        <w:rPr>
          <w:rFonts w:cstheme="minorHAnsi"/>
          <w:i/>
          <w:sz w:val="24"/>
          <w:szCs w:val="24"/>
        </w:rPr>
      </w:pPr>
    </w:p>
    <w:p w:rsidR="006825EA" w:rsidRDefault="00844935" w:rsidP="00B65A69">
      <w:pPr>
        <w:pStyle w:val="ListParagraph"/>
        <w:numPr>
          <w:ilvl w:val="0"/>
          <w:numId w:val="4"/>
        </w:numPr>
        <w:rPr>
          <w:rFonts w:cstheme="minorHAnsi"/>
          <w:sz w:val="24"/>
          <w:szCs w:val="24"/>
        </w:rPr>
      </w:pPr>
      <w:r>
        <w:rPr>
          <w:rFonts w:cstheme="minorHAnsi"/>
          <w:sz w:val="24"/>
          <w:szCs w:val="24"/>
          <w:u w:val="single"/>
        </w:rPr>
        <w:t>Subgroup</w:t>
      </w:r>
      <w:r>
        <w:rPr>
          <w:rFonts w:cstheme="minorHAnsi"/>
          <w:sz w:val="24"/>
          <w:szCs w:val="24"/>
        </w:rPr>
        <w:t>: Guaranteed savings off?  1- and/or 2-year products?</w:t>
      </w:r>
    </w:p>
    <w:p w:rsidR="00844935" w:rsidRDefault="00FC41B1" w:rsidP="00B65A69">
      <w:pPr>
        <w:pStyle w:val="ListParagraph"/>
        <w:numPr>
          <w:ilvl w:val="0"/>
          <w:numId w:val="4"/>
        </w:numPr>
        <w:rPr>
          <w:rFonts w:cstheme="minorHAnsi"/>
          <w:sz w:val="24"/>
          <w:szCs w:val="24"/>
        </w:rPr>
      </w:pPr>
      <w:r>
        <w:rPr>
          <w:rFonts w:cstheme="minorHAnsi"/>
          <w:sz w:val="24"/>
          <w:szCs w:val="24"/>
          <w:u w:val="single"/>
        </w:rPr>
        <w:t>D</w:t>
      </w:r>
      <w:r w:rsidR="007B36CA">
        <w:rPr>
          <w:rFonts w:cstheme="minorHAnsi"/>
          <w:sz w:val="24"/>
          <w:szCs w:val="24"/>
          <w:u w:val="single"/>
        </w:rPr>
        <w:t xml:space="preserve">irect </w:t>
      </w:r>
      <w:r>
        <w:rPr>
          <w:rFonts w:cstheme="minorHAnsi"/>
          <w:sz w:val="24"/>
          <w:szCs w:val="24"/>
          <w:u w:val="single"/>
        </w:rPr>
        <w:t>E</w:t>
      </w:r>
      <w:r w:rsidR="007B36CA">
        <w:rPr>
          <w:rFonts w:cstheme="minorHAnsi"/>
          <w:sz w:val="24"/>
          <w:szCs w:val="24"/>
          <w:u w:val="single"/>
        </w:rPr>
        <w:t>nergy (DE)</w:t>
      </w:r>
      <w:r>
        <w:rPr>
          <w:rFonts w:cstheme="minorHAnsi"/>
          <w:sz w:val="24"/>
          <w:szCs w:val="24"/>
          <w:u w:val="single"/>
        </w:rPr>
        <w:t>/Dominion/IGS</w:t>
      </w:r>
      <w:r>
        <w:rPr>
          <w:rFonts w:cstheme="minorHAnsi"/>
          <w:sz w:val="24"/>
          <w:szCs w:val="24"/>
        </w:rPr>
        <w:t>: 1-year term.  Target non-shopping customers.  Non-shopping customers may not be receptive to offering longer than 1 year.  Should be EDC-specific offering.  Fixed price that would be lower than reference price or below DS price for first six months.  Percentages off could differ between EDCs.</w:t>
      </w:r>
    </w:p>
    <w:p w:rsidR="00FC41B1" w:rsidRDefault="00FC41B1" w:rsidP="00B65A69">
      <w:pPr>
        <w:pStyle w:val="ListParagraph"/>
        <w:numPr>
          <w:ilvl w:val="0"/>
          <w:numId w:val="4"/>
        </w:numPr>
        <w:rPr>
          <w:rFonts w:cstheme="minorHAnsi"/>
          <w:sz w:val="24"/>
          <w:szCs w:val="24"/>
        </w:rPr>
      </w:pPr>
      <w:r>
        <w:rPr>
          <w:rFonts w:cstheme="minorHAnsi"/>
          <w:sz w:val="24"/>
          <w:szCs w:val="24"/>
          <w:u w:val="single"/>
        </w:rPr>
        <w:t>FirstEnergy Solutions (FES)</w:t>
      </w:r>
      <w:r w:rsidRPr="00FC41B1">
        <w:rPr>
          <w:rFonts w:cstheme="minorHAnsi"/>
          <w:sz w:val="24"/>
          <w:szCs w:val="24"/>
        </w:rPr>
        <w:t>:</w:t>
      </w:r>
      <w:r>
        <w:rPr>
          <w:rFonts w:cstheme="minorHAnsi"/>
          <w:sz w:val="24"/>
          <w:szCs w:val="24"/>
        </w:rPr>
        <w:t xml:space="preserve"> 1-year term OK, despite FES’s proposal of 2-year term.  Price needs to be better than Price to Compare (PTC).  If PTC moves up or down, EGS should offer fixed price or beat PTC (whichever is lower).  </w:t>
      </w:r>
    </w:p>
    <w:p w:rsidR="00FC41B1" w:rsidRDefault="00FC41B1" w:rsidP="00B65A69">
      <w:pPr>
        <w:pStyle w:val="ListParagraph"/>
        <w:numPr>
          <w:ilvl w:val="0"/>
          <w:numId w:val="4"/>
        </w:numPr>
        <w:rPr>
          <w:rFonts w:cstheme="minorHAnsi"/>
          <w:sz w:val="24"/>
          <w:szCs w:val="24"/>
        </w:rPr>
      </w:pPr>
      <w:r>
        <w:rPr>
          <w:rFonts w:cstheme="minorHAnsi"/>
          <w:sz w:val="24"/>
          <w:szCs w:val="24"/>
          <w:u w:val="single"/>
        </w:rPr>
        <w:t>Exelon</w:t>
      </w:r>
      <w:r w:rsidRPr="00FC41B1">
        <w:rPr>
          <w:rFonts w:cstheme="minorHAnsi"/>
          <w:sz w:val="24"/>
          <w:szCs w:val="24"/>
        </w:rPr>
        <w:t>:</w:t>
      </w:r>
      <w:r>
        <w:rPr>
          <w:rFonts w:cstheme="minorHAnsi"/>
          <w:sz w:val="24"/>
          <w:szCs w:val="24"/>
        </w:rPr>
        <w:t xml:space="preserve"> Do not guarantee savings based on forecasting – causes confusion.  Savings could disappear in months 7-12.  Any kind of savings guarantee should remain with transparency of actual PTC.</w:t>
      </w:r>
    </w:p>
    <w:p w:rsidR="00FC41B1" w:rsidRPr="006825EA" w:rsidRDefault="00FC41B1" w:rsidP="00B65A69">
      <w:pPr>
        <w:pStyle w:val="ListParagraph"/>
        <w:numPr>
          <w:ilvl w:val="0"/>
          <w:numId w:val="4"/>
        </w:numPr>
        <w:rPr>
          <w:rFonts w:cstheme="minorHAnsi"/>
          <w:sz w:val="24"/>
          <w:szCs w:val="24"/>
        </w:rPr>
      </w:pPr>
      <w:r>
        <w:rPr>
          <w:rFonts w:cstheme="minorHAnsi"/>
          <w:sz w:val="24"/>
          <w:szCs w:val="24"/>
          <w:u w:val="single"/>
        </w:rPr>
        <w:t>EDCs</w:t>
      </w:r>
      <w:r>
        <w:rPr>
          <w:rFonts w:cstheme="minorHAnsi"/>
          <w:sz w:val="24"/>
          <w:szCs w:val="24"/>
        </w:rPr>
        <w:t>: Offer to customer shoul</w:t>
      </w:r>
      <w:r w:rsidR="007B36CA">
        <w:rPr>
          <w:rFonts w:cstheme="minorHAnsi"/>
          <w:sz w:val="24"/>
          <w:szCs w:val="24"/>
        </w:rPr>
        <w:t>d be lower than known EDC PTC and clear language should state length of PTC-applicability.  Could be problem with promising discount off of estimated rate.  Some EDCs open to possibility of percentage off.  Need clarity as to how long offer is guaranteed for and when EDC PTC could change.</w:t>
      </w:r>
    </w:p>
    <w:p w:rsidR="006825EA" w:rsidRDefault="006825EA" w:rsidP="006825EA">
      <w:pPr>
        <w:rPr>
          <w:rFonts w:cstheme="minorHAnsi"/>
          <w:sz w:val="24"/>
          <w:szCs w:val="24"/>
        </w:rPr>
      </w:pPr>
    </w:p>
    <w:p w:rsidR="007B36CA" w:rsidRPr="007B36CA" w:rsidRDefault="007B36CA" w:rsidP="00B65A69">
      <w:pPr>
        <w:pStyle w:val="ListParagraph"/>
        <w:numPr>
          <w:ilvl w:val="1"/>
          <w:numId w:val="1"/>
        </w:numPr>
        <w:rPr>
          <w:rFonts w:cstheme="minorHAnsi"/>
          <w:i/>
          <w:sz w:val="24"/>
          <w:szCs w:val="24"/>
        </w:rPr>
      </w:pPr>
      <w:r>
        <w:rPr>
          <w:rFonts w:cstheme="minorHAnsi"/>
          <w:i/>
          <w:sz w:val="24"/>
          <w:szCs w:val="24"/>
        </w:rPr>
        <w:t>B</w:t>
      </w:r>
      <w:r w:rsidRPr="007B36CA">
        <w:rPr>
          <w:rFonts w:cstheme="minorHAnsi"/>
          <w:i/>
          <w:sz w:val="24"/>
          <w:szCs w:val="24"/>
        </w:rPr>
        <w:t>onus</w:t>
      </w:r>
      <w:r>
        <w:rPr>
          <w:rFonts w:cstheme="minorHAnsi"/>
          <w:i/>
          <w:sz w:val="24"/>
          <w:szCs w:val="24"/>
        </w:rPr>
        <w:t xml:space="preserve">es </w:t>
      </w:r>
      <w:r w:rsidRPr="007B36CA">
        <w:rPr>
          <w:rFonts w:cstheme="minorHAnsi"/>
          <w:i/>
          <w:sz w:val="24"/>
          <w:szCs w:val="24"/>
        </w:rPr>
        <w:t xml:space="preserve">– pg. </w:t>
      </w:r>
      <w:r>
        <w:rPr>
          <w:rFonts w:cstheme="minorHAnsi"/>
          <w:i/>
          <w:sz w:val="24"/>
          <w:szCs w:val="24"/>
        </w:rPr>
        <w:t>20</w:t>
      </w:r>
    </w:p>
    <w:p w:rsidR="007B36CA" w:rsidRDefault="007B36CA" w:rsidP="007B36CA">
      <w:pPr>
        <w:rPr>
          <w:rFonts w:cstheme="minorHAnsi"/>
          <w:sz w:val="24"/>
          <w:szCs w:val="24"/>
        </w:rPr>
      </w:pPr>
    </w:p>
    <w:p w:rsidR="007B36CA" w:rsidRDefault="007B36CA" w:rsidP="00B65A69">
      <w:pPr>
        <w:pStyle w:val="ListParagraph"/>
        <w:numPr>
          <w:ilvl w:val="0"/>
          <w:numId w:val="5"/>
        </w:numPr>
        <w:rPr>
          <w:rFonts w:cstheme="minorHAnsi"/>
          <w:sz w:val="24"/>
          <w:szCs w:val="24"/>
        </w:rPr>
      </w:pPr>
      <w:r>
        <w:rPr>
          <w:rFonts w:cstheme="minorHAnsi"/>
          <w:sz w:val="24"/>
          <w:szCs w:val="24"/>
          <w:u w:val="single"/>
        </w:rPr>
        <w:t>Subgroup</w:t>
      </w:r>
      <w:r>
        <w:rPr>
          <w:rFonts w:cstheme="minorHAnsi"/>
          <w:sz w:val="24"/>
          <w:szCs w:val="24"/>
        </w:rPr>
        <w:t xml:space="preserve">: Have a signing bonus?  If so, what is it?  </w:t>
      </w:r>
    </w:p>
    <w:p w:rsidR="007B36CA" w:rsidRDefault="007B36CA" w:rsidP="00B65A69">
      <w:pPr>
        <w:pStyle w:val="ListParagraph"/>
        <w:numPr>
          <w:ilvl w:val="0"/>
          <w:numId w:val="5"/>
        </w:numPr>
        <w:rPr>
          <w:rFonts w:cstheme="minorHAnsi"/>
          <w:sz w:val="24"/>
          <w:szCs w:val="24"/>
        </w:rPr>
      </w:pPr>
      <w:r>
        <w:rPr>
          <w:rFonts w:cstheme="minorHAnsi"/>
          <w:sz w:val="24"/>
          <w:szCs w:val="24"/>
          <w:u w:val="single"/>
        </w:rPr>
        <w:t>DE</w:t>
      </w:r>
      <w:r w:rsidR="00EC02B6">
        <w:rPr>
          <w:rFonts w:cstheme="minorHAnsi"/>
          <w:sz w:val="24"/>
          <w:szCs w:val="24"/>
          <w:u w:val="single"/>
        </w:rPr>
        <w:t>/IGS</w:t>
      </w:r>
      <w:r w:rsidRPr="007B36CA">
        <w:rPr>
          <w:rFonts w:cstheme="minorHAnsi"/>
          <w:sz w:val="24"/>
          <w:szCs w:val="24"/>
        </w:rPr>
        <w:t>:</w:t>
      </w:r>
      <w:r>
        <w:rPr>
          <w:rFonts w:cstheme="minorHAnsi"/>
          <w:sz w:val="24"/>
          <w:szCs w:val="24"/>
        </w:rPr>
        <w:t xml:space="preserve"> </w:t>
      </w:r>
      <w:r w:rsidR="00EC02B6">
        <w:rPr>
          <w:rFonts w:cstheme="minorHAnsi"/>
          <w:sz w:val="24"/>
          <w:szCs w:val="24"/>
        </w:rPr>
        <w:t>Signing bonus would draw people in.  Amount would be acquisition cost savings.  Goal is to keep customers.  Commission should announce bonus amount before auction period begins – different bonuses for residential and for small commercial.  Should be consistent bonus statewide.  Customer must stay with EGS for 3 months to receive bonus.</w:t>
      </w:r>
    </w:p>
    <w:p w:rsidR="00EC02B6" w:rsidRDefault="00EC02B6" w:rsidP="00B65A69">
      <w:pPr>
        <w:pStyle w:val="ListParagraph"/>
        <w:numPr>
          <w:ilvl w:val="0"/>
          <w:numId w:val="5"/>
        </w:numPr>
        <w:rPr>
          <w:rFonts w:cstheme="minorHAnsi"/>
          <w:sz w:val="24"/>
          <w:szCs w:val="24"/>
        </w:rPr>
      </w:pPr>
      <w:r>
        <w:rPr>
          <w:rFonts w:cstheme="minorHAnsi"/>
          <w:sz w:val="24"/>
          <w:szCs w:val="24"/>
          <w:u w:val="single"/>
        </w:rPr>
        <w:t>FES</w:t>
      </w:r>
      <w:r w:rsidRPr="00EC02B6">
        <w:rPr>
          <w:rFonts w:cstheme="minorHAnsi"/>
          <w:sz w:val="24"/>
          <w:szCs w:val="24"/>
        </w:rPr>
        <w:t>:</w:t>
      </w:r>
      <w:r>
        <w:rPr>
          <w:rFonts w:cstheme="minorHAnsi"/>
          <w:sz w:val="24"/>
          <w:szCs w:val="24"/>
        </w:rPr>
        <w:t xml:space="preserve"> Bonus not appropriate.  Customers prefer lower price over a bonus.  Bonus does not differ substantially from currently-offered bonuses by some EGSs.  </w:t>
      </w:r>
    </w:p>
    <w:p w:rsidR="00EC02B6" w:rsidRPr="007B36CA" w:rsidRDefault="00EC02B6" w:rsidP="00B65A69">
      <w:pPr>
        <w:pStyle w:val="ListParagraph"/>
        <w:numPr>
          <w:ilvl w:val="0"/>
          <w:numId w:val="5"/>
        </w:numPr>
        <w:rPr>
          <w:rFonts w:cstheme="minorHAnsi"/>
          <w:sz w:val="24"/>
          <w:szCs w:val="24"/>
        </w:rPr>
      </w:pPr>
      <w:r>
        <w:rPr>
          <w:rFonts w:cstheme="minorHAnsi"/>
          <w:sz w:val="24"/>
          <w:szCs w:val="24"/>
          <w:u w:val="single"/>
        </w:rPr>
        <w:lastRenderedPageBreak/>
        <w:t>UGI Energy Services (UG ES)</w:t>
      </w:r>
      <w:r w:rsidRPr="00EC02B6">
        <w:rPr>
          <w:rFonts w:cstheme="minorHAnsi"/>
          <w:sz w:val="24"/>
          <w:szCs w:val="24"/>
        </w:rPr>
        <w:t>:</w:t>
      </w:r>
      <w:r>
        <w:rPr>
          <w:rFonts w:cstheme="minorHAnsi"/>
          <w:sz w:val="24"/>
          <w:szCs w:val="24"/>
        </w:rPr>
        <w:t xml:space="preserve"> Bonuses create market distortion and limits number of participating EGSs.  What should be offered should guarantee high EGS participation and not interfere with existing EGS contracts.  </w:t>
      </w:r>
    </w:p>
    <w:p w:rsidR="007B36CA" w:rsidRDefault="007B36CA" w:rsidP="006825EA">
      <w:pPr>
        <w:rPr>
          <w:rFonts w:cstheme="minorHAnsi"/>
          <w:sz w:val="24"/>
          <w:szCs w:val="24"/>
        </w:rPr>
      </w:pPr>
    </w:p>
    <w:p w:rsidR="00EC02B6" w:rsidRDefault="00EC02B6" w:rsidP="00B65A69">
      <w:pPr>
        <w:pStyle w:val="ListParagraph"/>
        <w:numPr>
          <w:ilvl w:val="0"/>
          <w:numId w:val="1"/>
        </w:numPr>
        <w:rPr>
          <w:rFonts w:cstheme="minorHAnsi"/>
          <w:i/>
          <w:sz w:val="24"/>
          <w:szCs w:val="24"/>
        </w:rPr>
      </w:pPr>
      <w:r>
        <w:rPr>
          <w:rFonts w:cstheme="minorHAnsi"/>
          <w:i/>
          <w:sz w:val="24"/>
          <w:szCs w:val="24"/>
        </w:rPr>
        <w:t>Timing</w:t>
      </w:r>
      <w:r w:rsidR="00517D60">
        <w:rPr>
          <w:rFonts w:cstheme="minorHAnsi"/>
          <w:i/>
          <w:sz w:val="24"/>
          <w:szCs w:val="24"/>
        </w:rPr>
        <w:t xml:space="preserve"> (i.e. pilots; when to implement full-scale auctions)</w:t>
      </w:r>
      <w:r w:rsidR="00E25F32">
        <w:rPr>
          <w:rFonts w:cstheme="minorHAnsi"/>
          <w:i/>
          <w:sz w:val="24"/>
          <w:szCs w:val="24"/>
        </w:rPr>
        <w:t xml:space="preserve"> – pg. 22</w:t>
      </w:r>
    </w:p>
    <w:p w:rsidR="00EC02B6" w:rsidRDefault="00EC02B6" w:rsidP="00EC02B6">
      <w:pPr>
        <w:rPr>
          <w:rFonts w:cstheme="minorHAnsi"/>
          <w:sz w:val="24"/>
          <w:szCs w:val="24"/>
        </w:rPr>
      </w:pPr>
    </w:p>
    <w:p w:rsidR="00EC02B6" w:rsidRDefault="00517D60" w:rsidP="00B65A69">
      <w:pPr>
        <w:pStyle w:val="ListParagraph"/>
        <w:numPr>
          <w:ilvl w:val="0"/>
          <w:numId w:val="6"/>
        </w:numPr>
        <w:rPr>
          <w:rFonts w:cstheme="minorHAnsi"/>
          <w:sz w:val="24"/>
          <w:szCs w:val="24"/>
        </w:rPr>
      </w:pPr>
      <w:r>
        <w:rPr>
          <w:rFonts w:cstheme="minorHAnsi"/>
          <w:sz w:val="24"/>
          <w:szCs w:val="24"/>
          <w:u w:val="single"/>
        </w:rPr>
        <w:t>DE</w:t>
      </w:r>
      <w:r>
        <w:rPr>
          <w:rFonts w:cstheme="minorHAnsi"/>
          <w:sz w:val="24"/>
          <w:szCs w:val="24"/>
        </w:rPr>
        <w:t xml:space="preserve">: Pilot in 2012 with auction in 2013.  Use pilot to determine what does and does not work.  Recommend flexibility in size of pilots within territories and within wholesale DS contracts.  </w:t>
      </w:r>
      <w:r w:rsidR="002D5558">
        <w:rPr>
          <w:rFonts w:cstheme="minorHAnsi"/>
          <w:sz w:val="24"/>
          <w:szCs w:val="24"/>
        </w:rPr>
        <w:t xml:space="preserve">Some </w:t>
      </w:r>
      <w:proofErr w:type="gramStart"/>
      <w:r w:rsidR="002D5558">
        <w:rPr>
          <w:rFonts w:cstheme="minorHAnsi"/>
          <w:sz w:val="24"/>
          <w:szCs w:val="24"/>
        </w:rPr>
        <w:t>procurements</w:t>
      </w:r>
      <w:proofErr w:type="gramEnd"/>
      <w:r w:rsidR="002D5558">
        <w:rPr>
          <w:rFonts w:cstheme="minorHAnsi"/>
          <w:sz w:val="24"/>
          <w:szCs w:val="24"/>
        </w:rPr>
        <w:t xml:space="preserve"> may need to happen after enrollment period to know how many customers are part of auction.  Get commitment from customer to enroll beforehand based on promise of price below reference price or PTC, as well as provision of signing bonus.</w:t>
      </w:r>
    </w:p>
    <w:p w:rsidR="002D5558" w:rsidRDefault="002D5558" w:rsidP="00B65A69">
      <w:pPr>
        <w:pStyle w:val="ListParagraph"/>
        <w:numPr>
          <w:ilvl w:val="0"/>
          <w:numId w:val="6"/>
        </w:numPr>
        <w:rPr>
          <w:rFonts w:cstheme="minorHAnsi"/>
          <w:sz w:val="24"/>
          <w:szCs w:val="24"/>
        </w:rPr>
      </w:pPr>
      <w:r>
        <w:rPr>
          <w:rFonts w:cstheme="minorHAnsi"/>
          <w:sz w:val="24"/>
          <w:szCs w:val="24"/>
          <w:u w:val="single"/>
        </w:rPr>
        <w:t>FES</w:t>
      </w:r>
      <w:r w:rsidRPr="002D5558">
        <w:rPr>
          <w:rFonts w:cstheme="minorHAnsi"/>
          <w:sz w:val="24"/>
          <w:szCs w:val="24"/>
        </w:rPr>
        <w:t>:</w:t>
      </w:r>
      <w:r>
        <w:rPr>
          <w:rFonts w:cstheme="minorHAnsi"/>
          <w:sz w:val="24"/>
          <w:szCs w:val="24"/>
        </w:rPr>
        <w:t xml:space="preserve"> Don’t need pilots – may impact existing DS contracts.  Not enough time to do pilot.  DS procurements should be completed before opt-in auction process starts, but need to know there will definitely be an auction when bidding.  </w:t>
      </w:r>
    </w:p>
    <w:p w:rsidR="002D5558" w:rsidRDefault="002D5558" w:rsidP="00B65A69">
      <w:pPr>
        <w:pStyle w:val="ListParagraph"/>
        <w:numPr>
          <w:ilvl w:val="0"/>
          <w:numId w:val="6"/>
        </w:numPr>
        <w:rPr>
          <w:rFonts w:cstheme="minorHAnsi"/>
          <w:sz w:val="24"/>
          <w:szCs w:val="24"/>
        </w:rPr>
      </w:pPr>
      <w:r>
        <w:rPr>
          <w:rFonts w:cstheme="minorHAnsi"/>
          <w:sz w:val="24"/>
          <w:szCs w:val="24"/>
          <w:u w:val="single"/>
        </w:rPr>
        <w:t>Liberty</w:t>
      </w:r>
      <w:r w:rsidRPr="002D5558">
        <w:rPr>
          <w:rFonts w:cstheme="minorHAnsi"/>
          <w:sz w:val="24"/>
          <w:szCs w:val="24"/>
        </w:rPr>
        <w:t>:</w:t>
      </w:r>
      <w:r>
        <w:rPr>
          <w:rFonts w:cstheme="minorHAnsi"/>
          <w:sz w:val="24"/>
          <w:szCs w:val="24"/>
        </w:rPr>
        <w:t xml:space="preserve"> Between now and June 2013 (full-scale auction), what if shopping increases?  Still need auctions?</w:t>
      </w:r>
    </w:p>
    <w:p w:rsidR="002D5558" w:rsidRPr="002D5558" w:rsidRDefault="002D5558" w:rsidP="00B65A69">
      <w:pPr>
        <w:pStyle w:val="ListParagraph"/>
        <w:numPr>
          <w:ilvl w:val="1"/>
          <w:numId w:val="6"/>
        </w:numPr>
        <w:rPr>
          <w:rFonts w:cstheme="minorHAnsi"/>
          <w:sz w:val="24"/>
          <w:szCs w:val="24"/>
        </w:rPr>
      </w:pPr>
      <w:r>
        <w:rPr>
          <w:rFonts w:cstheme="minorHAnsi"/>
          <w:i/>
          <w:sz w:val="24"/>
          <w:szCs w:val="24"/>
          <w:u w:val="single"/>
        </w:rPr>
        <w:t>DE</w:t>
      </w:r>
      <w:r>
        <w:rPr>
          <w:rFonts w:cstheme="minorHAnsi"/>
          <w:i/>
          <w:sz w:val="24"/>
          <w:szCs w:val="24"/>
        </w:rPr>
        <w:t>: Yes.  Some EDCs haven’t had rate caps for years and shopping still not greater than 25-35%.</w:t>
      </w:r>
    </w:p>
    <w:p w:rsidR="002D5558" w:rsidRPr="002D5558" w:rsidRDefault="002D5558" w:rsidP="00B65A69">
      <w:pPr>
        <w:pStyle w:val="ListParagraph"/>
        <w:numPr>
          <w:ilvl w:val="1"/>
          <w:numId w:val="6"/>
        </w:numPr>
        <w:rPr>
          <w:rFonts w:cstheme="minorHAnsi"/>
          <w:sz w:val="24"/>
          <w:szCs w:val="24"/>
        </w:rPr>
      </w:pPr>
      <w:r>
        <w:rPr>
          <w:rFonts w:cstheme="minorHAnsi"/>
          <w:i/>
          <w:sz w:val="24"/>
          <w:szCs w:val="24"/>
          <w:u w:val="single"/>
        </w:rPr>
        <w:t>Moury</w:t>
      </w:r>
      <w:r>
        <w:rPr>
          <w:rFonts w:cstheme="minorHAnsi"/>
          <w:i/>
          <w:sz w:val="24"/>
          <w:szCs w:val="24"/>
        </w:rPr>
        <w:t xml:space="preserve">: Want to improve </w:t>
      </w:r>
      <w:r w:rsidR="00AF7DA4">
        <w:rPr>
          <w:rFonts w:cstheme="minorHAnsi"/>
          <w:i/>
          <w:sz w:val="24"/>
          <w:szCs w:val="24"/>
        </w:rPr>
        <w:t xml:space="preserve">participation in </w:t>
      </w:r>
      <w:r>
        <w:rPr>
          <w:rFonts w:cstheme="minorHAnsi"/>
          <w:i/>
          <w:sz w:val="24"/>
          <w:szCs w:val="24"/>
        </w:rPr>
        <w:t xml:space="preserve">all service territories.  Unless 100% shopping, can use improvement.  </w:t>
      </w:r>
    </w:p>
    <w:p w:rsidR="002D5558" w:rsidRDefault="002D5558" w:rsidP="00B65A69">
      <w:pPr>
        <w:pStyle w:val="ListParagraph"/>
        <w:numPr>
          <w:ilvl w:val="0"/>
          <w:numId w:val="6"/>
        </w:numPr>
        <w:rPr>
          <w:rFonts w:cstheme="minorHAnsi"/>
          <w:sz w:val="24"/>
          <w:szCs w:val="24"/>
        </w:rPr>
      </w:pPr>
      <w:r>
        <w:rPr>
          <w:rFonts w:cstheme="minorHAnsi"/>
          <w:sz w:val="24"/>
          <w:szCs w:val="24"/>
          <w:u w:val="single"/>
        </w:rPr>
        <w:t>Exelon</w:t>
      </w:r>
      <w:r>
        <w:rPr>
          <w:rFonts w:cstheme="minorHAnsi"/>
          <w:sz w:val="24"/>
          <w:szCs w:val="24"/>
        </w:rPr>
        <w:t>: Opt-in numbers would be known by April-May 2013.  How much would need to be procured by 6/1/13?  With DE proposal, still have situation where majority of tranches that serve 6/1/13 would be procured.</w:t>
      </w:r>
    </w:p>
    <w:p w:rsidR="002D5558" w:rsidRPr="002D5558" w:rsidRDefault="002D5558" w:rsidP="00B65A69">
      <w:pPr>
        <w:pStyle w:val="ListParagraph"/>
        <w:numPr>
          <w:ilvl w:val="1"/>
          <w:numId w:val="6"/>
        </w:numPr>
        <w:rPr>
          <w:rFonts w:cstheme="minorHAnsi"/>
          <w:sz w:val="24"/>
          <w:szCs w:val="24"/>
        </w:rPr>
      </w:pPr>
      <w:r>
        <w:rPr>
          <w:rFonts w:cstheme="minorHAnsi"/>
          <w:i/>
          <w:sz w:val="24"/>
          <w:szCs w:val="24"/>
          <w:u w:val="single"/>
        </w:rPr>
        <w:t>Duquesne Light (DLC)</w:t>
      </w:r>
      <w:r>
        <w:rPr>
          <w:rFonts w:cstheme="minorHAnsi"/>
          <w:i/>
          <w:sz w:val="24"/>
          <w:szCs w:val="24"/>
        </w:rPr>
        <w:t>: Have at least 50% acquired before 6/1/13.  Go out in increments of 6 months.</w:t>
      </w:r>
    </w:p>
    <w:p w:rsidR="002D5558" w:rsidRPr="00EC02B6" w:rsidRDefault="002D5558" w:rsidP="00B65A69">
      <w:pPr>
        <w:pStyle w:val="ListParagraph"/>
        <w:numPr>
          <w:ilvl w:val="0"/>
          <w:numId w:val="6"/>
        </w:numPr>
        <w:rPr>
          <w:rFonts w:cstheme="minorHAnsi"/>
          <w:sz w:val="24"/>
          <w:szCs w:val="24"/>
        </w:rPr>
      </w:pPr>
      <w:r>
        <w:rPr>
          <w:rFonts w:cstheme="minorHAnsi"/>
          <w:sz w:val="24"/>
          <w:szCs w:val="24"/>
          <w:u w:val="single"/>
        </w:rPr>
        <w:t>EDCs</w:t>
      </w:r>
      <w:r>
        <w:rPr>
          <w:rFonts w:cstheme="minorHAnsi"/>
          <w:sz w:val="24"/>
          <w:szCs w:val="24"/>
        </w:rPr>
        <w:t xml:space="preserve">: To know PTC for 6/1/13, need to know procurements to set price.  Can get communications approved in advance and have bidder meetings but can’t have bids until PTC is filed 45 days in advance of 6/1/13.  Need to determine logistics.  Under DR plan, customer receives offer that states proposition of bonus and price below reference price or PTC.  Don’t have actual price known.  Customer needs all information clearly available.  FE proposed schedule allows auction to occur after last DS bid so marketing to customers is clear and exact.  </w:t>
      </w:r>
    </w:p>
    <w:p w:rsidR="00EC02B6" w:rsidRDefault="00EC02B6" w:rsidP="006825EA">
      <w:pPr>
        <w:rPr>
          <w:rFonts w:cstheme="minorHAnsi"/>
          <w:sz w:val="24"/>
          <w:szCs w:val="24"/>
        </w:rPr>
      </w:pPr>
    </w:p>
    <w:p w:rsidR="00C2032C" w:rsidRDefault="00C2032C" w:rsidP="00B65A69">
      <w:pPr>
        <w:pStyle w:val="ListParagraph"/>
        <w:numPr>
          <w:ilvl w:val="0"/>
          <w:numId w:val="1"/>
        </w:numPr>
        <w:rPr>
          <w:rFonts w:cstheme="minorHAnsi"/>
          <w:i/>
          <w:sz w:val="24"/>
          <w:szCs w:val="24"/>
        </w:rPr>
      </w:pPr>
      <w:r>
        <w:rPr>
          <w:rFonts w:cstheme="minorHAnsi"/>
          <w:i/>
          <w:sz w:val="24"/>
          <w:szCs w:val="24"/>
        </w:rPr>
        <w:t>Auction Mechanism</w:t>
      </w:r>
      <w:r w:rsidR="00E25F32">
        <w:rPr>
          <w:rFonts w:cstheme="minorHAnsi"/>
          <w:i/>
          <w:sz w:val="24"/>
          <w:szCs w:val="24"/>
        </w:rPr>
        <w:t xml:space="preserve"> – pg. 27</w:t>
      </w:r>
    </w:p>
    <w:p w:rsidR="00C2032C" w:rsidRDefault="00C2032C" w:rsidP="00C2032C">
      <w:pPr>
        <w:rPr>
          <w:rFonts w:cstheme="minorHAnsi"/>
          <w:sz w:val="24"/>
          <w:szCs w:val="24"/>
        </w:rPr>
      </w:pPr>
    </w:p>
    <w:p w:rsidR="00C2032C" w:rsidRDefault="00C2032C" w:rsidP="00B65A69">
      <w:pPr>
        <w:pStyle w:val="ListParagraph"/>
        <w:numPr>
          <w:ilvl w:val="0"/>
          <w:numId w:val="7"/>
        </w:numPr>
        <w:rPr>
          <w:rFonts w:cstheme="minorHAnsi"/>
          <w:sz w:val="24"/>
          <w:szCs w:val="24"/>
        </w:rPr>
      </w:pPr>
      <w:r>
        <w:rPr>
          <w:rFonts w:cstheme="minorHAnsi"/>
          <w:sz w:val="24"/>
          <w:szCs w:val="24"/>
          <w:u w:val="single"/>
        </w:rPr>
        <w:t>Moury</w:t>
      </w:r>
      <w:r>
        <w:rPr>
          <w:rFonts w:cstheme="minorHAnsi"/>
          <w:sz w:val="24"/>
          <w:szCs w:val="24"/>
        </w:rPr>
        <w:t xml:space="preserve">: Staff believes </w:t>
      </w:r>
      <w:r w:rsidR="004D63E2">
        <w:rPr>
          <w:rFonts w:cstheme="minorHAnsi"/>
          <w:sz w:val="24"/>
          <w:szCs w:val="24"/>
        </w:rPr>
        <w:t>no</w:t>
      </w:r>
      <w:r>
        <w:rPr>
          <w:rFonts w:cstheme="minorHAnsi"/>
          <w:sz w:val="24"/>
          <w:szCs w:val="24"/>
        </w:rPr>
        <w:t xml:space="preserve"> difference between </w:t>
      </w:r>
      <w:r w:rsidR="00AF7DA4">
        <w:rPr>
          <w:rFonts w:cstheme="minorHAnsi"/>
          <w:sz w:val="24"/>
          <w:szCs w:val="24"/>
        </w:rPr>
        <w:t>sealed</w:t>
      </w:r>
      <w:r>
        <w:rPr>
          <w:rFonts w:cstheme="minorHAnsi"/>
          <w:sz w:val="24"/>
          <w:szCs w:val="24"/>
        </w:rPr>
        <w:t xml:space="preserve"> bid process and descending clock mechanism.  Leave up to individual EDCs?</w:t>
      </w:r>
      <w:r w:rsidR="00075051">
        <w:rPr>
          <w:rFonts w:cstheme="minorHAnsi"/>
          <w:sz w:val="24"/>
          <w:szCs w:val="24"/>
        </w:rPr>
        <w:t xml:space="preserve">  Uncertainty for wholesale suppliers if bidding before auction information is </w:t>
      </w:r>
      <w:proofErr w:type="gramStart"/>
      <w:r w:rsidR="00075051">
        <w:rPr>
          <w:rFonts w:cstheme="minorHAnsi"/>
          <w:sz w:val="24"/>
          <w:szCs w:val="24"/>
        </w:rPr>
        <w:t>available,</w:t>
      </w:r>
      <w:proofErr w:type="gramEnd"/>
      <w:r w:rsidR="00075051">
        <w:rPr>
          <w:rFonts w:cstheme="minorHAnsi"/>
          <w:sz w:val="24"/>
          <w:szCs w:val="24"/>
        </w:rPr>
        <w:t xml:space="preserve"> would it help to have participation limits to reduce uncertainty?  </w:t>
      </w:r>
    </w:p>
    <w:p w:rsidR="00075051" w:rsidRDefault="00075051" w:rsidP="00B65A69">
      <w:pPr>
        <w:pStyle w:val="ListParagraph"/>
        <w:numPr>
          <w:ilvl w:val="0"/>
          <w:numId w:val="7"/>
        </w:numPr>
        <w:rPr>
          <w:rFonts w:cstheme="minorHAnsi"/>
          <w:sz w:val="24"/>
          <w:szCs w:val="24"/>
        </w:rPr>
      </w:pPr>
      <w:r>
        <w:rPr>
          <w:rFonts w:cstheme="minorHAnsi"/>
          <w:sz w:val="24"/>
          <w:szCs w:val="24"/>
          <w:u w:val="single"/>
        </w:rPr>
        <w:t>DE</w:t>
      </w:r>
      <w:r w:rsidRPr="00075051">
        <w:rPr>
          <w:rFonts w:cstheme="minorHAnsi"/>
          <w:sz w:val="24"/>
          <w:szCs w:val="24"/>
        </w:rPr>
        <w:t>:</w:t>
      </w:r>
      <w:r>
        <w:rPr>
          <w:rFonts w:cstheme="minorHAnsi"/>
          <w:sz w:val="24"/>
          <w:szCs w:val="24"/>
        </w:rPr>
        <w:t xml:space="preserve"> Sealed bid less expensive.  If goal is to get as many people into market as possible, limits arbitrarily reduce value of auction.  Could have another auction, but costly.  EDCs </w:t>
      </w:r>
      <w:r>
        <w:rPr>
          <w:rFonts w:cstheme="minorHAnsi"/>
          <w:sz w:val="24"/>
          <w:szCs w:val="24"/>
        </w:rPr>
        <w:lastRenderedPageBreak/>
        <w:t>have indicated that if notice goes to all customers, lower kind of response than with opt-out.  If didn’t have limits, unlikely that everyone will opt-out.</w:t>
      </w:r>
    </w:p>
    <w:p w:rsidR="00075051" w:rsidRDefault="00075051" w:rsidP="00B65A69">
      <w:pPr>
        <w:pStyle w:val="ListParagraph"/>
        <w:numPr>
          <w:ilvl w:val="0"/>
          <w:numId w:val="7"/>
        </w:numPr>
        <w:rPr>
          <w:rFonts w:cstheme="minorHAnsi"/>
          <w:sz w:val="24"/>
          <w:szCs w:val="24"/>
        </w:rPr>
      </w:pPr>
      <w:r>
        <w:rPr>
          <w:rFonts w:cstheme="minorHAnsi"/>
          <w:sz w:val="24"/>
          <w:szCs w:val="24"/>
          <w:u w:val="single"/>
        </w:rPr>
        <w:t>FES</w:t>
      </w:r>
      <w:r w:rsidRPr="00075051">
        <w:rPr>
          <w:rFonts w:cstheme="minorHAnsi"/>
          <w:sz w:val="24"/>
          <w:szCs w:val="24"/>
        </w:rPr>
        <w:t>:</w:t>
      </w:r>
      <w:r>
        <w:rPr>
          <w:rFonts w:cstheme="minorHAnsi"/>
          <w:sz w:val="24"/>
          <w:szCs w:val="24"/>
        </w:rPr>
        <w:t xml:space="preserve"> Prefer descending clock auction because provides </w:t>
      </w:r>
      <w:r w:rsidR="00AF7DA4">
        <w:rPr>
          <w:rFonts w:cstheme="minorHAnsi"/>
          <w:sz w:val="24"/>
          <w:szCs w:val="24"/>
        </w:rPr>
        <w:t>better result for</w:t>
      </w:r>
      <w:r>
        <w:rPr>
          <w:rFonts w:cstheme="minorHAnsi"/>
          <w:sz w:val="24"/>
          <w:szCs w:val="24"/>
        </w:rPr>
        <w:t xml:space="preserve"> customers.  </w:t>
      </w:r>
    </w:p>
    <w:p w:rsidR="00075051" w:rsidRDefault="00075051" w:rsidP="00B65A69">
      <w:pPr>
        <w:pStyle w:val="ListParagraph"/>
        <w:numPr>
          <w:ilvl w:val="0"/>
          <w:numId w:val="7"/>
        </w:numPr>
        <w:rPr>
          <w:rFonts w:cstheme="minorHAnsi"/>
          <w:sz w:val="24"/>
          <w:szCs w:val="24"/>
        </w:rPr>
      </w:pPr>
      <w:r>
        <w:rPr>
          <w:rFonts w:cstheme="minorHAnsi"/>
          <w:sz w:val="24"/>
          <w:szCs w:val="24"/>
          <w:u w:val="single"/>
        </w:rPr>
        <w:t>OCA</w:t>
      </w:r>
      <w:r w:rsidRPr="00075051">
        <w:rPr>
          <w:rFonts w:cstheme="minorHAnsi"/>
          <w:sz w:val="24"/>
          <w:szCs w:val="24"/>
        </w:rPr>
        <w:t>:</w:t>
      </w:r>
      <w:r>
        <w:rPr>
          <w:rFonts w:cstheme="minorHAnsi"/>
          <w:sz w:val="24"/>
          <w:szCs w:val="24"/>
        </w:rPr>
        <w:t xml:space="preserve"> Agree that participation limits reduce</w:t>
      </w:r>
      <w:r w:rsidR="00AF7DA4">
        <w:rPr>
          <w:rFonts w:cstheme="minorHAnsi"/>
          <w:sz w:val="24"/>
          <w:szCs w:val="24"/>
        </w:rPr>
        <w:t xml:space="preserve"> uncertainty.  Have thriving on</w:t>
      </w:r>
      <w:r>
        <w:rPr>
          <w:rFonts w:cstheme="minorHAnsi"/>
          <w:sz w:val="24"/>
          <w:szCs w:val="24"/>
        </w:rPr>
        <w:t>going one-on-one market which shouldn’t be interfered with.</w:t>
      </w:r>
    </w:p>
    <w:p w:rsidR="00075051" w:rsidRDefault="00075051" w:rsidP="00075051">
      <w:pPr>
        <w:rPr>
          <w:rFonts w:cstheme="minorHAnsi"/>
          <w:sz w:val="24"/>
          <w:szCs w:val="24"/>
        </w:rPr>
      </w:pPr>
    </w:p>
    <w:p w:rsidR="00075051" w:rsidRDefault="00075051" w:rsidP="00B65A69">
      <w:pPr>
        <w:pStyle w:val="ListParagraph"/>
        <w:numPr>
          <w:ilvl w:val="0"/>
          <w:numId w:val="1"/>
        </w:numPr>
        <w:rPr>
          <w:rFonts w:cstheme="minorHAnsi"/>
          <w:i/>
          <w:sz w:val="24"/>
          <w:szCs w:val="24"/>
        </w:rPr>
      </w:pPr>
      <w:r>
        <w:rPr>
          <w:rFonts w:cstheme="minorHAnsi"/>
          <w:i/>
          <w:sz w:val="24"/>
          <w:szCs w:val="24"/>
        </w:rPr>
        <w:t>Participation Limits</w:t>
      </w:r>
      <w:r w:rsidR="00E25F32">
        <w:rPr>
          <w:rFonts w:cstheme="minorHAnsi"/>
          <w:i/>
          <w:sz w:val="24"/>
          <w:szCs w:val="24"/>
        </w:rPr>
        <w:t xml:space="preserve"> – pg. 21</w:t>
      </w:r>
    </w:p>
    <w:p w:rsidR="00075051" w:rsidRDefault="00075051" w:rsidP="00075051">
      <w:pPr>
        <w:rPr>
          <w:rFonts w:cstheme="minorHAnsi"/>
          <w:sz w:val="24"/>
          <w:szCs w:val="24"/>
        </w:rPr>
      </w:pPr>
    </w:p>
    <w:p w:rsidR="00075051" w:rsidRDefault="00075051" w:rsidP="00B65A69">
      <w:pPr>
        <w:pStyle w:val="ListParagraph"/>
        <w:numPr>
          <w:ilvl w:val="0"/>
          <w:numId w:val="8"/>
        </w:numPr>
        <w:rPr>
          <w:rFonts w:cstheme="minorHAnsi"/>
          <w:sz w:val="24"/>
          <w:szCs w:val="24"/>
        </w:rPr>
      </w:pPr>
      <w:r>
        <w:rPr>
          <w:rFonts w:cstheme="minorHAnsi"/>
          <w:sz w:val="24"/>
          <w:szCs w:val="24"/>
          <w:u w:val="single"/>
        </w:rPr>
        <w:t>Moury</w:t>
      </w:r>
      <w:r>
        <w:rPr>
          <w:rFonts w:cstheme="minorHAnsi"/>
          <w:sz w:val="24"/>
          <w:szCs w:val="24"/>
        </w:rPr>
        <w:t>: Proposals for participation limits in 10-20% range.  Higher?</w:t>
      </w:r>
    </w:p>
    <w:p w:rsidR="00075051" w:rsidRDefault="00075051" w:rsidP="00B65A69">
      <w:pPr>
        <w:pStyle w:val="ListParagraph"/>
        <w:numPr>
          <w:ilvl w:val="0"/>
          <w:numId w:val="8"/>
        </w:numPr>
        <w:rPr>
          <w:rFonts w:cstheme="minorHAnsi"/>
          <w:sz w:val="24"/>
          <w:szCs w:val="24"/>
        </w:rPr>
      </w:pPr>
      <w:r>
        <w:rPr>
          <w:rFonts w:cstheme="minorHAnsi"/>
          <w:sz w:val="24"/>
          <w:szCs w:val="24"/>
          <w:u w:val="single"/>
        </w:rPr>
        <w:t>DE</w:t>
      </w:r>
      <w:r w:rsidRPr="00075051">
        <w:rPr>
          <w:rFonts w:cstheme="minorHAnsi"/>
          <w:sz w:val="24"/>
          <w:szCs w:val="24"/>
        </w:rPr>
        <w:t>:</w:t>
      </w:r>
      <w:r>
        <w:rPr>
          <w:rFonts w:cstheme="minorHAnsi"/>
          <w:sz w:val="24"/>
          <w:szCs w:val="24"/>
        </w:rPr>
        <w:t xml:space="preserve"> 10-20% for pilots.  Unlimited for full-scale.  Dayton Power and Light had program that was opt-in.  Given history, for full-scale program, don’t have limit.  Difficult to get customers to opt in versus opt out.  </w:t>
      </w:r>
    </w:p>
    <w:p w:rsidR="00075051" w:rsidRDefault="00075051" w:rsidP="00B65A69">
      <w:pPr>
        <w:pStyle w:val="ListParagraph"/>
        <w:numPr>
          <w:ilvl w:val="0"/>
          <w:numId w:val="8"/>
        </w:numPr>
        <w:rPr>
          <w:rFonts w:cstheme="minorHAnsi"/>
          <w:sz w:val="24"/>
          <w:szCs w:val="24"/>
        </w:rPr>
      </w:pPr>
      <w:r>
        <w:rPr>
          <w:rFonts w:cstheme="minorHAnsi"/>
          <w:sz w:val="24"/>
          <w:szCs w:val="24"/>
          <w:u w:val="single"/>
        </w:rPr>
        <w:t xml:space="preserve">Commissioner </w:t>
      </w:r>
      <w:proofErr w:type="spellStart"/>
      <w:r>
        <w:rPr>
          <w:rFonts w:cstheme="minorHAnsi"/>
          <w:sz w:val="24"/>
          <w:szCs w:val="24"/>
          <w:u w:val="single"/>
        </w:rPr>
        <w:t>Witmer’s</w:t>
      </w:r>
      <w:proofErr w:type="spellEnd"/>
      <w:r>
        <w:rPr>
          <w:rFonts w:cstheme="minorHAnsi"/>
          <w:sz w:val="24"/>
          <w:szCs w:val="24"/>
          <w:u w:val="single"/>
        </w:rPr>
        <w:t xml:space="preserve"> Office</w:t>
      </w:r>
      <w:r w:rsidRPr="00075051">
        <w:rPr>
          <w:rFonts w:cstheme="minorHAnsi"/>
          <w:sz w:val="24"/>
          <w:szCs w:val="24"/>
        </w:rPr>
        <w:t>:</w:t>
      </w:r>
      <w:r>
        <w:rPr>
          <w:rFonts w:cstheme="minorHAnsi"/>
          <w:sz w:val="24"/>
          <w:szCs w:val="24"/>
        </w:rPr>
        <w:t xml:space="preserve"> Any states that have done opt-out, % customer response?</w:t>
      </w:r>
    </w:p>
    <w:p w:rsidR="00075051" w:rsidRPr="00075051" w:rsidRDefault="00075051" w:rsidP="00B65A69">
      <w:pPr>
        <w:pStyle w:val="ListParagraph"/>
        <w:numPr>
          <w:ilvl w:val="1"/>
          <w:numId w:val="8"/>
        </w:numPr>
        <w:rPr>
          <w:rFonts w:cstheme="minorHAnsi"/>
          <w:sz w:val="24"/>
          <w:szCs w:val="24"/>
        </w:rPr>
      </w:pPr>
      <w:r>
        <w:rPr>
          <w:rFonts w:cstheme="minorHAnsi"/>
          <w:i/>
          <w:sz w:val="24"/>
          <w:szCs w:val="24"/>
          <w:u w:val="single"/>
        </w:rPr>
        <w:t>PECO</w:t>
      </w:r>
      <w:r>
        <w:rPr>
          <w:rFonts w:cstheme="minorHAnsi"/>
          <w:i/>
          <w:sz w:val="24"/>
          <w:szCs w:val="24"/>
        </w:rPr>
        <w:t>: Around 80%.  Opt-in is around 10-20%.</w:t>
      </w:r>
    </w:p>
    <w:p w:rsidR="00075051" w:rsidRPr="00075051" w:rsidRDefault="00075051" w:rsidP="00B65A69">
      <w:pPr>
        <w:pStyle w:val="ListParagraph"/>
        <w:numPr>
          <w:ilvl w:val="1"/>
          <w:numId w:val="8"/>
        </w:numPr>
        <w:rPr>
          <w:rFonts w:cstheme="minorHAnsi"/>
          <w:sz w:val="24"/>
          <w:szCs w:val="24"/>
        </w:rPr>
      </w:pPr>
      <w:r>
        <w:rPr>
          <w:rFonts w:cstheme="minorHAnsi"/>
          <w:i/>
          <w:sz w:val="24"/>
          <w:szCs w:val="24"/>
          <w:u w:val="single"/>
        </w:rPr>
        <w:t>FES</w:t>
      </w:r>
      <w:r>
        <w:rPr>
          <w:rFonts w:cstheme="minorHAnsi"/>
          <w:i/>
          <w:sz w:val="24"/>
          <w:szCs w:val="24"/>
        </w:rPr>
        <w:t xml:space="preserve">: Opt-out around 80%.  </w:t>
      </w:r>
      <w:proofErr w:type="gramStart"/>
      <w:r>
        <w:rPr>
          <w:rFonts w:cstheme="minorHAnsi"/>
          <w:i/>
          <w:sz w:val="24"/>
          <w:szCs w:val="24"/>
        </w:rPr>
        <w:t>Opt-in</w:t>
      </w:r>
      <w:proofErr w:type="gramEnd"/>
      <w:r>
        <w:rPr>
          <w:rFonts w:cstheme="minorHAnsi"/>
          <w:i/>
          <w:sz w:val="24"/>
          <w:szCs w:val="24"/>
        </w:rPr>
        <w:t xml:space="preserve"> around 10.  Less concern about DS suppliers.  If have cap of greater than 20%, doubt that many would participate.</w:t>
      </w:r>
    </w:p>
    <w:p w:rsidR="00075051" w:rsidRDefault="00075051" w:rsidP="00B65A69">
      <w:pPr>
        <w:pStyle w:val="ListParagraph"/>
        <w:numPr>
          <w:ilvl w:val="0"/>
          <w:numId w:val="8"/>
        </w:numPr>
        <w:rPr>
          <w:rFonts w:cstheme="minorHAnsi"/>
          <w:sz w:val="24"/>
          <w:szCs w:val="24"/>
        </w:rPr>
      </w:pPr>
      <w:r>
        <w:rPr>
          <w:rFonts w:cstheme="minorHAnsi"/>
          <w:sz w:val="24"/>
          <w:szCs w:val="24"/>
          <w:u w:val="single"/>
        </w:rPr>
        <w:t>OCA</w:t>
      </w:r>
      <w:r>
        <w:rPr>
          <w:rFonts w:cstheme="minorHAnsi"/>
          <w:sz w:val="24"/>
          <w:szCs w:val="24"/>
        </w:rPr>
        <w:t xml:space="preserve">: Solicit broad group and limit enrollment to 10-20%. </w:t>
      </w:r>
      <w:r>
        <w:rPr>
          <w:rFonts w:cstheme="minorHAnsi"/>
          <w:i/>
          <w:sz w:val="24"/>
          <w:szCs w:val="24"/>
        </w:rPr>
        <w:t xml:space="preserve"> Citizen Power agrees.  </w:t>
      </w:r>
    </w:p>
    <w:p w:rsidR="00075051" w:rsidRDefault="00075051" w:rsidP="00075051">
      <w:pPr>
        <w:rPr>
          <w:rFonts w:cstheme="minorHAnsi"/>
          <w:sz w:val="24"/>
          <w:szCs w:val="24"/>
        </w:rPr>
      </w:pPr>
    </w:p>
    <w:p w:rsidR="00075051" w:rsidRDefault="00075051" w:rsidP="00B65A69">
      <w:pPr>
        <w:pStyle w:val="ListParagraph"/>
        <w:numPr>
          <w:ilvl w:val="0"/>
          <w:numId w:val="1"/>
        </w:numPr>
        <w:rPr>
          <w:rFonts w:cstheme="minorHAnsi"/>
          <w:i/>
          <w:sz w:val="24"/>
          <w:szCs w:val="24"/>
        </w:rPr>
      </w:pPr>
      <w:r>
        <w:rPr>
          <w:rFonts w:cstheme="minorHAnsi"/>
          <w:i/>
          <w:sz w:val="24"/>
          <w:szCs w:val="24"/>
        </w:rPr>
        <w:t>Load Caps</w:t>
      </w:r>
      <w:r w:rsidR="00E25F32">
        <w:rPr>
          <w:rFonts w:cstheme="minorHAnsi"/>
          <w:i/>
          <w:sz w:val="24"/>
          <w:szCs w:val="24"/>
        </w:rPr>
        <w:t xml:space="preserve"> – pg. 34</w:t>
      </w:r>
    </w:p>
    <w:p w:rsidR="00075051" w:rsidRDefault="00075051" w:rsidP="00075051">
      <w:pPr>
        <w:rPr>
          <w:rFonts w:cstheme="minorHAnsi"/>
          <w:i/>
          <w:sz w:val="24"/>
          <w:szCs w:val="24"/>
        </w:rPr>
      </w:pPr>
    </w:p>
    <w:p w:rsidR="00075051" w:rsidRDefault="00E25F32" w:rsidP="00B65A69">
      <w:pPr>
        <w:pStyle w:val="ListParagraph"/>
        <w:numPr>
          <w:ilvl w:val="0"/>
          <w:numId w:val="9"/>
        </w:numPr>
        <w:rPr>
          <w:rFonts w:cstheme="minorHAnsi"/>
          <w:sz w:val="24"/>
          <w:szCs w:val="24"/>
        </w:rPr>
      </w:pPr>
      <w:r>
        <w:rPr>
          <w:rFonts w:cstheme="minorHAnsi"/>
          <w:sz w:val="24"/>
          <w:szCs w:val="24"/>
          <w:u w:val="single"/>
        </w:rPr>
        <w:t>DE</w:t>
      </w:r>
      <w:r>
        <w:rPr>
          <w:rFonts w:cstheme="minorHAnsi"/>
          <w:sz w:val="24"/>
          <w:szCs w:val="24"/>
        </w:rPr>
        <w:t xml:space="preserve">: Theoretically, no load cap provides lower price to customer but want to make sure number of competitive EGSs participating and winning to facilitate choice.  </w:t>
      </w:r>
    </w:p>
    <w:p w:rsidR="00E04519" w:rsidRDefault="00E04519" w:rsidP="00B65A69">
      <w:pPr>
        <w:pStyle w:val="ListParagraph"/>
        <w:numPr>
          <w:ilvl w:val="0"/>
          <w:numId w:val="9"/>
        </w:numPr>
        <w:rPr>
          <w:rFonts w:cstheme="minorHAnsi"/>
          <w:sz w:val="24"/>
          <w:szCs w:val="24"/>
        </w:rPr>
      </w:pPr>
      <w:r>
        <w:rPr>
          <w:rFonts w:cstheme="minorHAnsi"/>
          <w:sz w:val="24"/>
          <w:szCs w:val="24"/>
          <w:u w:val="single"/>
        </w:rPr>
        <w:t>FES</w:t>
      </w:r>
      <w:r w:rsidRPr="00E04519">
        <w:rPr>
          <w:rFonts w:cstheme="minorHAnsi"/>
          <w:sz w:val="24"/>
          <w:szCs w:val="24"/>
        </w:rPr>
        <w:t>:</w:t>
      </w:r>
      <w:r>
        <w:rPr>
          <w:rFonts w:cstheme="minorHAnsi"/>
          <w:sz w:val="24"/>
          <w:szCs w:val="24"/>
        </w:rPr>
        <w:t xml:space="preserve"> Supports minimum number of participating EGSs.  Customer outcome is most important.  Example: Start descending clock auction, auctioneer sets price.  50 suppliers participating.  Whatever minimum is </w:t>
      </w:r>
      <w:proofErr w:type="gramStart"/>
      <w:r>
        <w:rPr>
          <w:rFonts w:cstheme="minorHAnsi"/>
          <w:sz w:val="24"/>
          <w:szCs w:val="24"/>
        </w:rPr>
        <w:t>met,</w:t>
      </w:r>
      <w:proofErr w:type="gramEnd"/>
      <w:r>
        <w:rPr>
          <w:rFonts w:cstheme="minorHAnsi"/>
          <w:sz w:val="24"/>
          <w:szCs w:val="24"/>
        </w:rPr>
        <w:t xml:space="preserve"> makes competitive.  As clock ticks down, suppliers leave or stay and provide amount of load willing to handle.  Minimum of participating suppliers is bidders not acquiring customers.  EGSs will need to know load in order to manage risk.</w:t>
      </w:r>
    </w:p>
    <w:p w:rsidR="00E04519" w:rsidRDefault="00E04519" w:rsidP="00B65A69">
      <w:pPr>
        <w:pStyle w:val="ListParagraph"/>
        <w:numPr>
          <w:ilvl w:val="0"/>
          <w:numId w:val="9"/>
        </w:numPr>
        <w:rPr>
          <w:rFonts w:cstheme="minorHAnsi"/>
          <w:sz w:val="24"/>
          <w:szCs w:val="24"/>
        </w:rPr>
      </w:pPr>
      <w:r>
        <w:rPr>
          <w:rFonts w:cstheme="minorHAnsi"/>
          <w:sz w:val="24"/>
          <w:szCs w:val="24"/>
          <w:u w:val="single"/>
        </w:rPr>
        <w:t>Analysis Group</w:t>
      </w:r>
      <w:r>
        <w:rPr>
          <w:rFonts w:cstheme="minorHAnsi"/>
          <w:sz w:val="24"/>
          <w:szCs w:val="24"/>
        </w:rPr>
        <w:t xml:space="preserve">: Auction establishes share of accounts per EGS – random assignment.  Ensure balancing of number of accounts and average loads.  Under DE proposal, know number of accounts and associated data regarding total load so no uncertainty.  Have enrollment before auction to ensure uncertainty for suppliers bidding into auction is minimized.  </w:t>
      </w:r>
    </w:p>
    <w:p w:rsidR="00E04519" w:rsidRDefault="00E04519" w:rsidP="00B65A69">
      <w:pPr>
        <w:pStyle w:val="ListParagraph"/>
        <w:numPr>
          <w:ilvl w:val="0"/>
          <w:numId w:val="9"/>
        </w:numPr>
        <w:rPr>
          <w:rFonts w:cstheme="minorHAnsi"/>
          <w:sz w:val="24"/>
          <w:szCs w:val="24"/>
        </w:rPr>
      </w:pPr>
      <w:r>
        <w:rPr>
          <w:rFonts w:cstheme="minorHAnsi"/>
          <w:sz w:val="24"/>
          <w:szCs w:val="24"/>
          <w:u w:val="single"/>
        </w:rPr>
        <w:t>Wurst</w:t>
      </w:r>
      <w:r w:rsidRPr="00E04519">
        <w:rPr>
          <w:rFonts w:cstheme="minorHAnsi"/>
          <w:sz w:val="24"/>
          <w:szCs w:val="24"/>
        </w:rPr>
        <w:t>:</w:t>
      </w:r>
      <w:r>
        <w:rPr>
          <w:rFonts w:cstheme="minorHAnsi"/>
          <w:sz w:val="24"/>
          <w:szCs w:val="24"/>
        </w:rPr>
        <w:t xml:space="preserve"> Bid would be tranche</w:t>
      </w:r>
      <w:bookmarkStart w:id="0" w:name="_GoBack"/>
      <w:bookmarkEnd w:id="0"/>
      <w:r>
        <w:rPr>
          <w:rFonts w:cstheme="minorHAnsi"/>
          <w:sz w:val="24"/>
          <w:szCs w:val="24"/>
        </w:rPr>
        <w:t xml:space="preserve"> of accounts, not load.</w:t>
      </w:r>
    </w:p>
    <w:p w:rsidR="00E04519" w:rsidRDefault="00E04519" w:rsidP="00E04519">
      <w:pPr>
        <w:rPr>
          <w:rFonts w:cstheme="minorHAnsi"/>
          <w:sz w:val="24"/>
          <w:szCs w:val="24"/>
        </w:rPr>
      </w:pPr>
    </w:p>
    <w:p w:rsidR="00E04519" w:rsidRDefault="00E04519" w:rsidP="00B65A69">
      <w:pPr>
        <w:pStyle w:val="ListParagraph"/>
        <w:numPr>
          <w:ilvl w:val="0"/>
          <w:numId w:val="1"/>
        </w:numPr>
        <w:rPr>
          <w:rFonts w:cstheme="minorHAnsi"/>
          <w:i/>
          <w:sz w:val="24"/>
          <w:szCs w:val="24"/>
        </w:rPr>
      </w:pPr>
      <w:r>
        <w:rPr>
          <w:rFonts w:cstheme="minorHAnsi"/>
          <w:i/>
          <w:sz w:val="24"/>
          <w:szCs w:val="24"/>
        </w:rPr>
        <w:t>End of Opt-In Auction Program Period – pg. 37</w:t>
      </w:r>
    </w:p>
    <w:p w:rsidR="00E04519" w:rsidRDefault="00E04519" w:rsidP="00E04519">
      <w:pPr>
        <w:rPr>
          <w:rFonts w:cstheme="minorHAnsi"/>
          <w:i/>
          <w:sz w:val="24"/>
          <w:szCs w:val="24"/>
        </w:rPr>
      </w:pPr>
    </w:p>
    <w:p w:rsidR="00E04519" w:rsidRDefault="00C02A92" w:rsidP="00B65A69">
      <w:pPr>
        <w:pStyle w:val="ListParagraph"/>
        <w:numPr>
          <w:ilvl w:val="0"/>
          <w:numId w:val="10"/>
        </w:numPr>
        <w:rPr>
          <w:rFonts w:cstheme="minorHAnsi"/>
          <w:sz w:val="24"/>
          <w:szCs w:val="24"/>
        </w:rPr>
      </w:pPr>
      <w:r>
        <w:rPr>
          <w:rFonts w:cstheme="minorHAnsi"/>
          <w:sz w:val="24"/>
          <w:szCs w:val="24"/>
          <w:u w:val="single"/>
        </w:rPr>
        <w:t>DE</w:t>
      </w:r>
      <w:r>
        <w:rPr>
          <w:rFonts w:cstheme="minorHAnsi"/>
          <w:sz w:val="24"/>
          <w:szCs w:val="24"/>
        </w:rPr>
        <w:t xml:space="preserve">: Precondition as bidder would be to offer fixed price offering to customer at end of program period.  Customer must affirmatively choose that offer or may receive variable pricing offer.  Continue month-to-month with no termination fees.  Mirror existing Commission regulations and rules.  </w:t>
      </w:r>
    </w:p>
    <w:p w:rsidR="00C02A92" w:rsidRDefault="00C02A92" w:rsidP="00B65A69">
      <w:pPr>
        <w:pStyle w:val="ListParagraph"/>
        <w:numPr>
          <w:ilvl w:val="0"/>
          <w:numId w:val="10"/>
        </w:numPr>
        <w:rPr>
          <w:rFonts w:cstheme="minorHAnsi"/>
          <w:sz w:val="24"/>
          <w:szCs w:val="24"/>
        </w:rPr>
      </w:pPr>
      <w:r>
        <w:rPr>
          <w:rFonts w:cstheme="minorHAnsi"/>
          <w:sz w:val="24"/>
          <w:szCs w:val="24"/>
          <w:u w:val="single"/>
        </w:rPr>
        <w:lastRenderedPageBreak/>
        <w:t>Office of Consumer Advocate (OCA)</w:t>
      </w:r>
      <w:r>
        <w:rPr>
          <w:rFonts w:cstheme="minorHAnsi"/>
          <w:sz w:val="24"/>
          <w:szCs w:val="24"/>
        </w:rPr>
        <w:t xml:space="preserve">: Customer must receive fixed rate offer at end of term.  Month-to-month with no termination fees.  Customer doesn’t have to affirmatively sign up for rate.  Variable rate shouldn’t become default if customer doesn’t make affirmative decision.  Have to disclose program end, new terms &amp; conditions.  </w:t>
      </w:r>
    </w:p>
    <w:p w:rsidR="00C02A92" w:rsidRDefault="00C02A92" w:rsidP="00B65A69">
      <w:pPr>
        <w:pStyle w:val="ListParagraph"/>
        <w:numPr>
          <w:ilvl w:val="0"/>
          <w:numId w:val="10"/>
        </w:numPr>
        <w:rPr>
          <w:rFonts w:cstheme="minorHAnsi"/>
          <w:sz w:val="24"/>
          <w:szCs w:val="24"/>
        </w:rPr>
      </w:pPr>
      <w:r>
        <w:rPr>
          <w:rFonts w:cstheme="minorHAnsi"/>
          <w:sz w:val="24"/>
          <w:szCs w:val="24"/>
          <w:u w:val="single"/>
        </w:rPr>
        <w:t>AARP</w:t>
      </w:r>
      <w:r w:rsidRPr="00C02A92">
        <w:rPr>
          <w:rFonts w:cstheme="minorHAnsi"/>
          <w:sz w:val="24"/>
          <w:szCs w:val="24"/>
        </w:rPr>
        <w:t>:</w:t>
      </w:r>
      <w:r>
        <w:rPr>
          <w:rFonts w:cstheme="minorHAnsi"/>
          <w:sz w:val="24"/>
          <w:szCs w:val="24"/>
        </w:rPr>
        <w:t xml:space="preserve"> Emphasize consumer protection.  </w:t>
      </w:r>
    </w:p>
    <w:p w:rsidR="00C02A92" w:rsidRDefault="00C02A92" w:rsidP="00C02A92">
      <w:pPr>
        <w:rPr>
          <w:rFonts w:cstheme="minorHAnsi"/>
          <w:sz w:val="24"/>
          <w:szCs w:val="24"/>
        </w:rPr>
      </w:pPr>
    </w:p>
    <w:p w:rsidR="00C02A92" w:rsidRDefault="00C02A92" w:rsidP="00B65A69">
      <w:pPr>
        <w:pStyle w:val="ListParagraph"/>
        <w:numPr>
          <w:ilvl w:val="0"/>
          <w:numId w:val="1"/>
        </w:numPr>
        <w:rPr>
          <w:rFonts w:cstheme="minorHAnsi"/>
          <w:i/>
          <w:sz w:val="24"/>
          <w:szCs w:val="24"/>
        </w:rPr>
      </w:pPr>
      <w:r>
        <w:rPr>
          <w:rFonts w:cstheme="minorHAnsi"/>
          <w:i/>
          <w:sz w:val="24"/>
          <w:szCs w:val="24"/>
        </w:rPr>
        <w:t>Enrollment</w:t>
      </w:r>
      <w:r w:rsidR="006576FB">
        <w:rPr>
          <w:rFonts w:cstheme="minorHAnsi"/>
          <w:i/>
          <w:sz w:val="24"/>
          <w:szCs w:val="24"/>
        </w:rPr>
        <w:t xml:space="preserve"> Mailing</w:t>
      </w:r>
      <w:r>
        <w:rPr>
          <w:rFonts w:cstheme="minorHAnsi"/>
          <w:i/>
          <w:sz w:val="24"/>
          <w:szCs w:val="24"/>
        </w:rPr>
        <w:t xml:space="preserve"> – pg. 44</w:t>
      </w:r>
    </w:p>
    <w:p w:rsidR="00C02A92" w:rsidRDefault="00C02A92" w:rsidP="00C02A92">
      <w:pPr>
        <w:rPr>
          <w:rFonts w:cstheme="minorHAnsi"/>
          <w:i/>
          <w:sz w:val="24"/>
          <w:szCs w:val="24"/>
        </w:rPr>
      </w:pPr>
    </w:p>
    <w:p w:rsidR="006576FB" w:rsidRPr="006576FB" w:rsidRDefault="006576FB" w:rsidP="00B65A69">
      <w:pPr>
        <w:pStyle w:val="ListParagraph"/>
        <w:numPr>
          <w:ilvl w:val="0"/>
          <w:numId w:val="11"/>
        </w:numPr>
        <w:rPr>
          <w:rFonts w:cstheme="minorHAnsi"/>
          <w:sz w:val="24"/>
          <w:szCs w:val="24"/>
        </w:rPr>
      </w:pPr>
      <w:r>
        <w:rPr>
          <w:rFonts w:cstheme="minorHAnsi"/>
          <w:sz w:val="24"/>
          <w:szCs w:val="24"/>
          <w:u w:val="single"/>
        </w:rPr>
        <w:t>DE</w:t>
      </w:r>
      <w:r>
        <w:rPr>
          <w:rFonts w:cstheme="minorHAnsi"/>
          <w:sz w:val="24"/>
          <w:szCs w:val="24"/>
        </w:rPr>
        <w:t xml:space="preserve">: Utilities would send information to eligible customers.  Develop materials in consultation with PUC, OCA, EGSs, </w:t>
      </w:r>
      <w:proofErr w:type="gramStart"/>
      <w:r>
        <w:rPr>
          <w:rFonts w:cstheme="minorHAnsi"/>
          <w:sz w:val="24"/>
          <w:szCs w:val="24"/>
        </w:rPr>
        <w:t>EDCs</w:t>
      </w:r>
      <w:proofErr w:type="gramEnd"/>
      <w:r>
        <w:rPr>
          <w:rFonts w:cstheme="minorHAnsi"/>
          <w:sz w:val="24"/>
          <w:szCs w:val="24"/>
        </w:rPr>
        <w:t xml:space="preserve">.  </w:t>
      </w:r>
    </w:p>
    <w:p w:rsidR="00C02A92" w:rsidRDefault="006576FB" w:rsidP="00B65A69">
      <w:pPr>
        <w:pStyle w:val="ListParagraph"/>
        <w:numPr>
          <w:ilvl w:val="0"/>
          <w:numId w:val="11"/>
        </w:numPr>
        <w:rPr>
          <w:rFonts w:cstheme="minorHAnsi"/>
          <w:sz w:val="24"/>
          <w:szCs w:val="24"/>
        </w:rPr>
      </w:pPr>
      <w:r>
        <w:rPr>
          <w:rFonts w:cstheme="minorHAnsi"/>
          <w:sz w:val="24"/>
          <w:szCs w:val="24"/>
          <w:u w:val="single"/>
        </w:rPr>
        <w:t>Moury</w:t>
      </w:r>
      <w:r>
        <w:rPr>
          <w:rFonts w:cstheme="minorHAnsi"/>
          <w:sz w:val="24"/>
          <w:szCs w:val="24"/>
        </w:rPr>
        <w:t>: EGS pay for auction?</w:t>
      </w:r>
    </w:p>
    <w:p w:rsidR="006576FB" w:rsidRPr="006576FB" w:rsidRDefault="006576FB" w:rsidP="00B65A69">
      <w:pPr>
        <w:pStyle w:val="ListParagraph"/>
        <w:numPr>
          <w:ilvl w:val="1"/>
          <w:numId w:val="11"/>
        </w:numPr>
        <w:rPr>
          <w:rFonts w:cstheme="minorHAnsi"/>
          <w:sz w:val="24"/>
          <w:szCs w:val="24"/>
        </w:rPr>
      </w:pPr>
      <w:r>
        <w:rPr>
          <w:rFonts w:cstheme="minorHAnsi"/>
          <w:i/>
          <w:sz w:val="24"/>
          <w:szCs w:val="24"/>
        </w:rPr>
        <w:t>No disagreement.</w:t>
      </w:r>
    </w:p>
    <w:p w:rsidR="006576FB" w:rsidRDefault="006576FB" w:rsidP="006576FB">
      <w:pPr>
        <w:rPr>
          <w:rFonts w:cstheme="minorHAnsi"/>
          <w:sz w:val="24"/>
          <w:szCs w:val="24"/>
        </w:rPr>
      </w:pPr>
    </w:p>
    <w:p w:rsidR="006576FB" w:rsidRDefault="006576FB" w:rsidP="00B65A69">
      <w:pPr>
        <w:pStyle w:val="ListParagraph"/>
        <w:numPr>
          <w:ilvl w:val="0"/>
          <w:numId w:val="1"/>
        </w:numPr>
        <w:rPr>
          <w:rFonts w:cstheme="minorHAnsi"/>
          <w:i/>
          <w:sz w:val="24"/>
          <w:szCs w:val="24"/>
        </w:rPr>
      </w:pPr>
      <w:r>
        <w:rPr>
          <w:rFonts w:cstheme="minorHAnsi"/>
          <w:i/>
          <w:sz w:val="24"/>
          <w:szCs w:val="24"/>
        </w:rPr>
        <w:t>EGS Security – pg. 45</w:t>
      </w:r>
    </w:p>
    <w:p w:rsidR="006576FB" w:rsidRDefault="006576FB" w:rsidP="006576FB">
      <w:pPr>
        <w:rPr>
          <w:rFonts w:cstheme="minorHAnsi"/>
          <w:i/>
          <w:sz w:val="24"/>
          <w:szCs w:val="24"/>
        </w:rPr>
      </w:pPr>
    </w:p>
    <w:p w:rsidR="006576FB" w:rsidRDefault="006576FB" w:rsidP="00B65A69">
      <w:pPr>
        <w:pStyle w:val="ListParagraph"/>
        <w:numPr>
          <w:ilvl w:val="0"/>
          <w:numId w:val="12"/>
        </w:numPr>
        <w:rPr>
          <w:rFonts w:cstheme="minorHAnsi"/>
          <w:sz w:val="24"/>
          <w:szCs w:val="24"/>
        </w:rPr>
      </w:pPr>
      <w:r>
        <w:rPr>
          <w:rFonts w:cstheme="minorHAnsi"/>
          <w:sz w:val="24"/>
          <w:szCs w:val="24"/>
          <w:u w:val="single"/>
        </w:rPr>
        <w:t>Subgroup</w:t>
      </w:r>
      <w:r>
        <w:rPr>
          <w:rFonts w:cstheme="minorHAnsi"/>
          <w:sz w:val="24"/>
          <w:szCs w:val="24"/>
        </w:rPr>
        <w:t xml:space="preserve">: No consensus.  Who bears risk of participation in program?  If competitive supplier defaults during program, what happens?  </w:t>
      </w:r>
    </w:p>
    <w:p w:rsidR="006576FB" w:rsidRDefault="006576FB" w:rsidP="00B65A69">
      <w:pPr>
        <w:pStyle w:val="ListParagraph"/>
        <w:numPr>
          <w:ilvl w:val="0"/>
          <w:numId w:val="12"/>
        </w:numPr>
        <w:rPr>
          <w:rFonts w:cstheme="minorHAnsi"/>
          <w:sz w:val="24"/>
          <w:szCs w:val="24"/>
        </w:rPr>
      </w:pPr>
      <w:r>
        <w:rPr>
          <w:rFonts w:cstheme="minorHAnsi"/>
          <w:sz w:val="24"/>
          <w:szCs w:val="24"/>
          <w:u w:val="single"/>
        </w:rPr>
        <w:t>EGSs</w:t>
      </w:r>
      <w:r w:rsidRPr="006576FB">
        <w:rPr>
          <w:rFonts w:cstheme="minorHAnsi"/>
          <w:sz w:val="24"/>
          <w:szCs w:val="24"/>
        </w:rPr>
        <w:t>:</w:t>
      </w:r>
      <w:r>
        <w:rPr>
          <w:rFonts w:cstheme="minorHAnsi"/>
          <w:sz w:val="24"/>
          <w:szCs w:val="24"/>
        </w:rPr>
        <w:t xml:space="preserve"> Must have appropriate financial assurance.  Provide additional assurance for bonus payments.  If EGS went from 2% to 30% share of load, would need additional assurance.  Existing security requirements cover supply obligations.  Once level of load determined, actual calculation for exposure may need to happen. </w:t>
      </w:r>
    </w:p>
    <w:p w:rsidR="006576FB" w:rsidRDefault="006576FB" w:rsidP="00B65A69">
      <w:pPr>
        <w:pStyle w:val="ListParagraph"/>
        <w:numPr>
          <w:ilvl w:val="0"/>
          <w:numId w:val="12"/>
        </w:numPr>
        <w:rPr>
          <w:rFonts w:cstheme="minorHAnsi"/>
          <w:sz w:val="24"/>
          <w:szCs w:val="24"/>
        </w:rPr>
      </w:pPr>
      <w:r>
        <w:rPr>
          <w:rFonts w:cstheme="minorHAnsi"/>
          <w:sz w:val="24"/>
          <w:szCs w:val="24"/>
          <w:u w:val="single"/>
        </w:rPr>
        <w:t>EDCs</w:t>
      </w:r>
      <w:r>
        <w:rPr>
          <w:rFonts w:cstheme="minorHAnsi"/>
          <w:sz w:val="24"/>
          <w:szCs w:val="24"/>
        </w:rPr>
        <w:t xml:space="preserve">: EDC shouldn’t be responsible for EGS default and loss of incentive payments.  </w:t>
      </w:r>
    </w:p>
    <w:p w:rsidR="006576FB" w:rsidRDefault="006576FB" w:rsidP="006576FB">
      <w:pPr>
        <w:rPr>
          <w:rFonts w:cstheme="minorHAnsi"/>
          <w:sz w:val="24"/>
          <w:szCs w:val="24"/>
        </w:rPr>
      </w:pPr>
    </w:p>
    <w:p w:rsidR="006576FB" w:rsidRPr="006576FB" w:rsidRDefault="006576FB" w:rsidP="006576FB">
      <w:pPr>
        <w:rPr>
          <w:rFonts w:cstheme="minorHAnsi"/>
          <w:sz w:val="24"/>
          <w:szCs w:val="24"/>
        </w:rPr>
      </w:pPr>
    </w:p>
    <w:p w:rsidR="006576FB" w:rsidRDefault="006576FB" w:rsidP="006576FB">
      <w:pPr>
        <w:rPr>
          <w:rFonts w:cstheme="minorHAnsi"/>
          <w:sz w:val="24"/>
          <w:szCs w:val="24"/>
        </w:rPr>
      </w:pPr>
      <w:r>
        <w:rPr>
          <w:rFonts w:cstheme="minorHAnsi"/>
          <w:b/>
          <w:sz w:val="24"/>
          <w:szCs w:val="24"/>
        </w:rPr>
        <w:t>Other</w:t>
      </w:r>
      <w:r>
        <w:rPr>
          <w:rFonts w:cstheme="minorHAnsi"/>
          <w:sz w:val="24"/>
          <w:szCs w:val="24"/>
        </w:rPr>
        <w:t xml:space="preserve"> – Karen Moury</w:t>
      </w:r>
    </w:p>
    <w:p w:rsidR="006576FB" w:rsidRDefault="006576FB" w:rsidP="006576FB">
      <w:pPr>
        <w:rPr>
          <w:rFonts w:cstheme="minorHAnsi"/>
          <w:sz w:val="24"/>
          <w:szCs w:val="24"/>
        </w:rPr>
      </w:pPr>
    </w:p>
    <w:p w:rsidR="006576FB" w:rsidRDefault="006576FB" w:rsidP="00B65A69">
      <w:pPr>
        <w:pStyle w:val="ListParagraph"/>
        <w:numPr>
          <w:ilvl w:val="0"/>
          <w:numId w:val="13"/>
        </w:numPr>
        <w:rPr>
          <w:rFonts w:cstheme="minorHAnsi"/>
          <w:sz w:val="24"/>
          <w:szCs w:val="24"/>
        </w:rPr>
      </w:pPr>
      <w:r>
        <w:rPr>
          <w:rFonts w:cstheme="minorHAnsi"/>
          <w:sz w:val="24"/>
          <w:szCs w:val="24"/>
          <w:u w:val="single"/>
        </w:rPr>
        <w:t>Moury</w:t>
      </w:r>
      <w:r>
        <w:rPr>
          <w:rFonts w:cstheme="minorHAnsi"/>
          <w:sz w:val="24"/>
          <w:szCs w:val="24"/>
        </w:rPr>
        <w:t xml:space="preserve">: Staff reconsidered idea of bifurcating opt-in auction and customer referral programs from DS plans.  Tentative Order on Intermediate Work Plan will provide as many Commission proposals as possible to get uniformity.  Let issues that EDCs need in specified plans </w:t>
      </w:r>
      <w:proofErr w:type="gramStart"/>
      <w:r>
        <w:rPr>
          <w:rFonts w:cstheme="minorHAnsi"/>
          <w:sz w:val="24"/>
          <w:szCs w:val="24"/>
        </w:rPr>
        <w:t>be</w:t>
      </w:r>
      <w:proofErr w:type="gramEnd"/>
      <w:r>
        <w:rPr>
          <w:rFonts w:cstheme="minorHAnsi"/>
          <w:sz w:val="24"/>
          <w:szCs w:val="24"/>
        </w:rPr>
        <w:t xml:space="preserve"> worked out in individual proceedings.  </w:t>
      </w:r>
    </w:p>
    <w:p w:rsidR="006576FB" w:rsidRDefault="006576FB" w:rsidP="006576FB">
      <w:pPr>
        <w:rPr>
          <w:rFonts w:cstheme="minorHAnsi"/>
          <w:sz w:val="24"/>
          <w:szCs w:val="24"/>
        </w:rPr>
      </w:pPr>
    </w:p>
    <w:p w:rsidR="006576FB" w:rsidRDefault="006576FB" w:rsidP="006576FB">
      <w:pPr>
        <w:rPr>
          <w:rFonts w:cstheme="minorHAnsi"/>
          <w:sz w:val="24"/>
          <w:szCs w:val="24"/>
        </w:rPr>
      </w:pPr>
    </w:p>
    <w:p w:rsidR="006576FB" w:rsidRDefault="006576FB" w:rsidP="006576FB">
      <w:pPr>
        <w:rPr>
          <w:rFonts w:cstheme="minorHAnsi"/>
          <w:b/>
          <w:sz w:val="24"/>
          <w:szCs w:val="24"/>
        </w:rPr>
      </w:pPr>
      <w:r>
        <w:rPr>
          <w:rFonts w:cstheme="minorHAnsi"/>
          <w:b/>
          <w:sz w:val="24"/>
          <w:szCs w:val="24"/>
        </w:rPr>
        <w:t>Future Meetings (2012)</w:t>
      </w:r>
    </w:p>
    <w:p w:rsidR="006576FB" w:rsidRDefault="006576FB" w:rsidP="006576FB">
      <w:pPr>
        <w:rPr>
          <w:rFonts w:cstheme="minorHAnsi"/>
          <w:sz w:val="24"/>
          <w:szCs w:val="24"/>
        </w:rPr>
      </w:pPr>
    </w:p>
    <w:p w:rsidR="006576FB" w:rsidRDefault="006576FB" w:rsidP="00B65A69">
      <w:pPr>
        <w:pStyle w:val="ListParagraph"/>
        <w:numPr>
          <w:ilvl w:val="0"/>
          <w:numId w:val="14"/>
        </w:numPr>
        <w:rPr>
          <w:rFonts w:cstheme="minorHAnsi"/>
          <w:sz w:val="24"/>
          <w:szCs w:val="24"/>
        </w:rPr>
      </w:pPr>
      <w:r>
        <w:rPr>
          <w:rFonts w:cstheme="minorHAnsi"/>
          <w:sz w:val="24"/>
          <w:szCs w:val="24"/>
        </w:rPr>
        <w:t>Thursday, Jan. 5 at 1:30 PM</w:t>
      </w:r>
    </w:p>
    <w:p w:rsidR="006576FB" w:rsidRPr="006576FB" w:rsidRDefault="006576FB" w:rsidP="00B65A69">
      <w:pPr>
        <w:pStyle w:val="ListParagraph"/>
        <w:numPr>
          <w:ilvl w:val="0"/>
          <w:numId w:val="14"/>
        </w:numPr>
        <w:rPr>
          <w:rFonts w:cstheme="minorHAnsi"/>
          <w:sz w:val="24"/>
          <w:szCs w:val="24"/>
        </w:rPr>
      </w:pPr>
      <w:r>
        <w:rPr>
          <w:rFonts w:cstheme="minorHAnsi"/>
          <w:sz w:val="24"/>
          <w:szCs w:val="24"/>
        </w:rPr>
        <w:t xml:space="preserve">Friday, </w:t>
      </w:r>
      <w:r w:rsidRPr="006576FB">
        <w:rPr>
          <w:rFonts w:cstheme="minorHAnsi"/>
          <w:sz w:val="24"/>
          <w:szCs w:val="24"/>
        </w:rPr>
        <w:t xml:space="preserve">Jan. </w:t>
      </w:r>
      <w:r>
        <w:rPr>
          <w:rFonts w:cstheme="minorHAnsi"/>
          <w:sz w:val="24"/>
          <w:szCs w:val="24"/>
        </w:rPr>
        <w:t>20</w:t>
      </w:r>
      <w:r w:rsidRPr="006576FB">
        <w:rPr>
          <w:rFonts w:cstheme="minorHAnsi"/>
          <w:sz w:val="24"/>
          <w:szCs w:val="24"/>
        </w:rPr>
        <w:t xml:space="preserve"> at 1</w:t>
      </w:r>
      <w:r>
        <w:rPr>
          <w:rFonts w:cstheme="minorHAnsi"/>
          <w:sz w:val="24"/>
          <w:szCs w:val="24"/>
        </w:rPr>
        <w:t>0:0</w:t>
      </w:r>
      <w:r w:rsidRPr="006576FB">
        <w:rPr>
          <w:rFonts w:cstheme="minorHAnsi"/>
          <w:sz w:val="24"/>
          <w:szCs w:val="24"/>
        </w:rPr>
        <w:t xml:space="preserve">0 </w:t>
      </w:r>
      <w:r>
        <w:rPr>
          <w:rFonts w:cstheme="minorHAnsi"/>
          <w:sz w:val="24"/>
          <w:szCs w:val="24"/>
        </w:rPr>
        <w:t>AM</w:t>
      </w:r>
    </w:p>
    <w:p w:rsidR="006576FB" w:rsidRPr="006576FB" w:rsidRDefault="006576FB" w:rsidP="00B65A69">
      <w:pPr>
        <w:pStyle w:val="ListParagraph"/>
        <w:numPr>
          <w:ilvl w:val="0"/>
          <w:numId w:val="14"/>
        </w:numPr>
        <w:rPr>
          <w:rFonts w:cstheme="minorHAnsi"/>
          <w:sz w:val="24"/>
          <w:szCs w:val="24"/>
        </w:rPr>
      </w:pPr>
      <w:r>
        <w:rPr>
          <w:rFonts w:cstheme="minorHAnsi"/>
          <w:sz w:val="24"/>
          <w:szCs w:val="24"/>
        </w:rPr>
        <w:t xml:space="preserve">Wednesday, </w:t>
      </w:r>
      <w:r w:rsidRPr="006576FB">
        <w:rPr>
          <w:rFonts w:cstheme="minorHAnsi"/>
          <w:sz w:val="24"/>
          <w:szCs w:val="24"/>
        </w:rPr>
        <w:t xml:space="preserve">Feb. 1 at 1:30 </w:t>
      </w:r>
      <w:r>
        <w:rPr>
          <w:rFonts w:cstheme="minorHAnsi"/>
          <w:sz w:val="24"/>
          <w:szCs w:val="24"/>
        </w:rPr>
        <w:t>PM</w:t>
      </w:r>
    </w:p>
    <w:p w:rsidR="006576FB" w:rsidRPr="006576FB" w:rsidRDefault="006576FB" w:rsidP="00B65A69">
      <w:pPr>
        <w:pStyle w:val="ListParagraph"/>
        <w:numPr>
          <w:ilvl w:val="0"/>
          <w:numId w:val="14"/>
        </w:numPr>
        <w:rPr>
          <w:rFonts w:cstheme="minorHAnsi"/>
          <w:sz w:val="24"/>
          <w:szCs w:val="24"/>
        </w:rPr>
      </w:pPr>
      <w:r>
        <w:rPr>
          <w:rFonts w:cstheme="minorHAnsi"/>
          <w:sz w:val="24"/>
          <w:szCs w:val="24"/>
        </w:rPr>
        <w:t xml:space="preserve">Thursday, </w:t>
      </w:r>
      <w:r w:rsidRPr="006576FB">
        <w:rPr>
          <w:rFonts w:cstheme="minorHAnsi"/>
          <w:sz w:val="24"/>
          <w:szCs w:val="24"/>
        </w:rPr>
        <w:t>Feb. 16 at 1:30</w:t>
      </w:r>
      <w:r>
        <w:rPr>
          <w:rFonts w:cstheme="minorHAnsi"/>
          <w:sz w:val="24"/>
          <w:szCs w:val="24"/>
        </w:rPr>
        <w:t xml:space="preserve"> PM</w:t>
      </w:r>
    </w:p>
    <w:p w:rsidR="006576FB" w:rsidRPr="006576FB" w:rsidRDefault="006576FB" w:rsidP="00B65A69">
      <w:pPr>
        <w:pStyle w:val="ListParagraph"/>
        <w:numPr>
          <w:ilvl w:val="0"/>
          <w:numId w:val="14"/>
        </w:numPr>
        <w:rPr>
          <w:rFonts w:cstheme="minorHAnsi"/>
          <w:sz w:val="24"/>
          <w:szCs w:val="24"/>
        </w:rPr>
      </w:pPr>
      <w:r>
        <w:rPr>
          <w:rFonts w:cstheme="minorHAnsi"/>
          <w:sz w:val="24"/>
          <w:szCs w:val="24"/>
        </w:rPr>
        <w:t xml:space="preserve">Thursday, </w:t>
      </w:r>
      <w:r w:rsidRPr="006576FB">
        <w:rPr>
          <w:rFonts w:cstheme="minorHAnsi"/>
          <w:sz w:val="24"/>
          <w:szCs w:val="24"/>
        </w:rPr>
        <w:t xml:space="preserve">March 1 at 1:30 </w:t>
      </w:r>
      <w:r>
        <w:rPr>
          <w:rFonts w:cstheme="minorHAnsi"/>
          <w:sz w:val="24"/>
          <w:szCs w:val="24"/>
        </w:rPr>
        <w:t>PM</w:t>
      </w:r>
    </w:p>
    <w:p w:rsidR="006576FB" w:rsidRDefault="006576FB" w:rsidP="00B65A69">
      <w:pPr>
        <w:pStyle w:val="ListParagraph"/>
        <w:numPr>
          <w:ilvl w:val="0"/>
          <w:numId w:val="14"/>
        </w:numPr>
        <w:rPr>
          <w:rFonts w:cstheme="minorHAnsi"/>
          <w:sz w:val="24"/>
          <w:szCs w:val="24"/>
        </w:rPr>
      </w:pPr>
      <w:r>
        <w:rPr>
          <w:rFonts w:cstheme="minorHAnsi"/>
          <w:sz w:val="24"/>
          <w:szCs w:val="24"/>
        </w:rPr>
        <w:t xml:space="preserve">Thursday, </w:t>
      </w:r>
      <w:r w:rsidRPr="006576FB">
        <w:rPr>
          <w:rFonts w:cstheme="minorHAnsi"/>
          <w:sz w:val="24"/>
          <w:szCs w:val="24"/>
        </w:rPr>
        <w:t>March 15 at 1:30</w:t>
      </w:r>
      <w:r>
        <w:rPr>
          <w:rFonts w:cstheme="minorHAnsi"/>
          <w:sz w:val="24"/>
          <w:szCs w:val="24"/>
        </w:rPr>
        <w:t xml:space="preserve"> PM</w:t>
      </w:r>
    </w:p>
    <w:p w:rsidR="00075051" w:rsidRPr="00B65A69" w:rsidRDefault="006576FB" w:rsidP="00B65A69">
      <w:pPr>
        <w:pStyle w:val="ListParagraph"/>
        <w:numPr>
          <w:ilvl w:val="0"/>
          <w:numId w:val="14"/>
        </w:numPr>
        <w:rPr>
          <w:rFonts w:cstheme="minorHAnsi"/>
          <w:sz w:val="24"/>
          <w:szCs w:val="24"/>
        </w:rPr>
      </w:pPr>
      <w:r w:rsidRPr="00B65A69">
        <w:rPr>
          <w:rFonts w:cstheme="minorHAnsi"/>
          <w:sz w:val="24"/>
          <w:szCs w:val="24"/>
        </w:rPr>
        <w:t xml:space="preserve">Wednesday, </w:t>
      </w:r>
      <w:r w:rsidR="00B65A69" w:rsidRPr="00B65A69">
        <w:rPr>
          <w:rFonts w:cstheme="minorHAnsi"/>
          <w:sz w:val="24"/>
          <w:szCs w:val="24"/>
        </w:rPr>
        <w:t xml:space="preserve">March 21 – </w:t>
      </w:r>
      <w:r w:rsidR="00B65A69" w:rsidRPr="00B65A69">
        <w:rPr>
          <w:rFonts w:cstheme="minorHAnsi"/>
          <w:i/>
          <w:sz w:val="24"/>
          <w:szCs w:val="24"/>
        </w:rPr>
        <w:t>en banc</w:t>
      </w:r>
      <w:r w:rsidR="00B65A69" w:rsidRPr="00B65A69">
        <w:rPr>
          <w:rFonts w:cstheme="minorHAnsi"/>
          <w:sz w:val="24"/>
          <w:szCs w:val="24"/>
        </w:rPr>
        <w:t xml:space="preserve"> – 10:00 AM – 4:00 PM – Hearing Room 1</w:t>
      </w:r>
    </w:p>
    <w:p w:rsidR="00C2032C" w:rsidRPr="006825EA" w:rsidRDefault="00C2032C" w:rsidP="006825EA">
      <w:pPr>
        <w:rPr>
          <w:rFonts w:cstheme="minorHAnsi"/>
          <w:sz w:val="24"/>
          <w:szCs w:val="24"/>
        </w:rPr>
      </w:pPr>
    </w:p>
    <w:sectPr w:rsidR="00C2032C" w:rsidRPr="006825EA" w:rsidSect="00D302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78" w:rsidRDefault="00215F78" w:rsidP="00510138">
      <w:r>
        <w:separator/>
      </w:r>
    </w:p>
  </w:endnote>
  <w:endnote w:type="continuationSeparator" w:id="0">
    <w:p w:rsidR="00215F78" w:rsidRDefault="00215F78" w:rsidP="005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38" w:rsidRPr="00B531DE" w:rsidRDefault="00510138" w:rsidP="00510138">
    <w:pPr>
      <w:pStyle w:val="Footer"/>
      <w:rPr>
        <w:rFonts w:ascii="Arial" w:hAnsi="Arial" w:cs="Arial"/>
        <w:sz w:val="20"/>
        <w:szCs w:val="20"/>
      </w:rPr>
    </w:pPr>
    <w:r w:rsidRPr="00B531DE">
      <w:rPr>
        <w:rFonts w:ascii="Arial" w:hAnsi="Arial" w:cs="Arial"/>
        <w:sz w:val="20"/>
        <w:szCs w:val="20"/>
      </w:rPr>
      <w:t>To the extent possible, information was compiled under one entity heading.  It should be noted that this information may not reflect the views/opinions of all entities encompassed under that heading (e.g. “EGSs”)</w:t>
    </w:r>
  </w:p>
  <w:p w:rsidR="00510138" w:rsidRDefault="00510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78" w:rsidRDefault="00215F78" w:rsidP="00510138">
      <w:r>
        <w:separator/>
      </w:r>
    </w:p>
  </w:footnote>
  <w:footnote w:type="continuationSeparator" w:id="0">
    <w:p w:rsidR="00215F78" w:rsidRDefault="00215F78" w:rsidP="00510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982"/>
    <w:multiLevelType w:val="hybridMultilevel"/>
    <w:tmpl w:val="FFD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467FE"/>
    <w:multiLevelType w:val="hybridMultilevel"/>
    <w:tmpl w:val="B1E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60386"/>
    <w:multiLevelType w:val="hybridMultilevel"/>
    <w:tmpl w:val="D208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568E9"/>
    <w:multiLevelType w:val="hybridMultilevel"/>
    <w:tmpl w:val="EA98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01316"/>
    <w:multiLevelType w:val="hybridMultilevel"/>
    <w:tmpl w:val="B9EA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E5ED1"/>
    <w:multiLevelType w:val="hybridMultilevel"/>
    <w:tmpl w:val="769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8922B1"/>
    <w:multiLevelType w:val="hybridMultilevel"/>
    <w:tmpl w:val="D4486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121729"/>
    <w:multiLevelType w:val="hybridMultilevel"/>
    <w:tmpl w:val="538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A0CE2"/>
    <w:multiLevelType w:val="hybridMultilevel"/>
    <w:tmpl w:val="ED40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936BD"/>
    <w:multiLevelType w:val="hybridMultilevel"/>
    <w:tmpl w:val="6F4C2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5229A"/>
    <w:multiLevelType w:val="hybridMultilevel"/>
    <w:tmpl w:val="605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63059"/>
    <w:multiLevelType w:val="hybridMultilevel"/>
    <w:tmpl w:val="08D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A3098"/>
    <w:multiLevelType w:val="hybridMultilevel"/>
    <w:tmpl w:val="0A0E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614E98"/>
    <w:multiLevelType w:val="hybridMultilevel"/>
    <w:tmpl w:val="5888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
  </w:num>
  <w:num w:numId="5">
    <w:abstractNumId w:val="2"/>
  </w:num>
  <w:num w:numId="6">
    <w:abstractNumId w:val="8"/>
  </w:num>
  <w:num w:numId="7">
    <w:abstractNumId w:val="12"/>
  </w:num>
  <w:num w:numId="8">
    <w:abstractNumId w:val="9"/>
  </w:num>
  <w:num w:numId="9">
    <w:abstractNumId w:val="0"/>
  </w:num>
  <w:num w:numId="10">
    <w:abstractNumId w:val="1"/>
  </w:num>
  <w:num w:numId="11">
    <w:abstractNumId w:val="7"/>
  </w:num>
  <w:num w:numId="12">
    <w:abstractNumId w:val="10"/>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124EF"/>
    <w:rsid w:val="00032D53"/>
    <w:rsid w:val="0004409B"/>
    <w:rsid w:val="0006362E"/>
    <w:rsid w:val="00075051"/>
    <w:rsid w:val="00087489"/>
    <w:rsid w:val="000C1D27"/>
    <w:rsid w:val="000D3F6E"/>
    <w:rsid w:val="001004F7"/>
    <w:rsid w:val="0013759D"/>
    <w:rsid w:val="001A3678"/>
    <w:rsid w:val="001C6C88"/>
    <w:rsid w:val="001D1D81"/>
    <w:rsid w:val="001D4B9F"/>
    <w:rsid w:val="001E6B3F"/>
    <w:rsid w:val="002007D0"/>
    <w:rsid w:val="00212373"/>
    <w:rsid w:val="00215F78"/>
    <w:rsid w:val="0021666D"/>
    <w:rsid w:val="00226AA2"/>
    <w:rsid w:val="0024188F"/>
    <w:rsid w:val="00243B35"/>
    <w:rsid w:val="00245A3E"/>
    <w:rsid w:val="002523BD"/>
    <w:rsid w:val="00277F30"/>
    <w:rsid w:val="00290E21"/>
    <w:rsid w:val="002A0C39"/>
    <w:rsid w:val="002A5AC5"/>
    <w:rsid w:val="002B35E3"/>
    <w:rsid w:val="002B76D4"/>
    <w:rsid w:val="002C74D1"/>
    <w:rsid w:val="002D5558"/>
    <w:rsid w:val="002F43A3"/>
    <w:rsid w:val="002F7BE1"/>
    <w:rsid w:val="00315BEC"/>
    <w:rsid w:val="00331FDB"/>
    <w:rsid w:val="00336BFE"/>
    <w:rsid w:val="00341988"/>
    <w:rsid w:val="003450F0"/>
    <w:rsid w:val="00350652"/>
    <w:rsid w:val="00352F55"/>
    <w:rsid w:val="00363FCC"/>
    <w:rsid w:val="00366434"/>
    <w:rsid w:val="00384693"/>
    <w:rsid w:val="00386BE7"/>
    <w:rsid w:val="0039070E"/>
    <w:rsid w:val="00395F9B"/>
    <w:rsid w:val="003975D9"/>
    <w:rsid w:val="003B7987"/>
    <w:rsid w:val="003E0EDC"/>
    <w:rsid w:val="003E14E2"/>
    <w:rsid w:val="003E44F7"/>
    <w:rsid w:val="00445C1F"/>
    <w:rsid w:val="00457D44"/>
    <w:rsid w:val="00466950"/>
    <w:rsid w:val="00467915"/>
    <w:rsid w:val="00472865"/>
    <w:rsid w:val="004843ED"/>
    <w:rsid w:val="00490566"/>
    <w:rsid w:val="004926EA"/>
    <w:rsid w:val="004B03A8"/>
    <w:rsid w:val="004D63E2"/>
    <w:rsid w:val="00510138"/>
    <w:rsid w:val="00511A42"/>
    <w:rsid w:val="00516E22"/>
    <w:rsid w:val="00517D60"/>
    <w:rsid w:val="005208B9"/>
    <w:rsid w:val="005217C1"/>
    <w:rsid w:val="005243D5"/>
    <w:rsid w:val="005401EF"/>
    <w:rsid w:val="005427B2"/>
    <w:rsid w:val="00561193"/>
    <w:rsid w:val="00580613"/>
    <w:rsid w:val="005B7284"/>
    <w:rsid w:val="005D3B43"/>
    <w:rsid w:val="005F73AD"/>
    <w:rsid w:val="00620C61"/>
    <w:rsid w:val="006405FD"/>
    <w:rsid w:val="006406F0"/>
    <w:rsid w:val="00646FD4"/>
    <w:rsid w:val="0065058A"/>
    <w:rsid w:val="00651EC5"/>
    <w:rsid w:val="00652504"/>
    <w:rsid w:val="00653ADF"/>
    <w:rsid w:val="006576FB"/>
    <w:rsid w:val="006825EA"/>
    <w:rsid w:val="00682B61"/>
    <w:rsid w:val="006A0897"/>
    <w:rsid w:val="006A3F12"/>
    <w:rsid w:val="00703D1F"/>
    <w:rsid w:val="00705BCC"/>
    <w:rsid w:val="00706B1A"/>
    <w:rsid w:val="00754662"/>
    <w:rsid w:val="00777647"/>
    <w:rsid w:val="007850BD"/>
    <w:rsid w:val="007A263F"/>
    <w:rsid w:val="007B2077"/>
    <w:rsid w:val="007B36CA"/>
    <w:rsid w:val="007C157A"/>
    <w:rsid w:val="0082544B"/>
    <w:rsid w:val="00834F99"/>
    <w:rsid w:val="00844935"/>
    <w:rsid w:val="00847579"/>
    <w:rsid w:val="00857997"/>
    <w:rsid w:val="008646CE"/>
    <w:rsid w:val="00876E32"/>
    <w:rsid w:val="00876F58"/>
    <w:rsid w:val="00882A0F"/>
    <w:rsid w:val="00883819"/>
    <w:rsid w:val="008906DF"/>
    <w:rsid w:val="008916E8"/>
    <w:rsid w:val="008A14BE"/>
    <w:rsid w:val="008A3E34"/>
    <w:rsid w:val="008C0530"/>
    <w:rsid w:val="008D03B4"/>
    <w:rsid w:val="008E7F8D"/>
    <w:rsid w:val="008F062E"/>
    <w:rsid w:val="008F3DB4"/>
    <w:rsid w:val="00910771"/>
    <w:rsid w:val="00911EB9"/>
    <w:rsid w:val="00936F8E"/>
    <w:rsid w:val="00937CE2"/>
    <w:rsid w:val="00954120"/>
    <w:rsid w:val="009913F5"/>
    <w:rsid w:val="00994D65"/>
    <w:rsid w:val="009B2AE0"/>
    <w:rsid w:val="009D1A3C"/>
    <w:rsid w:val="009F47B0"/>
    <w:rsid w:val="00A00E46"/>
    <w:rsid w:val="00A15079"/>
    <w:rsid w:val="00A350E5"/>
    <w:rsid w:val="00A355BB"/>
    <w:rsid w:val="00A44526"/>
    <w:rsid w:val="00A6579B"/>
    <w:rsid w:val="00A70283"/>
    <w:rsid w:val="00AA5073"/>
    <w:rsid w:val="00AB59BD"/>
    <w:rsid w:val="00AC2DAD"/>
    <w:rsid w:val="00AC68A5"/>
    <w:rsid w:val="00AD2066"/>
    <w:rsid w:val="00AF7DA4"/>
    <w:rsid w:val="00B1076A"/>
    <w:rsid w:val="00B200C7"/>
    <w:rsid w:val="00B31005"/>
    <w:rsid w:val="00B539F3"/>
    <w:rsid w:val="00B65A69"/>
    <w:rsid w:val="00B67911"/>
    <w:rsid w:val="00B718D6"/>
    <w:rsid w:val="00B82220"/>
    <w:rsid w:val="00B83E7D"/>
    <w:rsid w:val="00B91042"/>
    <w:rsid w:val="00B92024"/>
    <w:rsid w:val="00BC7E8B"/>
    <w:rsid w:val="00C02A92"/>
    <w:rsid w:val="00C060B4"/>
    <w:rsid w:val="00C078AF"/>
    <w:rsid w:val="00C171D2"/>
    <w:rsid w:val="00C17EDA"/>
    <w:rsid w:val="00C2032C"/>
    <w:rsid w:val="00C37A4E"/>
    <w:rsid w:val="00C40299"/>
    <w:rsid w:val="00C42D66"/>
    <w:rsid w:val="00C5164C"/>
    <w:rsid w:val="00C525E4"/>
    <w:rsid w:val="00C54DD7"/>
    <w:rsid w:val="00C82789"/>
    <w:rsid w:val="00C92B6D"/>
    <w:rsid w:val="00CB179D"/>
    <w:rsid w:val="00D24D3B"/>
    <w:rsid w:val="00D24F9B"/>
    <w:rsid w:val="00D30280"/>
    <w:rsid w:val="00D310D3"/>
    <w:rsid w:val="00D63870"/>
    <w:rsid w:val="00D74444"/>
    <w:rsid w:val="00D8130A"/>
    <w:rsid w:val="00D900FE"/>
    <w:rsid w:val="00DA0857"/>
    <w:rsid w:val="00DB45AB"/>
    <w:rsid w:val="00DD25B7"/>
    <w:rsid w:val="00DD598D"/>
    <w:rsid w:val="00DE70EE"/>
    <w:rsid w:val="00E00FFC"/>
    <w:rsid w:val="00E04519"/>
    <w:rsid w:val="00E25F32"/>
    <w:rsid w:val="00E66393"/>
    <w:rsid w:val="00E71E9D"/>
    <w:rsid w:val="00E83B48"/>
    <w:rsid w:val="00E91469"/>
    <w:rsid w:val="00EA62B0"/>
    <w:rsid w:val="00EB010C"/>
    <w:rsid w:val="00EC02B6"/>
    <w:rsid w:val="00EC3184"/>
    <w:rsid w:val="00EC5095"/>
    <w:rsid w:val="00ED0FF0"/>
    <w:rsid w:val="00ED2C1D"/>
    <w:rsid w:val="00F029C2"/>
    <w:rsid w:val="00F058B0"/>
    <w:rsid w:val="00F134C4"/>
    <w:rsid w:val="00F206AF"/>
    <w:rsid w:val="00F4765E"/>
    <w:rsid w:val="00F567A2"/>
    <w:rsid w:val="00F56DD5"/>
    <w:rsid w:val="00F61FB9"/>
    <w:rsid w:val="00FA1C9F"/>
    <w:rsid w:val="00FC3597"/>
    <w:rsid w:val="00FC41B1"/>
    <w:rsid w:val="00FD146B"/>
    <w:rsid w:val="00FD266E"/>
    <w:rsid w:val="00FD4FC0"/>
    <w:rsid w:val="00FF5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Header">
    <w:name w:val="header"/>
    <w:basedOn w:val="Normal"/>
    <w:link w:val="HeaderChar"/>
    <w:uiPriority w:val="99"/>
    <w:unhideWhenUsed/>
    <w:rsid w:val="00510138"/>
    <w:pPr>
      <w:tabs>
        <w:tab w:val="center" w:pos="4680"/>
        <w:tab w:val="right" w:pos="9360"/>
      </w:tabs>
    </w:pPr>
  </w:style>
  <w:style w:type="character" w:customStyle="1" w:styleId="HeaderChar">
    <w:name w:val="Header Char"/>
    <w:basedOn w:val="DefaultParagraphFont"/>
    <w:link w:val="Header"/>
    <w:uiPriority w:val="99"/>
    <w:rsid w:val="00510138"/>
  </w:style>
  <w:style w:type="paragraph" w:styleId="Footer">
    <w:name w:val="footer"/>
    <w:basedOn w:val="Normal"/>
    <w:link w:val="FooterChar"/>
    <w:uiPriority w:val="99"/>
    <w:unhideWhenUsed/>
    <w:rsid w:val="00510138"/>
    <w:pPr>
      <w:tabs>
        <w:tab w:val="center" w:pos="4680"/>
        <w:tab w:val="right" w:pos="9360"/>
      </w:tabs>
    </w:pPr>
  </w:style>
  <w:style w:type="character" w:customStyle="1" w:styleId="FooterChar">
    <w:name w:val="Footer Char"/>
    <w:basedOn w:val="DefaultParagraphFont"/>
    <w:link w:val="Footer"/>
    <w:uiPriority w:val="99"/>
    <w:rsid w:val="00510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Header">
    <w:name w:val="header"/>
    <w:basedOn w:val="Normal"/>
    <w:link w:val="HeaderChar"/>
    <w:uiPriority w:val="99"/>
    <w:unhideWhenUsed/>
    <w:rsid w:val="00510138"/>
    <w:pPr>
      <w:tabs>
        <w:tab w:val="center" w:pos="4680"/>
        <w:tab w:val="right" w:pos="9360"/>
      </w:tabs>
    </w:pPr>
  </w:style>
  <w:style w:type="character" w:customStyle="1" w:styleId="HeaderChar">
    <w:name w:val="Header Char"/>
    <w:basedOn w:val="DefaultParagraphFont"/>
    <w:link w:val="Header"/>
    <w:uiPriority w:val="99"/>
    <w:rsid w:val="00510138"/>
  </w:style>
  <w:style w:type="paragraph" w:styleId="Footer">
    <w:name w:val="footer"/>
    <w:basedOn w:val="Normal"/>
    <w:link w:val="FooterChar"/>
    <w:uiPriority w:val="99"/>
    <w:unhideWhenUsed/>
    <w:rsid w:val="00510138"/>
    <w:pPr>
      <w:tabs>
        <w:tab w:val="center" w:pos="4680"/>
        <w:tab w:val="right" w:pos="9360"/>
      </w:tabs>
    </w:pPr>
  </w:style>
  <w:style w:type="character" w:customStyle="1" w:styleId="FooterChar">
    <w:name w:val="Footer Char"/>
    <w:basedOn w:val="DefaultParagraphFont"/>
    <w:link w:val="Footer"/>
    <w:uiPriority w:val="99"/>
    <w:rsid w:val="0051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6749">
      <w:bodyDiv w:val="1"/>
      <w:marLeft w:val="0"/>
      <w:marRight w:val="0"/>
      <w:marTop w:val="0"/>
      <w:marBottom w:val="0"/>
      <w:divBdr>
        <w:top w:val="none" w:sz="0" w:space="0" w:color="auto"/>
        <w:left w:val="none" w:sz="0" w:space="0" w:color="auto"/>
        <w:bottom w:val="none" w:sz="0" w:space="0" w:color="auto"/>
        <w:right w:val="none" w:sz="0" w:space="0" w:color="auto"/>
      </w:divBdr>
    </w:div>
    <w:div w:id="18681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electric/pdf/RetailMI/RMI_Agenda120211.pdf" TargetMode="External"/><Relationship Id="rId5" Type="http://schemas.openxmlformats.org/officeDocument/2006/relationships/settings" Target="settings.xml"/><Relationship Id="rId10" Type="http://schemas.openxmlformats.org/officeDocument/2006/relationships/hyperlink" Target="http://www.puc.state.pa.us/electric/Retail_Markets_Investigation_Discussion_Documents.aspx" TargetMode="External"/><Relationship Id="rId4" Type="http://schemas.microsoft.com/office/2007/relationships/stylesWithEffects" Target="stylesWithEffects.xml"/><Relationship Id="rId9" Type="http://schemas.openxmlformats.org/officeDocument/2006/relationships/hyperlink" Target="mailto:ra-rmi@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5B0F9-4415-4A1D-BD59-7A477A63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Moury, Karen</cp:lastModifiedBy>
  <cp:revision>2</cp:revision>
  <cp:lastPrinted>2011-09-26T17:06:00Z</cp:lastPrinted>
  <dcterms:created xsi:type="dcterms:W3CDTF">2011-12-28T22:16:00Z</dcterms:created>
  <dcterms:modified xsi:type="dcterms:W3CDTF">2011-12-28T22:16:00Z</dcterms:modified>
</cp:coreProperties>
</file>