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footerReference w:type="first" r:id="rId14"/>
          <w:pgSz w:w="12240" w:h="15840"/>
          <w:pgMar w:top="504" w:right="1440" w:bottom="1440" w:left="1440" w:header="720" w:footer="720" w:gutter="0"/>
          <w:cols w:space="720"/>
          <w:titlePg/>
        </w:sectPr>
      </w:pPr>
    </w:p>
    <w:p w14:paraId="1E8BBB79" w14:textId="781974A1" w:rsidR="001E1BF3" w:rsidRDefault="001E1BF3" w:rsidP="00900881">
      <w:pPr>
        <w:jc w:val="center"/>
        <w:rPr>
          <w:color w:val="000066"/>
          <w:sz w:val="26"/>
          <w:szCs w:val="26"/>
        </w:rPr>
      </w:pPr>
    </w:p>
    <w:p w14:paraId="1333B1AB" w14:textId="6B775ACE" w:rsidR="00FD2CD8" w:rsidRDefault="00FD2CD8" w:rsidP="00FD2CD8">
      <w:pPr>
        <w:jc w:val="right"/>
        <w:rPr>
          <w:sz w:val="24"/>
        </w:rPr>
      </w:pPr>
    </w:p>
    <w:p w14:paraId="5CE382E0" w14:textId="60627E41" w:rsidR="00FD2CD8" w:rsidRDefault="00FD2CD8" w:rsidP="00FD2CD8">
      <w:pPr>
        <w:jc w:val="right"/>
        <w:rPr>
          <w:sz w:val="24"/>
        </w:rPr>
      </w:pPr>
    </w:p>
    <w:p w14:paraId="3D925D87" w14:textId="77777777" w:rsidR="00FD2CD8" w:rsidRDefault="00FD2CD8" w:rsidP="00FD2CD8">
      <w:pPr>
        <w:jc w:val="right"/>
        <w:rPr>
          <w:sz w:val="24"/>
        </w:rPr>
      </w:pPr>
    </w:p>
    <w:p w14:paraId="41339BBA" w14:textId="77777777" w:rsidR="00FD2CD8" w:rsidRPr="00865D5C" w:rsidRDefault="00FD2CD8" w:rsidP="00FD2CD8">
      <w:pPr>
        <w:jc w:val="center"/>
        <w:rPr>
          <w:b/>
          <w:sz w:val="28"/>
          <w:szCs w:val="28"/>
        </w:rPr>
      </w:pPr>
      <w:r w:rsidRPr="00865D5C">
        <w:rPr>
          <w:b/>
          <w:sz w:val="28"/>
          <w:szCs w:val="28"/>
        </w:rPr>
        <w:t>Application for License Abandonment – Checklist</w:t>
      </w:r>
    </w:p>
    <w:p w14:paraId="73EA07A8" w14:textId="77777777" w:rsidR="00FD2CD8" w:rsidRPr="003D4250" w:rsidRDefault="00FD2CD8" w:rsidP="00FD2CD8">
      <w:pPr>
        <w:jc w:val="center"/>
        <w:rPr>
          <w:b/>
          <w:sz w:val="24"/>
          <w:szCs w:val="24"/>
        </w:rPr>
      </w:pPr>
    </w:p>
    <w:p w14:paraId="7434B71B" w14:textId="77777777" w:rsidR="00FD2CD8" w:rsidRPr="003D4250" w:rsidRDefault="00FD2CD8" w:rsidP="00FD2CD8">
      <w:pPr>
        <w:jc w:val="center"/>
        <w:rPr>
          <w:sz w:val="24"/>
          <w:szCs w:val="24"/>
        </w:rPr>
      </w:pPr>
      <w:r w:rsidRPr="003D4250">
        <w:rPr>
          <w:sz w:val="24"/>
          <w:szCs w:val="24"/>
        </w:rPr>
        <w:t xml:space="preserve">File </w:t>
      </w:r>
      <w:r w:rsidRPr="003D4250">
        <w:rPr>
          <w:b/>
          <w:sz w:val="24"/>
          <w:szCs w:val="24"/>
        </w:rPr>
        <w:t>90 days prior</w:t>
      </w:r>
      <w:r w:rsidRPr="003D4250">
        <w:rPr>
          <w:sz w:val="24"/>
          <w:szCs w:val="24"/>
        </w:rPr>
        <w:t xml:space="preserve"> to customer abandonment.</w:t>
      </w:r>
    </w:p>
    <w:p w14:paraId="25618969" w14:textId="77777777" w:rsidR="00FD2CD8" w:rsidRPr="003D4250" w:rsidRDefault="00FD2CD8" w:rsidP="00FD2CD8">
      <w:pPr>
        <w:jc w:val="center"/>
        <w:rPr>
          <w:b/>
          <w:sz w:val="24"/>
          <w:szCs w:val="24"/>
        </w:rPr>
      </w:pPr>
    </w:p>
    <w:p w14:paraId="29E14BB3" w14:textId="77777777" w:rsidR="00FD2CD8" w:rsidRPr="003D4250" w:rsidRDefault="00FD2CD8" w:rsidP="00FD2CD8">
      <w:pPr>
        <w:jc w:val="center"/>
        <w:rPr>
          <w:sz w:val="24"/>
          <w:szCs w:val="24"/>
        </w:rPr>
      </w:pPr>
      <w:r w:rsidRPr="003D4250">
        <w:rPr>
          <w:sz w:val="24"/>
          <w:szCs w:val="24"/>
        </w:rPr>
        <w:t xml:space="preserve">Electric Generation Supplier (EGS) </w:t>
      </w:r>
    </w:p>
    <w:p w14:paraId="4321E19A" w14:textId="77777777" w:rsidR="00FD2CD8" w:rsidRPr="003D4250" w:rsidRDefault="00FD2CD8" w:rsidP="00FD2CD8">
      <w:pPr>
        <w:jc w:val="center"/>
        <w:rPr>
          <w:b/>
          <w:sz w:val="24"/>
          <w:szCs w:val="24"/>
        </w:rPr>
      </w:pPr>
    </w:p>
    <w:p w14:paraId="05D8A70B" w14:textId="77777777" w:rsidR="00FD2CD8" w:rsidRPr="003D4250" w:rsidRDefault="00FD2CD8" w:rsidP="00FD2CD8">
      <w:pPr>
        <w:jc w:val="center"/>
        <w:rPr>
          <w:b/>
          <w:sz w:val="24"/>
          <w:szCs w:val="24"/>
        </w:rPr>
      </w:pPr>
    </w:p>
    <w:p w14:paraId="638CF928" w14:textId="77777777" w:rsidR="00FD2CD8" w:rsidRPr="003D4250" w:rsidRDefault="00FD2CD8" w:rsidP="00FD2CD8">
      <w:pPr>
        <w:ind w:left="720" w:hanging="720"/>
        <w:rPr>
          <w:rFonts w:eastAsia="Calibri"/>
          <w:bCs/>
          <w:noProof/>
          <w:sz w:val="24"/>
          <w:szCs w:val="24"/>
        </w:rPr>
      </w:pPr>
      <w:r w:rsidRPr="003D4250">
        <w:rPr>
          <w:sz w:val="24"/>
          <w:szCs w:val="24"/>
        </w:rPr>
        <w:t>1)</w:t>
      </w:r>
      <w:r w:rsidRPr="003D4250">
        <w:rPr>
          <w:sz w:val="24"/>
          <w:szCs w:val="24"/>
        </w:rPr>
        <w:tab/>
        <w:t>When filing an a</w:t>
      </w:r>
      <w:r w:rsidRPr="003D4250">
        <w:rPr>
          <w:rFonts w:eastAsia="Calibri"/>
          <w:bCs/>
          <w:noProof/>
          <w:sz w:val="24"/>
          <w:szCs w:val="24"/>
        </w:rPr>
        <w:t xml:space="preserve">pplication for an EGS license abandonment, the licensee must send a written request for the license abandonment, along with all documentation required in steps 2 through 8, below. </w:t>
      </w:r>
    </w:p>
    <w:p w14:paraId="323F5B29" w14:textId="77777777" w:rsidR="00FD2CD8" w:rsidRPr="003D4250" w:rsidRDefault="00FD2CD8" w:rsidP="00FD2CD8">
      <w:pPr>
        <w:ind w:left="720" w:hanging="720"/>
        <w:rPr>
          <w:rFonts w:eastAsia="Calibri"/>
          <w:bCs/>
          <w:noProof/>
          <w:sz w:val="24"/>
          <w:szCs w:val="24"/>
        </w:rPr>
      </w:pPr>
    </w:p>
    <w:p w14:paraId="4398EF63"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Calibri"/>
          <w:bCs/>
          <w:noProof/>
          <w:sz w:val="24"/>
          <w:szCs w:val="24"/>
        </w:rPr>
        <w:t>Send applications for license abandonment</w:t>
      </w:r>
      <w:r w:rsidRPr="003D4250">
        <w:rPr>
          <w:rFonts w:eastAsiaTheme="minorEastAsia"/>
          <w:noProof/>
          <w:sz w:val="24"/>
          <w:szCs w:val="24"/>
        </w:rPr>
        <w:t xml:space="preserve"> to:</w:t>
      </w:r>
    </w:p>
    <w:p w14:paraId="5D248B58" w14:textId="77777777" w:rsidR="00FD2CD8" w:rsidRPr="003D4250" w:rsidRDefault="00FD2CD8" w:rsidP="00FD2CD8">
      <w:pPr>
        <w:pStyle w:val="ListParagraph"/>
        <w:ind w:firstLine="720"/>
        <w:rPr>
          <w:rFonts w:eastAsiaTheme="minorEastAsia"/>
          <w:noProof/>
          <w:color w:val="0070C0"/>
          <w:sz w:val="24"/>
          <w:szCs w:val="24"/>
        </w:rPr>
      </w:pPr>
    </w:p>
    <w:p w14:paraId="5F1B8E33" w14:textId="77777777" w:rsidR="005B5F97" w:rsidRPr="00840FD3" w:rsidRDefault="005B5F97" w:rsidP="005B5F97">
      <w:pPr>
        <w:ind w:left="720" w:firstLine="720"/>
        <w:contextualSpacing/>
        <w:rPr>
          <w:noProof/>
          <w:color w:val="0070C0"/>
          <w:sz w:val="24"/>
          <w:szCs w:val="24"/>
        </w:rPr>
      </w:pPr>
      <w:r>
        <w:rPr>
          <w:noProof/>
          <w:color w:val="0070C0"/>
          <w:sz w:val="24"/>
          <w:szCs w:val="24"/>
        </w:rPr>
        <w:t>Secretary of the Commission</w:t>
      </w:r>
    </w:p>
    <w:p w14:paraId="251E7E27"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Pennsylvania Public Utility Commission</w:t>
      </w:r>
    </w:p>
    <w:p w14:paraId="1DDA70BE"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400 North Street</w:t>
      </w:r>
    </w:p>
    <w:p w14:paraId="6023E2F1"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Harrisburg, PA  17120</w:t>
      </w:r>
    </w:p>
    <w:p w14:paraId="5BC6210C" w14:textId="77777777" w:rsidR="00FD2CD8" w:rsidRPr="003D4250" w:rsidRDefault="00FD2CD8" w:rsidP="00FD2CD8">
      <w:pPr>
        <w:ind w:left="720" w:hanging="720"/>
        <w:rPr>
          <w:sz w:val="24"/>
          <w:szCs w:val="24"/>
          <w:highlight w:val="yellow"/>
        </w:rPr>
      </w:pPr>
    </w:p>
    <w:p w14:paraId="5AEEBFF8" w14:textId="77777777" w:rsidR="00FD2CD8" w:rsidRPr="003D4250" w:rsidRDefault="00FD2CD8" w:rsidP="00FD2CD8">
      <w:pPr>
        <w:ind w:left="720" w:hanging="720"/>
        <w:rPr>
          <w:rFonts w:eastAsia="Calibri"/>
          <w:bCs/>
          <w:noProof/>
          <w:sz w:val="24"/>
          <w:szCs w:val="24"/>
        </w:rPr>
      </w:pPr>
      <w:r w:rsidRPr="003D4250">
        <w:rPr>
          <w:sz w:val="24"/>
          <w:szCs w:val="24"/>
        </w:rPr>
        <w:t>2)</w:t>
      </w:r>
      <w:r w:rsidRPr="003D4250">
        <w:rPr>
          <w:sz w:val="24"/>
          <w:szCs w:val="24"/>
        </w:rPr>
        <w:tab/>
      </w:r>
      <w:r w:rsidRPr="003D4250">
        <w:rPr>
          <w:rFonts w:eastAsia="Calibri"/>
          <w:bCs/>
          <w:noProof/>
          <w:sz w:val="24"/>
          <w:szCs w:val="24"/>
        </w:rPr>
        <w:t>The licensee must serve the application for license abandonment (non-confidential documents only)</w:t>
      </w:r>
      <w:r w:rsidRPr="003D4250">
        <w:rPr>
          <w:rFonts w:eastAsia="Calibri"/>
          <w:bCs/>
          <w:noProof/>
          <w:color w:val="FF0000"/>
          <w:sz w:val="24"/>
          <w:szCs w:val="24"/>
        </w:rPr>
        <w:t xml:space="preserve"> </w:t>
      </w:r>
      <w:r w:rsidRPr="003D4250">
        <w:rPr>
          <w:rFonts w:eastAsia="Calibri"/>
          <w:bCs/>
          <w:noProof/>
          <w:sz w:val="24"/>
          <w:szCs w:val="24"/>
        </w:rPr>
        <w:t xml:space="preserve">on the five statutory agencies and all electric distribution companies in which the licensee is licensed to operate. The licensee must also file a signed </w:t>
      </w:r>
      <w:r w:rsidRPr="003D4250">
        <w:rPr>
          <w:rFonts w:eastAsia="Calibri"/>
          <w:bCs/>
          <w:noProof/>
          <w:sz w:val="24"/>
          <w:szCs w:val="24"/>
          <w:u w:val="single"/>
        </w:rPr>
        <w:t>Certificate of Service</w:t>
      </w:r>
      <w:r w:rsidRPr="003D4250">
        <w:rPr>
          <w:rFonts w:eastAsia="Calibri"/>
          <w:bCs/>
          <w:noProof/>
          <w:sz w:val="24"/>
          <w:szCs w:val="24"/>
        </w:rPr>
        <w:t xml:space="preserve"> to the Commission as proof of service.</w:t>
      </w:r>
    </w:p>
    <w:p w14:paraId="14477B8B" w14:textId="77777777" w:rsidR="00FD2CD8" w:rsidRPr="003D4250" w:rsidRDefault="00FD2CD8" w:rsidP="00FD2CD8">
      <w:pPr>
        <w:ind w:left="720" w:hanging="720"/>
        <w:rPr>
          <w:rFonts w:eastAsia="Calibri"/>
          <w:bCs/>
          <w:noProof/>
          <w:sz w:val="24"/>
          <w:szCs w:val="24"/>
        </w:rPr>
      </w:pPr>
    </w:p>
    <w:p w14:paraId="155B2CEF" w14:textId="77777777" w:rsidR="00FD2CD8" w:rsidRPr="003D4250" w:rsidRDefault="00FD2CD8" w:rsidP="00FD2CD8">
      <w:pPr>
        <w:ind w:left="720" w:hanging="720"/>
        <w:rPr>
          <w:rFonts w:eastAsia="Calibri"/>
          <w:bCs/>
          <w:noProof/>
          <w:sz w:val="24"/>
          <w:szCs w:val="24"/>
        </w:rPr>
      </w:pPr>
      <w:r w:rsidRPr="003D4250">
        <w:rPr>
          <w:rFonts w:eastAsia="Calibri"/>
          <w:noProof/>
          <w:sz w:val="24"/>
          <w:szCs w:val="24"/>
        </w:rPr>
        <w:t>3</w:t>
      </w:r>
      <w:r w:rsidRPr="003D4250">
        <w:rPr>
          <w:rFonts w:eastAsia="Calibri"/>
          <w:bCs/>
          <w:noProof/>
          <w:sz w:val="24"/>
          <w:szCs w:val="24"/>
        </w:rPr>
        <w:t>)</w:t>
      </w:r>
      <w:r w:rsidRPr="003D4250">
        <w:rPr>
          <w:rFonts w:eastAsia="Calibri"/>
          <w:bCs/>
          <w:noProof/>
          <w:sz w:val="24"/>
          <w:szCs w:val="24"/>
        </w:rPr>
        <w:tab/>
        <w:t xml:space="preserve">All remaining customers must be notified twice, at both </w:t>
      </w:r>
      <w:r w:rsidRPr="003D4250">
        <w:rPr>
          <w:rFonts w:eastAsia="Calibri"/>
          <w:bCs/>
          <w:noProof/>
          <w:sz w:val="24"/>
          <w:szCs w:val="24"/>
          <w:u w:val="single"/>
        </w:rPr>
        <w:t>90</w:t>
      </w:r>
      <w:r w:rsidRPr="003D4250">
        <w:rPr>
          <w:rFonts w:eastAsia="Calibri"/>
          <w:bCs/>
          <w:noProof/>
          <w:sz w:val="24"/>
          <w:szCs w:val="24"/>
        </w:rPr>
        <w:t xml:space="preserve"> days and </w:t>
      </w:r>
      <w:r w:rsidRPr="003D4250">
        <w:rPr>
          <w:rFonts w:eastAsia="Calibri"/>
          <w:bCs/>
          <w:noProof/>
          <w:sz w:val="24"/>
          <w:szCs w:val="24"/>
          <w:u w:val="single"/>
        </w:rPr>
        <w:t>60</w:t>
      </w:r>
      <w:r w:rsidRPr="003D4250">
        <w:rPr>
          <w:rFonts w:eastAsia="Calibri"/>
          <w:bCs/>
          <w:noProof/>
          <w:sz w:val="24"/>
          <w:szCs w:val="24"/>
        </w:rPr>
        <w:t xml:space="preserve"> days prior to abandonment.  </w:t>
      </w:r>
    </w:p>
    <w:p w14:paraId="65D79175" w14:textId="77777777" w:rsidR="00FD2CD8" w:rsidRPr="003D4250" w:rsidRDefault="00FD2CD8" w:rsidP="00FD2CD8">
      <w:pPr>
        <w:ind w:left="720" w:hanging="720"/>
        <w:rPr>
          <w:rFonts w:eastAsia="Calibri"/>
          <w:bCs/>
          <w:noProof/>
          <w:sz w:val="24"/>
          <w:szCs w:val="24"/>
        </w:rPr>
      </w:pPr>
    </w:p>
    <w:p w14:paraId="19F41E08" w14:textId="77777777" w:rsidR="00FD2CD8" w:rsidRPr="003D4250" w:rsidRDefault="00FD2CD8" w:rsidP="00FD2CD8">
      <w:pPr>
        <w:ind w:left="720" w:hanging="720"/>
        <w:rPr>
          <w:rFonts w:eastAsia="Calibri"/>
          <w:bCs/>
          <w:noProof/>
          <w:sz w:val="24"/>
          <w:szCs w:val="24"/>
        </w:rPr>
      </w:pPr>
      <w:r w:rsidRPr="003D4250">
        <w:rPr>
          <w:rFonts w:eastAsia="Calibri"/>
          <w:bCs/>
          <w:noProof/>
          <w:sz w:val="24"/>
          <w:szCs w:val="24"/>
        </w:rPr>
        <w:t>4)</w:t>
      </w:r>
      <w:r w:rsidRPr="003D4250">
        <w:rPr>
          <w:rFonts w:eastAsia="Calibri"/>
          <w:bCs/>
          <w:noProof/>
          <w:sz w:val="24"/>
          <w:szCs w:val="24"/>
        </w:rPr>
        <w:tab/>
      </w:r>
      <w:r w:rsidRPr="003D4250">
        <w:rPr>
          <w:rFonts w:eastAsia="Calibri"/>
          <w:b/>
          <w:bCs/>
          <w:noProof/>
          <w:sz w:val="24"/>
          <w:szCs w:val="24"/>
        </w:rPr>
        <w:t>EGS Supplier Only</w:t>
      </w:r>
      <w:r w:rsidRPr="003D4250">
        <w:rPr>
          <w:rFonts w:eastAsia="Calibri"/>
          <w:bCs/>
          <w:noProof/>
          <w:sz w:val="24"/>
          <w:szCs w:val="24"/>
        </w:rPr>
        <w:t xml:space="preserve"> - Explain, in detail, how the customers’ load will be transferred to an alternate entity (e.g., default service, other licensed suppliers).</w:t>
      </w:r>
    </w:p>
    <w:p w14:paraId="4530DB4B" w14:textId="77777777" w:rsidR="00FD2CD8" w:rsidRPr="003D4250" w:rsidRDefault="00FD2CD8" w:rsidP="00FD2CD8">
      <w:pPr>
        <w:ind w:left="720" w:hanging="720"/>
        <w:rPr>
          <w:rFonts w:eastAsia="Calibri"/>
          <w:bCs/>
          <w:noProof/>
          <w:sz w:val="24"/>
          <w:szCs w:val="24"/>
        </w:rPr>
      </w:pPr>
    </w:p>
    <w:p w14:paraId="7E59A389" w14:textId="77777777" w:rsidR="00FD2CD8" w:rsidRPr="003D4250" w:rsidRDefault="00FD2CD8" w:rsidP="00FD2CD8">
      <w:pPr>
        <w:ind w:left="720" w:hanging="720"/>
        <w:rPr>
          <w:rFonts w:eastAsia="Calibri"/>
          <w:bCs/>
          <w:noProof/>
          <w:sz w:val="24"/>
          <w:szCs w:val="24"/>
        </w:rPr>
      </w:pPr>
      <w:r w:rsidRPr="003D4250">
        <w:rPr>
          <w:rFonts w:eastAsia="Calibri"/>
          <w:bCs/>
          <w:noProof/>
          <w:sz w:val="24"/>
          <w:szCs w:val="24"/>
        </w:rPr>
        <w:t>5)</w:t>
      </w:r>
      <w:r w:rsidRPr="003D4250">
        <w:rPr>
          <w:rFonts w:eastAsia="Calibri"/>
          <w:bCs/>
          <w:noProof/>
          <w:sz w:val="24"/>
          <w:szCs w:val="24"/>
        </w:rPr>
        <w:tab/>
      </w:r>
      <w:r w:rsidRPr="003D4250">
        <w:rPr>
          <w:rFonts w:eastAsia="Calibri"/>
          <w:b/>
          <w:bCs/>
          <w:noProof/>
          <w:sz w:val="24"/>
          <w:szCs w:val="24"/>
        </w:rPr>
        <w:t>EGS Supplier Only</w:t>
      </w:r>
      <w:r w:rsidRPr="003D4250">
        <w:rPr>
          <w:rFonts w:eastAsia="Calibri"/>
          <w:bCs/>
          <w:noProof/>
          <w:sz w:val="24"/>
          <w:szCs w:val="24"/>
        </w:rPr>
        <w:t xml:space="preserve"> - The licensee must provide a </w:t>
      </w:r>
      <w:r w:rsidRPr="003D4250">
        <w:rPr>
          <w:rFonts w:eastAsia="Calibri"/>
          <w:bCs/>
          <w:noProof/>
          <w:sz w:val="24"/>
          <w:szCs w:val="24"/>
          <w:u w:val="single"/>
        </w:rPr>
        <w:t>Tax Status Letter of Good Standing</w:t>
      </w:r>
      <w:r w:rsidRPr="003D4250">
        <w:rPr>
          <w:rFonts w:eastAsia="Calibri"/>
          <w:bCs/>
          <w:noProof/>
          <w:sz w:val="24"/>
          <w:szCs w:val="24"/>
        </w:rPr>
        <w:t xml:space="preserve"> from the Department of Revenue.</w:t>
      </w:r>
    </w:p>
    <w:p w14:paraId="4FE3B00F" w14:textId="77777777" w:rsidR="00FD2CD8" w:rsidRPr="003D4250" w:rsidRDefault="00FD2CD8" w:rsidP="00FD2CD8">
      <w:pPr>
        <w:ind w:left="720" w:hanging="720"/>
        <w:rPr>
          <w:rFonts w:eastAsia="Calibri"/>
          <w:bCs/>
          <w:noProof/>
          <w:sz w:val="24"/>
          <w:szCs w:val="24"/>
        </w:rPr>
      </w:pPr>
    </w:p>
    <w:p w14:paraId="6CE621DD" w14:textId="77777777" w:rsidR="00FD2CD8" w:rsidRPr="003D4250" w:rsidRDefault="00FD2CD8" w:rsidP="00FD2CD8">
      <w:pPr>
        <w:ind w:left="720" w:hanging="720"/>
        <w:rPr>
          <w:sz w:val="24"/>
          <w:szCs w:val="24"/>
        </w:rPr>
      </w:pPr>
      <w:r w:rsidRPr="003D4250">
        <w:rPr>
          <w:sz w:val="24"/>
          <w:szCs w:val="24"/>
        </w:rPr>
        <w:t>6)</w:t>
      </w:r>
      <w:r w:rsidRPr="003D4250">
        <w:rPr>
          <w:sz w:val="24"/>
          <w:szCs w:val="24"/>
        </w:rPr>
        <w:tab/>
        <w:t>The licensee must verify that all informal (Bureau of Consumer Services) and formal (Office of Administrative Law Judge) complaints under review at the Commission have been resolved.</w:t>
      </w:r>
    </w:p>
    <w:p w14:paraId="53AE0323" w14:textId="77777777" w:rsidR="00FD2CD8" w:rsidRPr="003D4250" w:rsidRDefault="00FD2CD8" w:rsidP="00FD2CD8">
      <w:pPr>
        <w:ind w:left="720" w:hanging="720"/>
        <w:rPr>
          <w:sz w:val="24"/>
          <w:szCs w:val="24"/>
        </w:rPr>
      </w:pPr>
    </w:p>
    <w:p w14:paraId="55BB2643" w14:textId="77777777" w:rsidR="00FD2CD8" w:rsidRPr="003D4250" w:rsidRDefault="00FD2CD8" w:rsidP="00FD2CD8">
      <w:pPr>
        <w:ind w:left="720" w:hanging="720"/>
        <w:rPr>
          <w:sz w:val="24"/>
          <w:szCs w:val="24"/>
        </w:rPr>
      </w:pPr>
    </w:p>
    <w:p w14:paraId="07B7BC4C" w14:textId="77777777" w:rsidR="00FD2CD8" w:rsidRPr="003D4250" w:rsidRDefault="00FD2CD8" w:rsidP="00FD2CD8">
      <w:pPr>
        <w:ind w:left="720" w:hanging="720"/>
        <w:rPr>
          <w:sz w:val="24"/>
          <w:szCs w:val="24"/>
        </w:rPr>
      </w:pPr>
    </w:p>
    <w:p w14:paraId="2EBF6EED" w14:textId="77777777" w:rsidR="00FD2CD8" w:rsidRPr="003D4250" w:rsidRDefault="00FD2CD8" w:rsidP="00FD2CD8">
      <w:pPr>
        <w:ind w:left="720" w:hanging="720"/>
        <w:rPr>
          <w:sz w:val="24"/>
          <w:szCs w:val="24"/>
        </w:rPr>
      </w:pPr>
    </w:p>
    <w:p w14:paraId="010F403C" w14:textId="77777777" w:rsidR="00FD2CD8" w:rsidRPr="003D4250" w:rsidRDefault="00FD2CD8" w:rsidP="00FD2CD8">
      <w:pPr>
        <w:rPr>
          <w:sz w:val="24"/>
          <w:szCs w:val="24"/>
        </w:rPr>
      </w:pPr>
      <w:r w:rsidRPr="003D4250">
        <w:rPr>
          <w:sz w:val="24"/>
          <w:szCs w:val="24"/>
        </w:rPr>
        <w:br w:type="page"/>
      </w:r>
    </w:p>
    <w:p w14:paraId="2616692C" w14:textId="77777777" w:rsidR="00FA667D" w:rsidRDefault="00FA667D" w:rsidP="00FD2CD8">
      <w:pPr>
        <w:ind w:left="720" w:hanging="720"/>
        <w:rPr>
          <w:sz w:val="24"/>
          <w:szCs w:val="24"/>
        </w:rPr>
      </w:pPr>
    </w:p>
    <w:p w14:paraId="1896CE16" w14:textId="77777777" w:rsidR="00FA667D" w:rsidRDefault="00FA667D" w:rsidP="00FD2CD8">
      <w:pPr>
        <w:ind w:left="720" w:hanging="720"/>
        <w:rPr>
          <w:sz w:val="24"/>
          <w:szCs w:val="24"/>
        </w:rPr>
      </w:pPr>
    </w:p>
    <w:p w14:paraId="25F891C2" w14:textId="77777777" w:rsidR="00FA667D" w:rsidRDefault="00FA667D" w:rsidP="00FD2CD8">
      <w:pPr>
        <w:ind w:left="720" w:hanging="720"/>
        <w:rPr>
          <w:sz w:val="24"/>
          <w:szCs w:val="24"/>
        </w:rPr>
      </w:pPr>
    </w:p>
    <w:p w14:paraId="33F19157" w14:textId="77777777" w:rsidR="00FA667D" w:rsidRDefault="00FA667D" w:rsidP="00FD2CD8">
      <w:pPr>
        <w:ind w:left="720" w:hanging="720"/>
        <w:rPr>
          <w:sz w:val="24"/>
          <w:szCs w:val="24"/>
        </w:rPr>
      </w:pPr>
    </w:p>
    <w:p w14:paraId="1AF4F6D4" w14:textId="77777777" w:rsidR="00FA667D" w:rsidRDefault="00FA667D" w:rsidP="00FD2CD8">
      <w:pPr>
        <w:ind w:left="720" w:hanging="720"/>
        <w:rPr>
          <w:sz w:val="24"/>
          <w:szCs w:val="24"/>
        </w:rPr>
      </w:pPr>
    </w:p>
    <w:p w14:paraId="411FF1DF" w14:textId="55619098" w:rsidR="00FD2CD8" w:rsidRPr="003D4250" w:rsidRDefault="00FD2CD8" w:rsidP="00FD2CD8">
      <w:pPr>
        <w:ind w:left="720" w:hanging="720"/>
        <w:rPr>
          <w:sz w:val="24"/>
          <w:szCs w:val="24"/>
        </w:rPr>
      </w:pPr>
      <w:r w:rsidRPr="003D4250">
        <w:rPr>
          <w:sz w:val="24"/>
          <w:szCs w:val="24"/>
        </w:rPr>
        <w:t>7)</w:t>
      </w:r>
      <w:r w:rsidRPr="003D4250">
        <w:rPr>
          <w:sz w:val="24"/>
          <w:szCs w:val="24"/>
        </w:rPr>
        <w:tab/>
      </w:r>
      <w:r w:rsidRPr="003D4250">
        <w:rPr>
          <w:b/>
          <w:sz w:val="24"/>
          <w:szCs w:val="24"/>
        </w:rPr>
        <w:t>EGS Supplier Only</w:t>
      </w:r>
      <w:r w:rsidRPr="003D4250">
        <w:rPr>
          <w:sz w:val="24"/>
          <w:szCs w:val="24"/>
        </w:rPr>
        <w:t xml:space="preserve"> - The licensee must provide documentation showing that all obligations with PJM are resolved.  See contact information below:</w:t>
      </w:r>
    </w:p>
    <w:p w14:paraId="018EDB12" w14:textId="77777777" w:rsidR="00FD2CD8" w:rsidRPr="003D4250" w:rsidRDefault="00FD2CD8" w:rsidP="00FD2CD8">
      <w:pPr>
        <w:rPr>
          <w:sz w:val="24"/>
          <w:szCs w:val="24"/>
        </w:rPr>
      </w:pPr>
    </w:p>
    <w:p w14:paraId="6077056C"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PJM Interconnection</w:t>
      </w:r>
    </w:p>
    <w:p w14:paraId="5117EFCE"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2750 Monroe Blvd</w:t>
      </w:r>
    </w:p>
    <w:p w14:paraId="1E578289"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Audubon, PA  19403</w:t>
      </w:r>
    </w:p>
    <w:p w14:paraId="1E378D4D"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(610) 666-8980</w:t>
      </w:r>
    </w:p>
    <w:p w14:paraId="54347A0B" w14:textId="77777777" w:rsidR="00FD2CD8" w:rsidRPr="003D4250" w:rsidRDefault="00FD2CD8" w:rsidP="00FD2CD8">
      <w:pPr>
        <w:rPr>
          <w:sz w:val="24"/>
          <w:szCs w:val="24"/>
        </w:rPr>
      </w:pPr>
    </w:p>
    <w:p w14:paraId="7C3AE53D" w14:textId="77777777" w:rsidR="00FD2CD8" w:rsidRPr="003D4250" w:rsidRDefault="00FD2CD8" w:rsidP="00FD2CD8">
      <w:pPr>
        <w:ind w:left="720" w:hanging="720"/>
        <w:rPr>
          <w:sz w:val="24"/>
          <w:szCs w:val="24"/>
        </w:rPr>
      </w:pPr>
      <w:r w:rsidRPr="003D4250">
        <w:rPr>
          <w:sz w:val="24"/>
          <w:szCs w:val="24"/>
        </w:rPr>
        <w:t>8)</w:t>
      </w:r>
      <w:r w:rsidRPr="003D4250">
        <w:rPr>
          <w:sz w:val="24"/>
          <w:szCs w:val="24"/>
        </w:rPr>
        <w:tab/>
      </w:r>
      <w:r w:rsidRPr="003D4250">
        <w:rPr>
          <w:b/>
          <w:sz w:val="24"/>
          <w:szCs w:val="24"/>
        </w:rPr>
        <w:t>EGS Supplier Only</w:t>
      </w:r>
      <w:r w:rsidRPr="003D4250">
        <w:rPr>
          <w:sz w:val="24"/>
          <w:szCs w:val="24"/>
        </w:rPr>
        <w:t xml:space="preserve"> - The licensee must provide documentation showing it is compliant with the Alternative Energy Portfolio Standard obligations.  See contact information below:</w:t>
      </w:r>
    </w:p>
    <w:p w14:paraId="7A794EEA" w14:textId="77777777" w:rsidR="00FD2CD8" w:rsidRPr="003D4250" w:rsidRDefault="00FD2CD8" w:rsidP="00FD2CD8">
      <w:pPr>
        <w:ind w:left="720" w:hanging="720"/>
        <w:rPr>
          <w:sz w:val="24"/>
          <w:szCs w:val="24"/>
        </w:rPr>
      </w:pPr>
    </w:p>
    <w:p w14:paraId="08DC893F"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Pennsylvania Public Utility Commission</w:t>
      </w:r>
    </w:p>
    <w:p w14:paraId="0F89E6BE" w14:textId="28D4C712"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Bureau of Technical Utility Services – Policy and Planning</w:t>
      </w:r>
    </w:p>
    <w:p w14:paraId="5862D103" w14:textId="56761F0D" w:rsidR="00757D39" w:rsidRPr="008A4231" w:rsidRDefault="008A4231" w:rsidP="003214BD">
      <w:pPr>
        <w:ind w:left="720" w:firstLine="720"/>
        <w:contextualSpacing/>
        <w:rPr>
          <w:rStyle w:val="Hyperlink"/>
          <w:rFonts w:eastAsiaTheme="minorEastAsia"/>
        </w:rPr>
      </w:pPr>
      <w:r>
        <w:rPr>
          <w:rStyle w:val="Hyperlink"/>
          <w:rFonts w:eastAsiaTheme="minorEastAsia"/>
          <w:noProof/>
          <w:sz w:val="24"/>
          <w:szCs w:val="24"/>
        </w:rPr>
        <w:fldChar w:fldCharType="begin"/>
      </w:r>
      <w:r>
        <w:rPr>
          <w:rStyle w:val="Hyperlink"/>
          <w:rFonts w:eastAsiaTheme="minorEastAsia"/>
          <w:noProof/>
          <w:sz w:val="24"/>
          <w:szCs w:val="24"/>
        </w:rPr>
        <w:instrText>HYPERLINK "mailto:RA-AEPS@pa.gov"</w:instrText>
      </w:r>
      <w:r>
        <w:rPr>
          <w:rStyle w:val="Hyperlink"/>
          <w:rFonts w:eastAsiaTheme="minorEastAsia"/>
          <w:noProof/>
          <w:sz w:val="24"/>
          <w:szCs w:val="24"/>
        </w:rPr>
      </w:r>
      <w:r>
        <w:rPr>
          <w:rStyle w:val="Hyperlink"/>
          <w:rFonts w:eastAsiaTheme="minorEastAsia"/>
          <w:noProof/>
          <w:sz w:val="24"/>
          <w:szCs w:val="24"/>
        </w:rPr>
        <w:fldChar w:fldCharType="separate"/>
      </w:r>
      <w:r w:rsidR="003214BD" w:rsidRPr="008A4231">
        <w:rPr>
          <w:rStyle w:val="Hyperlink"/>
          <w:rFonts w:eastAsiaTheme="minorEastAsia"/>
          <w:noProof/>
          <w:sz w:val="24"/>
          <w:szCs w:val="24"/>
        </w:rPr>
        <w:t>RA-AEPS@pa.gov</w:t>
      </w:r>
      <w:r w:rsidR="00757D39" w:rsidRPr="008A4231">
        <w:rPr>
          <w:rStyle w:val="Hyperlink"/>
          <w:rFonts w:eastAsiaTheme="minorEastAsia"/>
        </w:rPr>
        <w:t xml:space="preserve"> </w:t>
      </w:r>
    </w:p>
    <w:p w14:paraId="3428F5B9" w14:textId="663C73BE" w:rsidR="00FD2CD8" w:rsidRDefault="008A4231" w:rsidP="003214BD">
      <w:pPr>
        <w:ind w:left="720" w:firstLine="720"/>
        <w:rPr>
          <w:rFonts w:eastAsiaTheme="minorEastAsia"/>
          <w:noProof/>
          <w:color w:val="0070C0"/>
          <w:sz w:val="24"/>
          <w:szCs w:val="24"/>
        </w:rPr>
      </w:pPr>
      <w:r>
        <w:rPr>
          <w:rStyle w:val="Hyperlink"/>
          <w:rFonts w:eastAsiaTheme="minorEastAsia"/>
          <w:noProof/>
          <w:sz w:val="24"/>
          <w:szCs w:val="24"/>
        </w:rPr>
        <w:fldChar w:fldCharType="end"/>
      </w:r>
      <w:r w:rsidR="003214BD">
        <w:rPr>
          <w:rFonts w:eastAsiaTheme="minorEastAsia"/>
          <w:noProof/>
          <w:color w:val="0070C0"/>
          <w:sz w:val="24"/>
          <w:szCs w:val="24"/>
        </w:rPr>
        <w:t>(</w:t>
      </w:r>
      <w:r w:rsidR="003214BD" w:rsidRPr="003214BD">
        <w:rPr>
          <w:rFonts w:eastAsiaTheme="minorEastAsia"/>
          <w:noProof/>
          <w:color w:val="0070C0"/>
          <w:sz w:val="24"/>
          <w:szCs w:val="24"/>
        </w:rPr>
        <w:t>717</w:t>
      </w:r>
      <w:r w:rsidR="003214BD">
        <w:rPr>
          <w:rFonts w:eastAsiaTheme="minorEastAsia"/>
          <w:noProof/>
          <w:color w:val="0070C0"/>
          <w:sz w:val="24"/>
          <w:szCs w:val="24"/>
        </w:rPr>
        <w:t xml:space="preserve">) </w:t>
      </w:r>
      <w:r w:rsidR="003214BD" w:rsidRPr="003214BD">
        <w:rPr>
          <w:rFonts w:eastAsiaTheme="minorEastAsia"/>
          <w:noProof/>
          <w:color w:val="0070C0"/>
          <w:sz w:val="24"/>
          <w:szCs w:val="24"/>
        </w:rPr>
        <w:t>783-5242</w:t>
      </w:r>
    </w:p>
    <w:p w14:paraId="46737C29" w14:textId="77777777" w:rsidR="003214BD" w:rsidRPr="003D4250" w:rsidRDefault="003214BD" w:rsidP="00FD2CD8">
      <w:pPr>
        <w:ind w:left="720" w:hanging="720"/>
        <w:rPr>
          <w:sz w:val="24"/>
          <w:szCs w:val="24"/>
        </w:rPr>
      </w:pPr>
    </w:p>
    <w:p w14:paraId="22677B52" w14:textId="77777777" w:rsidR="00FD2CD8" w:rsidRPr="003D4250" w:rsidRDefault="00FD2CD8" w:rsidP="00FD2CD8">
      <w:pPr>
        <w:ind w:left="720" w:hanging="720"/>
        <w:rPr>
          <w:sz w:val="24"/>
          <w:szCs w:val="24"/>
        </w:rPr>
      </w:pPr>
      <w:r w:rsidRPr="003D4250">
        <w:rPr>
          <w:sz w:val="24"/>
          <w:szCs w:val="24"/>
        </w:rPr>
        <w:t>9)</w:t>
      </w:r>
      <w:r w:rsidRPr="003D4250">
        <w:rPr>
          <w:sz w:val="24"/>
          <w:szCs w:val="24"/>
        </w:rPr>
        <w:tab/>
        <w:t>The licensee must provide documentation showing it is compliant with the Commission’s required annual fees and supplemental annual fees.  See contact information below:</w:t>
      </w:r>
    </w:p>
    <w:p w14:paraId="76F2CCB5" w14:textId="77777777" w:rsidR="00FD2CD8" w:rsidRPr="003D4250" w:rsidRDefault="00FD2CD8" w:rsidP="00FD2CD8">
      <w:pPr>
        <w:rPr>
          <w:rFonts w:eastAsiaTheme="minorEastAsia"/>
          <w:noProof/>
          <w:color w:val="0070C0"/>
          <w:sz w:val="24"/>
          <w:szCs w:val="24"/>
        </w:rPr>
      </w:pPr>
    </w:p>
    <w:p w14:paraId="5BA42660"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Pennsylvania Public Utility Commission</w:t>
      </w:r>
    </w:p>
    <w:p w14:paraId="43611CFF" w14:textId="77777777" w:rsidR="00FD2CD8" w:rsidRPr="003D4250" w:rsidRDefault="00FD2CD8" w:rsidP="00FD2CD8">
      <w:pPr>
        <w:pStyle w:val="ListParagraph"/>
        <w:ind w:firstLine="720"/>
        <w:rPr>
          <w:rFonts w:eastAsiaTheme="minorEastAsia"/>
          <w:noProof/>
          <w:color w:val="0070C0"/>
          <w:sz w:val="24"/>
          <w:szCs w:val="24"/>
        </w:rPr>
      </w:pPr>
      <w:r w:rsidRPr="003D4250">
        <w:rPr>
          <w:rFonts w:eastAsiaTheme="minorEastAsia"/>
          <w:noProof/>
          <w:color w:val="0070C0"/>
          <w:sz w:val="24"/>
          <w:szCs w:val="24"/>
        </w:rPr>
        <w:t>Bureau of Administration – Fiscal</w:t>
      </w:r>
    </w:p>
    <w:p w14:paraId="7FA24098" w14:textId="77777777" w:rsidR="00FD2CD8" w:rsidRPr="003D4250" w:rsidRDefault="00FD2CD8" w:rsidP="00FD2CD8">
      <w:pPr>
        <w:ind w:left="720" w:firstLine="720"/>
        <w:contextualSpacing/>
        <w:rPr>
          <w:noProof/>
          <w:color w:val="0070C0"/>
          <w:sz w:val="24"/>
          <w:szCs w:val="24"/>
        </w:rPr>
      </w:pPr>
      <w:hyperlink r:id="rId15" w:history="1">
        <w:r w:rsidRPr="003D4250">
          <w:rPr>
            <w:rStyle w:val="Hyperlink"/>
            <w:rFonts w:eastAsiaTheme="minorEastAsia"/>
            <w:noProof/>
            <w:sz w:val="24"/>
            <w:szCs w:val="24"/>
          </w:rPr>
          <w:t>RA-PCPUCASSESSMENTS@pa.gov</w:t>
        </w:r>
      </w:hyperlink>
    </w:p>
    <w:p w14:paraId="0E94FEE2" w14:textId="77777777" w:rsidR="00FD2CD8" w:rsidRPr="003D4250" w:rsidRDefault="00FD2CD8" w:rsidP="00FD2CD8">
      <w:pPr>
        <w:ind w:left="720" w:firstLine="720"/>
        <w:rPr>
          <w:color w:val="0070C0"/>
          <w:sz w:val="24"/>
          <w:szCs w:val="24"/>
        </w:rPr>
      </w:pPr>
      <w:r w:rsidRPr="003D4250">
        <w:rPr>
          <w:color w:val="0070C0"/>
          <w:sz w:val="24"/>
          <w:szCs w:val="24"/>
        </w:rPr>
        <w:t>(717) 265-7548</w:t>
      </w:r>
    </w:p>
    <w:p w14:paraId="0502DABA" w14:textId="77777777" w:rsidR="00FD2CD8" w:rsidRPr="003D4250" w:rsidRDefault="00FD2CD8" w:rsidP="00FD2CD8">
      <w:pPr>
        <w:ind w:left="720" w:hanging="720"/>
        <w:rPr>
          <w:sz w:val="24"/>
          <w:szCs w:val="24"/>
        </w:rPr>
      </w:pPr>
    </w:p>
    <w:p w14:paraId="598DD501" w14:textId="77777777" w:rsidR="00FD2CD8" w:rsidRPr="003D4250" w:rsidRDefault="00FD2CD8" w:rsidP="00FD2CD8">
      <w:pPr>
        <w:ind w:left="720" w:hanging="720"/>
        <w:rPr>
          <w:sz w:val="24"/>
          <w:szCs w:val="24"/>
        </w:rPr>
      </w:pPr>
      <w:r w:rsidRPr="003D4250">
        <w:rPr>
          <w:sz w:val="24"/>
          <w:szCs w:val="24"/>
        </w:rPr>
        <w:t>10)</w:t>
      </w:r>
      <w:r w:rsidRPr="003D4250">
        <w:rPr>
          <w:sz w:val="24"/>
          <w:szCs w:val="24"/>
        </w:rPr>
        <w:tab/>
        <w:t>The licensee must maintain financial security compliance for the duration of the abandonment process.</w:t>
      </w:r>
    </w:p>
    <w:p w14:paraId="3131737C" w14:textId="77777777" w:rsidR="00FD2CD8" w:rsidRPr="003D4250" w:rsidRDefault="00FD2CD8" w:rsidP="00FD2CD8">
      <w:pPr>
        <w:ind w:left="720" w:hanging="720"/>
        <w:rPr>
          <w:sz w:val="24"/>
          <w:szCs w:val="24"/>
        </w:rPr>
      </w:pPr>
    </w:p>
    <w:p w14:paraId="51283A02" w14:textId="77777777" w:rsidR="00FD2CD8" w:rsidRPr="003D4250" w:rsidRDefault="00FD2CD8" w:rsidP="00FD2CD8">
      <w:pPr>
        <w:rPr>
          <w:sz w:val="24"/>
          <w:szCs w:val="24"/>
        </w:rPr>
      </w:pPr>
      <w:r w:rsidRPr="003D4250">
        <w:rPr>
          <w:sz w:val="24"/>
          <w:szCs w:val="24"/>
        </w:rPr>
        <w:t>11)</w:t>
      </w:r>
      <w:r w:rsidRPr="003D4250">
        <w:rPr>
          <w:sz w:val="24"/>
          <w:szCs w:val="24"/>
        </w:rPr>
        <w:tab/>
        <w:t>The Commission may require additional information.</w:t>
      </w:r>
    </w:p>
    <w:p w14:paraId="0F463007" w14:textId="77777777" w:rsidR="00FD2CD8" w:rsidRPr="003D4250" w:rsidRDefault="00FD2CD8" w:rsidP="00FD2CD8">
      <w:pPr>
        <w:rPr>
          <w:sz w:val="24"/>
          <w:szCs w:val="24"/>
        </w:rPr>
      </w:pPr>
    </w:p>
    <w:p w14:paraId="12AD3318" w14:textId="77777777" w:rsidR="00FD2CD8" w:rsidRPr="003D4250" w:rsidRDefault="00FD2CD8" w:rsidP="00FD2CD8">
      <w:pPr>
        <w:ind w:left="720" w:hanging="720"/>
        <w:rPr>
          <w:sz w:val="24"/>
          <w:szCs w:val="24"/>
        </w:rPr>
      </w:pPr>
      <w:r w:rsidRPr="003D4250">
        <w:rPr>
          <w:sz w:val="24"/>
          <w:szCs w:val="24"/>
        </w:rPr>
        <w:t>12)</w:t>
      </w:r>
      <w:r w:rsidRPr="003D4250">
        <w:rPr>
          <w:sz w:val="24"/>
          <w:szCs w:val="24"/>
        </w:rPr>
        <w:tab/>
      </w:r>
      <w:r w:rsidRPr="003D4250">
        <w:rPr>
          <w:rFonts w:eastAsia="Calibri"/>
          <w:bCs/>
          <w:noProof/>
          <w:sz w:val="24"/>
          <w:szCs w:val="24"/>
        </w:rPr>
        <w:t>Upon approval, the Commission will serve a Secretarial Letter approving the application for license abandonment and removing the licensee’s information from the Commission’s website.  Please be advised that the financial security instrument will be returned no less than 60 days after the issuance of the license abandonment approval.</w:t>
      </w:r>
    </w:p>
    <w:p w14:paraId="198DDC30" w14:textId="77777777" w:rsidR="00FD2CD8" w:rsidRPr="000E65FA" w:rsidRDefault="00FD2CD8" w:rsidP="00FD2CD8">
      <w:pPr>
        <w:rPr>
          <w:sz w:val="24"/>
          <w:szCs w:val="24"/>
        </w:rPr>
      </w:pPr>
    </w:p>
    <w:p w14:paraId="7244E750" w14:textId="77777777" w:rsidR="00FD2CD8" w:rsidRPr="000E65FA" w:rsidRDefault="00FD2CD8" w:rsidP="00FD2CD8">
      <w:pPr>
        <w:pStyle w:val="ListParagraph"/>
        <w:rPr>
          <w:sz w:val="24"/>
          <w:szCs w:val="24"/>
          <w:highlight w:val="yellow"/>
        </w:rPr>
      </w:pPr>
    </w:p>
    <w:p w14:paraId="586AEC03" w14:textId="77777777" w:rsidR="00FD2CD8" w:rsidRPr="000E65FA" w:rsidRDefault="00FD2CD8" w:rsidP="00FD2CD8">
      <w:pPr>
        <w:pStyle w:val="ListParagraph"/>
        <w:rPr>
          <w:sz w:val="24"/>
          <w:szCs w:val="24"/>
          <w:highlight w:val="yellow"/>
        </w:rPr>
      </w:pPr>
    </w:p>
    <w:p w14:paraId="039C4E49" w14:textId="77777777" w:rsidR="00FD2CD8" w:rsidRPr="00A35F64" w:rsidRDefault="00FD2CD8" w:rsidP="00900881">
      <w:pPr>
        <w:jc w:val="center"/>
        <w:rPr>
          <w:color w:val="000066"/>
          <w:sz w:val="26"/>
          <w:szCs w:val="26"/>
        </w:rPr>
      </w:pPr>
    </w:p>
    <w:sectPr w:rsidR="00FD2CD8" w:rsidRPr="00A35F64"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4E4C" w14:textId="77777777" w:rsidR="00AC3CAA" w:rsidRDefault="00AC3CAA">
      <w:r>
        <w:separator/>
      </w:r>
    </w:p>
  </w:endnote>
  <w:endnote w:type="continuationSeparator" w:id="0">
    <w:p w14:paraId="0723B1AA" w14:textId="77777777" w:rsidR="00AC3CAA" w:rsidRDefault="00AC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30F2" w14:textId="62872B26" w:rsidR="00FA5626" w:rsidRPr="0027332F" w:rsidRDefault="00FA5626" w:rsidP="00FA5626">
    <w:pPr>
      <w:pStyle w:val="Footer"/>
      <w:jc w:val="right"/>
      <w:rPr>
        <w:i/>
        <w:iCs/>
        <w:sz w:val="16"/>
        <w:szCs w:val="16"/>
      </w:rPr>
    </w:pPr>
    <w:r w:rsidRPr="0027332F">
      <w:rPr>
        <w:i/>
        <w:iCs/>
        <w:snapToGrid w:val="0"/>
        <w:sz w:val="16"/>
        <w:szCs w:val="16"/>
      </w:rPr>
      <w:t xml:space="preserve">Version Revised </w:t>
    </w:r>
    <w:r w:rsidR="0027332F">
      <w:rPr>
        <w:i/>
        <w:iCs/>
        <w:snapToGrid w:val="0"/>
        <w:sz w:val="16"/>
        <w:szCs w:val="16"/>
      </w:rPr>
      <w:t>0</w:t>
    </w:r>
    <w:r w:rsidR="005546AD">
      <w:rPr>
        <w:i/>
        <w:iCs/>
        <w:snapToGrid w:val="0"/>
        <w:sz w:val="16"/>
        <w:szCs w:val="16"/>
      </w:rPr>
      <w:t>5/29/25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4648" w14:textId="77777777" w:rsidR="00AC3CAA" w:rsidRDefault="00AC3CAA">
      <w:r>
        <w:separator/>
      </w:r>
    </w:p>
  </w:footnote>
  <w:footnote w:type="continuationSeparator" w:id="0">
    <w:p w14:paraId="3F5947E0" w14:textId="77777777" w:rsidR="00AC3CAA" w:rsidRDefault="00AC3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02070151">
    <w:abstractNumId w:val="1"/>
  </w:num>
  <w:num w:numId="2" w16cid:durableId="363599297">
    <w:abstractNumId w:val="5"/>
  </w:num>
  <w:num w:numId="3" w16cid:durableId="1283422950">
    <w:abstractNumId w:val="2"/>
  </w:num>
  <w:num w:numId="4" w16cid:durableId="698746486">
    <w:abstractNumId w:val="4"/>
  </w:num>
  <w:num w:numId="5" w16cid:durableId="1288855748">
    <w:abstractNumId w:val="7"/>
  </w:num>
  <w:num w:numId="6" w16cid:durableId="1306397512">
    <w:abstractNumId w:val="3"/>
  </w:num>
  <w:num w:numId="7" w16cid:durableId="977027910">
    <w:abstractNumId w:val="8"/>
  </w:num>
  <w:num w:numId="8" w16cid:durableId="2053727378">
    <w:abstractNumId w:val="6"/>
  </w:num>
  <w:num w:numId="9" w16cid:durableId="123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1D39"/>
    <w:rsid w:val="00021309"/>
    <w:rsid w:val="00030A1E"/>
    <w:rsid w:val="000377B1"/>
    <w:rsid w:val="0006058D"/>
    <w:rsid w:val="00067F4D"/>
    <w:rsid w:val="00083767"/>
    <w:rsid w:val="000846F6"/>
    <w:rsid w:val="000C0721"/>
    <w:rsid w:val="000C718C"/>
    <w:rsid w:val="000D49AF"/>
    <w:rsid w:val="000E3958"/>
    <w:rsid w:val="000E7FB5"/>
    <w:rsid w:val="00102C3B"/>
    <w:rsid w:val="001209F1"/>
    <w:rsid w:val="001218EF"/>
    <w:rsid w:val="00125446"/>
    <w:rsid w:val="00134DA3"/>
    <w:rsid w:val="0013719C"/>
    <w:rsid w:val="001614F4"/>
    <w:rsid w:val="00186176"/>
    <w:rsid w:val="001A3788"/>
    <w:rsid w:val="001C34D1"/>
    <w:rsid w:val="001D37A3"/>
    <w:rsid w:val="001E1BF3"/>
    <w:rsid w:val="002229C3"/>
    <w:rsid w:val="0022598F"/>
    <w:rsid w:val="00272AC3"/>
    <w:rsid w:val="0027332F"/>
    <w:rsid w:val="0029471C"/>
    <w:rsid w:val="002A6DAF"/>
    <w:rsid w:val="002B049A"/>
    <w:rsid w:val="002E0E41"/>
    <w:rsid w:val="002E4A14"/>
    <w:rsid w:val="002F0138"/>
    <w:rsid w:val="002F2A55"/>
    <w:rsid w:val="002F55B1"/>
    <w:rsid w:val="003074C3"/>
    <w:rsid w:val="003214BD"/>
    <w:rsid w:val="00340F5E"/>
    <w:rsid w:val="003569E8"/>
    <w:rsid w:val="00366D64"/>
    <w:rsid w:val="00372134"/>
    <w:rsid w:val="00385CA5"/>
    <w:rsid w:val="003D0471"/>
    <w:rsid w:val="003D4250"/>
    <w:rsid w:val="004001C2"/>
    <w:rsid w:val="00474D6A"/>
    <w:rsid w:val="004C090E"/>
    <w:rsid w:val="004C4A5A"/>
    <w:rsid w:val="004D2698"/>
    <w:rsid w:val="004D57EC"/>
    <w:rsid w:val="0051639C"/>
    <w:rsid w:val="0054613B"/>
    <w:rsid w:val="005546AD"/>
    <w:rsid w:val="005B5F97"/>
    <w:rsid w:val="005E25C5"/>
    <w:rsid w:val="00602685"/>
    <w:rsid w:val="006439A8"/>
    <w:rsid w:val="006755C0"/>
    <w:rsid w:val="00685561"/>
    <w:rsid w:val="006C6066"/>
    <w:rsid w:val="0071154F"/>
    <w:rsid w:val="0071271A"/>
    <w:rsid w:val="00717C2B"/>
    <w:rsid w:val="00757D39"/>
    <w:rsid w:val="007617B1"/>
    <w:rsid w:val="00794CF5"/>
    <w:rsid w:val="007967AC"/>
    <w:rsid w:val="007A69A2"/>
    <w:rsid w:val="007C085F"/>
    <w:rsid w:val="007F7263"/>
    <w:rsid w:val="0081537D"/>
    <w:rsid w:val="00865D5C"/>
    <w:rsid w:val="008750DB"/>
    <w:rsid w:val="0088179E"/>
    <w:rsid w:val="008A4231"/>
    <w:rsid w:val="008C2BCF"/>
    <w:rsid w:val="00900881"/>
    <w:rsid w:val="00934FA1"/>
    <w:rsid w:val="00937AC0"/>
    <w:rsid w:val="00970353"/>
    <w:rsid w:val="009833D1"/>
    <w:rsid w:val="009A2860"/>
    <w:rsid w:val="009B23D8"/>
    <w:rsid w:val="009C2DDA"/>
    <w:rsid w:val="009C5DC4"/>
    <w:rsid w:val="009E40EC"/>
    <w:rsid w:val="009F5F66"/>
    <w:rsid w:val="00A14087"/>
    <w:rsid w:val="00A16325"/>
    <w:rsid w:val="00A35F64"/>
    <w:rsid w:val="00A53EAC"/>
    <w:rsid w:val="00A81E4B"/>
    <w:rsid w:val="00AA12A9"/>
    <w:rsid w:val="00AC3CAA"/>
    <w:rsid w:val="00B05141"/>
    <w:rsid w:val="00B64EDB"/>
    <w:rsid w:val="00B659CF"/>
    <w:rsid w:val="00B75046"/>
    <w:rsid w:val="00BE47D7"/>
    <w:rsid w:val="00BE4A72"/>
    <w:rsid w:val="00BE5119"/>
    <w:rsid w:val="00BE6D93"/>
    <w:rsid w:val="00C45228"/>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A1751"/>
    <w:rsid w:val="00DD678C"/>
    <w:rsid w:val="00DE3F29"/>
    <w:rsid w:val="00E24D3E"/>
    <w:rsid w:val="00E349DA"/>
    <w:rsid w:val="00EB4DF4"/>
    <w:rsid w:val="00EC332B"/>
    <w:rsid w:val="00EF5F20"/>
    <w:rsid w:val="00F001A3"/>
    <w:rsid w:val="00F0545B"/>
    <w:rsid w:val="00F7094C"/>
    <w:rsid w:val="00F90146"/>
    <w:rsid w:val="00FA0E37"/>
    <w:rsid w:val="00FA5626"/>
    <w:rsid w:val="00FA667D"/>
    <w:rsid w:val="00FB61E7"/>
    <w:rsid w:val="00FD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rsid w:val="00FD2CD8"/>
    <w:rPr>
      <w:color w:val="0000FF"/>
      <w:u w:val="single"/>
    </w:rPr>
  </w:style>
  <w:style w:type="paragraph" w:styleId="ListParagraph">
    <w:name w:val="List Paragraph"/>
    <w:basedOn w:val="Normal"/>
    <w:uiPriority w:val="34"/>
    <w:qFormat/>
    <w:rsid w:val="00FD2CD8"/>
    <w:pPr>
      <w:ind w:left="720"/>
      <w:contextualSpacing/>
    </w:pPr>
  </w:style>
  <w:style w:type="character" w:styleId="UnresolvedMention">
    <w:name w:val="Unresolved Mention"/>
    <w:basedOn w:val="DefaultParagraphFont"/>
    <w:uiPriority w:val="99"/>
    <w:semiHidden/>
    <w:unhideWhenUsed/>
    <w:rsid w:val="00C45228"/>
    <w:rPr>
      <w:color w:val="605E5C"/>
      <w:shd w:val="clear" w:color="auto" w:fill="E1DFDD"/>
    </w:rPr>
  </w:style>
  <w:style w:type="character" w:styleId="FollowedHyperlink">
    <w:name w:val="FollowedHyperlink"/>
    <w:basedOn w:val="DefaultParagraphFont"/>
    <w:semiHidden/>
    <w:unhideWhenUsed/>
    <w:rsid w:val="008A4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A-PCPUCASSESSMENTS@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73351-7122-4803-B925-09EFE5C7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2574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Maher;jmccracken@pa.gov</dc:creator>
  <cp:lastModifiedBy>McCracken, Jeffrey</cp:lastModifiedBy>
  <cp:revision>2</cp:revision>
  <cp:lastPrinted>2018-09-26T14:32:00Z</cp:lastPrinted>
  <dcterms:created xsi:type="dcterms:W3CDTF">2025-06-04T17:57:00Z</dcterms:created>
  <dcterms:modified xsi:type="dcterms:W3CDTF">2025-06-04T17:57:00Z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y fmtid="{D5CDD505-2E9C-101B-9397-08002B2CF9AE}" pid="3" name="GrammarlyDocumentId">
    <vt:lpwstr>f143acd3-b3e0-4d47-97a6-e21fc41a515a</vt:lpwstr>
  </property>
</Properties>
</file>