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DB" w:rsidRPr="00AB3A1E" w:rsidRDefault="001A69DB" w:rsidP="00DA068E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  <w:r w:rsidRPr="00AB3A1E">
        <w:rPr>
          <w:rFonts w:ascii="Times New Roman" w:hAnsi="Times New Roman"/>
          <w:b/>
          <w:sz w:val="26"/>
          <w:szCs w:val="24"/>
        </w:rPr>
        <w:t>PENNSYLVANIA PUBLIC UTILITY COMMISSION</w:t>
      </w:r>
    </w:p>
    <w:p w:rsidR="001A69DB" w:rsidRPr="00AB3A1E" w:rsidRDefault="001A69DB" w:rsidP="00DA068E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  <w:r w:rsidRPr="00AB3A1E">
        <w:rPr>
          <w:rFonts w:ascii="Times New Roman" w:hAnsi="Times New Roman"/>
          <w:b/>
          <w:sz w:val="26"/>
          <w:szCs w:val="24"/>
        </w:rPr>
        <w:t>HARRISBURG, PENNSYLVANIA 17105-3265</w:t>
      </w:r>
    </w:p>
    <w:p w:rsidR="001A69DB" w:rsidRPr="00AB3A1E" w:rsidRDefault="001A69DB" w:rsidP="00DA068E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</w:p>
    <w:p w:rsidR="001A69DB" w:rsidRPr="00AB3A1E" w:rsidRDefault="001A69DB" w:rsidP="00DA068E">
      <w:pPr>
        <w:pStyle w:val="NoSpacing"/>
        <w:rPr>
          <w:rFonts w:ascii="Times New Roman" w:hAnsi="Times New Roman"/>
          <w:b/>
          <w:sz w:val="26"/>
          <w:szCs w:val="24"/>
        </w:rPr>
      </w:pPr>
      <w:r w:rsidRPr="00AB3A1E">
        <w:rPr>
          <w:rFonts w:ascii="Times New Roman" w:hAnsi="Times New Roman"/>
          <w:b/>
          <w:sz w:val="26"/>
          <w:szCs w:val="24"/>
        </w:rPr>
        <w:t>William J. Borlak</w:t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  <w:t>Public Meeting Held June 18, 2009</w:t>
      </w:r>
    </w:p>
    <w:p w:rsidR="001A69DB" w:rsidRPr="00AB3A1E" w:rsidRDefault="001A69DB" w:rsidP="00DA068E">
      <w:pPr>
        <w:pStyle w:val="NoSpacing"/>
        <w:rPr>
          <w:rFonts w:ascii="Times New Roman" w:hAnsi="Times New Roman"/>
          <w:b/>
          <w:sz w:val="26"/>
          <w:szCs w:val="24"/>
        </w:rPr>
      </w:pPr>
      <w:r w:rsidRPr="00AB3A1E">
        <w:rPr>
          <w:rFonts w:ascii="Times New Roman" w:hAnsi="Times New Roman"/>
          <w:b/>
          <w:sz w:val="26"/>
          <w:szCs w:val="24"/>
        </w:rPr>
        <w:tab/>
        <w:t>v.</w:t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  <w:t>2064344-ALJ</w:t>
      </w:r>
    </w:p>
    <w:p w:rsidR="001A69DB" w:rsidRPr="00AB3A1E" w:rsidRDefault="001A69DB" w:rsidP="00DA068E">
      <w:pPr>
        <w:pStyle w:val="NoSpacing"/>
        <w:rPr>
          <w:rFonts w:ascii="Times New Roman" w:hAnsi="Times New Roman"/>
          <w:b/>
          <w:sz w:val="26"/>
          <w:szCs w:val="24"/>
        </w:rPr>
      </w:pPr>
      <w:r w:rsidRPr="00AB3A1E">
        <w:rPr>
          <w:rFonts w:ascii="Times New Roman" w:hAnsi="Times New Roman"/>
          <w:b/>
          <w:sz w:val="26"/>
          <w:szCs w:val="24"/>
        </w:rPr>
        <w:t>Columbia Gas of Pennsylvania, Inc.</w:t>
      </w:r>
      <w:r w:rsidRPr="00AB3A1E">
        <w:rPr>
          <w:rFonts w:ascii="Times New Roman" w:hAnsi="Times New Roman"/>
          <w:b/>
          <w:sz w:val="26"/>
          <w:szCs w:val="24"/>
        </w:rPr>
        <w:tab/>
      </w:r>
      <w:r w:rsidRPr="00AB3A1E">
        <w:rPr>
          <w:rFonts w:ascii="Times New Roman" w:hAnsi="Times New Roman"/>
          <w:b/>
          <w:sz w:val="26"/>
          <w:szCs w:val="24"/>
        </w:rPr>
        <w:tab/>
        <w:t>Docket No. C-2008-2064344</w:t>
      </w:r>
    </w:p>
    <w:p w:rsidR="001A69DB" w:rsidRPr="00AB3A1E" w:rsidRDefault="001A69DB" w:rsidP="00DA068E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1A69DB" w:rsidRPr="00AB3A1E" w:rsidRDefault="001A69DB" w:rsidP="00DA068E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1A69DB" w:rsidRPr="00AB3A1E" w:rsidRDefault="001A69DB" w:rsidP="00DA068E">
      <w:pPr>
        <w:pStyle w:val="NoSpacing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AB3A1E">
        <w:rPr>
          <w:rFonts w:ascii="Times New Roman" w:hAnsi="Times New Roman"/>
          <w:b/>
          <w:sz w:val="26"/>
          <w:szCs w:val="24"/>
          <w:u w:val="single"/>
        </w:rPr>
        <w:t>Motion of Commissioner Wayne E. Gardner</w:t>
      </w:r>
    </w:p>
    <w:p w:rsidR="0066128B" w:rsidRPr="00AB3A1E" w:rsidRDefault="0066128B" w:rsidP="00DA068E">
      <w:pPr>
        <w:pStyle w:val="NoSpacing"/>
        <w:rPr>
          <w:rFonts w:ascii="Times New Roman" w:hAnsi="Times New Roman"/>
          <w:sz w:val="26"/>
          <w:szCs w:val="24"/>
          <w:u w:val="single"/>
        </w:rPr>
      </w:pPr>
    </w:p>
    <w:p w:rsidR="0066128B" w:rsidRPr="00AB3A1E" w:rsidRDefault="0066128B" w:rsidP="00DA068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hAnsi="Times New Roman" w:cs="Times New Roman"/>
          <w:sz w:val="26"/>
          <w:szCs w:val="24"/>
        </w:rPr>
        <w:t>On Septembe</w:t>
      </w:r>
      <w:r w:rsidR="00EB186C" w:rsidRPr="00AB3A1E">
        <w:rPr>
          <w:rFonts w:ascii="Times New Roman" w:hAnsi="Times New Roman" w:cs="Times New Roman"/>
          <w:sz w:val="26"/>
          <w:szCs w:val="24"/>
        </w:rPr>
        <w:t>r 12, 2008, Mr. Borlak filed a Formal C</w:t>
      </w:r>
      <w:r w:rsidRPr="00AB3A1E">
        <w:rPr>
          <w:rFonts w:ascii="Times New Roman" w:hAnsi="Times New Roman" w:cs="Times New Roman"/>
          <w:sz w:val="26"/>
          <w:szCs w:val="24"/>
        </w:rPr>
        <w:t xml:space="preserve">omplaint with the Commission alleging that Columbia Gas improperly charged excessive rates for two </w:t>
      </w:r>
      <w:r w:rsidR="008E3755" w:rsidRPr="00AB3A1E">
        <w:rPr>
          <w:rFonts w:ascii="Times New Roman" w:hAnsi="Times New Roman" w:cs="Times New Roman"/>
          <w:sz w:val="26"/>
          <w:szCs w:val="24"/>
        </w:rPr>
        <w:t xml:space="preserve">residential </w:t>
      </w:r>
      <w:r w:rsidRPr="00AB3A1E">
        <w:rPr>
          <w:rFonts w:ascii="Times New Roman" w:hAnsi="Times New Roman" w:cs="Times New Roman"/>
          <w:sz w:val="26"/>
          <w:szCs w:val="24"/>
        </w:rPr>
        <w:t>rental units he owned</w:t>
      </w:r>
      <w:r w:rsidR="00EB186C" w:rsidRPr="00AB3A1E">
        <w:rPr>
          <w:rFonts w:ascii="Times New Roman" w:hAnsi="Times New Roman" w:cs="Times New Roman"/>
          <w:sz w:val="26"/>
          <w:szCs w:val="24"/>
        </w:rPr>
        <w:t>.  After filing his C</w:t>
      </w:r>
      <w:r w:rsidRPr="00AB3A1E">
        <w:rPr>
          <w:rFonts w:ascii="Times New Roman" w:hAnsi="Times New Roman" w:cs="Times New Roman"/>
          <w:sz w:val="26"/>
          <w:szCs w:val="24"/>
        </w:rPr>
        <w:t>omplaint but before the hearing, Mr. Borlak filed for bankruptcy</w:t>
      </w:r>
      <w:r w:rsidR="008E3755" w:rsidRPr="00AB3A1E">
        <w:rPr>
          <w:rFonts w:ascii="Times New Roman" w:hAnsi="Times New Roman" w:cs="Times New Roman"/>
          <w:sz w:val="26"/>
          <w:szCs w:val="24"/>
        </w:rPr>
        <w:t xml:space="preserve"> protection</w:t>
      </w:r>
      <w:r w:rsidRPr="00AB3A1E">
        <w:rPr>
          <w:rFonts w:ascii="Times New Roman" w:hAnsi="Times New Roman" w:cs="Times New Roman"/>
          <w:sz w:val="26"/>
          <w:szCs w:val="24"/>
        </w:rPr>
        <w:t>.  At the hearing, he requested a contin</w:t>
      </w:r>
      <w:r w:rsidR="008E3755" w:rsidRPr="00AB3A1E">
        <w:rPr>
          <w:rFonts w:ascii="Times New Roman" w:hAnsi="Times New Roman" w:cs="Times New Roman"/>
          <w:sz w:val="26"/>
          <w:szCs w:val="24"/>
        </w:rPr>
        <w:t>uance in order to submit proof of this filing</w:t>
      </w:r>
      <w:r w:rsidRPr="00AB3A1E">
        <w:rPr>
          <w:rFonts w:ascii="Times New Roman" w:hAnsi="Times New Roman" w:cs="Times New Roman"/>
          <w:sz w:val="26"/>
          <w:szCs w:val="24"/>
        </w:rPr>
        <w:t xml:space="preserve">.  The </w:t>
      </w:r>
      <w:r w:rsidR="00292250" w:rsidRPr="00AB3A1E">
        <w:rPr>
          <w:rFonts w:ascii="Times New Roman" w:hAnsi="Times New Roman" w:cs="Times New Roman"/>
          <w:sz w:val="26"/>
          <w:szCs w:val="24"/>
        </w:rPr>
        <w:t>Administrative law Judge (</w:t>
      </w:r>
      <w:r w:rsidRPr="00AB3A1E">
        <w:rPr>
          <w:rFonts w:ascii="Times New Roman" w:hAnsi="Times New Roman" w:cs="Times New Roman"/>
          <w:sz w:val="26"/>
          <w:szCs w:val="24"/>
        </w:rPr>
        <w:t>ALJ</w:t>
      </w:r>
      <w:r w:rsidR="00292250" w:rsidRPr="00AB3A1E">
        <w:rPr>
          <w:rFonts w:ascii="Times New Roman" w:hAnsi="Times New Roman" w:cs="Times New Roman"/>
          <w:sz w:val="26"/>
          <w:szCs w:val="24"/>
        </w:rPr>
        <w:t>)</w:t>
      </w:r>
      <w:r w:rsidRPr="00AB3A1E">
        <w:rPr>
          <w:rFonts w:ascii="Times New Roman" w:hAnsi="Times New Roman" w:cs="Times New Roman"/>
          <w:sz w:val="26"/>
          <w:szCs w:val="24"/>
        </w:rPr>
        <w:t xml:space="preserve"> granted the continuance and Mr. Borlak submitted the necessary proof</w:t>
      </w:r>
      <w:r w:rsidR="00292250" w:rsidRPr="00AB3A1E">
        <w:rPr>
          <w:rFonts w:ascii="Times New Roman" w:hAnsi="Times New Roman" w:cs="Times New Roman"/>
          <w:sz w:val="26"/>
          <w:szCs w:val="24"/>
        </w:rPr>
        <w:t xml:space="preserve">. </w:t>
      </w:r>
      <w:r w:rsidRPr="00AB3A1E">
        <w:rPr>
          <w:rFonts w:ascii="Times New Roman" w:hAnsi="Times New Roman" w:cs="Times New Roman"/>
          <w:sz w:val="26"/>
          <w:szCs w:val="24"/>
        </w:rPr>
        <w:t xml:space="preserve">  </w:t>
      </w:r>
    </w:p>
    <w:p w:rsidR="00DA068E" w:rsidRPr="00AB3A1E" w:rsidRDefault="00DA068E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FD6C6A" w:rsidRPr="00AB3A1E" w:rsidRDefault="00292250" w:rsidP="00DA068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hAnsi="Times New Roman" w:cs="Times New Roman"/>
          <w:sz w:val="26"/>
          <w:szCs w:val="24"/>
        </w:rPr>
        <w:t xml:space="preserve">By Initial Decision issued March 24, 2009, ALJ Katrina </w:t>
      </w:r>
      <w:r w:rsidR="00946FFE" w:rsidRPr="00AB3A1E">
        <w:rPr>
          <w:rFonts w:ascii="Times New Roman" w:hAnsi="Times New Roman" w:cs="Times New Roman"/>
          <w:sz w:val="26"/>
          <w:szCs w:val="24"/>
        </w:rPr>
        <w:t>Dunderdale dismissed the C</w:t>
      </w:r>
      <w:r w:rsidRPr="00AB3A1E">
        <w:rPr>
          <w:rFonts w:ascii="Times New Roman" w:hAnsi="Times New Roman" w:cs="Times New Roman"/>
          <w:sz w:val="26"/>
          <w:szCs w:val="24"/>
        </w:rPr>
        <w:t xml:space="preserve">omplaint before any further hearings were held.  </w:t>
      </w:r>
      <w:r w:rsidR="007928FD" w:rsidRPr="00AB3A1E">
        <w:rPr>
          <w:rFonts w:ascii="Times New Roman" w:hAnsi="Times New Roman" w:cs="Times New Roman"/>
          <w:sz w:val="26"/>
          <w:szCs w:val="24"/>
        </w:rPr>
        <w:t xml:space="preserve">Relying on </w:t>
      </w:r>
      <w:r w:rsidR="008F444C" w:rsidRPr="00AB3A1E">
        <w:rPr>
          <w:rFonts w:ascii="Times New Roman" w:hAnsi="Times New Roman" w:cs="Times New Roman"/>
          <w:sz w:val="26"/>
          <w:szCs w:val="24"/>
        </w:rPr>
        <w:t xml:space="preserve">11 U.S.C. § 362(a)(1) and </w:t>
      </w:r>
      <w:r w:rsidR="00DA068E" w:rsidRPr="00AB3A1E">
        <w:rPr>
          <w:rFonts w:ascii="Times New Roman" w:hAnsi="Times New Roman" w:cs="Times New Roman"/>
          <w:sz w:val="26"/>
          <w:szCs w:val="24"/>
        </w:rPr>
        <w:t>28 U.S.C.</w:t>
      </w:r>
      <w:r w:rsidR="00E00382" w:rsidRPr="00AB3A1E">
        <w:rPr>
          <w:rFonts w:ascii="Times New Roman" w:hAnsi="Times New Roman" w:cs="Times New Roman"/>
          <w:sz w:val="26"/>
          <w:szCs w:val="24"/>
        </w:rPr>
        <w:t xml:space="preserve"> </w:t>
      </w:r>
      <w:r w:rsidR="007928FD" w:rsidRPr="00AB3A1E">
        <w:rPr>
          <w:rFonts w:ascii="Times New Roman" w:hAnsi="Times New Roman" w:cs="Times New Roman"/>
          <w:sz w:val="26"/>
          <w:szCs w:val="24"/>
        </w:rPr>
        <w:t>§</w:t>
      </w:r>
      <w:r w:rsidR="00E00382" w:rsidRPr="00AB3A1E">
        <w:rPr>
          <w:rFonts w:ascii="Times New Roman" w:hAnsi="Times New Roman" w:cs="Times New Roman"/>
          <w:sz w:val="26"/>
          <w:szCs w:val="24"/>
        </w:rPr>
        <w:t xml:space="preserve"> </w:t>
      </w:r>
      <w:r w:rsidR="007928FD" w:rsidRPr="00AB3A1E">
        <w:rPr>
          <w:rFonts w:ascii="Times New Roman" w:hAnsi="Times New Roman" w:cs="Times New Roman"/>
          <w:sz w:val="26"/>
          <w:szCs w:val="24"/>
        </w:rPr>
        <w:t>1334</w:t>
      </w:r>
      <w:r w:rsidR="00172046" w:rsidRPr="00AB3A1E">
        <w:rPr>
          <w:rFonts w:ascii="Times New Roman" w:hAnsi="Times New Roman" w:cs="Times New Roman"/>
          <w:sz w:val="26"/>
          <w:szCs w:val="24"/>
        </w:rPr>
        <w:t>(e)(1)</w:t>
      </w:r>
      <w:r w:rsidR="00946FFE" w:rsidRPr="00AB3A1E">
        <w:rPr>
          <w:rFonts w:ascii="Times New Roman" w:hAnsi="Times New Roman" w:cs="Times New Roman"/>
          <w:sz w:val="26"/>
          <w:szCs w:val="24"/>
        </w:rPr>
        <w:t>,</w:t>
      </w:r>
      <w:r w:rsidR="00D04713" w:rsidRPr="00AB3A1E">
        <w:rPr>
          <w:rStyle w:val="FootnoteReference"/>
          <w:rFonts w:ascii="Times New Roman" w:hAnsi="Times New Roman" w:cs="Times New Roman"/>
          <w:sz w:val="26"/>
          <w:szCs w:val="24"/>
        </w:rPr>
        <w:footnoteReference w:id="2"/>
      </w:r>
      <w:r w:rsidR="007928FD" w:rsidRPr="00AB3A1E">
        <w:rPr>
          <w:rFonts w:ascii="Times New Roman" w:hAnsi="Times New Roman" w:cs="Times New Roman"/>
          <w:sz w:val="26"/>
          <w:szCs w:val="24"/>
        </w:rPr>
        <w:t xml:space="preserve"> the ALJ found that because Mr. Borlak had filed for bankruptcy, the Commission no longer had subjec</w:t>
      </w:r>
      <w:r w:rsidR="00946FFE" w:rsidRPr="00AB3A1E">
        <w:rPr>
          <w:rFonts w:ascii="Times New Roman" w:hAnsi="Times New Roman" w:cs="Times New Roman"/>
          <w:sz w:val="26"/>
          <w:szCs w:val="24"/>
        </w:rPr>
        <w:t>t matter jurisdiction over the C</w:t>
      </w:r>
      <w:r w:rsidR="007928FD" w:rsidRPr="00AB3A1E">
        <w:rPr>
          <w:rFonts w:ascii="Times New Roman" w:hAnsi="Times New Roman" w:cs="Times New Roman"/>
          <w:sz w:val="26"/>
          <w:szCs w:val="24"/>
        </w:rPr>
        <w:t>omplaint.</w:t>
      </w:r>
      <w:r w:rsidR="00CD4322" w:rsidRPr="00AB3A1E">
        <w:rPr>
          <w:rFonts w:ascii="Times New Roman" w:hAnsi="Times New Roman" w:cs="Times New Roman"/>
          <w:sz w:val="26"/>
          <w:szCs w:val="24"/>
        </w:rPr>
        <w:t xml:space="preserve">  </w:t>
      </w:r>
    </w:p>
    <w:p w:rsidR="00DA068E" w:rsidRPr="00AB3A1E" w:rsidRDefault="00DA068E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292250" w:rsidRPr="00AB3A1E" w:rsidRDefault="00316922" w:rsidP="00DA068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hAnsi="Times New Roman" w:cs="Times New Roman"/>
          <w:sz w:val="26"/>
          <w:szCs w:val="24"/>
        </w:rPr>
        <w:t>The ALJ’s conclusion is based on an anal</w:t>
      </w:r>
      <w:r w:rsidR="00F34085" w:rsidRPr="00AB3A1E">
        <w:rPr>
          <w:rFonts w:ascii="Times New Roman" w:hAnsi="Times New Roman" w:cs="Times New Roman"/>
          <w:sz w:val="26"/>
          <w:szCs w:val="24"/>
        </w:rPr>
        <w:t xml:space="preserve">ysis of relevant sections of </w:t>
      </w:r>
      <w:r w:rsidRPr="00AB3A1E">
        <w:rPr>
          <w:rFonts w:ascii="Times New Roman" w:hAnsi="Times New Roman" w:cs="Times New Roman"/>
          <w:sz w:val="26"/>
          <w:szCs w:val="24"/>
        </w:rPr>
        <w:t>federal bankruptcy laws</w:t>
      </w:r>
      <w:r w:rsidR="00BB37AA" w:rsidRPr="00AB3A1E">
        <w:rPr>
          <w:rFonts w:ascii="Times New Roman" w:hAnsi="Times New Roman" w:cs="Times New Roman"/>
          <w:sz w:val="26"/>
          <w:szCs w:val="24"/>
        </w:rPr>
        <w:t xml:space="preserve">.  </w:t>
      </w:r>
      <w:r w:rsidR="00F34085" w:rsidRPr="00AB3A1E">
        <w:rPr>
          <w:rFonts w:ascii="Times New Roman" w:hAnsi="Times New Roman" w:cs="Times New Roman"/>
          <w:sz w:val="26"/>
          <w:szCs w:val="24"/>
        </w:rPr>
        <w:t xml:space="preserve">Section </w:t>
      </w:r>
      <w:r w:rsidR="00475B4B" w:rsidRPr="00AB3A1E">
        <w:rPr>
          <w:rFonts w:ascii="Times New Roman" w:hAnsi="Times New Roman" w:cs="Times New Roman"/>
          <w:sz w:val="26"/>
          <w:szCs w:val="24"/>
        </w:rPr>
        <w:t>362(a)(1)</w:t>
      </w:r>
      <w:r w:rsidR="00F34085" w:rsidRPr="00AB3A1E">
        <w:rPr>
          <w:rFonts w:ascii="Times New Roman" w:hAnsi="Times New Roman" w:cs="Times New Roman"/>
          <w:sz w:val="26"/>
          <w:szCs w:val="24"/>
        </w:rPr>
        <w:t xml:space="preserve"> of </w:t>
      </w:r>
      <w:r w:rsidR="00534AA0" w:rsidRPr="00AB3A1E">
        <w:rPr>
          <w:rFonts w:ascii="Times New Roman" w:hAnsi="Times New Roman" w:cs="Times New Roman"/>
          <w:sz w:val="26"/>
          <w:szCs w:val="24"/>
        </w:rPr>
        <w:t>Title 11, United States Code, states</w:t>
      </w:r>
      <w:r w:rsidR="00475B4B" w:rsidRPr="00AB3A1E">
        <w:rPr>
          <w:rFonts w:ascii="Times New Roman" w:hAnsi="Times New Roman" w:cs="Times New Roman"/>
          <w:sz w:val="26"/>
          <w:szCs w:val="24"/>
        </w:rPr>
        <w:t xml:space="preserve"> that a filed bankruptcy petition operates as a stay and bars any administrative actio</w:t>
      </w:r>
      <w:r w:rsidR="00CD4322" w:rsidRPr="00AB3A1E">
        <w:rPr>
          <w:rFonts w:ascii="Times New Roman" w:hAnsi="Times New Roman" w:cs="Times New Roman"/>
          <w:sz w:val="26"/>
          <w:szCs w:val="24"/>
        </w:rPr>
        <w:t>n against the debtor</w:t>
      </w:r>
      <w:r w:rsidR="00FD6C6A" w:rsidRPr="00AB3A1E">
        <w:rPr>
          <w:rFonts w:ascii="Times New Roman" w:hAnsi="Times New Roman" w:cs="Times New Roman"/>
          <w:sz w:val="26"/>
          <w:szCs w:val="24"/>
        </w:rPr>
        <w:t xml:space="preserve"> to recover a claim against the debtor</w:t>
      </w:r>
      <w:r w:rsidR="003C15F0" w:rsidRPr="00AB3A1E">
        <w:rPr>
          <w:rFonts w:ascii="Times New Roman" w:hAnsi="Times New Roman" w:cs="Times New Roman"/>
          <w:sz w:val="26"/>
          <w:szCs w:val="24"/>
        </w:rPr>
        <w:t xml:space="preserve">.  </w:t>
      </w:r>
      <w:r w:rsidR="00534AA0" w:rsidRPr="00AB3A1E">
        <w:rPr>
          <w:rFonts w:ascii="Times New Roman" w:hAnsi="Times New Roman" w:cs="Times New Roman"/>
          <w:sz w:val="26"/>
          <w:szCs w:val="24"/>
        </w:rPr>
        <w:t>Section 1334</w:t>
      </w:r>
      <w:r w:rsidR="00475B4B" w:rsidRPr="00AB3A1E">
        <w:rPr>
          <w:rFonts w:ascii="Times New Roman" w:hAnsi="Times New Roman" w:cs="Times New Roman"/>
          <w:sz w:val="26"/>
          <w:szCs w:val="24"/>
        </w:rPr>
        <w:t xml:space="preserve">(e)(1) </w:t>
      </w:r>
      <w:r w:rsidR="00585169" w:rsidRPr="00AB3A1E">
        <w:rPr>
          <w:rFonts w:ascii="Times New Roman" w:hAnsi="Times New Roman" w:cs="Times New Roman"/>
          <w:sz w:val="26"/>
          <w:szCs w:val="24"/>
        </w:rPr>
        <w:t>of</w:t>
      </w:r>
      <w:r w:rsidR="00534AA0" w:rsidRPr="00AB3A1E">
        <w:rPr>
          <w:rFonts w:ascii="Times New Roman" w:hAnsi="Times New Roman" w:cs="Times New Roman"/>
          <w:sz w:val="26"/>
          <w:szCs w:val="24"/>
        </w:rPr>
        <w:t xml:space="preserve"> Title 28, United States Code, </w:t>
      </w:r>
      <w:r w:rsidR="00475B4B" w:rsidRPr="00AB3A1E">
        <w:rPr>
          <w:rFonts w:ascii="Times New Roman" w:hAnsi="Times New Roman" w:cs="Times New Roman"/>
          <w:sz w:val="26"/>
          <w:szCs w:val="24"/>
        </w:rPr>
        <w:t>states that</w:t>
      </w:r>
      <w:r w:rsidR="00CD4322" w:rsidRPr="00AB3A1E">
        <w:rPr>
          <w:rFonts w:ascii="Times New Roman" w:hAnsi="Times New Roman" w:cs="Times New Roman"/>
          <w:sz w:val="26"/>
          <w:szCs w:val="24"/>
        </w:rPr>
        <w:t xml:space="preserve"> after the filing of a bankruptcy petition</w:t>
      </w:r>
      <w:r w:rsidR="002C6DEC" w:rsidRPr="00AB3A1E">
        <w:rPr>
          <w:rFonts w:ascii="Times New Roman" w:hAnsi="Times New Roman" w:cs="Times New Roman"/>
          <w:sz w:val="26"/>
          <w:szCs w:val="24"/>
        </w:rPr>
        <w:t>,</w:t>
      </w:r>
      <w:r w:rsidR="00CD4322" w:rsidRPr="00AB3A1E">
        <w:rPr>
          <w:rFonts w:ascii="Times New Roman" w:hAnsi="Times New Roman" w:cs="Times New Roman"/>
          <w:sz w:val="26"/>
          <w:szCs w:val="24"/>
        </w:rPr>
        <w:t xml:space="preserve"> the Bankruptcy Court has exclusive jurisdiction over all property belonging to the debtor.  The ALJ reasoned that </w:t>
      </w:r>
      <w:r w:rsidR="004C07CD" w:rsidRPr="00AB3A1E">
        <w:rPr>
          <w:rFonts w:ascii="Times New Roman" w:hAnsi="Times New Roman" w:cs="Times New Roman"/>
          <w:sz w:val="26"/>
          <w:szCs w:val="24"/>
        </w:rPr>
        <w:t>because Mr. Borlak had filed for bankruptcy, the Commission had no jurisdiction o</w:t>
      </w:r>
      <w:r w:rsidR="009537D2" w:rsidRPr="00AB3A1E">
        <w:rPr>
          <w:rFonts w:ascii="Times New Roman" w:hAnsi="Times New Roman" w:cs="Times New Roman"/>
          <w:sz w:val="26"/>
          <w:szCs w:val="24"/>
        </w:rPr>
        <w:t>ver the two debts owed the Respondent because they had been incurred before the bankruptcy filing and were listed as debts with the Bankruptcy Court</w:t>
      </w:r>
      <w:r w:rsidRPr="00AB3A1E">
        <w:rPr>
          <w:rFonts w:ascii="Times New Roman" w:hAnsi="Times New Roman" w:cs="Times New Roman"/>
          <w:sz w:val="26"/>
          <w:szCs w:val="24"/>
        </w:rPr>
        <w:t>.  The ALJ found that</w:t>
      </w:r>
      <w:r w:rsidR="008E3755" w:rsidRPr="00AB3A1E">
        <w:rPr>
          <w:rFonts w:ascii="Times New Roman" w:hAnsi="Times New Roman" w:cs="Times New Roman"/>
          <w:sz w:val="26"/>
          <w:szCs w:val="24"/>
        </w:rPr>
        <w:t xml:space="preserve"> the Bankruptcy Court will</w:t>
      </w:r>
      <w:r w:rsidR="009537D2" w:rsidRPr="00AB3A1E">
        <w:rPr>
          <w:rFonts w:ascii="Times New Roman" w:hAnsi="Times New Roman" w:cs="Times New Roman"/>
          <w:sz w:val="26"/>
          <w:szCs w:val="24"/>
        </w:rPr>
        <w:t xml:space="preserve"> have to decide what, if anything, Mr. Borlak owes the Respondent.</w:t>
      </w:r>
    </w:p>
    <w:p w:rsidR="00DA068E" w:rsidRPr="00AB3A1E" w:rsidRDefault="00DA068E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62245A" w:rsidRPr="00AB3A1E" w:rsidRDefault="0062245A" w:rsidP="00DA068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hAnsi="Times New Roman" w:cs="Times New Roman"/>
          <w:sz w:val="26"/>
          <w:szCs w:val="24"/>
        </w:rPr>
        <w:t>It is true that the Bankruptcy Court has exclusive jurisdiction over the Complainant</w:t>
      </w:r>
      <w:r w:rsidR="008E3755" w:rsidRPr="00AB3A1E">
        <w:rPr>
          <w:rFonts w:ascii="Times New Roman" w:hAnsi="Times New Roman" w:cs="Times New Roman"/>
          <w:sz w:val="26"/>
          <w:szCs w:val="24"/>
        </w:rPr>
        <w:t>’</w:t>
      </w:r>
      <w:r w:rsidRPr="00AB3A1E">
        <w:rPr>
          <w:rFonts w:ascii="Times New Roman" w:hAnsi="Times New Roman" w:cs="Times New Roman"/>
          <w:sz w:val="26"/>
          <w:szCs w:val="24"/>
        </w:rPr>
        <w:t xml:space="preserve">s property and </w:t>
      </w:r>
      <w:r w:rsidR="008E3755" w:rsidRPr="00AB3A1E">
        <w:rPr>
          <w:rFonts w:ascii="Times New Roman" w:hAnsi="Times New Roman" w:cs="Times New Roman"/>
          <w:sz w:val="26"/>
          <w:szCs w:val="24"/>
        </w:rPr>
        <w:t xml:space="preserve">that </w:t>
      </w:r>
      <w:r w:rsidRPr="00AB3A1E">
        <w:rPr>
          <w:rFonts w:ascii="Times New Roman" w:hAnsi="Times New Roman" w:cs="Times New Roman"/>
          <w:sz w:val="26"/>
          <w:szCs w:val="24"/>
        </w:rPr>
        <w:t>the Commission cannot order a payment arrangement.</w:t>
      </w:r>
      <w:r w:rsidR="00316922" w:rsidRPr="00AB3A1E">
        <w:rPr>
          <w:rFonts w:ascii="Times New Roman" w:hAnsi="Times New Roman" w:cs="Times New Roman"/>
          <w:sz w:val="26"/>
          <w:szCs w:val="24"/>
        </w:rPr>
        <w:t xml:space="preserve">  However, </w:t>
      </w:r>
      <w:r w:rsidR="008E3755" w:rsidRPr="00AB3A1E">
        <w:rPr>
          <w:rFonts w:ascii="Times New Roman" w:hAnsi="Times New Roman" w:cs="Times New Roman"/>
          <w:sz w:val="26"/>
          <w:szCs w:val="24"/>
        </w:rPr>
        <w:t xml:space="preserve">on its face </w:t>
      </w:r>
      <w:r w:rsidR="00316922" w:rsidRPr="00AB3A1E">
        <w:rPr>
          <w:rFonts w:ascii="Times New Roman" w:hAnsi="Times New Roman" w:cs="Times New Roman"/>
          <w:sz w:val="26"/>
          <w:szCs w:val="24"/>
        </w:rPr>
        <w:t>the Complaint alleges excessive rates</w:t>
      </w:r>
      <w:r w:rsidR="008E3755" w:rsidRPr="00AB3A1E">
        <w:rPr>
          <w:rFonts w:ascii="Times New Roman" w:hAnsi="Times New Roman" w:cs="Times New Roman"/>
          <w:sz w:val="26"/>
          <w:szCs w:val="24"/>
        </w:rPr>
        <w:t>, a matter under</w:t>
      </w:r>
      <w:r w:rsidR="00454627" w:rsidRPr="00AB3A1E">
        <w:rPr>
          <w:rFonts w:ascii="Times New Roman" w:hAnsi="Times New Roman" w:cs="Times New Roman"/>
          <w:sz w:val="26"/>
          <w:szCs w:val="24"/>
        </w:rPr>
        <w:t xml:space="preserve"> Commission jurisdiction.</w:t>
      </w:r>
      <w:r w:rsidR="002E3C05" w:rsidRPr="00AB3A1E">
        <w:rPr>
          <w:rFonts w:ascii="Times New Roman" w:hAnsi="Times New Roman" w:cs="Times New Roman"/>
          <w:sz w:val="26"/>
          <w:szCs w:val="24"/>
        </w:rPr>
        <w:t xml:space="preserve"> </w:t>
      </w:r>
      <w:r w:rsidR="00946FFE" w:rsidRPr="00AB3A1E">
        <w:rPr>
          <w:rFonts w:ascii="Times New Roman" w:hAnsi="Times New Roman" w:cs="Times New Roman"/>
          <w:sz w:val="26"/>
          <w:szCs w:val="24"/>
        </w:rPr>
        <w:t xml:space="preserve"> </w:t>
      </w:r>
      <w:r w:rsidR="002E3C05" w:rsidRPr="00AB3A1E">
        <w:rPr>
          <w:rFonts w:ascii="Times New Roman" w:hAnsi="Times New Roman" w:cs="Times New Roman"/>
          <w:sz w:val="26"/>
          <w:szCs w:val="24"/>
        </w:rPr>
        <w:t>66 Pa.C.S. §</w:t>
      </w:r>
      <w:r w:rsidR="00E00382" w:rsidRPr="00AB3A1E">
        <w:rPr>
          <w:rFonts w:ascii="Times New Roman" w:hAnsi="Times New Roman" w:cs="Times New Roman"/>
          <w:sz w:val="26"/>
          <w:szCs w:val="24"/>
        </w:rPr>
        <w:t>§ 1301, 1303</w:t>
      </w:r>
      <w:r w:rsidR="0077077B" w:rsidRPr="00AB3A1E">
        <w:rPr>
          <w:rFonts w:ascii="Times New Roman" w:hAnsi="Times New Roman" w:cs="Times New Roman"/>
          <w:sz w:val="26"/>
          <w:szCs w:val="24"/>
        </w:rPr>
        <w:t xml:space="preserve">.  </w:t>
      </w:r>
      <w:r w:rsidR="00946FFE" w:rsidRPr="00AB3A1E">
        <w:rPr>
          <w:rFonts w:ascii="Times New Roman" w:hAnsi="Times New Roman" w:cs="Times New Roman"/>
          <w:sz w:val="26"/>
          <w:szCs w:val="24"/>
        </w:rPr>
        <w:t>To clarify</w:t>
      </w:r>
      <w:r w:rsidR="00870649" w:rsidRPr="00AB3A1E">
        <w:rPr>
          <w:rFonts w:ascii="Times New Roman" w:hAnsi="Times New Roman" w:cs="Times New Roman"/>
          <w:sz w:val="26"/>
          <w:szCs w:val="24"/>
        </w:rPr>
        <w:t xml:space="preserve">, Mr. Borlak has filed for bankruptcy protection and filed a claim with the Commission against Columbia Gas, Columbia Gas has not filed a claim with the Commission against Mr. Borlak.  Therefore 11 U.S.C. § </w:t>
      </w:r>
      <w:r w:rsidR="00870649" w:rsidRPr="00AB3A1E">
        <w:rPr>
          <w:rFonts w:ascii="Times New Roman" w:hAnsi="Times New Roman" w:cs="Times New Roman"/>
          <w:sz w:val="26"/>
          <w:szCs w:val="24"/>
        </w:rPr>
        <w:lastRenderedPageBreak/>
        <w:t>362(a)(1) does not apply.  That section prohibits claims against the debtor, not claims by the debtor.</w:t>
      </w:r>
    </w:p>
    <w:p w:rsidR="00DA068E" w:rsidRPr="00AB3A1E" w:rsidRDefault="00DA068E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331A5A" w:rsidRPr="00AB3A1E" w:rsidRDefault="00A5294A" w:rsidP="00DA068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hAnsi="Times New Roman" w:cs="Times New Roman"/>
          <w:sz w:val="26"/>
          <w:szCs w:val="24"/>
        </w:rPr>
        <w:t>This Commission has jurisdiction</w:t>
      </w:r>
      <w:r w:rsidR="00331A5A" w:rsidRPr="00AB3A1E">
        <w:rPr>
          <w:rFonts w:ascii="Times New Roman" w:hAnsi="Times New Roman" w:cs="Times New Roman"/>
          <w:sz w:val="26"/>
          <w:szCs w:val="24"/>
        </w:rPr>
        <w:t xml:space="preserve"> over the issue of excessive rates despite the fact that the Complainant has filed for bankruptcy protection.  We have previously held that when a Complainant files for bankruptcy protection, the Commission</w:t>
      </w:r>
      <w:r w:rsidR="00113385" w:rsidRPr="00AB3A1E">
        <w:rPr>
          <w:rFonts w:ascii="Times New Roman" w:hAnsi="Times New Roman" w:cs="Times New Roman"/>
          <w:sz w:val="26"/>
          <w:szCs w:val="24"/>
        </w:rPr>
        <w:t xml:space="preserve"> retains jurisdiction over issues concerning accuracy of billing.  </w:t>
      </w:r>
      <w:r w:rsidR="00113385" w:rsidRPr="00AB3A1E">
        <w:rPr>
          <w:rFonts w:ascii="Times New Roman" w:hAnsi="Times New Roman" w:cs="Times New Roman"/>
          <w:i/>
          <w:sz w:val="26"/>
          <w:szCs w:val="24"/>
        </w:rPr>
        <w:t>See</w:t>
      </w:r>
      <w:r w:rsidR="00E00382" w:rsidRPr="00AB3A1E">
        <w:rPr>
          <w:rFonts w:ascii="Times New Roman" w:hAnsi="Times New Roman" w:cs="Times New Roman"/>
          <w:i/>
          <w:sz w:val="26"/>
          <w:szCs w:val="24"/>
        </w:rPr>
        <w:t>,</w:t>
      </w:r>
      <w:r w:rsidR="00113385" w:rsidRPr="00AB3A1E">
        <w:rPr>
          <w:rFonts w:ascii="Times New Roman" w:hAnsi="Times New Roman" w:cs="Times New Roman"/>
          <w:i/>
          <w:sz w:val="26"/>
          <w:szCs w:val="24"/>
        </w:rPr>
        <w:t xml:space="preserve"> DeCristo v. Philadelphia Electric Company</w:t>
      </w:r>
      <w:r w:rsidR="00113385" w:rsidRPr="00AB3A1E">
        <w:rPr>
          <w:rFonts w:ascii="Times New Roman" w:hAnsi="Times New Roman" w:cs="Times New Roman"/>
          <w:sz w:val="26"/>
          <w:szCs w:val="24"/>
        </w:rPr>
        <w:t>, 56 Pa. P</w:t>
      </w:r>
      <w:r w:rsidR="00946FFE" w:rsidRPr="00AB3A1E">
        <w:rPr>
          <w:rFonts w:ascii="Times New Roman" w:hAnsi="Times New Roman" w:cs="Times New Roman"/>
          <w:sz w:val="26"/>
          <w:szCs w:val="24"/>
        </w:rPr>
        <w:t>.</w:t>
      </w:r>
      <w:r w:rsidR="00113385" w:rsidRPr="00AB3A1E">
        <w:rPr>
          <w:rFonts w:ascii="Times New Roman" w:hAnsi="Times New Roman" w:cs="Times New Roman"/>
          <w:sz w:val="26"/>
          <w:szCs w:val="24"/>
        </w:rPr>
        <w:t>U</w:t>
      </w:r>
      <w:r w:rsidR="00946FFE" w:rsidRPr="00AB3A1E">
        <w:rPr>
          <w:rFonts w:ascii="Times New Roman" w:hAnsi="Times New Roman" w:cs="Times New Roman"/>
          <w:sz w:val="26"/>
          <w:szCs w:val="24"/>
        </w:rPr>
        <w:t>.</w:t>
      </w:r>
      <w:r w:rsidR="00113385" w:rsidRPr="00AB3A1E">
        <w:rPr>
          <w:rFonts w:ascii="Times New Roman" w:hAnsi="Times New Roman" w:cs="Times New Roman"/>
          <w:sz w:val="26"/>
          <w:szCs w:val="24"/>
        </w:rPr>
        <w:t>C</w:t>
      </w:r>
      <w:r w:rsidR="00946FFE" w:rsidRPr="00AB3A1E">
        <w:rPr>
          <w:rFonts w:ascii="Times New Roman" w:hAnsi="Times New Roman" w:cs="Times New Roman"/>
          <w:sz w:val="26"/>
          <w:szCs w:val="24"/>
        </w:rPr>
        <w:t xml:space="preserve">. </w:t>
      </w:r>
      <w:r w:rsidR="00113385" w:rsidRPr="00AB3A1E">
        <w:rPr>
          <w:rFonts w:ascii="Times New Roman" w:hAnsi="Times New Roman" w:cs="Times New Roman"/>
          <w:sz w:val="26"/>
          <w:szCs w:val="24"/>
        </w:rPr>
        <w:t>95 (1982).</w:t>
      </w:r>
      <w:r w:rsidR="00A043A9" w:rsidRPr="00AB3A1E">
        <w:rPr>
          <w:rFonts w:ascii="Times New Roman" w:hAnsi="Times New Roman" w:cs="Times New Roman"/>
          <w:sz w:val="26"/>
          <w:szCs w:val="24"/>
        </w:rPr>
        <w:t xml:space="preserve">  </w:t>
      </w:r>
      <w:r w:rsidR="00E00382" w:rsidRPr="00AB3A1E">
        <w:rPr>
          <w:rFonts w:ascii="Times New Roman" w:eastAsia="Calibri" w:hAnsi="Times New Roman" w:cs="Times New Roman"/>
          <w:sz w:val="26"/>
          <w:szCs w:val="24"/>
        </w:rPr>
        <w:t>This proceeding should be remanded</w:t>
      </w:r>
      <w:r w:rsidR="00A043A9" w:rsidRPr="00AB3A1E">
        <w:rPr>
          <w:rFonts w:ascii="Times New Roman" w:eastAsia="Calibri" w:hAnsi="Times New Roman" w:cs="Times New Roman"/>
          <w:sz w:val="26"/>
          <w:szCs w:val="24"/>
        </w:rPr>
        <w:t xml:space="preserve"> to the Office of Administrative Law Judge</w:t>
      </w:r>
      <w:r w:rsidR="00A043A9" w:rsidRPr="00AB3A1E">
        <w:rPr>
          <w:rFonts w:ascii="Times New Roman" w:hAnsi="Times New Roman" w:cs="Times New Roman"/>
          <w:sz w:val="26"/>
          <w:szCs w:val="24"/>
        </w:rPr>
        <w:t xml:space="preserve"> for a hearing on the issue of excessive rates.</w:t>
      </w:r>
      <w:r w:rsidR="00A043A9" w:rsidRPr="00AB3A1E">
        <w:rPr>
          <w:rFonts w:ascii="Times New Roman" w:eastAsia="Calibri" w:hAnsi="Times New Roman" w:cs="Times New Roman"/>
          <w:sz w:val="26"/>
          <w:szCs w:val="24"/>
        </w:rPr>
        <w:t xml:space="preserve">    </w:t>
      </w:r>
    </w:p>
    <w:p w:rsidR="00A5294A" w:rsidRPr="00AB3A1E" w:rsidRDefault="00A5294A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A5294A" w:rsidRPr="00AB3A1E" w:rsidRDefault="00A5294A" w:rsidP="00DA068E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4"/>
        </w:rPr>
      </w:pPr>
      <w:r w:rsidRPr="00AB3A1E">
        <w:rPr>
          <w:rFonts w:ascii="Times New Roman" w:eastAsia="Calibri" w:hAnsi="Times New Roman" w:cs="Times New Roman"/>
          <w:b/>
          <w:sz w:val="26"/>
          <w:szCs w:val="24"/>
        </w:rPr>
        <w:t>Therefore, I move that</w:t>
      </w:r>
      <w:r w:rsidRPr="00AB3A1E">
        <w:rPr>
          <w:rFonts w:ascii="Times New Roman" w:eastAsia="Calibri" w:hAnsi="Times New Roman" w:cs="Times New Roman"/>
          <w:sz w:val="26"/>
          <w:szCs w:val="24"/>
        </w:rPr>
        <w:t>:</w:t>
      </w:r>
    </w:p>
    <w:p w:rsidR="00DA068E" w:rsidRPr="00AB3A1E" w:rsidRDefault="00DA068E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</w:p>
    <w:p w:rsidR="00A5294A" w:rsidRPr="00AB3A1E" w:rsidRDefault="00A5294A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  <w:r w:rsidRPr="00AB3A1E">
        <w:rPr>
          <w:rFonts w:ascii="Times New Roman" w:eastAsia="Calibri" w:hAnsi="Times New Roman" w:cs="Times New Roman"/>
          <w:sz w:val="26"/>
          <w:szCs w:val="24"/>
        </w:rPr>
        <w:t>1.</w:t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="00922E1E" w:rsidRPr="00AB3A1E">
        <w:rPr>
          <w:rFonts w:ascii="Times New Roman" w:hAnsi="Times New Roman" w:cs="Times New Roman"/>
          <w:sz w:val="26"/>
          <w:szCs w:val="24"/>
        </w:rPr>
        <w:t>This matter be remanded to the Office of Adminis</w:t>
      </w:r>
      <w:r w:rsidR="00423B79" w:rsidRPr="00AB3A1E">
        <w:rPr>
          <w:rFonts w:ascii="Times New Roman" w:hAnsi="Times New Roman" w:cs="Times New Roman"/>
          <w:sz w:val="26"/>
          <w:szCs w:val="24"/>
        </w:rPr>
        <w:t>trative Law Judge</w:t>
      </w:r>
      <w:r w:rsidR="00922E1E" w:rsidRPr="00AB3A1E">
        <w:rPr>
          <w:rFonts w:ascii="Times New Roman" w:hAnsi="Times New Roman" w:cs="Times New Roman"/>
          <w:sz w:val="26"/>
          <w:szCs w:val="24"/>
        </w:rPr>
        <w:t>;</w:t>
      </w:r>
    </w:p>
    <w:p w:rsidR="00DA068E" w:rsidRPr="00AB3A1E" w:rsidRDefault="00DA068E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</w:p>
    <w:p w:rsidR="002F2C01" w:rsidRPr="00AB3A1E" w:rsidRDefault="00A5294A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  <w:r w:rsidRPr="00AB3A1E">
        <w:rPr>
          <w:rFonts w:ascii="Times New Roman" w:eastAsia="Calibri" w:hAnsi="Times New Roman" w:cs="Times New Roman"/>
          <w:sz w:val="26"/>
          <w:szCs w:val="24"/>
        </w:rPr>
        <w:t>2.</w:t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  <w:t xml:space="preserve">The Office of Special Assistants prepare an Opinion and Order consistent with this Motion.  </w:t>
      </w:r>
    </w:p>
    <w:p w:rsidR="00DA068E" w:rsidRPr="00AB3A1E" w:rsidRDefault="00DA068E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</w:p>
    <w:p w:rsidR="00AB3A1E" w:rsidRPr="00AB3A1E" w:rsidRDefault="00AB3A1E" w:rsidP="00DA068E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4"/>
        </w:rPr>
      </w:pPr>
    </w:p>
    <w:p w:rsidR="002F2C01" w:rsidRPr="00AB3A1E" w:rsidRDefault="00DA068E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B3A1E">
        <w:rPr>
          <w:rFonts w:ascii="Times New Roman" w:eastAsia="Calibri" w:hAnsi="Times New Roman" w:cs="Times New Roman"/>
          <w:sz w:val="26"/>
          <w:szCs w:val="24"/>
        </w:rPr>
        <w:t>__________________</w:t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="002F2C01" w:rsidRPr="00AB3A1E">
        <w:rPr>
          <w:rFonts w:ascii="Times New Roman" w:eastAsia="Calibri" w:hAnsi="Times New Roman" w:cs="Times New Roman"/>
          <w:sz w:val="26"/>
          <w:szCs w:val="24"/>
        </w:rPr>
        <w:t>_____________________________________</w:t>
      </w:r>
      <w:r w:rsidR="002F2C01"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="002F2C01"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>Date</w:t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  <w:r w:rsidR="002F2C01" w:rsidRPr="00AB3A1E">
        <w:rPr>
          <w:rFonts w:ascii="Times New Roman" w:eastAsia="Calibri" w:hAnsi="Times New Roman" w:cs="Times New Roman"/>
          <w:sz w:val="26"/>
          <w:szCs w:val="24"/>
        </w:rPr>
        <w:t>Commissioner Wayne E. Gardner</w:t>
      </w:r>
    </w:p>
    <w:p w:rsidR="002F2C01" w:rsidRPr="00AB3A1E" w:rsidRDefault="002F2C01" w:rsidP="00DA068E">
      <w:pPr>
        <w:spacing w:after="0" w:line="240" w:lineRule="auto"/>
        <w:ind w:firstLine="3960"/>
        <w:rPr>
          <w:rFonts w:ascii="Times New Roman" w:eastAsia="Calibri" w:hAnsi="Times New Roman" w:cs="Times New Roman"/>
          <w:sz w:val="26"/>
          <w:szCs w:val="24"/>
        </w:rPr>
      </w:pPr>
    </w:p>
    <w:p w:rsidR="00A5294A" w:rsidRPr="00AB3A1E" w:rsidRDefault="00A5294A" w:rsidP="00DA068E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</w:rPr>
      </w:pPr>
      <w:r w:rsidRPr="00AB3A1E">
        <w:rPr>
          <w:rFonts w:ascii="Times New Roman" w:eastAsia="Calibri" w:hAnsi="Times New Roman" w:cs="Times New Roman"/>
          <w:sz w:val="26"/>
          <w:szCs w:val="24"/>
        </w:rPr>
        <w:tab/>
      </w:r>
    </w:p>
    <w:p w:rsidR="00A5294A" w:rsidRPr="00AB3A1E" w:rsidRDefault="00A5294A" w:rsidP="00DA068E">
      <w:pPr>
        <w:spacing w:after="0" w:line="240" w:lineRule="auto"/>
        <w:rPr>
          <w:rFonts w:ascii="Times New Roman" w:eastAsia="Calibri" w:hAnsi="Times New Roman" w:cs="Times New Roman"/>
          <w:sz w:val="26"/>
          <w:szCs w:val="24"/>
        </w:rPr>
      </w:pPr>
    </w:p>
    <w:p w:rsidR="00A5294A" w:rsidRPr="00AB3A1E" w:rsidRDefault="00A5294A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66128B" w:rsidRPr="00AB3A1E" w:rsidRDefault="0066128B" w:rsidP="00DA068E">
      <w:pPr>
        <w:pStyle w:val="NoSpacing"/>
        <w:rPr>
          <w:rFonts w:ascii="Times New Roman" w:hAnsi="Times New Roman"/>
          <w:sz w:val="26"/>
          <w:szCs w:val="24"/>
          <w:u w:val="single"/>
        </w:rPr>
      </w:pPr>
    </w:p>
    <w:p w:rsidR="001867A0" w:rsidRPr="00AB3A1E" w:rsidRDefault="001867A0" w:rsidP="00DA068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sectPr w:rsidR="001867A0" w:rsidRPr="00AB3A1E" w:rsidSect="0018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37" w:rsidRDefault="00573F37" w:rsidP="008F444C">
      <w:pPr>
        <w:spacing w:after="0" w:line="240" w:lineRule="auto"/>
      </w:pPr>
      <w:r>
        <w:separator/>
      </w:r>
    </w:p>
  </w:endnote>
  <w:endnote w:type="continuationSeparator" w:id="1">
    <w:p w:rsidR="00573F37" w:rsidRDefault="00573F37" w:rsidP="008F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37" w:rsidRDefault="00573F37" w:rsidP="008F444C">
      <w:pPr>
        <w:spacing w:after="0" w:line="240" w:lineRule="auto"/>
      </w:pPr>
      <w:r>
        <w:separator/>
      </w:r>
    </w:p>
  </w:footnote>
  <w:footnote w:type="continuationSeparator" w:id="1">
    <w:p w:rsidR="00573F37" w:rsidRDefault="00573F37" w:rsidP="008F444C">
      <w:pPr>
        <w:spacing w:after="0" w:line="240" w:lineRule="auto"/>
      </w:pPr>
      <w:r>
        <w:continuationSeparator/>
      </w:r>
    </w:p>
  </w:footnote>
  <w:footnote w:id="2">
    <w:p w:rsidR="00D04713" w:rsidRPr="00DA7425" w:rsidRDefault="00D04713" w:rsidP="00D04713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DA742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A7425">
        <w:rPr>
          <w:rFonts w:ascii="Times New Roman" w:hAnsi="Times New Roman" w:cs="Times New Roman"/>
          <w:sz w:val="20"/>
          <w:szCs w:val="20"/>
        </w:rPr>
        <w:t xml:space="preserve"> Although in the Initial Decision the ALJ cites to 28 U.S.C. § 1471, the correct cite is 28 U.S.C. § 1334(e)(1).</w:t>
      </w:r>
    </w:p>
    <w:p w:rsidR="00D04713" w:rsidRPr="00DA7425" w:rsidRDefault="00D04713">
      <w:pPr>
        <w:pStyle w:val="FootnoteText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9DB"/>
    <w:rsid w:val="00002781"/>
    <w:rsid w:val="00026458"/>
    <w:rsid w:val="000305B6"/>
    <w:rsid w:val="0005486F"/>
    <w:rsid w:val="00075303"/>
    <w:rsid w:val="00083937"/>
    <w:rsid w:val="00083E47"/>
    <w:rsid w:val="00086131"/>
    <w:rsid w:val="00093B43"/>
    <w:rsid w:val="0009559E"/>
    <w:rsid w:val="000A4D3F"/>
    <w:rsid w:val="000B1F78"/>
    <w:rsid w:val="000B309D"/>
    <w:rsid w:val="000D01B2"/>
    <w:rsid w:val="000D0BC9"/>
    <w:rsid w:val="0010337D"/>
    <w:rsid w:val="001109B9"/>
    <w:rsid w:val="00111880"/>
    <w:rsid w:val="00113385"/>
    <w:rsid w:val="001156C3"/>
    <w:rsid w:val="0013174B"/>
    <w:rsid w:val="001715E7"/>
    <w:rsid w:val="00172046"/>
    <w:rsid w:val="001867A0"/>
    <w:rsid w:val="001A4D97"/>
    <w:rsid w:val="001A55AA"/>
    <w:rsid w:val="001A69DB"/>
    <w:rsid w:val="001F7663"/>
    <w:rsid w:val="00233CFB"/>
    <w:rsid w:val="00247907"/>
    <w:rsid w:val="00251961"/>
    <w:rsid w:val="002524C4"/>
    <w:rsid w:val="00261353"/>
    <w:rsid w:val="00265E80"/>
    <w:rsid w:val="00276A37"/>
    <w:rsid w:val="00290CC7"/>
    <w:rsid w:val="00292250"/>
    <w:rsid w:val="002A3E8C"/>
    <w:rsid w:val="002A5EB7"/>
    <w:rsid w:val="002B26AE"/>
    <w:rsid w:val="002B4EDD"/>
    <w:rsid w:val="002C6DEC"/>
    <w:rsid w:val="002E3C05"/>
    <w:rsid w:val="002E76E2"/>
    <w:rsid w:val="002F1004"/>
    <w:rsid w:val="002F2C01"/>
    <w:rsid w:val="00316922"/>
    <w:rsid w:val="00322B9C"/>
    <w:rsid w:val="00331A5A"/>
    <w:rsid w:val="00342843"/>
    <w:rsid w:val="00363679"/>
    <w:rsid w:val="003719B3"/>
    <w:rsid w:val="00383F1C"/>
    <w:rsid w:val="00387965"/>
    <w:rsid w:val="0039478B"/>
    <w:rsid w:val="003A3903"/>
    <w:rsid w:val="003A44AE"/>
    <w:rsid w:val="003C15F0"/>
    <w:rsid w:val="003C32DF"/>
    <w:rsid w:val="003C6C4C"/>
    <w:rsid w:val="003D5F52"/>
    <w:rsid w:val="003F004E"/>
    <w:rsid w:val="003F1FC0"/>
    <w:rsid w:val="003F318C"/>
    <w:rsid w:val="003F5FCF"/>
    <w:rsid w:val="00406C4D"/>
    <w:rsid w:val="00410F5F"/>
    <w:rsid w:val="0041311E"/>
    <w:rsid w:val="00423B79"/>
    <w:rsid w:val="00430FCF"/>
    <w:rsid w:val="0043273D"/>
    <w:rsid w:val="004422F5"/>
    <w:rsid w:val="00445F3D"/>
    <w:rsid w:val="00454627"/>
    <w:rsid w:val="00460118"/>
    <w:rsid w:val="00465D02"/>
    <w:rsid w:val="00475B4B"/>
    <w:rsid w:val="004A3603"/>
    <w:rsid w:val="004B083B"/>
    <w:rsid w:val="004B49E2"/>
    <w:rsid w:val="004B6847"/>
    <w:rsid w:val="004C063A"/>
    <w:rsid w:val="004C07CD"/>
    <w:rsid w:val="004D1148"/>
    <w:rsid w:val="004D177F"/>
    <w:rsid w:val="004E626C"/>
    <w:rsid w:val="004F2F9B"/>
    <w:rsid w:val="004F43A4"/>
    <w:rsid w:val="004F5CBC"/>
    <w:rsid w:val="00515A46"/>
    <w:rsid w:val="00534AA0"/>
    <w:rsid w:val="005571CD"/>
    <w:rsid w:val="00573F37"/>
    <w:rsid w:val="00585169"/>
    <w:rsid w:val="00587329"/>
    <w:rsid w:val="005918AB"/>
    <w:rsid w:val="00596E60"/>
    <w:rsid w:val="005A5B86"/>
    <w:rsid w:val="005C381C"/>
    <w:rsid w:val="005D632E"/>
    <w:rsid w:val="005D7C0D"/>
    <w:rsid w:val="005E04B0"/>
    <w:rsid w:val="005E28DD"/>
    <w:rsid w:val="005F61C2"/>
    <w:rsid w:val="005F64C9"/>
    <w:rsid w:val="005F718D"/>
    <w:rsid w:val="00604AAE"/>
    <w:rsid w:val="00605F77"/>
    <w:rsid w:val="00615CB4"/>
    <w:rsid w:val="0062245A"/>
    <w:rsid w:val="006332BB"/>
    <w:rsid w:val="00637A10"/>
    <w:rsid w:val="006446D5"/>
    <w:rsid w:val="0066128B"/>
    <w:rsid w:val="00673CD2"/>
    <w:rsid w:val="00677589"/>
    <w:rsid w:val="00682830"/>
    <w:rsid w:val="00694EE3"/>
    <w:rsid w:val="006A1ACF"/>
    <w:rsid w:val="00702C93"/>
    <w:rsid w:val="007156BF"/>
    <w:rsid w:val="00723DBA"/>
    <w:rsid w:val="007307AF"/>
    <w:rsid w:val="00732B20"/>
    <w:rsid w:val="0075755F"/>
    <w:rsid w:val="00760151"/>
    <w:rsid w:val="0077077B"/>
    <w:rsid w:val="00771C90"/>
    <w:rsid w:val="00771F6E"/>
    <w:rsid w:val="007928FD"/>
    <w:rsid w:val="0079577A"/>
    <w:rsid w:val="00797F50"/>
    <w:rsid w:val="007A59A3"/>
    <w:rsid w:val="007C1F14"/>
    <w:rsid w:val="007C3AE8"/>
    <w:rsid w:val="007D0255"/>
    <w:rsid w:val="007D5C86"/>
    <w:rsid w:val="007E6B64"/>
    <w:rsid w:val="007F2DBE"/>
    <w:rsid w:val="0080600A"/>
    <w:rsid w:val="008268C3"/>
    <w:rsid w:val="0083139F"/>
    <w:rsid w:val="00832986"/>
    <w:rsid w:val="00852A59"/>
    <w:rsid w:val="00852ACA"/>
    <w:rsid w:val="008543F2"/>
    <w:rsid w:val="008549D5"/>
    <w:rsid w:val="0086534A"/>
    <w:rsid w:val="00870649"/>
    <w:rsid w:val="00871E7D"/>
    <w:rsid w:val="0087769E"/>
    <w:rsid w:val="00896200"/>
    <w:rsid w:val="008A0969"/>
    <w:rsid w:val="008A2F8A"/>
    <w:rsid w:val="008B24B6"/>
    <w:rsid w:val="008B51AF"/>
    <w:rsid w:val="008B677D"/>
    <w:rsid w:val="008C10A5"/>
    <w:rsid w:val="008E3755"/>
    <w:rsid w:val="008F27EA"/>
    <w:rsid w:val="008F315C"/>
    <w:rsid w:val="008F444C"/>
    <w:rsid w:val="0092192A"/>
    <w:rsid w:val="00922E1E"/>
    <w:rsid w:val="00930E23"/>
    <w:rsid w:val="00936FA4"/>
    <w:rsid w:val="00946FFE"/>
    <w:rsid w:val="009537D2"/>
    <w:rsid w:val="00960FBE"/>
    <w:rsid w:val="009674AA"/>
    <w:rsid w:val="009754E4"/>
    <w:rsid w:val="00992169"/>
    <w:rsid w:val="00995A92"/>
    <w:rsid w:val="00997485"/>
    <w:rsid w:val="009B11F9"/>
    <w:rsid w:val="009C2885"/>
    <w:rsid w:val="009C6E93"/>
    <w:rsid w:val="009C70E0"/>
    <w:rsid w:val="009E6874"/>
    <w:rsid w:val="009F68E6"/>
    <w:rsid w:val="00A043A9"/>
    <w:rsid w:val="00A15F8A"/>
    <w:rsid w:val="00A23847"/>
    <w:rsid w:val="00A35DE1"/>
    <w:rsid w:val="00A418EC"/>
    <w:rsid w:val="00A44BDC"/>
    <w:rsid w:val="00A47750"/>
    <w:rsid w:val="00A5294A"/>
    <w:rsid w:val="00A53637"/>
    <w:rsid w:val="00A61412"/>
    <w:rsid w:val="00A65F29"/>
    <w:rsid w:val="00A71D46"/>
    <w:rsid w:val="00A775B8"/>
    <w:rsid w:val="00A840AF"/>
    <w:rsid w:val="00A9472F"/>
    <w:rsid w:val="00A95D77"/>
    <w:rsid w:val="00AA2027"/>
    <w:rsid w:val="00AA535B"/>
    <w:rsid w:val="00AB3A1E"/>
    <w:rsid w:val="00AE01F0"/>
    <w:rsid w:val="00AF087F"/>
    <w:rsid w:val="00AF68EF"/>
    <w:rsid w:val="00AF6F36"/>
    <w:rsid w:val="00B0387A"/>
    <w:rsid w:val="00B14912"/>
    <w:rsid w:val="00B40D8B"/>
    <w:rsid w:val="00B51E97"/>
    <w:rsid w:val="00B737A6"/>
    <w:rsid w:val="00BB37AA"/>
    <w:rsid w:val="00BC5EF9"/>
    <w:rsid w:val="00C03ED1"/>
    <w:rsid w:val="00C3378F"/>
    <w:rsid w:val="00C66AA6"/>
    <w:rsid w:val="00C703A0"/>
    <w:rsid w:val="00C85723"/>
    <w:rsid w:val="00C87683"/>
    <w:rsid w:val="00C906B5"/>
    <w:rsid w:val="00C943F5"/>
    <w:rsid w:val="00C97EBB"/>
    <w:rsid w:val="00CB3DB8"/>
    <w:rsid w:val="00CC17E4"/>
    <w:rsid w:val="00CC4219"/>
    <w:rsid w:val="00CD4322"/>
    <w:rsid w:val="00D01F6E"/>
    <w:rsid w:val="00D04713"/>
    <w:rsid w:val="00D05A63"/>
    <w:rsid w:val="00D173AA"/>
    <w:rsid w:val="00D23AAE"/>
    <w:rsid w:val="00D37DCF"/>
    <w:rsid w:val="00D46493"/>
    <w:rsid w:val="00D61EC5"/>
    <w:rsid w:val="00D6562D"/>
    <w:rsid w:val="00DA068E"/>
    <w:rsid w:val="00DA7425"/>
    <w:rsid w:val="00DC6FD9"/>
    <w:rsid w:val="00DD3FF4"/>
    <w:rsid w:val="00DD4AC2"/>
    <w:rsid w:val="00E00382"/>
    <w:rsid w:val="00E00FB6"/>
    <w:rsid w:val="00E02E39"/>
    <w:rsid w:val="00E051EB"/>
    <w:rsid w:val="00E256F9"/>
    <w:rsid w:val="00E369CD"/>
    <w:rsid w:val="00E44AFC"/>
    <w:rsid w:val="00E67465"/>
    <w:rsid w:val="00E71619"/>
    <w:rsid w:val="00E84311"/>
    <w:rsid w:val="00E91C86"/>
    <w:rsid w:val="00EA1C77"/>
    <w:rsid w:val="00EB186C"/>
    <w:rsid w:val="00EB1EE6"/>
    <w:rsid w:val="00EB3683"/>
    <w:rsid w:val="00EC2DCB"/>
    <w:rsid w:val="00EC41D9"/>
    <w:rsid w:val="00EE3CBE"/>
    <w:rsid w:val="00EF49EA"/>
    <w:rsid w:val="00F11452"/>
    <w:rsid w:val="00F1278D"/>
    <w:rsid w:val="00F22938"/>
    <w:rsid w:val="00F27B0E"/>
    <w:rsid w:val="00F319CE"/>
    <w:rsid w:val="00F34085"/>
    <w:rsid w:val="00F558FA"/>
    <w:rsid w:val="00F564D6"/>
    <w:rsid w:val="00F623E0"/>
    <w:rsid w:val="00F778B4"/>
    <w:rsid w:val="00F832E2"/>
    <w:rsid w:val="00FC75C4"/>
    <w:rsid w:val="00FD5708"/>
    <w:rsid w:val="00FD6315"/>
    <w:rsid w:val="00FD6C6A"/>
    <w:rsid w:val="00FE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A69D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F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C"/>
  </w:style>
  <w:style w:type="paragraph" w:styleId="Footer">
    <w:name w:val="footer"/>
    <w:basedOn w:val="Normal"/>
    <w:link w:val="FooterChar"/>
    <w:uiPriority w:val="99"/>
    <w:unhideWhenUsed/>
    <w:rsid w:val="008F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C"/>
  </w:style>
  <w:style w:type="paragraph" w:styleId="BalloonText">
    <w:name w:val="Balloon Text"/>
    <w:basedOn w:val="Normal"/>
    <w:link w:val="BalloonTextChar"/>
    <w:uiPriority w:val="99"/>
    <w:semiHidden/>
    <w:unhideWhenUsed/>
    <w:rsid w:val="008F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7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7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7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9984-5545-40A7-9D4B-26C9B187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Utilities Commission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rwaldemar</dc:creator>
  <cp:keywords/>
  <dc:description/>
  <cp:lastModifiedBy>temathias</cp:lastModifiedBy>
  <cp:revision>2</cp:revision>
  <cp:lastPrinted>2009-06-17T17:31:00Z</cp:lastPrinted>
  <dcterms:created xsi:type="dcterms:W3CDTF">2009-06-17T18:09:00Z</dcterms:created>
  <dcterms:modified xsi:type="dcterms:W3CDTF">2009-06-17T18:09:00Z</dcterms:modified>
</cp:coreProperties>
</file>