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27F" w:rsidRPr="005D2366" w:rsidRDefault="00C7227F" w:rsidP="000B28FC">
      <w:pPr>
        <w:tabs>
          <w:tab w:val="center" w:pos="4680"/>
        </w:tabs>
        <w:suppressAutoHyphens/>
        <w:jc w:val="center"/>
        <w:rPr>
          <w:rFonts w:ascii="Times New Roman" w:hAnsi="Times New Roman" w:cs="Times New Roman"/>
          <w:b/>
          <w:bCs/>
          <w:spacing w:val="-3"/>
        </w:rPr>
      </w:pPr>
      <w:r w:rsidRPr="005D2366">
        <w:rPr>
          <w:rFonts w:ascii="Times New Roman" w:hAnsi="Times New Roman" w:cs="Times New Roman"/>
          <w:b/>
          <w:bCs/>
          <w:spacing w:val="-3"/>
        </w:rPr>
        <w:t>BEFORE THE</w:t>
      </w:r>
    </w:p>
    <w:p w:rsidR="00C7227F" w:rsidRPr="005D2366" w:rsidRDefault="00C7227F" w:rsidP="000B28FC">
      <w:pPr>
        <w:tabs>
          <w:tab w:val="center" w:pos="4680"/>
        </w:tabs>
        <w:suppressAutoHyphens/>
        <w:jc w:val="center"/>
        <w:rPr>
          <w:rFonts w:ascii="Times New Roman" w:hAnsi="Times New Roman" w:cs="Times New Roman"/>
          <w:b/>
          <w:bCs/>
          <w:spacing w:val="-3"/>
        </w:rPr>
      </w:pPr>
      <w:r w:rsidRPr="005D2366">
        <w:rPr>
          <w:rFonts w:ascii="Times New Roman" w:hAnsi="Times New Roman" w:cs="Times New Roman"/>
          <w:b/>
          <w:bCs/>
          <w:spacing w:val="-3"/>
        </w:rPr>
        <w:t>PENNSYLVANIA PUBLIC UTILITY COMMISSION</w:t>
      </w:r>
    </w:p>
    <w:p w:rsidR="0085157E" w:rsidRDefault="0085157E" w:rsidP="00A106F0">
      <w:pPr>
        <w:tabs>
          <w:tab w:val="center" w:pos="4680"/>
        </w:tabs>
        <w:suppressAutoHyphens/>
        <w:jc w:val="center"/>
        <w:rPr>
          <w:rFonts w:ascii="Times New Roman" w:hAnsi="Times New Roman" w:cs="Times New Roman"/>
          <w:b/>
          <w:bCs/>
          <w:spacing w:val="-3"/>
        </w:rPr>
      </w:pPr>
    </w:p>
    <w:p w:rsidR="005E2BA5" w:rsidRDefault="005E2BA5" w:rsidP="00A106F0">
      <w:pPr>
        <w:tabs>
          <w:tab w:val="center" w:pos="4680"/>
        </w:tabs>
        <w:suppressAutoHyphens/>
        <w:jc w:val="center"/>
        <w:rPr>
          <w:rFonts w:ascii="Times New Roman" w:hAnsi="Times New Roman" w:cs="Times New Roman"/>
          <w:b/>
          <w:bCs/>
          <w:spacing w:val="-3"/>
        </w:rPr>
      </w:pPr>
    </w:p>
    <w:p w:rsidR="005E2BA5" w:rsidRPr="005D2366" w:rsidRDefault="005E2BA5" w:rsidP="00A106F0">
      <w:pPr>
        <w:tabs>
          <w:tab w:val="center" w:pos="4680"/>
        </w:tabs>
        <w:suppressAutoHyphens/>
        <w:jc w:val="center"/>
        <w:rPr>
          <w:rFonts w:ascii="Times New Roman" w:hAnsi="Times New Roman" w:cs="Times New Roman"/>
          <w:b/>
          <w:bCs/>
          <w:spacing w:val="-3"/>
        </w:rPr>
      </w:pPr>
    </w:p>
    <w:p w:rsidR="00FF5FCD" w:rsidRPr="005D2366" w:rsidRDefault="00FF5FCD" w:rsidP="00A106F0">
      <w:pPr>
        <w:tabs>
          <w:tab w:val="left" w:pos="-720"/>
          <w:tab w:val="center" w:pos="4680"/>
        </w:tabs>
        <w:suppressAutoHyphens/>
        <w:rPr>
          <w:rFonts w:ascii="Times New Roman" w:hAnsi="Times New Roman" w:cs="Times New Roman"/>
          <w:spacing w:val="-3"/>
        </w:rPr>
      </w:pPr>
      <w:r w:rsidRPr="005D2366">
        <w:rPr>
          <w:rFonts w:ascii="Times New Roman" w:hAnsi="Times New Roman" w:cs="Times New Roman"/>
          <w:spacing w:val="-3"/>
        </w:rPr>
        <w:t>Petition of PPL Electric Utilities Corporation</w:t>
      </w:r>
      <w:r w:rsidRPr="005D2366">
        <w:rPr>
          <w:rFonts w:ascii="Times New Roman" w:hAnsi="Times New Roman" w:cs="Times New Roman"/>
          <w:spacing w:val="-3"/>
        </w:rPr>
        <w:tab/>
      </w:r>
      <w:r w:rsidRPr="005D2366">
        <w:rPr>
          <w:rFonts w:ascii="Times New Roman" w:hAnsi="Times New Roman" w:cs="Times New Roman"/>
          <w:spacing w:val="-3"/>
        </w:rPr>
        <w:tab/>
        <w:t>:</w:t>
      </w:r>
    </w:p>
    <w:p w:rsidR="00FF5FCD" w:rsidRPr="005D2366" w:rsidRDefault="00FF5FCD" w:rsidP="00A106F0">
      <w:pPr>
        <w:tabs>
          <w:tab w:val="left" w:pos="-720"/>
          <w:tab w:val="center" w:pos="4680"/>
        </w:tabs>
        <w:suppressAutoHyphens/>
        <w:rPr>
          <w:rFonts w:ascii="Times New Roman" w:hAnsi="Times New Roman" w:cs="Times New Roman"/>
          <w:spacing w:val="-3"/>
        </w:rPr>
      </w:pPr>
      <w:r w:rsidRPr="005D2366">
        <w:rPr>
          <w:rFonts w:ascii="Times New Roman" w:hAnsi="Times New Roman" w:cs="Times New Roman"/>
          <w:spacing w:val="-3"/>
        </w:rPr>
        <w:t xml:space="preserve">for approval of a Rate Mitigation Plan </w:t>
      </w:r>
      <w:r w:rsidRPr="005D2366">
        <w:rPr>
          <w:rFonts w:ascii="Times New Roman" w:hAnsi="Times New Roman" w:cs="Times New Roman"/>
          <w:spacing w:val="-3"/>
        </w:rPr>
        <w:tab/>
      </w:r>
      <w:r w:rsidRPr="005D2366">
        <w:rPr>
          <w:rFonts w:ascii="Times New Roman" w:hAnsi="Times New Roman" w:cs="Times New Roman"/>
          <w:spacing w:val="-3"/>
        </w:rPr>
        <w:tab/>
        <w:t>:</w:t>
      </w:r>
      <w:r w:rsidRPr="005D2366">
        <w:rPr>
          <w:rFonts w:ascii="Times New Roman" w:hAnsi="Times New Roman" w:cs="Times New Roman"/>
          <w:spacing w:val="-3"/>
        </w:rPr>
        <w:tab/>
      </w:r>
      <w:r w:rsidRPr="005D2366">
        <w:rPr>
          <w:rFonts w:ascii="Times New Roman" w:hAnsi="Times New Roman" w:cs="Times New Roman"/>
          <w:spacing w:val="-3"/>
        </w:rPr>
        <w:tab/>
        <w:t>P-2009-2091280</w:t>
      </w:r>
    </w:p>
    <w:p w:rsidR="00BC1333" w:rsidRDefault="00A106F0" w:rsidP="00A106F0">
      <w:pPr>
        <w:tabs>
          <w:tab w:val="left" w:pos="-720"/>
          <w:tab w:val="center" w:pos="4680"/>
        </w:tabs>
        <w:suppressAutoHyphens/>
        <w:rPr>
          <w:rFonts w:ascii="Times New Roman" w:hAnsi="Times New Roman" w:cs="Times New Roman"/>
          <w:spacing w:val="-3"/>
        </w:rPr>
      </w:pPr>
      <w:r>
        <w:rPr>
          <w:rFonts w:ascii="Times New Roman" w:hAnsi="Times New Roman" w:cs="Times New Roman"/>
          <w:spacing w:val="-3"/>
        </w:rPr>
        <w:tab/>
      </w:r>
    </w:p>
    <w:p w:rsidR="00FB717B" w:rsidRDefault="00FB717B" w:rsidP="00A106F0">
      <w:pPr>
        <w:pStyle w:val="ParaTab1"/>
        <w:tabs>
          <w:tab w:val="clear" w:pos="-720"/>
          <w:tab w:val="center" w:pos="4680"/>
        </w:tabs>
        <w:ind w:firstLine="0"/>
        <w:jc w:val="center"/>
        <w:rPr>
          <w:rFonts w:ascii="Times New Roman" w:hAnsi="Times New Roman" w:cs="Times New Roman"/>
          <w:spacing w:val="-3"/>
        </w:rPr>
      </w:pPr>
    </w:p>
    <w:p w:rsidR="00BC1333" w:rsidRPr="005D2366" w:rsidRDefault="00BC1333" w:rsidP="00A106F0">
      <w:pPr>
        <w:pStyle w:val="ParaTab1"/>
        <w:tabs>
          <w:tab w:val="clear" w:pos="-720"/>
          <w:tab w:val="center" w:pos="4680"/>
        </w:tabs>
        <w:ind w:firstLine="0"/>
        <w:jc w:val="center"/>
        <w:rPr>
          <w:rFonts w:ascii="Times New Roman" w:hAnsi="Times New Roman"/>
          <w:b/>
          <w:u w:val="single"/>
        </w:rPr>
      </w:pPr>
    </w:p>
    <w:p w:rsidR="00972AE6" w:rsidRPr="005D2366" w:rsidRDefault="00972AE6" w:rsidP="00A106F0">
      <w:pPr>
        <w:tabs>
          <w:tab w:val="center" w:pos="4680"/>
        </w:tabs>
        <w:jc w:val="center"/>
        <w:outlineLvl w:val="0"/>
        <w:rPr>
          <w:rFonts w:ascii="Times New Roman" w:hAnsi="Times New Roman"/>
        </w:rPr>
      </w:pPr>
      <w:r w:rsidRPr="005D2366">
        <w:rPr>
          <w:rFonts w:ascii="Times New Roman" w:hAnsi="Times New Roman"/>
          <w:b/>
          <w:u w:val="single"/>
        </w:rPr>
        <w:t>RECOMMENDED DECISION</w:t>
      </w:r>
    </w:p>
    <w:p w:rsidR="00972AE6" w:rsidRPr="005D2366" w:rsidRDefault="00972AE6" w:rsidP="00A106F0">
      <w:pPr>
        <w:jc w:val="both"/>
        <w:rPr>
          <w:rFonts w:ascii="Times New Roman" w:hAnsi="Times New Roman"/>
        </w:rPr>
      </w:pPr>
    </w:p>
    <w:p w:rsidR="00972AE6" w:rsidRPr="005D2366" w:rsidRDefault="00972AE6" w:rsidP="00A106F0">
      <w:pPr>
        <w:jc w:val="both"/>
        <w:rPr>
          <w:rFonts w:ascii="Times New Roman" w:hAnsi="Times New Roman"/>
        </w:rPr>
      </w:pPr>
    </w:p>
    <w:p w:rsidR="00972AE6" w:rsidRPr="005D2366" w:rsidRDefault="00972AE6" w:rsidP="00A106F0">
      <w:pPr>
        <w:jc w:val="center"/>
        <w:rPr>
          <w:rFonts w:ascii="Times New Roman" w:hAnsi="Times New Roman"/>
        </w:rPr>
      </w:pPr>
      <w:r w:rsidRPr="005D2366">
        <w:rPr>
          <w:rFonts w:ascii="Times New Roman" w:hAnsi="Times New Roman"/>
        </w:rPr>
        <w:t>Before</w:t>
      </w:r>
    </w:p>
    <w:p w:rsidR="00972AE6" w:rsidRPr="005D2366" w:rsidRDefault="00972AE6" w:rsidP="00A106F0">
      <w:pPr>
        <w:jc w:val="center"/>
        <w:rPr>
          <w:rFonts w:ascii="Times New Roman" w:hAnsi="Times New Roman"/>
        </w:rPr>
      </w:pPr>
      <w:r w:rsidRPr="005D2366">
        <w:rPr>
          <w:rFonts w:ascii="Times New Roman" w:hAnsi="Times New Roman"/>
        </w:rPr>
        <w:t>David A. Salapa</w:t>
      </w:r>
    </w:p>
    <w:p w:rsidR="00972AE6" w:rsidRPr="005D2366" w:rsidRDefault="00972AE6" w:rsidP="00A106F0">
      <w:pPr>
        <w:jc w:val="center"/>
        <w:rPr>
          <w:rFonts w:ascii="Times New Roman" w:hAnsi="Times New Roman"/>
        </w:rPr>
      </w:pPr>
      <w:r w:rsidRPr="005D2366">
        <w:rPr>
          <w:rFonts w:ascii="Times New Roman" w:hAnsi="Times New Roman"/>
        </w:rPr>
        <w:t>Administrative Law Judge</w:t>
      </w:r>
    </w:p>
    <w:p w:rsidR="00422BB7" w:rsidRDefault="00422BB7" w:rsidP="00A106F0">
      <w:pPr>
        <w:pStyle w:val="ParaTab1"/>
        <w:tabs>
          <w:tab w:val="clear" w:pos="-720"/>
        </w:tabs>
        <w:ind w:firstLine="0"/>
        <w:rPr>
          <w:rFonts w:ascii="Times New Roman" w:hAnsi="Times New Roman"/>
          <w:b/>
          <w:u w:val="single"/>
        </w:rPr>
      </w:pPr>
    </w:p>
    <w:p w:rsidR="005E2BA5" w:rsidRPr="005D2366" w:rsidRDefault="005E2BA5" w:rsidP="00A106F0">
      <w:pPr>
        <w:pStyle w:val="ParaTab1"/>
        <w:tabs>
          <w:tab w:val="clear" w:pos="-720"/>
        </w:tabs>
        <w:ind w:firstLine="0"/>
        <w:rPr>
          <w:rFonts w:ascii="Times New Roman" w:hAnsi="Times New Roman"/>
          <w:b/>
          <w:u w:val="single"/>
        </w:rPr>
      </w:pPr>
    </w:p>
    <w:p w:rsidR="00422BB7" w:rsidRPr="005D2366" w:rsidRDefault="00422BB7" w:rsidP="00A106F0">
      <w:pPr>
        <w:pStyle w:val="ParaTab1"/>
        <w:tabs>
          <w:tab w:val="clear" w:pos="-720"/>
        </w:tabs>
        <w:ind w:firstLine="0"/>
        <w:jc w:val="center"/>
        <w:rPr>
          <w:rFonts w:ascii="Times New Roman" w:hAnsi="Times New Roman" w:cs="Times New Roman"/>
          <w:spacing w:val="-3"/>
          <w:u w:val="single"/>
        </w:rPr>
      </w:pPr>
      <w:r w:rsidRPr="005D2366">
        <w:rPr>
          <w:rFonts w:ascii="Times New Roman" w:hAnsi="Times New Roman"/>
          <w:u w:val="single"/>
        </w:rPr>
        <w:t>HISTORY OF THE PROCEEDING</w:t>
      </w:r>
    </w:p>
    <w:p w:rsidR="00EE6222" w:rsidRPr="005D2366" w:rsidRDefault="00EE6222" w:rsidP="00A106F0">
      <w:pPr>
        <w:pStyle w:val="ParaTab1"/>
        <w:tabs>
          <w:tab w:val="clear" w:pos="-720"/>
        </w:tabs>
        <w:rPr>
          <w:rFonts w:ascii="Times New Roman" w:hAnsi="Times New Roman" w:cs="Times New Roman"/>
          <w:spacing w:val="-3"/>
        </w:rPr>
      </w:pPr>
    </w:p>
    <w:p w:rsidR="00C7227F" w:rsidRPr="005D2366" w:rsidRDefault="00C7227F" w:rsidP="00A106F0">
      <w:pPr>
        <w:pStyle w:val="ParaTab1"/>
        <w:tabs>
          <w:tab w:val="clear" w:pos="-720"/>
        </w:tabs>
        <w:ind w:firstLine="0"/>
        <w:rPr>
          <w:rFonts w:ascii="Times New Roman" w:hAnsi="Times New Roman" w:cs="Times New Roman"/>
          <w:spacing w:val="-3"/>
        </w:rPr>
      </w:pPr>
    </w:p>
    <w:p w:rsidR="00256260" w:rsidRPr="005D2366" w:rsidRDefault="00AB5788" w:rsidP="000B28FC">
      <w:pPr>
        <w:pStyle w:val="ParaTab1"/>
        <w:tabs>
          <w:tab w:val="clear" w:pos="-720"/>
        </w:tabs>
        <w:spacing w:line="360" w:lineRule="auto"/>
        <w:ind w:firstLine="0"/>
        <w:rPr>
          <w:rFonts w:ascii="Times New Roman" w:hAnsi="Times New Roman" w:cs="Times New Roman"/>
          <w:spacing w:val="-3"/>
        </w:rPr>
      </w:pPr>
      <w:r w:rsidRPr="005D2366">
        <w:rPr>
          <w:rFonts w:ascii="Times New Roman" w:hAnsi="Times New Roman" w:cs="Times New Roman"/>
          <w:spacing w:val="-3"/>
        </w:rPr>
        <w:tab/>
      </w:r>
      <w:r w:rsidRPr="005D2366">
        <w:rPr>
          <w:rFonts w:ascii="Times New Roman" w:hAnsi="Times New Roman" w:cs="Times New Roman"/>
          <w:spacing w:val="-3"/>
        </w:rPr>
        <w:tab/>
        <w:t xml:space="preserve">On </w:t>
      </w:r>
      <w:r w:rsidR="00F27264" w:rsidRPr="005D2366">
        <w:rPr>
          <w:rFonts w:ascii="Times New Roman" w:hAnsi="Times New Roman" w:cs="Times New Roman"/>
          <w:spacing w:val="-3"/>
        </w:rPr>
        <w:t>February 19</w:t>
      </w:r>
      <w:r w:rsidR="00FB717B" w:rsidRPr="005D2366">
        <w:rPr>
          <w:rFonts w:ascii="Times New Roman" w:hAnsi="Times New Roman" w:cs="Times New Roman"/>
          <w:spacing w:val="-3"/>
        </w:rPr>
        <w:t xml:space="preserve">, 2008, </w:t>
      </w:r>
      <w:r w:rsidRPr="005D2366">
        <w:rPr>
          <w:rFonts w:ascii="Times New Roman" w:hAnsi="Times New Roman" w:cs="Times New Roman"/>
          <w:spacing w:val="-3"/>
        </w:rPr>
        <w:t xml:space="preserve">PPL Electric Utilities Corporation (PPL) filed a petition </w:t>
      </w:r>
      <w:r w:rsidR="00FB717B" w:rsidRPr="005D2366">
        <w:rPr>
          <w:rFonts w:ascii="Times New Roman" w:hAnsi="Times New Roman" w:cs="Times New Roman"/>
          <w:spacing w:val="-3"/>
        </w:rPr>
        <w:t>with the Pennsylvania Public Utility Commission (</w:t>
      </w:r>
      <w:r w:rsidR="00264F4A" w:rsidRPr="005D2366">
        <w:rPr>
          <w:rFonts w:ascii="Times New Roman" w:hAnsi="Times New Roman" w:cs="Times New Roman"/>
          <w:spacing w:val="-3"/>
        </w:rPr>
        <w:t>Commission</w:t>
      </w:r>
      <w:r w:rsidR="00FB717B" w:rsidRPr="005D2366">
        <w:rPr>
          <w:rFonts w:ascii="Times New Roman" w:hAnsi="Times New Roman" w:cs="Times New Roman"/>
          <w:spacing w:val="-3"/>
        </w:rPr>
        <w:t xml:space="preserve">) requesting that the Commission approve </w:t>
      </w:r>
      <w:r w:rsidR="005354C4" w:rsidRPr="005D2366">
        <w:rPr>
          <w:rFonts w:ascii="Times New Roman" w:hAnsi="Times New Roman" w:cs="Times New Roman"/>
          <w:spacing w:val="-3"/>
        </w:rPr>
        <w:t>PPL’s plan</w:t>
      </w:r>
      <w:r w:rsidR="00FB717B" w:rsidRPr="005D2366">
        <w:rPr>
          <w:rFonts w:ascii="Times New Roman" w:hAnsi="Times New Roman" w:cs="Times New Roman"/>
          <w:spacing w:val="-3"/>
        </w:rPr>
        <w:t xml:space="preserve"> to offer its customers a </w:t>
      </w:r>
      <w:r w:rsidR="00F27264" w:rsidRPr="005D2366">
        <w:rPr>
          <w:rFonts w:ascii="Times New Roman" w:hAnsi="Times New Roman" w:cs="Times New Roman"/>
          <w:spacing w:val="-3"/>
        </w:rPr>
        <w:t>Rate Mitigation Plan (RMP)</w:t>
      </w:r>
      <w:r w:rsidR="007F1E01" w:rsidRPr="005D2366">
        <w:rPr>
          <w:rFonts w:ascii="Times New Roman" w:hAnsi="Times New Roman" w:cs="Times New Roman"/>
          <w:spacing w:val="-3"/>
        </w:rPr>
        <w:t>.</w:t>
      </w:r>
      <w:r w:rsidR="007C28F3" w:rsidRPr="005D2366">
        <w:rPr>
          <w:rFonts w:ascii="Times New Roman" w:hAnsi="Times New Roman" w:cs="Times New Roman"/>
          <w:spacing w:val="-3"/>
        </w:rPr>
        <w:t xml:space="preserve"> </w:t>
      </w:r>
      <w:r w:rsidR="007F1E01" w:rsidRPr="005D2366">
        <w:rPr>
          <w:rFonts w:ascii="Times New Roman" w:hAnsi="Times New Roman" w:cs="Times New Roman"/>
          <w:spacing w:val="-3"/>
        </w:rPr>
        <w:t xml:space="preserve"> PPL served copies of its petition on the Commission’s Office of </w:t>
      </w:r>
      <w:r w:rsidR="009B183D" w:rsidRPr="005D2366">
        <w:rPr>
          <w:rFonts w:ascii="Times New Roman" w:hAnsi="Times New Roman" w:cs="Times New Roman"/>
          <w:spacing w:val="-3"/>
        </w:rPr>
        <w:t>T</w:t>
      </w:r>
      <w:r w:rsidR="007F1E01" w:rsidRPr="005D2366">
        <w:rPr>
          <w:rFonts w:ascii="Times New Roman" w:hAnsi="Times New Roman" w:cs="Times New Roman"/>
          <w:spacing w:val="-3"/>
        </w:rPr>
        <w:t>r</w:t>
      </w:r>
      <w:r w:rsidR="009B183D" w:rsidRPr="005D2366">
        <w:rPr>
          <w:rFonts w:ascii="Times New Roman" w:hAnsi="Times New Roman" w:cs="Times New Roman"/>
          <w:spacing w:val="-3"/>
        </w:rPr>
        <w:t>ia</w:t>
      </w:r>
      <w:r w:rsidR="007F1E01" w:rsidRPr="005D2366">
        <w:rPr>
          <w:rFonts w:ascii="Times New Roman" w:hAnsi="Times New Roman" w:cs="Times New Roman"/>
          <w:spacing w:val="-3"/>
        </w:rPr>
        <w:t>l Staff (OTS), the Office of Consumer Advocate (OCA)</w:t>
      </w:r>
      <w:r w:rsidR="00A05815" w:rsidRPr="005D2366">
        <w:rPr>
          <w:rFonts w:ascii="Times New Roman" w:hAnsi="Times New Roman" w:cs="Times New Roman"/>
          <w:spacing w:val="-3"/>
        </w:rPr>
        <w:t xml:space="preserve"> and the Office of Small Business Advocate (OSBA) as well as parties to PPL’s 2007 </w:t>
      </w:r>
      <w:r w:rsidR="00F27264" w:rsidRPr="005D2366">
        <w:rPr>
          <w:rFonts w:ascii="Times New Roman" w:hAnsi="Times New Roman" w:cs="Times New Roman"/>
          <w:spacing w:val="-3"/>
        </w:rPr>
        <w:t xml:space="preserve">Rate Stabilization Plan </w:t>
      </w:r>
      <w:r w:rsidR="00A27F50" w:rsidRPr="005D2366">
        <w:rPr>
          <w:rFonts w:ascii="Times New Roman" w:hAnsi="Times New Roman" w:cs="Times New Roman"/>
          <w:spacing w:val="-3"/>
        </w:rPr>
        <w:t xml:space="preserve">(RSP) </w:t>
      </w:r>
      <w:r w:rsidR="00F27264" w:rsidRPr="005D2366">
        <w:rPr>
          <w:rFonts w:ascii="Times New Roman" w:hAnsi="Times New Roman" w:cs="Times New Roman"/>
          <w:spacing w:val="-3"/>
        </w:rPr>
        <w:t>proceeding</w:t>
      </w:r>
      <w:r w:rsidR="00A05815" w:rsidRPr="005D2366">
        <w:rPr>
          <w:rFonts w:ascii="Times New Roman" w:hAnsi="Times New Roman" w:cs="Times New Roman"/>
          <w:spacing w:val="-3"/>
        </w:rPr>
        <w:t xml:space="preserve"> and its Provider of Last Resort Competitive Bridge Plan </w:t>
      </w:r>
      <w:r w:rsidR="0015101B" w:rsidRPr="005D2366">
        <w:rPr>
          <w:rFonts w:ascii="Times New Roman" w:hAnsi="Times New Roman" w:cs="Times New Roman"/>
          <w:spacing w:val="-3"/>
        </w:rPr>
        <w:t xml:space="preserve">(CBP) </w:t>
      </w:r>
      <w:r w:rsidR="00A05815" w:rsidRPr="005D2366">
        <w:rPr>
          <w:rFonts w:ascii="Times New Roman" w:hAnsi="Times New Roman" w:cs="Times New Roman"/>
          <w:spacing w:val="-3"/>
        </w:rPr>
        <w:t>proceeding.</w:t>
      </w:r>
    </w:p>
    <w:p w:rsidR="00256260" w:rsidRPr="005D2366" w:rsidRDefault="00256260" w:rsidP="00446938">
      <w:pPr>
        <w:pStyle w:val="ParaTab1"/>
        <w:tabs>
          <w:tab w:val="clear" w:pos="-720"/>
        </w:tabs>
        <w:spacing w:line="360" w:lineRule="auto"/>
        <w:rPr>
          <w:rFonts w:ascii="Times New Roman" w:hAnsi="Times New Roman" w:cs="Times New Roman"/>
          <w:spacing w:val="-3"/>
        </w:rPr>
      </w:pPr>
    </w:p>
    <w:p w:rsidR="009D4432" w:rsidRPr="005D2366" w:rsidRDefault="00256260" w:rsidP="000B28FC">
      <w:pPr>
        <w:pStyle w:val="Header"/>
        <w:tabs>
          <w:tab w:val="clear" w:pos="4320"/>
          <w:tab w:val="clear" w:pos="8640"/>
        </w:tabs>
        <w:spacing w:line="360" w:lineRule="auto"/>
        <w:ind w:firstLine="1440"/>
        <w:rPr>
          <w:rFonts w:ascii="Times New Roman" w:hAnsi="Times New Roman"/>
        </w:rPr>
      </w:pPr>
      <w:r w:rsidRPr="005D2366">
        <w:rPr>
          <w:rFonts w:ascii="Times New Roman" w:hAnsi="Times New Roman"/>
        </w:rPr>
        <w:t xml:space="preserve">PPL’s petition proposes offering its customers a voluntary program under which customers can </w:t>
      </w:r>
      <w:r w:rsidR="0015101B" w:rsidRPr="005D2366">
        <w:rPr>
          <w:rFonts w:ascii="Times New Roman" w:hAnsi="Times New Roman"/>
        </w:rPr>
        <w:t xml:space="preserve">elect to defer a portion of PPL’s January 1, 2010 forecasted rate increase.  PPL proposes to recover the deferred amounts plus carrying charges by the end of 2012.  The petition alleges </w:t>
      </w:r>
      <w:r w:rsidR="00184A8D" w:rsidRPr="005D2366">
        <w:rPr>
          <w:rFonts w:ascii="Times New Roman" w:hAnsi="Times New Roman"/>
        </w:rPr>
        <w:t>that most</w:t>
      </w:r>
      <w:r w:rsidR="0015101B" w:rsidRPr="005D2366">
        <w:rPr>
          <w:rFonts w:ascii="Times New Roman" w:hAnsi="Times New Roman"/>
        </w:rPr>
        <w:t xml:space="preserve"> of PPL’s residential and small commercial and industrial customers will be eligible to participate in the RMP.</w:t>
      </w:r>
      <w:r w:rsidR="004E4612" w:rsidRPr="005D2366">
        <w:rPr>
          <w:rFonts w:ascii="Times New Roman" w:hAnsi="Times New Roman"/>
        </w:rPr>
        <w:t xml:space="preserve">  </w:t>
      </w:r>
    </w:p>
    <w:p w:rsidR="0015101B" w:rsidRPr="005D2366" w:rsidRDefault="0015101B" w:rsidP="000B28FC">
      <w:pPr>
        <w:pStyle w:val="Header"/>
        <w:tabs>
          <w:tab w:val="clear" w:pos="4320"/>
          <w:tab w:val="clear" w:pos="8640"/>
        </w:tabs>
        <w:spacing w:line="360" w:lineRule="auto"/>
        <w:ind w:firstLine="1440"/>
        <w:rPr>
          <w:rFonts w:ascii="Times New Roman" w:hAnsi="Times New Roman"/>
        </w:rPr>
      </w:pPr>
    </w:p>
    <w:p w:rsidR="00281AE3" w:rsidRPr="005D2366" w:rsidRDefault="009D4432" w:rsidP="000B28FC">
      <w:pPr>
        <w:pStyle w:val="Header"/>
        <w:tabs>
          <w:tab w:val="clear" w:pos="4320"/>
          <w:tab w:val="clear" w:pos="8640"/>
        </w:tabs>
        <w:spacing w:line="360" w:lineRule="auto"/>
        <w:ind w:firstLine="1440"/>
        <w:rPr>
          <w:rFonts w:ascii="Times New Roman" w:hAnsi="Times New Roman"/>
        </w:rPr>
      </w:pPr>
      <w:r w:rsidRPr="005D2366">
        <w:rPr>
          <w:rFonts w:ascii="Times New Roman" w:hAnsi="Times New Roman"/>
        </w:rPr>
        <w:t xml:space="preserve">The petition </w:t>
      </w:r>
      <w:r w:rsidR="00F768DD" w:rsidRPr="005D2366">
        <w:rPr>
          <w:rFonts w:ascii="Times New Roman" w:hAnsi="Times New Roman"/>
        </w:rPr>
        <w:t>states</w:t>
      </w:r>
      <w:r w:rsidR="00256260" w:rsidRPr="005D2366">
        <w:rPr>
          <w:rFonts w:ascii="Times New Roman" w:hAnsi="Times New Roman"/>
        </w:rPr>
        <w:t xml:space="preserve"> </w:t>
      </w:r>
      <w:r w:rsidR="004E4612" w:rsidRPr="005D2366">
        <w:rPr>
          <w:rFonts w:ascii="Times New Roman" w:hAnsi="Times New Roman"/>
        </w:rPr>
        <w:t xml:space="preserve">that </w:t>
      </w:r>
      <w:r w:rsidR="00D54101" w:rsidRPr="005D2366">
        <w:rPr>
          <w:rFonts w:ascii="Times New Roman" w:hAnsi="Times New Roman"/>
        </w:rPr>
        <w:t xml:space="preserve">the </w:t>
      </w:r>
      <w:r w:rsidR="00256260" w:rsidRPr="005D2366">
        <w:rPr>
          <w:rFonts w:ascii="Times New Roman" w:hAnsi="Times New Roman"/>
        </w:rPr>
        <w:t xml:space="preserve">term of </w:t>
      </w:r>
      <w:r w:rsidR="004E4612" w:rsidRPr="005D2366">
        <w:rPr>
          <w:rFonts w:ascii="Times New Roman" w:hAnsi="Times New Roman"/>
        </w:rPr>
        <w:t>the RMP is three years</w:t>
      </w:r>
      <w:r w:rsidR="004D7367" w:rsidRPr="005D2366">
        <w:rPr>
          <w:rFonts w:ascii="Times New Roman" w:hAnsi="Times New Roman"/>
        </w:rPr>
        <w:t>,</w:t>
      </w:r>
      <w:r w:rsidR="004E4612" w:rsidRPr="005D2366">
        <w:rPr>
          <w:rFonts w:ascii="Times New Roman" w:hAnsi="Times New Roman"/>
        </w:rPr>
        <w:t xml:space="preserve"> from January 1, 2010 through December 31, 2012.  </w:t>
      </w:r>
      <w:r w:rsidR="009B7666">
        <w:rPr>
          <w:rFonts w:ascii="Times New Roman" w:hAnsi="Times New Roman"/>
        </w:rPr>
        <w:t>T</w:t>
      </w:r>
      <w:r w:rsidR="004E4612" w:rsidRPr="005D2366">
        <w:rPr>
          <w:rFonts w:ascii="Times New Roman" w:hAnsi="Times New Roman"/>
        </w:rPr>
        <w:t>he RMP will divide</w:t>
      </w:r>
      <w:r w:rsidR="004D7367" w:rsidRPr="005D2366">
        <w:rPr>
          <w:rFonts w:ascii="Times New Roman" w:hAnsi="Times New Roman"/>
        </w:rPr>
        <w:t xml:space="preserve"> customers</w:t>
      </w:r>
      <w:r w:rsidR="004E4612" w:rsidRPr="005D2366">
        <w:rPr>
          <w:rFonts w:ascii="Times New Roman" w:hAnsi="Times New Roman"/>
        </w:rPr>
        <w:t xml:space="preserve"> into strata based on their usage </w:t>
      </w:r>
      <w:r w:rsidR="004E4612" w:rsidRPr="005D2366">
        <w:rPr>
          <w:rFonts w:ascii="Times New Roman" w:hAnsi="Times New Roman"/>
        </w:rPr>
        <w:lastRenderedPageBreak/>
        <w:t>le</w:t>
      </w:r>
      <w:r w:rsidR="00825714">
        <w:rPr>
          <w:rFonts w:ascii="Times New Roman" w:hAnsi="Times New Roman"/>
        </w:rPr>
        <w:t>vels.  Customers in each strata</w:t>
      </w:r>
      <w:r w:rsidR="004E4612" w:rsidRPr="005D2366">
        <w:rPr>
          <w:rFonts w:ascii="Times New Roman" w:hAnsi="Times New Roman"/>
        </w:rPr>
        <w:t xml:space="preserve"> will receive a fixed monthly dollar credit designed to limit the </w:t>
      </w:r>
      <w:r w:rsidR="006C1E94" w:rsidRPr="005D2366">
        <w:rPr>
          <w:rFonts w:ascii="Times New Roman" w:hAnsi="Times New Roman"/>
        </w:rPr>
        <w:t>2010 total bill increase to 25% and an additional 25% in 2011 for each strata based on the current estimated 2010 generation rate increase.  Any remaining rate increase will be implemented on January 1, 2012.  All the amounts deferred plus carryin</w:t>
      </w:r>
      <w:r w:rsidR="00F768DD" w:rsidRPr="005D2366">
        <w:rPr>
          <w:rFonts w:ascii="Times New Roman" w:hAnsi="Times New Roman"/>
        </w:rPr>
        <w:t>g</w:t>
      </w:r>
      <w:r w:rsidR="006C1E94" w:rsidRPr="005D2366">
        <w:rPr>
          <w:rFonts w:ascii="Times New Roman" w:hAnsi="Times New Roman"/>
        </w:rPr>
        <w:t xml:space="preserve"> costs will be recovered though a fixed monthly RMP charge.  The RMP </w:t>
      </w:r>
      <w:r w:rsidR="000B21BD" w:rsidRPr="005D2366">
        <w:rPr>
          <w:rFonts w:ascii="Times New Roman" w:hAnsi="Times New Roman"/>
        </w:rPr>
        <w:t>c</w:t>
      </w:r>
      <w:r w:rsidR="00F768DD" w:rsidRPr="005D2366">
        <w:rPr>
          <w:rFonts w:ascii="Times New Roman" w:hAnsi="Times New Roman"/>
        </w:rPr>
        <w:t>redits and charges will be reco</w:t>
      </w:r>
      <w:r w:rsidR="000B21BD" w:rsidRPr="005D2366">
        <w:rPr>
          <w:rFonts w:ascii="Times New Roman" w:hAnsi="Times New Roman"/>
        </w:rPr>
        <w:t>vered through a non-bypassable rider.  Attached to PPL’s petition and marked as Attachment A are proposed tariff pages establishing a RMP Rider to implement the RMP.</w:t>
      </w:r>
      <w:r w:rsidR="00173A50" w:rsidRPr="005D2366">
        <w:rPr>
          <w:rFonts w:ascii="Times New Roman" w:hAnsi="Times New Roman"/>
        </w:rPr>
        <w:t xml:space="preserve">  </w:t>
      </w:r>
      <w:r w:rsidR="00B8006A" w:rsidRPr="005D2366">
        <w:rPr>
          <w:rFonts w:ascii="Times New Roman" w:hAnsi="Times New Roman"/>
        </w:rPr>
        <w:t xml:space="preserve">The petition requests that the Commission approve the </w:t>
      </w:r>
      <w:r w:rsidR="00173A50" w:rsidRPr="005D2366">
        <w:rPr>
          <w:rFonts w:ascii="Times New Roman" w:hAnsi="Times New Roman"/>
        </w:rPr>
        <w:t xml:space="preserve">RMP as set forth in its petition and requests that the Commission </w:t>
      </w:r>
      <w:r w:rsidR="00EF6BA3" w:rsidRPr="005D2366">
        <w:rPr>
          <w:rFonts w:ascii="Times New Roman" w:hAnsi="Times New Roman"/>
        </w:rPr>
        <w:t>find that the RMP Rider is just and reasonable and permit it to become effective on April 17, 2009</w:t>
      </w:r>
      <w:r w:rsidR="00173A50" w:rsidRPr="005D2366">
        <w:rPr>
          <w:rFonts w:ascii="Times New Roman" w:hAnsi="Times New Roman"/>
        </w:rPr>
        <w:t>.</w:t>
      </w:r>
      <w:r w:rsidR="009B7666">
        <w:rPr>
          <w:rFonts w:ascii="Times New Roman" w:hAnsi="Times New Roman"/>
        </w:rPr>
        <w:t xml:space="preserve">  </w:t>
      </w:r>
      <w:r w:rsidR="00281AE3" w:rsidRPr="005D2366">
        <w:rPr>
          <w:rFonts w:ascii="Times New Roman" w:hAnsi="Times New Roman" w:cs="Times New Roman"/>
        </w:rPr>
        <w:t xml:space="preserve">Notice of PPL’s petition was published in the </w:t>
      </w:r>
      <w:r w:rsidR="00281AE3" w:rsidRPr="005D2366">
        <w:rPr>
          <w:rFonts w:ascii="Times New Roman" w:hAnsi="Times New Roman" w:cs="Times New Roman"/>
          <w:u w:val="single"/>
        </w:rPr>
        <w:t>Pennsylvania Bulletin</w:t>
      </w:r>
      <w:r w:rsidR="00281AE3" w:rsidRPr="005D2366">
        <w:rPr>
          <w:rFonts w:ascii="Times New Roman" w:hAnsi="Times New Roman" w:cs="Times New Roman"/>
        </w:rPr>
        <w:t xml:space="preserve"> on March 7, 2009</w:t>
      </w:r>
      <w:r w:rsidR="00B300D6" w:rsidRPr="005D2366">
        <w:rPr>
          <w:rFonts w:ascii="Times New Roman" w:hAnsi="Times New Roman" w:cs="Times New Roman"/>
        </w:rPr>
        <w:t>,</w:t>
      </w:r>
      <w:r w:rsidR="00281AE3" w:rsidRPr="005D2366">
        <w:rPr>
          <w:rFonts w:ascii="Times New Roman" w:hAnsi="Times New Roman" w:cs="Times New Roman"/>
        </w:rPr>
        <w:t xml:space="preserve"> at 39 Pa.B. 1283 specifying a deadline of March 11, 2009 for the filing of answers.</w:t>
      </w:r>
    </w:p>
    <w:p w:rsidR="008E6937" w:rsidRPr="005D2366" w:rsidRDefault="008E6937" w:rsidP="000B28FC">
      <w:pPr>
        <w:pStyle w:val="Header"/>
        <w:tabs>
          <w:tab w:val="clear" w:pos="4320"/>
          <w:tab w:val="clear" w:pos="8640"/>
        </w:tabs>
        <w:spacing w:line="360" w:lineRule="auto"/>
        <w:ind w:firstLine="1440"/>
        <w:rPr>
          <w:rFonts w:ascii="Times New Roman" w:hAnsi="Times New Roman"/>
        </w:rPr>
      </w:pPr>
    </w:p>
    <w:p w:rsidR="003930BF" w:rsidRPr="005D2366" w:rsidRDefault="008E6937" w:rsidP="000B28FC">
      <w:pPr>
        <w:pStyle w:val="BodyText"/>
        <w:tabs>
          <w:tab w:val="left" w:pos="0"/>
        </w:tabs>
        <w:spacing w:after="0" w:line="360" w:lineRule="auto"/>
        <w:ind w:firstLine="720"/>
        <w:rPr>
          <w:rFonts w:ascii="Times New Roman" w:hAnsi="Times New Roman"/>
          <w:color w:val="000000"/>
          <w:kern w:val="1"/>
        </w:rPr>
      </w:pPr>
      <w:r w:rsidRPr="005D2366">
        <w:rPr>
          <w:rFonts w:ascii="Times New Roman" w:hAnsi="Times New Roman"/>
          <w:color w:val="000000"/>
        </w:rPr>
        <w:tab/>
        <w:t xml:space="preserve">On </w:t>
      </w:r>
      <w:r w:rsidR="00EF6BA3" w:rsidRPr="005D2366">
        <w:rPr>
          <w:rFonts w:ascii="Times New Roman" w:hAnsi="Times New Roman"/>
          <w:color w:val="000000"/>
        </w:rPr>
        <w:t xml:space="preserve">March 11, 2009, </w:t>
      </w:r>
      <w:r w:rsidRPr="005D2366">
        <w:rPr>
          <w:rFonts w:ascii="Times New Roman" w:hAnsi="Times New Roman"/>
          <w:color w:val="000000"/>
          <w:kern w:val="1"/>
        </w:rPr>
        <w:t xml:space="preserve">OCA and the OSBA each filed </w:t>
      </w:r>
      <w:r w:rsidR="00DB1609" w:rsidRPr="005D2366">
        <w:rPr>
          <w:rFonts w:ascii="Times New Roman" w:hAnsi="Times New Roman"/>
          <w:color w:val="000000"/>
          <w:kern w:val="1"/>
        </w:rPr>
        <w:t>a</w:t>
      </w:r>
      <w:r w:rsidRPr="005D2366">
        <w:rPr>
          <w:rFonts w:ascii="Times New Roman" w:hAnsi="Times New Roman"/>
          <w:color w:val="000000"/>
          <w:kern w:val="1"/>
        </w:rPr>
        <w:t>nswer</w:t>
      </w:r>
      <w:r w:rsidR="00DB1609" w:rsidRPr="005D2366">
        <w:rPr>
          <w:rFonts w:ascii="Times New Roman" w:hAnsi="Times New Roman"/>
          <w:color w:val="000000"/>
          <w:kern w:val="1"/>
        </w:rPr>
        <w:t>s</w:t>
      </w:r>
      <w:r w:rsidRPr="005D2366">
        <w:rPr>
          <w:rFonts w:ascii="Times New Roman" w:hAnsi="Times New Roman"/>
          <w:color w:val="000000"/>
          <w:kern w:val="1"/>
        </w:rPr>
        <w:t xml:space="preserve"> to </w:t>
      </w:r>
      <w:r w:rsidR="00DB1609" w:rsidRPr="005D2366">
        <w:rPr>
          <w:rFonts w:ascii="Times New Roman" w:hAnsi="Times New Roman"/>
          <w:color w:val="000000"/>
          <w:kern w:val="1"/>
        </w:rPr>
        <w:t>PPL’s p</w:t>
      </w:r>
      <w:r w:rsidRPr="005D2366">
        <w:rPr>
          <w:rFonts w:ascii="Times New Roman" w:hAnsi="Times New Roman"/>
          <w:color w:val="000000"/>
          <w:kern w:val="1"/>
        </w:rPr>
        <w:t>etition</w:t>
      </w:r>
      <w:r w:rsidR="00DB1609" w:rsidRPr="005D2366">
        <w:rPr>
          <w:rFonts w:ascii="Times New Roman" w:hAnsi="Times New Roman"/>
          <w:color w:val="000000"/>
          <w:kern w:val="1"/>
        </w:rPr>
        <w:t xml:space="preserve"> as well as</w:t>
      </w:r>
      <w:r w:rsidR="00846633" w:rsidRPr="005D2366">
        <w:rPr>
          <w:rFonts w:ascii="Times New Roman" w:hAnsi="Times New Roman"/>
          <w:color w:val="000000"/>
          <w:kern w:val="1"/>
        </w:rPr>
        <w:t xml:space="preserve"> notices of intervention and public statements</w:t>
      </w:r>
      <w:r w:rsidRPr="005D2366">
        <w:rPr>
          <w:rFonts w:ascii="Times New Roman" w:hAnsi="Times New Roman"/>
          <w:color w:val="000000"/>
          <w:kern w:val="1"/>
        </w:rPr>
        <w:t>.</w:t>
      </w:r>
      <w:r w:rsidR="00204C04" w:rsidRPr="005D2366">
        <w:rPr>
          <w:rFonts w:ascii="Times New Roman" w:hAnsi="Times New Roman"/>
          <w:color w:val="000000"/>
          <w:kern w:val="1"/>
        </w:rPr>
        <w:t xml:space="preserve">  OCA’s answer states that it generally supports PPL’s petition but that the Commission should address certain issues before approving the petition.  OCA’s answer alleges that PPL needs to supply more information regarding how customers may withdraw from the RMP</w:t>
      </w:r>
      <w:r w:rsidR="00A8365C" w:rsidRPr="005D2366">
        <w:rPr>
          <w:rFonts w:ascii="Times New Roman" w:hAnsi="Times New Roman"/>
          <w:color w:val="000000"/>
          <w:kern w:val="1"/>
        </w:rPr>
        <w:t xml:space="preserve">, what implications arise from PPL removing a customer from the RMP for non-payment and how the RMP will operate in the event that a customer changes service. </w:t>
      </w:r>
      <w:r w:rsidR="008A5B24" w:rsidRPr="005D2366">
        <w:rPr>
          <w:rFonts w:ascii="Times New Roman" w:hAnsi="Times New Roman"/>
          <w:color w:val="000000"/>
          <w:kern w:val="1"/>
        </w:rPr>
        <w:t xml:space="preserve"> OCA’s answer also states that the specific methods that PPL intends to use to communicate with</w:t>
      </w:r>
      <w:r w:rsidR="003930BF" w:rsidRPr="005D2366">
        <w:rPr>
          <w:rFonts w:ascii="Times New Roman" w:hAnsi="Times New Roman"/>
          <w:color w:val="000000"/>
          <w:kern w:val="1"/>
        </w:rPr>
        <w:t xml:space="preserve"> its customers regarding the RMP should be made clear.  OCA’s answer asserts that PPL should clarify whether its customers will be responsible for the costs of the RMP.</w:t>
      </w:r>
      <w:r w:rsidR="00DF3A51" w:rsidRPr="005D2366">
        <w:rPr>
          <w:rFonts w:ascii="Times New Roman" w:hAnsi="Times New Roman"/>
          <w:color w:val="000000"/>
          <w:kern w:val="1"/>
        </w:rPr>
        <w:t xml:space="preserve">  OCA requests that the Commission address these issues prior to approving the proposed RMP.</w:t>
      </w:r>
    </w:p>
    <w:p w:rsidR="003930BF" w:rsidRPr="005D2366" w:rsidRDefault="003930BF" w:rsidP="00446938">
      <w:pPr>
        <w:pStyle w:val="BodyText"/>
        <w:tabs>
          <w:tab w:val="left" w:pos="0"/>
        </w:tabs>
        <w:spacing w:after="0" w:line="360" w:lineRule="auto"/>
        <w:ind w:firstLine="1440"/>
        <w:rPr>
          <w:rFonts w:ascii="Times New Roman" w:hAnsi="Times New Roman"/>
          <w:color w:val="000000"/>
          <w:kern w:val="1"/>
        </w:rPr>
      </w:pPr>
    </w:p>
    <w:p w:rsidR="00204C04" w:rsidRPr="005D2366" w:rsidRDefault="003930BF" w:rsidP="000B28FC">
      <w:pPr>
        <w:pStyle w:val="BodyText"/>
        <w:tabs>
          <w:tab w:val="left" w:pos="0"/>
        </w:tabs>
        <w:spacing w:after="0" w:line="360" w:lineRule="auto"/>
        <w:ind w:firstLine="720"/>
        <w:rPr>
          <w:rFonts w:ascii="Times New Roman" w:hAnsi="Times New Roman"/>
          <w:color w:val="000000"/>
          <w:kern w:val="1"/>
        </w:rPr>
      </w:pPr>
      <w:r w:rsidRPr="005D2366">
        <w:rPr>
          <w:rFonts w:ascii="Times New Roman" w:hAnsi="Times New Roman"/>
          <w:color w:val="000000"/>
          <w:kern w:val="1"/>
        </w:rPr>
        <w:tab/>
        <w:t>OSBA’s answer</w:t>
      </w:r>
      <w:r w:rsidR="00444D47" w:rsidRPr="005D2366">
        <w:rPr>
          <w:rFonts w:ascii="Times New Roman" w:hAnsi="Times New Roman"/>
          <w:color w:val="000000"/>
          <w:kern w:val="1"/>
        </w:rPr>
        <w:t xml:space="preserve"> alleges that PPL’s proposed RMP is legally insufficient pursuant to 52 Pa. Code §69.181</w:t>
      </w:r>
      <w:r w:rsidR="009B7666">
        <w:rPr>
          <w:rFonts w:ascii="Times New Roman" w:hAnsi="Times New Roman"/>
          <w:color w:val="000000"/>
          <w:kern w:val="1"/>
        </w:rPr>
        <w:t>1</w:t>
      </w:r>
      <w:r w:rsidR="00444D47" w:rsidRPr="005D2366">
        <w:rPr>
          <w:rFonts w:ascii="Times New Roman" w:hAnsi="Times New Roman"/>
          <w:color w:val="000000"/>
          <w:kern w:val="1"/>
        </w:rPr>
        <w:t xml:space="preserve"> because the RMP only provides that most of PPL’s small commercial and industrial customers may participate in the program while 52 </w:t>
      </w:r>
      <w:r w:rsidR="00D50AC1" w:rsidRPr="005D2366">
        <w:rPr>
          <w:rFonts w:ascii="Times New Roman" w:hAnsi="Times New Roman"/>
          <w:color w:val="000000"/>
          <w:kern w:val="1"/>
        </w:rPr>
        <w:t>P</w:t>
      </w:r>
      <w:r w:rsidR="00444D47" w:rsidRPr="005D2366">
        <w:rPr>
          <w:rFonts w:ascii="Times New Roman" w:hAnsi="Times New Roman"/>
          <w:color w:val="000000"/>
          <w:kern w:val="1"/>
        </w:rPr>
        <w:t>a. Code §69.181</w:t>
      </w:r>
      <w:r w:rsidR="009B7666">
        <w:rPr>
          <w:rFonts w:ascii="Times New Roman" w:hAnsi="Times New Roman"/>
          <w:color w:val="000000"/>
          <w:kern w:val="1"/>
        </w:rPr>
        <w:t>1</w:t>
      </w:r>
      <w:r w:rsidR="00444D47" w:rsidRPr="005D2366">
        <w:rPr>
          <w:rFonts w:ascii="Times New Roman" w:hAnsi="Times New Roman"/>
          <w:color w:val="000000"/>
          <w:kern w:val="1"/>
        </w:rPr>
        <w:t xml:space="preserve"> </w:t>
      </w:r>
      <w:r w:rsidR="00D50AC1" w:rsidRPr="005D2366">
        <w:rPr>
          <w:rFonts w:ascii="Times New Roman" w:hAnsi="Times New Roman"/>
          <w:color w:val="000000"/>
          <w:kern w:val="1"/>
        </w:rPr>
        <w:t xml:space="preserve">requires all small commercial and industrial customers with a peak demand of 25 kW or less should be included in the RMP.  OSBA’s answer also points out that the RMP appears to include certain small commercial and industrial customers that </w:t>
      </w:r>
      <w:r w:rsidR="00DF3A51" w:rsidRPr="005D2366">
        <w:rPr>
          <w:rFonts w:ascii="Times New Roman" w:hAnsi="Times New Roman"/>
          <w:color w:val="000000"/>
          <w:kern w:val="1"/>
        </w:rPr>
        <w:t xml:space="preserve">have a peak demand of more than 25 kW.  If that is the case, OSBA’s states that PPL should disclose whether and how it will recover </w:t>
      </w:r>
      <w:r w:rsidR="009B7666">
        <w:rPr>
          <w:rFonts w:ascii="Times New Roman" w:hAnsi="Times New Roman"/>
          <w:color w:val="000000"/>
          <w:kern w:val="1"/>
        </w:rPr>
        <w:t xml:space="preserve">unpaid </w:t>
      </w:r>
      <w:r w:rsidR="009B7666">
        <w:rPr>
          <w:rFonts w:ascii="Times New Roman" w:hAnsi="Times New Roman"/>
          <w:color w:val="000000"/>
          <w:kern w:val="1"/>
        </w:rPr>
        <w:lastRenderedPageBreak/>
        <w:t xml:space="preserve">amounts </w:t>
      </w:r>
      <w:r w:rsidR="000C34E7" w:rsidRPr="005D2366">
        <w:rPr>
          <w:rFonts w:ascii="Times New Roman" w:hAnsi="Times New Roman"/>
          <w:color w:val="000000"/>
          <w:kern w:val="1"/>
        </w:rPr>
        <w:t>from other customers if any of these larger customers fail to pay the amounts deferred.  OSBA requ</w:t>
      </w:r>
      <w:r w:rsidR="00490392" w:rsidRPr="005D2366">
        <w:rPr>
          <w:rFonts w:ascii="Times New Roman" w:hAnsi="Times New Roman"/>
          <w:color w:val="000000"/>
          <w:kern w:val="1"/>
        </w:rPr>
        <w:t>ests that the Commission conduct hearings on the RMP.</w:t>
      </w:r>
    </w:p>
    <w:p w:rsidR="00204C04" w:rsidRPr="005D2366" w:rsidRDefault="00204C04" w:rsidP="00446938">
      <w:pPr>
        <w:pStyle w:val="BodyText"/>
        <w:tabs>
          <w:tab w:val="left" w:pos="0"/>
        </w:tabs>
        <w:spacing w:after="0" w:line="360" w:lineRule="auto"/>
        <w:ind w:firstLine="1440"/>
        <w:rPr>
          <w:rFonts w:ascii="Times New Roman" w:hAnsi="Times New Roman"/>
          <w:color w:val="000000"/>
          <w:kern w:val="1"/>
        </w:rPr>
      </w:pPr>
    </w:p>
    <w:p w:rsidR="00014D92" w:rsidRPr="005D2366" w:rsidRDefault="00490392" w:rsidP="000B28FC">
      <w:pPr>
        <w:pStyle w:val="BodyText"/>
        <w:tabs>
          <w:tab w:val="left" w:pos="0"/>
        </w:tabs>
        <w:spacing w:after="0" w:line="360" w:lineRule="auto"/>
        <w:ind w:firstLine="720"/>
        <w:rPr>
          <w:rFonts w:ascii="Times New Roman" w:hAnsi="Times New Roman"/>
        </w:rPr>
      </w:pPr>
      <w:r w:rsidRPr="005D2366">
        <w:rPr>
          <w:rFonts w:ascii="Times New Roman" w:hAnsi="Times New Roman"/>
          <w:color w:val="000000"/>
          <w:kern w:val="1"/>
        </w:rPr>
        <w:tab/>
      </w:r>
      <w:r w:rsidR="00EF6BA3" w:rsidRPr="005D2366">
        <w:rPr>
          <w:rFonts w:ascii="Times New Roman" w:hAnsi="Times New Roman"/>
          <w:color w:val="000000"/>
          <w:kern w:val="1"/>
        </w:rPr>
        <w:t>Also on March 11, 2009,</w:t>
      </w:r>
      <w:r w:rsidR="008E6937" w:rsidRPr="005D2366">
        <w:rPr>
          <w:rFonts w:ascii="Times New Roman" w:hAnsi="Times New Roman"/>
          <w:color w:val="000000"/>
          <w:kern w:val="1"/>
        </w:rPr>
        <w:t xml:space="preserve"> the PP&amp;L Industrial Customer Alliance (PPLICA)</w:t>
      </w:r>
      <w:r w:rsidR="00576A16" w:rsidRPr="005D2366">
        <w:rPr>
          <w:rFonts w:ascii="Times New Roman" w:hAnsi="Times New Roman"/>
          <w:color w:val="000000"/>
          <w:kern w:val="1"/>
        </w:rPr>
        <w:t>, the Retail Energy Supply Association (RESA),</w:t>
      </w:r>
      <w:r w:rsidR="008E6937" w:rsidRPr="005D2366">
        <w:rPr>
          <w:rFonts w:ascii="Times New Roman" w:hAnsi="Times New Roman"/>
          <w:color w:val="000000"/>
          <w:kern w:val="1"/>
        </w:rPr>
        <w:t xml:space="preserve"> </w:t>
      </w:r>
      <w:r w:rsidR="00576A16" w:rsidRPr="005D2366">
        <w:rPr>
          <w:rFonts w:ascii="Times New Roman" w:hAnsi="Times New Roman"/>
          <w:color w:val="000000"/>
          <w:kern w:val="1"/>
        </w:rPr>
        <w:t>Direct Energy Services, LLC, (Direct Energy), the Richards Energy Group, Inc.</w:t>
      </w:r>
      <w:r w:rsidR="00CF303B" w:rsidRPr="005D2366">
        <w:rPr>
          <w:rFonts w:ascii="Times New Roman" w:hAnsi="Times New Roman"/>
          <w:color w:val="000000"/>
          <w:kern w:val="1"/>
        </w:rPr>
        <w:t xml:space="preserve"> </w:t>
      </w:r>
      <w:r w:rsidR="00CF303B" w:rsidRPr="005D2366">
        <w:rPr>
          <w:rFonts w:ascii="Times New Roman" w:hAnsi="Times New Roman"/>
        </w:rPr>
        <w:t>and the Richards Energy Affinity Program (collectively Richards)</w:t>
      </w:r>
      <w:r w:rsidR="00576A16" w:rsidRPr="005D2366">
        <w:rPr>
          <w:rFonts w:ascii="Times New Roman" w:hAnsi="Times New Roman"/>
          <w:color w:val="000000"/>
          <w:kern w:val="1"/>
        </w:rPr>
        <w:t xml:space="preserve">, </w:t>
      </w:r>
      <w:r w:rsidR="00E435B6" w:rsidRPr="005D2366">
        <w:rPr>
          <w:rFonts w:ascii="Times New Roman" w:hAnsi="Times New Roman"/>
          <w:color w:val="000000"/>
          <w:kern w:val="1"/>
        </w:rPr>
        <w:t xml:space="preserve">Constellation New Energy, Inc. and Constellation Energy Commodities Group, Inc. (collectively Constellation) all </w:t>
      </w:r>
      <w:r w:rsidR="008E6937" w:rsidRPr="005D2366">
        <w:rPr>
          <w:rFonts w:ascii="Times New Roman" w:hAnsi="Times New Roman"/>
          <w:color w:val="000000"/>
          <w:kern w:val="1"/>
        </w:rPr>
        <w:t xml:space="preserve">filed </w:t>
      </w:r>
      <w:r w:rsidR="003A11C7" w:rsidRPr="005D2366">
        <w:rPr>
          <w:rFonts w:ascii="Times New Roman" w:hAnsi="Times New Roman"/>
          <w:color w:val="000000"/>
          <w:kern w:val="1"/>
        </w:rPr>
        <w:t>p</w:t>
      </w:r>
      <w:r w:rsidR="008E6937" w:rsidRPr="005D2366">
        <w:rPr>
          <w:rFonts w:ascii="Times New Roman" w:hAnsi="Times New Roman"/>
          <w:color w:val="000000"/>
          <w:kern w:val="1"/>
        </w:rPr>
        <w:t>etition</w:t>
      </w:r>
      <w:r w:rsidR="00E435B6" w:rsidRPr="005D2366">
        <w:rPr>
          <w:rFonts w:ascii="Times New Roman" w:hAnsi="Times New Roman"/>
          <w:color w:val="000000"/>
          <w:kern w:val="1"/>
        </w:rPr>
        <w:t>s</w:t>
      </w:r>
      <w:r w:rsidR="008E6937" w:rsidRPr="005D2366">
        <w:rPr>
          <w:rFonts w:ascii="Times New Roman" w:hAnsi="Times New Roman"/>
          <w:color w:val="000000"/>
          <w:kern w:val="1"/>
        </w:rPr>
        <w:t xml:space="preserve"> to </w:t>
      </w:r>
      <w:r w:rsidR="003A11C7" w:rsidRPr="005D2366">
        <w:rPr>
          <w:rFonts w:ascii="Times New Roman" w:hAnsi="Times New Roman"/>
          <w:color w:val="000000"/>
          <w:kern w:val="1"/>
        </w:rPr>
        <w:t>i</w:t>
      </w:r>
      <w:r w:rsidR="008E6937" w:rsidRPr="005D2366">
        <w:rPr>
          <w:rFonts w:ascii="Times New Roman" w:hAnsi="Times New Roman"/>
          <w:color w:val="000000"/>
          <w:kern w:val="1"/>
        </w:rPr>
        <w:t>ntervene in this proceeding.</w:t>
      </w:r>
      <w:r w:rsidRPr="005D2366">
        <w:rPr>
          <w:rFonts w:ascii="Times New Roman" w:hAnsi="Times New Roman"/>
          <w:color w:val="000000"/>
          <w:kern w:val="1"/>
        </w:rPr>
        <w:t xml:space="preserve">  </w:t>
      </w:r>
      <w:r w:rsidR="00014D92" w:rsidRPr="005D2366">
        <w:rPr>
          <w:rFonts w:ascii="Times New Roman" w:hAnsi="Times New Roman" w:cs="Times New Roman"/>
        </w:rPr>
        <w:t xml:space="preserve">Constellation also </w:t>
      </w:r>
      <w:r w:rsidR="00014D92" w:rsidRPr="005D2366">
        <w:rPr>
          <w:rFonts w:ascii="Times New Roman" w:hAnsi="Times New Roman"/>
        </w:rPr>
        <w:t xml:space="preserve">filed a motion for admission </w:t>
      </w:r>
      <w:r w:rsidR="00014D92" w:rsidRPr="005D2366">
        <w:rPr>
          <w:rFonts w:ascii="Times New Roman" w:hAnsi="Times New Roman"/>
          <w:i/>
        </w:rPr>
        <w:t>pro hac vice</w:t>
      </w:r>
      <w:r w:rsidR="00014D92" w:rsidRPr="005D2366">
        <w:rPr>
          <w:rFonts w:ascii="Times New Roman" w:hAnsi="Times New Roman"/>
        </w:rPr>
        <w:t xml:space="preserve"> on behalf of Divesh Gupta, Esquire. </w:t>
      </w:r>
    </w:p>
    <w:p w:rsidR="00014D92" w:rsidRPr="005D2366" w:rsidRDefault="00014D92" w:rsidP="00446938">
      <w:pPr>
        <w:pStyle w:val="BodyText"/>
        <w:tabs>
          <w:tab w:val="left" w:pos="0"/>
        </w:tabs>
        <w:spacing w:after="0" w:line="360" w:lineRule="auto"/>
        <w:ind w:firstLine="1440"/>
        <w:rPr>
          <w:rFonts w:ascii="Times New Roman" w:hAnsi="Times New Roman"/>
        </w:rPr>
      </w:pPr>
    </w:p>
    <w:p w:rsidR="00E435B6" w:rsidRPr="005D2366" w:rsidRDefault="00014D92" w:rsidP="000B28FC">
      <w:pPr>
        <w:pStyle w:val="BodyText"/>
        <w:tabs>
          <w:tab w:val="left" w:pos="0"/>
        </w:tabs>
        <w:spacing w:after="0" w:line="360" w:lineRule="auto"/>
        <w:ind w:firstLine="720"/>
        <w:rPr>
          <w:rFonts w:ascii="Times New Roman" w:hAnsi="Times New Roman"/>
          <w:color w:val="000000"/>
          <w:kern w:val="1"/>
        </w:rPr>
      </w:pPr>
      <w:r w:rsidRPr="005D2366">
        <w:rPr>
          <w:rFonts w:ascii="Times New Roman" w:hAnsi="Times New Roman"/>
        </w:rPr>
        <w:tab/>
      </w:r>
      <w:r w:rsidR="00490392" w:rsidRPr="005D2366">
        <w:rPr>
          <w:rFonts w:ascii="Times New Roman" w:hAnsi="Times New Roman"/>
          <w:color w:val="000000"/>
          <w:kern w:val="1"/>
        </w:rPr>
        <w:t>PPLICA</w:t>
      </w:r>
      <w:r w:rsidR="00BF08C2" w:rsidRPr="005D2366">
        <w:rPr>
          <w:rFonts w:ascii="Times New Roman" w:hAnsi="Times New Roman"/>
          <w:color w:val="000000"/>
          <w:kern w:val="1"/>
        </w:rPr>
        <w:t>’s petition to intervene</w:t>
      </w:r>
      <w:r w:rsidR="00490392" w:rsidRPr="005D2366">
        <w:rPr>
          <w:rFonts w:ascii="Times New Roman" w:hAnsi="Times New Roman"/>
          <w:color w:val="000000"/>
          <w:kern w:val="1"/>
        </w:rPr>
        <w:t xml:space="preserve"> alleges it is an association </w:t>
      </w:r>
      <w:r w:rsidR="00755C22" w:rsidRPr="005D2366">
        <w:rPr>
          <w:rFonts w:ascii="Times New Roman" w:hAnsi="Times New Roman"/>
          <w:color w:val="000000"/>
          <w:kern w:val="1"/>
        </w:rPr>
        <w:t>of energy intensive commercial and industrial customers receiving electrical service in PPL’s service territory.</w:t>
      </w:r>
      <w:r w:rsidR="00BF08C2" w:rsidRPr="005D2366">
        <w:rPr>
          <w:rFonts w:ascii="Times New Roman" w:hAnsi="Times New Roman"/>
          <w:color w:val="000000"/>
          <w:kern w:val="1"/>
        </w:rPr>
        <w:t xml:space="preserve">  RESA’s petition to intervene alleges that it is a non profit trade association of license</w:t>
      </w:r>
      <w:r w:rsidR="007C1507" w:rsidRPr="005D2366">
        <w:rPr>
          <w:rFonts w:ascii="Times New Roman" w:hAnsi="Times New Roman"/>
          <w:color w:val="000000"/>
          <w:kern w:val="1"/>
        </w:rPr>
        <w:t>d</w:t>
      </w:r>
      <w:r w:rsidR="00BF08C2" w:rsidRPr="005D2366">
        <w:rPr>
          <w:rFonts w:ascii="Times New Roman" w:hAnsi="Times New Roman"/>
          <w:color w:val="000000"/>
          <w:kern w:val="1"/>
        </w:rPr>
        <w:t xml:space="preserve"> retail energy marketers who advocate the development of retail and wholesale competition in electricity markets </w:t>
      </w:r>
      <w:r w:rsidR="009B7666">
        <w:rPr>
          <w:rFonts w:ascii="Times New Roman" w:hAnsi="Times New Roman"/>
          <w:color w:val="000000"/>
          <w:kern w:val="1"/>
        </w:rPr>
        <w:t xml:space="preserve">and </w:t>
      </w:r>
      <w:r w:rsidR="007C1507" w:rsidRPr="005D2366">
        <w:rPr>
          <w:rFonts w:ascii="Times New Roman" w:hAnsi="Times New Roman"/>
          <w:color w:val="000000"/>
          <w:kern w:val="1"/>
        </w:rPr>
        <w:t xml:space="preserve">who are licensed to sell electric energy in PPL’s service territory.  Direct Energy’s petition to intervene alleges </w:t>
      </w:r>
      <w:r w:rsidR="00261A56" w:rsidRPr="005D2366">
        <w:rPr>
          <w:rFonts w:ascii="Times New Roman" w:hAnsi="Times New Roman"/>
          <w:color w:val="000000"/>
          <w:kern w:val="1"/>
        </w:rPr>
        <w:t xml:space="preserve">that it is licensed by the Commission to provide electricity and related services to all classes of retail customers in PPL’s service territory.  Richards </w:t>
      </w:r>
      <w:r w:rsidR="00C6742F" w:rsidRPr="005D2366">
        <w:rPr>
          <w:rFonts w:ascii="Times New Roman" w:hAnsi="Times New Roman"/>
          <w:color w:val="000000"/>
          <w:kern w:val="1"/>
        </w:rPr>
        <w:t xml:space="preserve">petition to intervene </w:t>
      </w:r>
      <w:r w:rsidR="00261A56" w:rsidRPr="005D2366">
        <w:rPr>
          <w:rFonts w:ascii="Times New Roman" w:hAnsi="Times New Roman"/>
          <w:color w:val="000000"/>
          <w:kern w:val="1"/>
        </w:rPr>
        <w:t>alleges that it is a power purchasing consortium that purchases roughly $80 million of electricity per year, some of whose members are customers of PPL.</w:t>
      </w:r>
      <w:r w:rsidR="00BF224D" w:rsidRPr="005D2366">
        <w:rPr>
          <w:rFonts w:ascii="Times New Roman" w:hAnsi="Times New Roman"/>
          <w:color w:val="000000"/>
          <w:kern w:val="1"/>
        </w:rPr>
        <w:t xml:space="preserve">  Constellation’s petition to intervene alleges that it is authorized to provide electricity and energy related services to retail customers in </w:t>
      </w:r>
      <w:r w:rsidR="004F62EF" w:rsidRPr="005D2366">
        <w:rPr>
          <w:rFonts w:ascii="Times New Roman" w:hAnsi="Times New Roman"/>
          <w:color w:val="000000"/>
          <w:kern w:val="1"/>
        </w:rPr>
        <w:t>Pennsylvania.  All of the petitions to intervene allege that they have an interest in this proceeding that may be directly affected and request that the Commission grant their petitions to intervene.</w:t>
      </w:r>
    </w:p>
    <w:p w:rsidR="004D7367" w:rsidRPr="005D2366" w:rsidRDefault="004D7367" w:rsidP="00446938">
      <w:pPr>
        <w:pStyle w:val="BodyText"/>
        <w:tabs>
          <w:tab w:val="left" w:pos="0"/>
        </w:tabs>
        <w:spacing w:after="0" w:line="360" w:lineRule="auto"/>
        <w:ind w:firstLine="1440"/>
        <w:rPr>
          <w:rFonts w:ascii="Times New Roman" w:hAnsi="Times New Roman"/>
          <w:color w:val="000000"/>
          <w:kern w:val="1"/>
        </w:rPr>
      </w:pPr>
    </w:p>
    <w:p w:rsidR="009A046F" w:rsidRDefault="009A046F" w:rsidP="000B28FC">
      <w:pPr>
        <w:pStyle w:val="Header"/>
        <w:tabs>
          <w:tab w:val="clear" w:pos="4320"/>
          <w:tab w:val="clear" w:pos="8640"/>
        </w:tabs>
        <w:spacing w:line="360" w:lineRule="auto"/>
        <w:ind w:firstLine="1440"/>
        <w:rPr>
          <w:rFonts w:ascii="Times New Roman" w:hAnsi="Times New Roman"/>
        </w:rPr>
      </w:pPr>
      <w:r w:rsidRPr="005D2366">
        <w:rPr>
          <w:rFonts w:ascii="Times New Roman" w:hAnsi="Times New Roman"/>
        </w:rPr>
        <w:t>By hearing notice dated</w:t>
      </w:r>
      <w:r w:rsidR="000F049E" w:rsidRPr="005D2366">
        <w:rPr>
          <w:rFonts w:ascii="Times New Roman" w:hAnsi="Times New Roman"/>
        </w:rPr>
        <w:t xml:space="preserve"> </w:t>
      </w:r>
      <w:r w:rsidR="00C42283" w:rsidRPr="005D2366">
        <w:rPr>
          <w:rFonts w:ascii="Times New Roman" w:hAnsi="Times New Roman"/>
        </w:rPr>
        <w:t>March 17, 2009</w:t>
      </w:r>
      <w:r w:rsidRPr="005D2366">
        <w:rPr>
          <w:rFonts w:ascii="Times New Roman" w:hAnsi="Times New Roman"/>
        </w:rPr>
        <w:t xml:space="preserve">, the Commission scheduled a prehearing conference for this matter on </w:t>
      </w:r>
      <w:r w:rsidR="00C42283" w:rsidRPr="005D2366">
        <w:rPr>
          <w:rFonts w:ascii="Times New Roman" w:hAnsi="Times New Roman"/>
        </w:rPr>
        <w:t>April 2</w:t>
      </w:r>
      <w:r w:rsidR="000F049E" w:rsidRPr="005D2366">
        <w:rPr>
          <w:rFonts w:ascii="Times New Roman" w:hAnsi="Times New Roman"/>
        </w:rPr>
        <w:t>, 2009</w:t>
      </w:r>
      <w:r w:rsidRPr="005D2366">
        <w:rPr>
          <w:rFonts w:ascii="Times New Roman" w:hAnsi="Times New Roman"/>
        </w:rPr>
        <w:t xml:space="preserve"> at 10:00 a.m. in Hearing Room </w:t>
      </w:r>
      <w:r w:rsidR="000F049E" w:rsidRPr="005D2366">
        <w:rPr>
          <w:rFonts w:ascii="Times New Roman" w:hAnsi="Times New Roman"/>
        </w:rPr>
        <w:t>2</w:t>
      </w:r>
      <w:r w:rsidRPr="005D2366">
        <w:rPr>
          <w:rFonts w:ascii="Times New Roman" w:hAnsi="Times New Roman"/>
        </w:rPr>
        <w:t>, Commonwealth Keystone Building, Harrisburg and assigned the case to me.</w:t>
      </w:r>
      <w:r w:rsidR="00014D92" w:rsidRPr="005D2366">
        <w:rPr>
          <w:rFonts w:ascii="Times New Roman" w:hAnsi="Times New Roman"/>
        </w:rPr>
        <w:t xml:space="preserve">  I issued a prehearing conference order on March 17, 2009 directing the parties to file prehearing conference memoranda.</w:t>
      </w:r>
      <w:r w:rsidRPr="005D2366">
        <w:rPr>
          <w:rFonts w:ascii="Times New Roman" w:hAnsi="Times New Roman"/>
        </w:rPr>
        <w:t xml:space="preserve"> </w:t>
      </w:r>
    </w:p>
    <w:p w:rsidR="00A106F0" w:rsidRPr="005D2366" w:rsidRDefault="00A106F0" w:rsidP="000B28FC">
      <w:pPr>
        <w:pStyle w:val="Header"/>
        <w:tabs>
          <w:tab w:val="clear" w:pos="4320"/>
          <w:tab w:val="clear" w:pos="8640"/>
        </w:tabs>
        <w:spacing w:line="360" w:lineRule="auto"/>
        <w:ind w:firstLine="1440"/>
        <w:rPr>
          <w:rFonts w:ascii="Times New Roman" w:hAnsi="Times New Roman"/>
        </w:rPr>
      </w:pPr>
    </w:p>
    <w:p w:rsidR="00BA4112" w:rsidRPr="005D2366" w:rsidRDefault="00C16878" w:rsidP="000B28FC">
      <w:pPr>
        <w:pStyle w:val="BodyText"/>
        <w:tabs>
          <w:tab w:val="left" w:pos="0"/>
        </w:tabs>
        <w:spacing w:after="0" w:line="360" w:lineRule="auto"/>
        <w:ind w:firstLine="720"/>
        <w:rPr>
          <w:rFonts w:ascii="Times New Roman" w:hAnsi="Times New Roman"/>
          <w:color w:val="000000"/>
          <w:kern w:val="1"/>
        </w:rPr>
      </w:pPr>
      <w:r w:rsidRPr="005D2366">
        <w:rPr>
          <w:rFonts w:ascii="Times New Roman" w:hAnsi="Times New Roman"/>
          <w:color w:val="000000"/>
          <w:kern w:val="1"/>
        </w:rPr>
        <w:lastRenderedPageBreak/>
        <w:tab/>
        <w:t xml:space="preserve">On March 30, 2009, </w:t>
      </w:r>
      <w:r w:rsidRPr="005D2366">
        <w:rPr>
          <w:rFonts w:ascii="Times New Roman" w:hAnsi="Times New Roman"/>
        </w:rPr>
        <w:t>Citizens for Pennsylvania’s Future (Penn Future) filed a petition to intervene in this proceeding.</w:t>
      </w:r>
      <w:r w:rsidR="00014D92" w:rsidRPr="005D2366">
        <w:rPr>
          <w:rFonts w:ascii="Times New Roman" w:hAnsi="Times New Roman"/>
        </w:rPr>
        <w:t xml:space="preserve">  Penn Future’s</w:t>
      </w:r>
      <w:r w:rsidR="009945D1" w:rsidRPr="005D2366">
        <w:rPr>
          <w:rFonts w:ascii="Times New Roman" w:hAnsi="Times New Roman"/>
        </w:rPr>
        <w:t xml:space="preserve"> petition to intervene </w:t>
      </w:r>
      <w:r w:rsidR="00BA4112" w:rsidRPr="005D2366">
        <w:rPr>
          <w:rFonts w:ascii="Times New Roman" w:hAnsi="Times New Roman"/>
        </w:rPr>
        <w:t>alleges that it is a non profit corporation that promotes clean sources of energy and environmental protection that receives service from PPL and has members who receive service from PPL.  Penn Future</w:t>
      </w:r>
      <w:r w:rsidR="009B7666">
        <w:rPr>
          <w:rFonts w:ascii="Times New Roman" w:hAnsi="Times New Roman"/>
        </w:rPr>
        <w:t>’</w:t>
      </w:r>
      <w:r w:rsidR="00BA4112" w:rsidRPr="005D2366">
        <w:rPr>
          <w:rFonts w:ascii="Times New Roman" w:hAnsi="Times New Roman"/>
        </w:rPr>
        <w:t xml:space="preserve">s </w:t>
      </w:r>
      <w:r w:rsidR="005D2366" w:rsidRPr="005D2366">
        <w:rPr>
          <w:rFonts w:ascii="Times New Roman" w:hAnsi="Times New Roman"/>
          <w:color w:val="000000"/>
          <w:kern w:val="1"/>
        </w:rPr>
        <w:t>petition to intervene alleges</w:t>
      </w:r>
      <w:r w:rsidR="00BA4112" w:rsidRPr="005D2366">
        <w:rPr>
          <w:rFonts w:ascii="Times New Roman" w:hAnsi="Times New Roman"/>
          <w:color w:val="000000"/>
          <w:kern w:val="1"/>
        </w:rPr>
        <w:t xml:space="preserve"> that it has an interest in this proceeding that may be directly affected and requests that the Commission grant its petitions to intervene.</w:t>
      </w:r>
    </w:p>
    <w:p w:rsidR="00B300D6" w:rsidRPr="005D2366" w:rsidRDefault="00B300D6" w:rsidP="00446938">
      <w:pPr>
        <w:pStyle w:val="BodyText"/>
        <w:tabs>
          <w:tab w:val="left" w:pos="0"/>
        </w:tabs>
        <w:spacing w:after="0" w:line="360" w:lineRule="auto"/>
        <w:ind w:firstLine="1440"/>
        <w:rPr>
          <w:rFonts w:ascii="Times New Roman" w:hAnsi="Times New Roman"/>
        </w:rPr>
      </w:pPr>
    </w:p>
    <w:p w:rsidR="001170E7" w:rsidRPr="005D2366" w:rsidRDefault="004D7367" w:rsidP="000B28FC">
      <w:pPr>
        <w:pStyle w:val="BodyText"/>
        <w:tabs>
          <w:tab w:val="left" w:pos="0"/>
        </w:tabs>
        <w:spacing w:after="0" w:line="360" w:lineRule="auto"/>
        <w:ind w:firstLine="720"/>
        <w:rPr>
          <w:rFonts w:ascii="Times New Roman" w:hAnsi="Times New Roman"/>
        </w:rPr>
      </w:pPr>
      <w:r w:rsidRPr="005D2366">
        <w:rPr>
          <w:rFonts w:ascii="Times New Roman" w:hAnsi="Times New Roman"/>
        </w:rPr>
        <w:tab/>
      </w:r>
      <w:r w:rsidR="00E926A5" w:rsidRPr="005D2366">
        <w:rPr>
          <w:rFonts w:ascii="Times New Roman" w:hAnsi="Times New Roman"/>
        </w:rPr>
        <w:t xml:space="preserve">I conducted the prehearing conference in this case on April 2, 2009 at </w:t>
      </w:r>
      <w:r w:rsidR="00E926A5" w:rsidRPr="005D2366">
        <w:rPr>
          <w:rFonts w:ascii="Times New Roman" w:hAnsi="Times New Roman"/>
        </w:rPr>
        <w:fldChar w:fldCharType="begin">
          <w:ffData>
            <w:name w:val="Text13"/>
            <w:enabled/>
            <w:calcOnExit w:val="0"/>
            <w:textInput/>
          </w:ffData>
        </w:fldChar>
      </w:r>
      <w:r w:rsidR="00E926A5" w:rsidRPr="005D2366">
        <w:rPr>
          <w:rFonts w:ascii="Times New Roman" w:hAnsi="Times New Roman"/>
        </w:rPr>
        <w:instrText xml:space="preserve">formtext </w:instrText>
      </w:r>
      <w:r w:rsidR="00E926A5" w:rsidRPr="005D2366">
        <w:rPr>
          <w:rFonts w:ascii="Times New Roman" w:hAnsi="Times New Roman"/>
          <w:vanish/>
        </w:rPr>
      </w:r>
      <w:r w:rsidR="00E926A5" w:rsidRPr="005D2366">
        <w:rPr>
          <w:rFonts w:ascii="Times New Roman" w:hAnsi="Times New Roman"/>
        </w:rPr>
        <w:fldChar w:fldCharType="separate"/>
      </w:r>
      <w:r w:rsidR="00E926A5" w:rsidRPr="005D2366">
        <w:rPr>
          <w:rFonts w:ascii="Times New Roman" w:hAnsi="Times New Roman"/>
        </w:rPr>
        <w:t>10:00 a.m</w:t>
      </w:r>
      <w:r w:rsidR="00E926A5" w:rsidRPr="005D2366">
        <w:rPr>
          <w:rFonts w:ascii="Times New Roman" w:hAnsi="Times New Roman"/>
        </w:rPr>
        <w:fldChar w:fldCharType="end"/>
      </w:r>
      <w:r w:rsidR="00E926A5" w:rsidRPr="005D2366">
        <w:rPr>
          <w:rFonts w:ascii="Times New Roman" w:hAnsi="Times New Roman"/>
        </w:rPr>
        <w:t xml:space="preserve">. in Harrisburg as scheduled.  </w:t>
      </w:r>
      <w:r w:rsidR="001170E7" w:rsidRPr="005D2366">
        <w:rPr>
          <w:rFonts w:ascii="Times New Roman" w:hAnsi="Times New Roman"/>
        </w:rPr>
        <w:t>Present were counsel for PPL, OTS, OCA, OSBA, PPLICA, Direct Energy, RESA, Richards,</w:t>
      </w:r>
      <w:r w:rsidR="00571029" w:rsidRPr="005D2366">
        <w:rPr>
          <w:rFonts w:ascii="Times New Roman" w:hAnsi="Times New Roman"/>
        </w:rPr>
        <w:t xml:space="preserve"> Penn Future </w:t>
      </w:r>
      <w:r w:rsidR="001170E7" w:rsidRPr="005D2366">
        <w:rPr>
          <w:rFonts w:ascii="Times New Roman" w:hAnsi="Times New Roman"/>
        </w:rPr>
        <w:t xml:space="preserve">and Constellation.  In accordance with my prehearing conference order, dated </w:t>
      </w:r>
      <w:r w:rsidR="00571029" w:rsidRPr="005D2366">
        <w:rPr>
          <w:rFonts w:ascii="Times New Roman" w:hAnsi="Times New Roman"/>
        </w:rPr>
        <w:t>March 17, 2009</w:t>
      </w:r>
      <w:r w:rsidR="001170E7" w:rsidRPr="005D2366">
        <w:rPr>
          <w:rFonts w:ascii="Times New Roman" w:hAnsi="Times New Roman"/>
        </w:rPr>
        <w:t xml:space="preserve">, PPL, PPLICA, Richards, Constellation, RESA, Direct, OTS, OCA, OSBA, </w:t>
      </w:r>
      <w:r w:rsidR="009730EA" w:rsidRPr="005D2366">
        <w:rPr>
          <w:rFonts w:ascii="Times New Roman" w:hAnsi="Times New Roman"/>
        </w:rPr>
        <w:t xml:space="preserve">and Penn Future </w:t>
      </w:r>
      <w:r w:rsidR="001170E7" w:rsidRPr="005D2366">
        <w:rPr>
          <w:rFonts w:ascii="Times New Roman" w:hAnsi="Times New Roman"/>
        </w:rPr>
        <w:t xml:space="preserve">all filed prehearing memoranda.  None of the parties present at the </w:t>
      </w:r>
      <w:r w:rsidR="009730EA" w:rsidRPr="005D2366">
        <w:rPr>
          <w:rFonts w:ascii="Times New Roman" w:hAnsi="Times New Roman"/>
        </w:rPr>
        <w:t>April 2, 2009</w:t>
      </w:r>
      <w:r w:rsidR="001170E7" w:rsidRPr="005D2366">
        <w:rPr>
          <w:rFonts w:ascii="Times New Roman" w:hAnsi="Times New Roman"/>
        </w:rPr>
        <w:t xml:space="preserve"> prehearing conference opposed the petitions to intervene filed by </w:t>
      </w:r>
      <w:r w:rsidR="009730EA" w:rsidRPr="005D2366">
        <w:rPr>
          <w:rFonts w:ascii="Times New Roman" w:hAnsi="Times New Roman"/>
        </w:rPr>
        <w:t>PPLICA, RESA, Direct Energy, Richards, Constellation and Penn Future</w:t>
      </w:r>
      <w:r w:rsidR="001170E7" w:rsidRPr="005D2366">
        <w:rPr>
          <w:rFonts w:ascii="Times New Roman" w:hAnsi="Times New Roman"/>
        </w:rPr>
        <w:t xml:space="preserve">.  (N.T. </w:t>
      </w:r>
      <w:r w:rsidR="00614931" w:rsidRPr="005D2366">
        <w:rPr>
          <w:rFonts w:ascii="Times New Roman" w:hAnsi="Times New Roman"/>
        </w:rPr>
        <w:t>16-17</w:t>
      </w:r>
      <w:r w:rsidR="001170E7" w:rsidRPr="005D2366">
        <w:rPr>
          <w:rFonts w:ascii="Times New Roman" w:hAnsi="Times New Roman"/>
        </w:rPr>
        <w:t xml:space="preserve">)  </w:t>
      </w:r>
      <w:r w:rsidR="00614931" w:rsidRPr="005D2366">
        <w:rPr>
          <w:rFonts w:ascii="Times New Roman" w:hAnsi="Times New Roman"/>
        </w:rPr>
        <w:t>PPL stated that it did not intend to file answers to the petitions to intervene.  T</w:t>
      </w:r>
      <w:r w:rsidR="001170E7" w:rsidRPr="005D2366">
        <w:rPr>
          <w:rFonts w:ascii="Times New Roman" w:hAnsi="Times New Roman"/>
        </w:rPr>
        <w:t xml:space="preserve">he parties </w:t>
      </w:r>
      <w:r w:rsidR="00614931" w:rsidRPr="005D2366">
        <w:rPr>
          <w:rFonts w:ascii="Times New Roman" w:hAnsi="Times New Roman"/>
        </w:rPr>
        <w:t xml:space="preserve">also </w:t>
      </w:r>
      <w:r w:rsidR="001170E7" w:rsidRPr="005D2366">
        <w:rPr>
          <w:rFonts w:ascii="Times New Roman" w:hAnsi="Times New Roman"/>
        </w:rPr>
        <w:t>agreed to a litigation schedule.  (N.T. 15-1</w:t>
      </w:r>
      <w:r w:rsidR="00614931" w:rsidRPr="005D2366">
        <w:rPr>
          <w:rFonts w:ascii="Times New Roman" w:hAnsi="Times New Roman"/>
        </w:rPr>
        <w:t>6</w:t>
      </w:r>
      <w:r w:rsidR="001170E7" w:rsidRPr="005D2366">
        <w:rPr>
          <w:rFonts w:ascii="Times New Roman" w:hAnsi="Times New Roman"/>
        </w:rPr>
        <w:t>)</w:t>
      </w:r>
    </w:p>
    <w:p w:rsidR="001170E7" w:rsidRPr="005D2366" w:rsidRDefault="001170E7" w:rsidP="000B28FC">
      <w:pPr>
        <w:tabs>
          <w:tab w:val="left" w:pos="1440"/>
        </w:tabs>
        <w:spacing w:line="360" w:lineRule="auto"/>
        <w:ind w:firstLine="1440"/>
        <w:rPr>
          <w:rFonts w:ascii="Times New Roman" w:hAnsi="Times New Roman"/>
        </w:rPr>
      </w:pPr>
    </w:p>
    <w:p w:rsidR="00332F62" w:rsidRPr="005D2366" w:rsidRDefault="001170E7" w:rsidP="000B28FC">
      <w:pPr>
        <w:spacing w:line="360" w:lineRule="auto"/>
        <w:rPr>
          <w:rFonts w:ascii="Times New Roman" w:hAnsi="Times New Roman"/>
        </w:rPr>
      </w:pPr>
      <w:r w:rsidRPr="005D2366">
        <w:rPr>
          <w:rFonts w:ascii="Times New Roman" w:hAnsi="Times New Roman"/>
        </w:rPr>
        <w:tab/>
      </w:r>
      <w:r w:rsidRPr="005D2366">
        <w:rPr>
          <w:rFonts w:ascii="Times New Roman" w:hAnsi="Times New Roman"/>
        </w:rPr>
        <w:tab/>
      </w:r>
      <w:r w:rsidR="003A52A6" w:rsidRPr="005D2366">
        <w:rPr>
          <w:rFonts w:ascii="Times New Roman" w:hAnsi="Times New Roman"/>
        </w:rPr>
        <w:t xml:space="preserve">As a result of the prehearing conference, I issued Prehearing Order #2 on April 2, 2009 that established a litigation and briefing schedule for this proceeding.  </w:t>
      </w:r>
      <w:r w:rsidRPr="005D2366">
        <w:rPr>
          <w:rFonts w:ascii="Times New Roman" w:hAnsi="Times New Roman"/>
        </w:rPr>
        <w:t xml:space="preserve">On </w:t>
      </w:r>
      <w:r w:rsidR="003A52A6" w:rsidRPr="005D2366">
        <w:rPr>
          <w:rFonts w:ascii="Times New Roman" w:hAnsi="Times New Roman"/>
        </w:rPr>
        <w:t>April 3, 2009</w:t>
      </w:r>
      <w:r w:rsidRPr="005D2366">
        <w:rPr>
          <w:rFonts w:ascii="Times New Roman" w:hAnsi="Times New Roman"/>
        </w:rPr>
        <w:t xml:space="preserve">, I issued an order granting the petitions to intervene </w:t>
      </w:r>
      <w:r w:rsidR="003A52A6" w:rsidRPr="005D2366">
        <w:rPr>
          <w:rFonts w:ascii="Times New Roman" w:hAnsi="Times New Roman"/>
        </w:rPr>
        <w:t>filed by PPLICA, RESA, Direct Energy, Richards, Constellation and Penn Future</w:t>
      </w:r>
      <w:r w:rsidRPr="005D2366">
        <w:rPr>
          <w:rFonts w:ascii="Times New Roman" w:hAnsi="Times New Roman"/>
        </w:rPr>
        <w:t xml:space="preserve">.  </w:t>
      </w:r>
      <w:r w:rsidR="00332F62" w:rsidRPr="005D2366">
        <w:rPr>
          <w:rFonts w:ascii="Times New Roman" w:hAnsi="Times New Roman"/>
        </w:rPr>
        <w:t>By notice dated April 3, 2009, the Commission scheduled this matter for hearings on June 11 and 12, 2009 in Hearing Room 2, Commonwealth Keystone Building.</w:t>
      </w:r>
    </w:p>
    <w:p w:rsidR="008D2387" w:rsidRPr="005D2366" w:rsidRDefault="008D2387" w:rsidP="00446938">
      <w:pPr>
        <w:spacing w:line="360" w:lineRule="auto"/>
        <w:ind w:firstLine="1440"/>
        <w:rPr>
          <w:rFonts w:ascii="Times New Roman" w:hAnsi="Times New Roman"/>
        </w:rPr>
      </w:pPr>
    </w:p>
    <w:p w:rsidR="003A52A6" w:rsidRPr="005D2366" w:rsidRDefault="003A52A6" w:rsidP="000B28FC">
      <w:pPr>
        <w:spacing w:line="360" w:lineRule="auto"/>
        <w:rPr>
          <w:rFonts w:ascii="Times New Roman" w:hAnsi="Times New Roman"/>
        </w:rPr>
      </w:pPr>
      <w:r w:rsidRPr="005D2366">
        <w:rPr>
          <w:rFonts w:ascii="Times New Roman" w:hAnsi="Times New Roman"/>
          <w:color w:val="000000"/>
          <w:kern w:val="1"/>
        </w:rPr>
        <w:tab/>
      </w:r>
      <w:r w:rsidRPr="005D2366">
        <w:rPr>
          <w:rFonts w:ascii="Times New Roman" w:hAnsi="Times New Roman"/>
          <w:color w:val="000000"/>
          <w:kern w:val="1"/>
        </w:rPr>
        <w:tab/>
      </w:r>
      <w:r w:rsidRPr="005D2366">
        <w:rPr>
          <w:rFonts w:ascii="Times New Roman" w:hAnsi="Times New Roman"/>
        </w:rPr>
        <w:t xml:space="preserve">On </w:t>
      </w:r>
      <w:r w:rsidR="00251961" w:rsidRPr="005D2366">
        <w:rPr>
          <w:rFonts w:ascii="Times New Roman" w:hAnsi="Times New Roman"/>
        </w:rPr>
        <w:t>May 14</w:t>
      </w:r>
      <w:r w:rsidRPr="005D2366">
        <w:rPr>
          <w:rFonts w:ascii="Times New Roman" w:hAnsi="Times New Roman"/>
        </w:rPr>
        <w:t>, 200</w:t>
      </w:r>
      <w:r w:rsidR="00251961" w:rsidRPr="005D2366">
        <w:rPr>
          <w:rFonts w:ascii="Times New Roman" w:hAnsi="Times New Roman"/>
        </w:rPr>
        <w:t>9</w:t>
      </w:r>
      <w:r w:rsidRPr="005D2366">
        <w:rPr>
          <w:rFonts w:ascii="Times New Roman" w:hAnsi="Times New Roman"/>
        </w:rPr>
        <w:t xml:space="preserve">, I received communications from the parties to this proceeding representing that all the parties </w:t>
      </w:r>
      <w:r w:rsidRPr="005D2366">
        <w:rPr>
          <w:rFonts w:ascii="Times New Roman" w:hAnsi="Times New Roman" w:cs="Arial"/>
          <w:color w:val="000000"/>
          <w:szCs w:val="20"/>
        </w:rPr>
        <w:t xml:space="preserve">had reached an agreement in principle settling all the issues in this proceeding and requesting that I suspend the litigation schedule set forth in Prehearing Order #2.  As a result, I issued an order on </w:t>
      </w:r>
      <w:r w:rsidR="00251961" w:rsidRPr="005D2366">
        <w:rPr>
          <w:rFonts w:ascii="Times New Roman" w:hAnsi="Times New Roman" w:cs="Arial"/>
          <w:color w:val="000000"/>
          <w:szCs w:val="20"/>
        </w:rPr>
        <w:t>May 15, 2009</w:t>
      </w:r>
      <w:r w:rsidRPr="005D2366">
        <w:rPr>
          <w:rFonts w:ascii="Times New Roman" w:hAnsi="Times New Roman" w:cs="Arial"/>
          <w:color w:val="000000"/>
          <w:szCs w:val="20"/>
        </w:rPr>
        <w:t xml:space="preserve"> suspending </w:t>
      </w:r>
      <w:r w:rsidRPr="005D2366">
        <w:rPr>
          <w:rFonts w:ascii="Times New Roman" w:hAnsi="Times New Roman"/>
        </w:rPr>
        <w:t xml:space="preserve">the litigation schedule set forth in Prehearing Order #2 issued </w:t>
      </w:r>
      <w:r w:rsidR="00251961" w:rsidRPr="005D2366">
        <w:rPr>
          <w:rFonts w:ascii="Times New Roman" w:hAnsi="Times New Roman"/>
        </w:rPr>
        <w:t>April 2, 2009</w:t>
      </w:r>
      <w:r w:rsidRPr="005D2366">
        <w:rPr>
          <w:rFonts w:ascii="Times New Roman" w:hAnsi="Times New Roman"/>
        </w:rPr>
        <w:t xml:space="preserve"> and cancelling the hearings scheduled for </w:t>
      </w:r>
      <w:r w:rsidR="00251961" w:rsidRPr="005D2366">
        <w:rPr>
          <w:rFonts w:ascii="Times New Roman" w:hAnsi="Times New Roman"/>
        </w:rPr>
        <w:t>J</w:t>
      </w:r>
      <w:r w:rsidR="00446938">
        <w:rPr>
          <w:rFonts w:ascii="Times New Roman" w:hAnsi="Times New Roman"/>
        </w:rPr>
        <w:t>une 11 and </w:t>
      </w:r>
      <w:r w:rsidR="00251961" w:rsidRPr="005D2366">
        <w:rPr>
          <w:rFonts w:ascii="Times New Roman" w:hAnsi="Times New Roman"/>
        </w:rPr>
        <w:t>12, 2009</w:t>
      </w:r>
      <w:r w:rsidRPr="005D2366">
        <w:rPr>
          <w:rFonts w:ascii="Times New Roman" w:hAnsi="Times New Roman"/>
        </w:rPr>
        <w:t>.</w:t>
      </w:r>
    </w:p>
    <w:p w:rsidR="003A52A6" w:rsidRPr="005D2366" w:rsidRDefault="003A52A6" w:rsidP="000B28FC">
      <w:pPr>
        <w:spacing w:line="360" w:lineRule="auto"/>
        <w:rPr>
          <w:rFonts w:ascii="Times New Roman" w:hAnsi="Times New Roman"/>
        </w:rPr>
      </w:pPr>
      <w:r w:rsidRPr="005D2366">
        <w:rPr>
          <w:rFonts w:ascii="Times New Roman" w:hAnsi="Times New Roman"/>
        </w:rPr>
        <w:lastRenderedPageBreak/>
        <w:tab/>
      </w:r>
      <w:r w:rsidRPr="005D2366">
        <w:rPr>
          <w:rFonts w:ascii="Times New Roman" w:hAnsi="Times New Roman"/>
        </w:rPr>
        <w:tab/>
        <w:t xml:space="preserve">On </w:t>
      </w:r>
      <w:r w:rsidR="00B7193C" w:rsidRPr="005D2366">
        <w:rPr>
          <w:rFonts w:ascii="Times New Roman" w:hAnsi="Times New Roman"/>
        </w:rPr>
        <w:t>June 12, 2009</w:t>
      </w:r>
      <w:r w:rsidRPr="005D2366">
        <w:rPr>
          <w:rFonts w:ascii="Times New Roman" w:hAnsi="Times New Roman"/>
        </w:rPr>
        <w:t>, PPL filed a joint petition for settlement signed by counsel for PPL, OTS, OCA, OSBA, RESA</w:t>
      </w:r>
      <w:r w:rsidR="00B7193C" w:rsidRPr="005D2366">
        <w:rPr>
          <w:rFonts w:ascii="Times New Roman" w:hAnsi="Times New Roman"/>
        </w:rPr>
        <w:t xml:space="preserve">, Direct Energy, </w:t>
      </w:r>
      <w:r w:rsidRPr="005D2366">
        <w:rPr>
          <w:rFonts w:ascii="Times New Roman" w:hAnsi="Times New Roman"/>
        </w:rPr>
        <w:t>Richards</w:t>
      </w:r>
      <w:r w:rsidR="00B7193C" w:rsidRPr="005D2366">
        <w:rPr>
          <w:rFonts w:ascii="Times New Roman" w:hAnsi="Times New Roman"/>
        </w:rPr>
        <w:t>, Penn Future and Constellation.</w:t>
      </w:r>
      <w:r w:rsidR="00C42DE0" w:rsidRPr="005D2366">
        <w:rPr>
          <w:rFonts w:ascii="Times New Roman" w:hAnsi="Times New Roman"/>
        </w:rPr>
        <w:t xml:space="preserve">  Attached to the joint petition for settlement as Appendix A are the pro forma tariff sheets implementing the RMP Rider</w:t>
      </w:r>
      <w:r w:rsidR="00C42DE0" w:rsidRPr="005D2366">
        <w:rPr>
          <w:rFonts w:ascii="Times New Roman" w:hAnsi="Times New Roman" w:cs="Times New Roman"/>
          <w:spacing w:val="-3"/>
        </w:rPr>
        <w:t>.</w:t>
      </w:r>
      <w:r w:rsidR="00B7193C" w:rsidRPr="005D2366">
        <w:rPr>
          <w:rFonts w:ascii="Times New Roman" w:hAnsi="Times New Roman"/>
        </w:rPr>
        <w:t xml:space="preserve">  </w:t>
      </w:r>
      <w:r w:rsidRPr="005D2366">
        <w:rPr>
          <w:rFonts w:ascii="Times New Roman" w:hAnsi="Times New Roman"/>
        </w:rPr>
        <w:t xml:space="preserve">Attached to the joint petition as Appendices B through </w:t>
      </w:r>
      <w:r w:rsidR="00B7193C" w:rsidRPr="005D2366">
        <w:rPr>
          <w:rFonts w:ascii="Times New Roman" w:hAnsi="Times New Roman"/>
        </w:rPr>
        <w:t xml:space="preserve">I </w:t>
      </w:r>
      <w:r w:rsidRPr="005D2366">
        <w:rPr>
          <w:rFonts w:ascii="Times New Roman" w:hAnsi="Times New Roman"/>
        </w:rPr>
        <w:t>are statements in support of the joint petition for settlement from PPL, OTS, OCA, OSBA, Richards</w:t>
      </w:r>
      <w:r w:rsidR="00C42DE0" w:rsidRPr="005D2366">
        <w:rPr>
          <w:rFonts w:ascii="Times New Roman" w:hAnsi="Times New Roman"/>
        </w:rPr>
        <w:t>, RESA, Direct Energy, Penn Future and Constellation.  A</w:t>
      </w:r>
      <w:r w:rsidRPr="005D2366">
        <w:rPr>
          <w:rFonts w:ascii="Times New Roman" w:hAnsi="Times New Roman"/>
        </w:rPr>
        <w:t>ttached to the joint petition as Appendi</w:t>
      </w:r>
      <w:r w:rsidR="00C42DE0" w:rsidRPr="005D2366">
        <w:rPr>
          <w:rFonts w:ascii="Times New Roman" w:hAnsi="Times New Roman"/>
        </w:rPr>
        <w:t xml:space="preserve">x J is a </w:t>
      </w:r>
      <w:r w:rsidRPr="005D2366">
        <w:rPr>
          <w:rFonts w:ascii="Times New Roman" w:hAnsi="Times New Roman"/>
        </w:rPr>
        <w:t>letter of non-opposition to the joint petition for settlement from PPLICA.</w:t>
      </w:r>
      <w:r w:rsidR="00040EE4" w:rsidRPr="005D2366">
        <w:rPr>
          <w:rFonts w:ascii="Times New Roman" w:hAnsi="Times New Roman"/>
        </w:rPr>
        <w:t xml:space="preserve">  </w:t>
      </w:r>
      <w:r w:rsidRPr="005D2366">
        <w:rPr>
          <w:rFonts w:ascii="Times New Roman" w:hAnsi="Times New Roman"/>
        </w:rPr>
        <w:t>I have attached true and correct copies of the joint petition for settlement, the statements in support</w:t>
      </w:r>
      <w:r w:rsidR="00040EE4" w:rsidRPr="005D2366">
        <w:rPr>
          <w:rFonts w:ascii="Times New Roman" w:hAnsi="Times New Roman"/>
        </w:rPr>
        <w:t xml:space="preserve"> and </w:t>
      </w:r>
      <w:r w:rsidRPr="005D2366">
        <w:rPr>
          <w:rFonts w:ascii="Times New Roman" w:hAnsi="Times New Roman"/>
        </w:rPr>
        <w:t xml:space="preserve">the letter of non-opposition to this recommended decision.  </w:t>
      </w:r>
    </w:p>
    <w:p w:rsidR="003A52A6" w:rsidRPr="005D2366" w:rsidRDefault="003A52A6" w:rsidP="00446938">
      <w:pPr>
        <w:spacing w:line="360" w:lineRule="auto"/>
        <w:ind w:firstLine="1440"/>
        <w:rPr>
          <w:rFonts w:ascii="Times New Roman" w:hAnsi="Times New Roman"/>
        </w:rPr>
      </w:pPr>
    </w:p>
    <w:p w:rsidR="00040EE4" w:rsidRPr="005D2366" w:rsidRDefault="003A52A6" w:rsidP="000B28FC">
      <w:pPr>
        <w:spacing w:line="360" w:lineRule="auto"/>
        <w:rPr>
          <w:rFonts w:ascii="Times New Roman" w:hAnsi="Times New Roman"/>
        </w:rPr>
      </w:pPr>
      <w:r w:rsidRPr="005D2366">
        <w:rPr>
          <w:rFonts w:ascii="Times New Roman" w:hAnsi="Times New Roman"/>
        </w:rPr>
        <w:tab/>
      </w:r>
      <w:r w:rsidRPr="005D2366">
        <w:rPr>
          <w:rFonts w:ascii="Times New Roman" w:hAnsi="Times New Roman"/>
        </w:rPr>
        <w:tab/>
      </w:r>
      <w:r w:rsidR="00040EE4" w:rsidRPr="005D2366">
        <w:rPr>
          <w:rFonts w:ascii="Times New Roman" w:hAnsi="Times New Roman"/>
        </w:rPr>
        <w:t xml:space="preserve">PPL served a copy of the joint petition for settlement and attachments on each of the parties and interveners.  I have not received any written comments or objections from any of the parties or interveners opposing the joint settlement petition as of the date of this recommended decision.  </w:t>
      </w:r>
    </w:p>
    <w:p w:rsidR="00040EE4" w:rsidRPr="005D2366" w:rsidRDefault="00040EE4" w:rsidP="00446938">
      <w:pPr>
        <w:spacing w:line="360" w:lineRule="auto"/>
        <w:ind w:firstLine="1440"/>
        <w:rPr>
          <w:rFonts w:ascii="Times New Roman" w:hAnsi="Times New Roman"/>
        </w:rPr>
      </w:pPr>
    </w:p>
    <w:p w:rsidR="003A52A6" w:rsidRPr="005D2366" w:rsidRDefault="00040EE4" w:rsidP="000B28FC">
      <w:pPr>
        <w:spacing w:line="360" w:lineRule="auto"/>
        <w:rPr>
          <w:rFonts w:ascii="Times New Roman" w:hAnsi="Times New Roman"/>
        </w:rPr>
      </w:pPr>
      <w:r w:rsidRPr="005D2366">
        <w:rPr>
          <w:rFonts w:ascii="Times New Roman" w:hAnsi="Times New Roman"/>
        </w:rPr>
        <w:tab/>
      </w:r>
      <w:r w:rsidRPr="005D2366">
        <w:rPr>
          <w:rFonts w:ascii="Times New Roman" w:hAnsi="Times New Roman"/>
        </w:rPr>
        <w:tab/>
        <w:t>The record in this proceeding closed on June 12, 2009, the date the parties filed the joint petition for settlement.  For the reasons set forth below, I will approve the joint petition for settlement.</w:t>
      </w:r>
    </w:p>
    <w:p w:rsidR="008D2387" w:rsidRPr="005D2366" w:rsidRDefault="008D2387" w:rsidP="000B28FC">
      <w:pPr>
        <w:spacing w:line="360" w:lineRule="auto"/>
        <w:rPr>
          <w:rFonts w:ascii="Times New Roman" w:hAnsi="Times New Roman"/>
        </w:rPr>
      </w:pPr>
    </w:p>
    <w:p w:rsidR="008D2387" w:rsidRPr="005D2366" w:rsidRDefault="008D2387" w:rsidP="000B28FC">
      <w:pPr>
        <w:tabs>
          <w:tab w:val="left" w:pos="-720"/>
        </w:tabs>
        <w:suppressAutoHyphens/>
        <w:spacing w:line="360" w:lineRule="auto"/>
        <w:jc w:val="center"/>
        <w:rPr>
          <w:rFonts w:ascii="Times New Roman" w:hAnsi="Times New Roman" w:cs="Times New Roman"/>
          <w:spacing w:val="-3"/>
          <w:u w:val="single"/>
        </w:rPr>
      </w:pPr>
      <w:r w:rsidRPr="005D2366">
        <w:rPr>
          <w:rFonts w:ascii="Times New Roman" w:hAnsi="Times New Roman" w:cs="Times New Roman"/>
          <w:spacing w:val="-3"/>
          <w:u w:val="single"/>
        </w:rPr>
        <w:t>DISCUSSION</w:t>
      </w:r>
    </w:p>
    <w:p w:rsidR="008D2387" w:rsidRPr="005D2366" w:rsidRDefault="008D2387" w:rsidP="000B28FC">
      <w:pPr>
        <w:tabs>
          <w:tab w:val="left" w:pos="-720"/>
        </w:tabs>
        <w:suppressAutoHyphens/>
        <w:spacing w:line="360" w:lineRule="auto"/>
        <w:rPr>
          <w:rFonts w:ascii="Times New Roman" w:hAnsi="Times New Roman" w:cs="Times New Roman"/>
          <w:spacing w:val="-3"/>
          <w:u w:val="single"/>
        </w:rPr>
      </w:pPr>
    </w:p>
    <w:p w:rsidR="008D2387" w:rsidRPr="005D2366" w:rsidRDefault="008D2387" w:rsidP="000B28FC">
      <w:pPr>
        <w:pStyle w:val="TxBrp3"/>
        <w:widowControl/>
        <w:tabs>
          <w:tab w:val="clear" w:pos="1474"/>
        </w:tabs>
        <w:spacing w:line="360" w:lineRule="auto"/>
        <w:ind w:firstLine="1440"/>
      </w:pPr>
      <w:r w:rsidRPr="005D2366">
        <w:t>Commission policy promotes settlements</w:t>
      </w:r>
      <w:r w:rsidR="001426FB">
        <w:t xml:space="preserve">. </w:t>
      </w:r>
      <w:r w:rsidRPr="005D2366">
        <w:t xml:space="preserve"> 52 Pa. Code §5.231  Settlements lessen the time and expense the parties must expend litigating a case and at the same time conserve precious administrative hearing resources.  The Commission has indicated that settlement results are often preferable to those achieved at the conclusion of a fully litigated proceeding.  </w:t>
      </w:r>
      <w:r w:rsidR="005D2366" w:rsidRPr="005D2366">
        <w:t>52 Pa. Code §69.401</w:t>
      </w:r>
    </w:p>
    <w:p w:rsidR="008D2387" w:rsidRPr="005D2366" w:rsidRDefault="008D2387" w:rsidP="000B28FC">
      <w:pPr>
        <w:tabs>
          <w:tab w:val="left" w:pos="1474"/>
        </w:tabs>
        <w:spacing w:line="360" w:lineRule="auto"/>
        <w:ind w:firstLine="1440"/>
        <w:rPr>
          <w:rFonts w:ascii="Times New Roman" w:hAnsi="Times New Roman"/>
        </w:rPr>
      </w:pPr>
    </w:p>
    <w:p w:rsidR="00BC1333" w:rsidRDefault="008D2387" w:rsidP="000B28FC">
      <w:pPr>
        <w:pStyle w:val="TxBrp3"/>
        <w:widowControl/>
        <w:tabs>
          <w:tab w:val="clear" w:pos="1474"/>
        </w:tabs>
        <w:spacing w:line="360" w:lineRule="auto"/>
        <w:ind w:firstLine="1440"/>
      </w:pPr>
      <w:r w:rsidRPr="005D2366">
        <w:t>In order to accept a settlement, the Commission must first determine that the proposed terms and conditions are in the public interest.</w:t>
      </w:r>
    </w:p>
    <w:p w:rsidR="008D2387" w:rsidRPr="005D2366" w:rsidRDefault="008D2387" w:rsidP="000B28FC">
      <w:pPr>
        <w:pStyle w:val="TxBrp3"/>
        <w:widowControl/>
        <w:tabs>
          <w:tab w:val="clear" w:pos="1474"/>
        </w:tabs>
        <w:spacing w:line="360" w:lineRule="auto"/>
        <w:ind w:firstLine="0"/>
      </w:pPr>
      <w:r w:rsidRPr="005D2366">
        <w:rPr>
          <w:u w:val="single"/>
        </w:rPr>
        <w:lastRenderedPageBreak/>
        <w:t>Pennsylvania Pub. Util. Comm’n v. York Water Co.</w:t>
      </w:r>
      <w:r w:rsidRPr="005D2366">
        <w:t xml:space="preserve">, Docket No. R-00049165, (Order entered October 4, 2004); </w:t>
      </w:r>
      <w:r w:rsidRPr="005D2366">
        <w:rPr>
          <w:u w:val="single"/>
        </w:rPr>
        <w:t xml:space="preserve">Pennsylvania Pub. </w:t>
      </w:r>
      <w:r w:rsidR="005D2366" w:rsidRPr="005D2366">
        <w:rPr>
          <w:u w:val="single"/>
        </w:rPr>
        <w:t>Util. Comm’n v. C S Water and Sewer Assoc.</w:t>
      </w:r>
      <w:r w:rsidR="005D2366" w:rsidRPr="005D2366">
        <w:t xml:space="preserve">, 74 Pa. PUC 767 (1991)  </w:t>
      </w:r>
      <w:r w:rsidRPr="005D2366">
        <w:t>For the following reasons, I find that the joint petition for settlement, which is unopposed by any party, is in the public interest.</w:t>
      </w:r>
    </w:p>
    <w:p w:rsidR="008D2387" w:rsidRPr="005D2366" w:rsidRDefault="008D2387" w:rsidP="000B28FC">
      <w:pPr>
        <w:pStyle w:val="TxBrp3"/>
        <w:widowControl/>
        <w:tabs>
          <w:tab w:val="clear" w:pos="1474"/>
        </w:tabs>
        <w:spacing w:line="360" w:lineRule="auto"/>
        <w:ind w:firstLine="1440"/>
      </w:pPr>
    </w:p>
    <w:p w:rsidR="008D2387" w:rsidRPr="005D2366" w:rsidRDefault="008D2387" w:rsidP="000B28FC">
      <w:pPr>
        <w:spacing w:line="360" w:lineRule="auto"/>
        <w:jc w:val="center"/>
        <w:rPr>
          <w:rFonts w:ascii="Times New Roman" w:hAnsi="Times New Roman"/>
          <w:u w:val="single"/>
        </w:rPr>
      </w:pPr>
      <w:r w:rsidRPr="005D2366">
        <w:rPr>
          <w:rFonts w:ascii="Times New Roman" w:hAnsi="Times New Roman"/>
          <w:u w:val="single"/>
        </w:rPr>
        <w:t>BACKGROUND</w:t>
      </w:r>
    </w:p>
    <w:p w:rsidR="008D2387" w:rsidRPr="005D2366" w:rsidRDefault="008D2387" w:rsidP="00446938">
      <w:pPr>
        <w:spacing w:line="360" w:lineRule="auto"/>
        <w:ind w:firstLine="1440"/>
        <w:rPr>
          <w:rFonts w:ascii="Times New Roman" w:hAnsi="Times New Roman"/>
          <w:u w:val="single"/>
        </w:rPr>
      </w:pPr>
    </w:p>
    <w:p w:rsidR="008D2387" w:rsidRPr="005D2366" w:rsidRDefault="008D2387" w:rsidP="000B28FC">
      <w:pPr>
        <w:spacing w:line="360" w:lineRule="auto"/>
        <w:rPr>
          <w:rFonts w:ascii="Times New Roman" w:hAnsi="Times New Roman" w:cs="Arial"/>
          <w:szCs w:val="26"/>
        </w:rPr>
      </w:pPr>
      <w:r w:rsidRPr="005D2366">
        <w:rPr>
          <w:rFonts w:ascii="Times New Roman" w:hAnsi="Times New Roman"/>
        </w:rPr>
        <w:tab/>
      </w:r>
      <w:r w:rsidRPr="005D2366">
        <w:rPr>
          <w:rFonts w:ascii="Times New Roman" w:hAnsi="Times New Roman"/>
        </w:rPr>
        <w:tab/>
        <w:t>The Electric Generation Customer Choice and Competition Act (Customer Choice Act) became effective on January 1, 1997.  The Customer Choice Act attempted to create a competitive retail market where customers could choose among competing electric generation suppliers.</w:t>
      </w:r>
      <w:r w:rsidR="00A460DB" w:rsidRPr="005D2366">
        <w:rPr>
          <w:rFonts w:ascii="Times New Roman" w:hAnsi="Times New Roman"/>
        </w:rPr>
        <w:t xml:space="preserve"> </w:t>
      </w:r>
      <w:r w:rsidRPr="005D2366">
        <w:rPr>
          <w:rFonts w:ascii="Times New Roman" w:hAnsi="Times New Roman"/>
        </w:rPr>
        <w:t xml:space="preserve"> </w:t>
      </w:r>
      <w:r w:rsidRPr="005D2366">
        <w:rPr>
          <w:rFonts w:ascii="Times New Roman" w:hAnsi="Times New Roman" w:cs="Arial"/>
          <w:szCs w:val="26"/>
        </w:rPr>
        <w:t>As part of the transition to this competitive retail market, the Customer Choice Act provided for caps on the rates charged by electric distribution companies (EDCs).  The Customer Choice Act required all EDCs to file restructuring plans with the Commission.  The Customer Choice Act also required every EDC to act as the provider of last resort (POLR), until the end of the transition period and thereafter according to Commis</w:t>
      </w:r>
      <w:r w:rsidR="009B7666">
        <w:rPr>
          <w:rFonts w:ascii="Times New Roman" w:hAnsi="Times New Roman" w:cs="Arial"/>
          <w:szCs w:val="26"/>
        </w:rPr>
        <w:t>s</w:t>
      </w:r>
      <w:r w:rsidRPr="005D2366">
        <w:rPr>
          <w:rFonts w:ascii="Times New Roman" w:hAnsi="Times New Roman" w:cs="Arial"/>
          <w:szCs w:val="26"/>
        </w:rPr>
        <w:t xml:space="preserve">ion regulations, for its customers who chose not to shop for electricity from competing electric generation suppliers.  </w:t>
      </w:r>
    </w:p>
    <w:p w:rsidR="00A460DB" w:rsidRPr="005D2366" w:rsidRDefault="00A460DB" w:rsidP="00446938">
      <w:pPr>
        <w:spacing w:line="360" w:lineRule="auto"/>
        <w:ind w:firstLine="1440"/>
        <w:rPr>
          <w:rFonts w:ascii="Times New Roman" w:hAnsi="Times New Roman" w:cs="Arial"/>
          <w:szCs w:val="26"/>
        </w:rPr>
      </w:pPr>
    </w:p>
    <w:p w:rsidR="008D2387" w:rsidRPr="005D2366" w:rsidRDefault="008D2387" w:rsidP="000B28FC">
      <w:pPr>
        <w:spacing w:line="360" w:lineRule="auto"/>
        <w:rPr>
          <w:rFonts w:ascii="Times New Roman" w:hAnsi="Times New Roman" w:cs="Arial"/>
          <w:szCs w:val="26"/>
        </w:rPr>
      </w:pPr>
      <w:r w:rsidRPr="005D2366">
        <w:rPr>
          <w:rFonts w:ascii="Times New Roman" w:hAnsi="Times New Roman" w:cs="Arial"/>
          <w:szCs w:val="26"/>
        </w:rPr>
        <w:tab/>
      </w:r>
      <w:r w:rsidRPr="005D2366">
        <w:rPr>
          <w:rFonts w:ascii="Times New Roman" w:hAnsi="Times New Roman" w:cs="Arial"/>
          <w:szCs w:val="26"/>
        </w:rPr>
        <w:tab/>
        <w:t xml:space="preserve">On August 27, 1998, at R-00973954, the Commission approved a settlement regarding the restructuring plan submitted by PPL’s predecessor.  The settlement extended PPL’s generation rate cap until the end of 2009 and provided that PPL would serve as the POLR for its non-shopping customers through December 31, 2009.  To meet its POLR obligation, PPL entered into an agreement under which PPL purchases its POLR requirements from PPL </w:t>
      </w:r>
      <w:r w:rsidR="005D2366" w:rsidRPr="005D2366">
        <w:rPr>
          <w:rFonts w:ascii="Times New Roman" w:hAnsi="Times New Roman" w:cs="Arial"/>
          <w:szCs w:val="26"/>
        </w:rPr>
        <w:t>Energy Plus</w:t>
      </w:r>
      <w:r w:rsidRPr="005D2366">
        <w:rPr>
          <w:rFonts w:ascii="Times New Roman" w:hAnsi="Times New Roman" w:cs="Arial"/>
          <w:szCs w:val="26"/>
        </w:rPr>
        <w:t xml:space="preserve"> at a price equal to the rate caps established by the Customer Choice Act.  On July 31, 2001, at G-00010886, the Commission approved this agreement between PPL and PPL </w:t>
      </w:r>
      <w:r w:rsidR="005D2366" w:rsidRPr="005D2366">
        <w:rPr>
          <w:rFonts w:ascii="Times New Roman" w:hAnsi="Times New Roman" w:cs="Arial"/>
          <w:szCs w:val="26"/>
        </w:rPr>
        <w:t>Energy Plus</w:t>
      </w:r>
      <w:r w:rsidRPr="005D2366">
        <w:rPr>
          <w:rFonts w:ascii="Times New Roman" w:hAnsi="Times New Roman" w:cs="Arial"/>
          <w:szCs w:val="26"/>
        </w:rPr>
        <w:t>.  This agreement terminates on December 31, 2009.  Beginning January 1, 2010, PPL must purchase generation supply to meet its POLR obligation on the competitive market.</w:t>
      </w:r>
    </w:p>
    <w:p w:rsidR="008D2387" w:rsidRPr="005D2366" w:rsidRDefault="008D2387" w:rsidP="00446938">
      <w:pPr>
        <w:spacing w:line="360" w:lineRule="auto"/>
        <w:ind w:firstLine="1440"/>
        <w:rPr>
          <w:rFonts w:ascii="Times New Roman" w:hAnsi="Times New Roman" w:cs="Arial"/>
          <w:szCs w:val="26"/>
        </w:rPr>
      </w:pPr>
    </w:p>
    <w:p w:rsidR="00BC1333" w:rsidRDefault="008D2387" w:rsidP="000B28FC">
      <w:pPr>
        <w:spacing w:line="360" w:lineRule="auto"/>
        <w:rPr>
          <w:rFonts w:ascii="Times New Roman" w:hAnsi="Times New Roman" w:cs="Arial"/>
          <w:szCs w:val="26"/>
        </w:rPr>
      </w:pPr>
      <w:r w:rsidRPr="005D2366">
        <w:rPr>
          <w:rFonts w:ascii="Times New Roman" w:hAnsi="Times New Roman" w:cs="Arial"/>
          <w:szCs w:val="26"/>
        </w:rPr>
        <w:tab/>
      </w:r>
      <w:r w:rsidRPr="005D2366">
        <w:rPr>
          <w:rFonts w:ascii="Times New Roman" w:hAnsi="Times New Roman" w:cs="Arial"/>
          <w:szCs w:val="26"/>
        </w:rPr>
        <w:tab/>
        <w:t>PPL filed a Competitive Bridge Plan (CPB) on August 2, 2006, setting forth how it would obtain its POLR supply for 2010 which is described as a bridge year because PPL’s generation rate caps expire one year before those of most of the other Pennsylvania EDCs.</w:t>
      </w:r>
    </w:p>
    <w:p w:rsidR="008D2387" w:rsidRPr="005D2366" w:rsidRDefault="00BC1333" w:rsidP="000B28FC">
      <w:pPr>
        <w:spacing w:line="360" w:lineRule="auto"/>
        <w:rPr>
          <w:rFonts w:ascii="Times New Roman" w:hAnsi="Times New Roman" w:cs="Arial"/>
          <w:szCs w:val="26"/>
        </w:rPr>
      </w:pPr>
      <w:r>
        <w:rPr>
          <w:rFonts w:ascii="Times New Roman" w:hAnsi="Times New Roman" w:cs="Arial"/>
          <w:szCs w:val="26"/>
        </w:rPr>
        <w:br w:type="page"/>
      </w:r>
      <w:r w:rsidR="008D2387" w:rsidRPr="005D2366">
        <w:rPr>
          <w:rFonts w:ascii="Times New Roman" w:hAnsi="Times New Roman" w:cs="Arial"/>
          <w:szCs w:val="26"/>
        </w:rPr>
        <w:lastRenderedPageBreak/>
        <w:t xml:space="preserve">On May 17, 2007, at P-00062227, the Commission approved PPL’s CPB.  The CPB provides that PPL will obtain generation supply to meet its 2010 POLR obligation through a series of six solicitations over the years 2007-2009.  PPL has completed the first </w:t>
      </w:r>
      <w:r w:rsidR="00F7653C" w:rsidRPr="005D2366">
        <w:rPr>
          <w:rFonts w:ascii="Times New Roman" w:hAnsi="Times New Roman" w:cs="Arial"/>
          <w:szCs w:val="26"/>
        </w:rPr>
        <w:t>five</w:t>
      </w:r>
      <w:r w:rsidR="008D2387" w:rsidRPr="005D2366">
        <w:rPr>
          <w:rFonts w:ascii="Times New Roman" w:hAnsi="Times New Roman" w:cs="Arial"/>
          <w:szCs w:val="26"/>
        </w:rPr>
        <w:t xml:space="preserve"> solicitations.  </w:t>
      </w:r>
      <w:r w:rsidR="005D2366" w:rsidRPr="005D2366">
        <w:rPr>
          <w:rFonts w:ascii="Times New Roman" w:hAnsi="Times New Roman" w:cs="Arial"/>
          <w:szCs w:val="26"/>
        </w:rPr>
        <w:t xml:space="preserve">If the results of these first five solicitations are repeated in the last solicitation, PPL’s default service customers will face substantial generation rate increases when the generation rate caps expire in 2010.  </w:t>
      </w:r>
      <w:r w:rsidR="008D2387" w:rsidRPr="005D2366">
        <w:rPr>
          <w:rFonts w:ascii="Times New Roman" w:hAnsi="Times New Roman" w:cs="Arial"/>
          <w:szCs w:val="26"/>
        </w:rPr>
        <w:t xml:space="preserve">PPL estimates that the total bill increase for an average residential customer using 1000 kWh of electricity per </w:t>
      </w:r>
      <w:r w:rsidR="009B7666">
        <w:rPr>
          <w:rFonts w:ascii="Times New Roman" w:hAnsi="Times New Roman" w:cs="Arial"/>
          <w:szCs w:val="26"/>
        </w:rPr>
        <w:t>month</w:t>
      </w:r>
      <w:r w:rsidR="008D2387" w:rsidRPr="005D2366">
        <w:rPr>
          <w:rFonts w:ascii="Times New Roman" w:hAnsi="Times New Roman" w:cs="Arial"/>
          <w:szCs w:val="26"/>
        </w:rPr>
        <w:t xml:space="preserve"> would be approximately 3</w:t>
      </w:r>
      <w:r w:rsidR="00F7653C" w:rsidRPr="005D2366">
        <w:rPr>
          <w:rFonts w:ascii="Times New Roman" w:hAnsi="Times New Roman" w:cs="Arial"/>
          <w:szCs w:val="26"/>
        </w:rPr>
        <w:t>3</w:t>
      </w:r>
      <w:r w:rsidR="008D2387" w:rsidRPr="005D2366">
        <w:rPr>
          <w:rFonts w:ascii="Times New Roman" w:hAnsi="Times New Roman" w:cs="Arial"/>
          <w:szCs w:val="26"/>
        </w:rPr>
        <w:t xml:space="preserve">%.  PPL estimates that the total bill increase to small commercial and industrial customers would be </w:t>
      </w:r>
      <w:r w:rsidR="00723FF1" w:rsidRPr="005D2366">
        <w:rPr>
          <w:rFonts w:ascii="Times New Roman" w:hAnsi="Times New Roman" w:cs="Arial"/>
          <w:szCs w:val="26"/>
        </w:rPr>
        <w:t>of a similar magnitude</w:t>
      </w:r>
      <w:r w:rsidR="008D2387" w:rsidRPr="005D2366">
        <w:rPr>
          <w:rFonts w:ascii="Times New Roman" w:hAnsi="Times New Roman" w:cs="Arial"/>
          <w:szCs w:val="26"/>
        </w:rPr>
        <w:t xml:space="preserve">. </w:t>
      </w:r>
    </w:p>
    <w:p w:rsidR="008D2387" w:rsidRPr="005D2366" w:rsidRDefault="008D2387" w:rsidP="00446938">
      <w:pPr>
        <w:spacing w:line="360" w:lineRule="auto"/>
        <w:ind w:firstLine="1440"/>
        <w:rPr>
          <w:rFonts w:ascii="Times New Roman" w:hAnsi="Times New Roman" w:cs="Arial"/>
          <w:szCs w:val="26"/>
        </w:rPr>
      </w:pPr>
    </w:p>
    <w:p w:rsidR="00510014" w:rsidRPr="005D2366" w:rsidRDefault="008D2387" w:rsidP="000B28FC">
      <w:pPr>
        <w:spacing w:line="360" w:lineRule="auto"/>
        <w:rPr>
          <w:rFonts w:ascii="Times New Roman" w:hAnsi="Times New Roman" w:cs="Arial"/>
          <w:szCs w:val="26"/>
        </w:rPr>
      </w:pPr>
      <w:r w:rsidRPr="005D2366">
        <w:rPr>
          <w:rFonts w:ascii="Times New Roman" w:hAnsi="Times New Roman" w:cs="Arial"/>
          <w:szCs w:val="26"/>
        </w:rPr>
        <w:tab/>
      </w:r>
      <w:r w:rsidRPr="005D2366">
        <w:rPr>
          <w:rFonts w:ascii="Times New Roman" w:hAnsi="Times New Roman" w:cs="Arial"/>
          <w:szCs w:val="26"/>
        </w:rPr>
        <w:tab/>
        <w:t xml:space="preserve">On September 15, 2007, the Commission adopted a policy statement </w:t>
      </w:r>
      <w:r w:rsidR="00723FF1" w:rsidRPr="005D2366">
        <w:rPr>
          <w:rFonts w:ascii="Times New Roman" w:hAnsi="Times New Roman" w:cs="Arial"/>
          <w:szCs w:val="26"/>
        </w:rPr>
        <w:t>now found at 52 Pa. Code §§69.1801-1817</w:t>
      </w:r>
      <w:r w:rsidRPr="005D2366">
        <w:rPr>
          <w:rFonts w:ascii="Times New Roman" w:hAnsi="Times New Roman" w:cs="Arial"/>
          <w:szCs w:val="26"/>
        </w:rPr>
        <w:t xml:space="preserve"> determining that it was in the public interest for customers to have reasonable opportunities to mitigate the effect of the expiration of the generation rate caps in 2010.  In order to address the increase in generation rates when the rate caps expire in 2010, PPL developed the </w:t>
      </w:r>
      <w:r w:rsidR="00510014" w:rsidRPr="005D2366">
        <w:rPr>
          <w:rFonts w:ascii="Times New Roman" w:hAnsi="Times New Roman" w:cs="Arial"/>
          <w:szCs w:val="26"/>
        </w:rPr>
        <w:t>Rate Stabilization Plan (</w:t>
      </w:r>
      <w:r w:rsidRPr="005D2366">
        <w:rPr>
          <w:rFonts w:ascii="Times New Roman" w:hAnsi="Times New Roman" w:cs="Arial"/>
          <w:szCs w:val="26"/>
        </w:rPr>
        <w:t>RSP</w:t>
      </w:r>
      <w:r w:rsidR="00510014" w:rsidRPr="005D2366">
        <w:rPr>
          <w:rFonts w:ascii="Times New Roman" w:hAnsi="Times New Roman" w:cs="Arial"/>
          <w:szCs w:val="26"/>
        </w:rPr>
        <w:t>).  Under the RSP, PPL’s customers can choose to make additional payments on their electric bills through December 2009 and receive corresponding credits on their bills from January 2010 through December 2011.  The RSP is available to most residential and small commercial and industrial customers</w:t>
      </w:r>
      <w:r w:rsidR="004C674B" w:rsidRPr="005D2366">
        <w:rPr>
          <w:rFonts w:ascii="Times New Roman" w:hAnsi="Times New Roman" w:cs="Arial"/>
          <w:szCs w:val="26"/>
        </w:rPr>
        <w:t>.  On August 7, 2008 at P-2008-2021776, the Commission approved a settlement of the RSP proceeding and PPL file</w:t>
      </w:r>
      <w:r w:rsidR="00807C7C">
        <w:rPr>
          <w:rFonts w:ascii="Times New Roman" w:hAnsi="Times New Roman" w:cs="Arial"/>
          <w:szCs w:val="26"/>
        </w:rPr>
        <w:t>d</w:t>
      </w:r>
      <w:r w:rsidR="004C674B" w:rsidRPr="005D2366">
        <w:rPr>
          <w:rFonts w:ascii="Times New Roman" w:hAnsi="Times New Roman" w:cs="Arial"/>
          <w:szCs w:val="26"/>
        </w:rPr>
        <w:t xml:space="preserve"> compliance tariffs on August 14, 2008.  </w:t>
      </w:r>
    </w:p>
    <w:p w:rsidR="004C674B" w:rsidRPr="005D2366" w:rsidRDefault="004C674B" w:rsidP="00446938">
      <w:pPr>
        <w:spacing w:line="360" w:lineRule="auto"/>
        <w:ind w:firstLine="1440"/>
        <w:rPr>
          <w:rFonts w:ascii="Times New Roman" w:hAnsi="Times New Roman" w:cs="Arial"/>
          <w:szCs w:val="26"/>
        </w:rPr>
      </w:pPr>
    </w:p>
    <w:p w:rsidR="00E43B94" w:rsidRDefault="004C674B" w:rsidP="000B28FC">
      <w:pPr>
        <w:spacing w:line="360" w:lineRule="auto"/>
        <w:rPr>
          <w:rFonts w:ascii="Times New Roman" w:hAnsi="Times New Roman" w:cs="Arial"/>
          <w:szCs w:val="26"/>
        </w:rPr>
      </w:pPr>
      <w:r w:rsidRPr="005D2366">
        <w:rPr>
          <w:rFonts w:ascii="Times New Roman" w:hAnsi="Times New Roman" w:cs="Arial"/>
          <w:szCs w:val="26"/>
        </w:rPr>
        <w:tab/>
      </w:r>
      <w:r w:rsidRPr="005D2366">
        <w:rPr>
          <w:rFonts w:ascii="Times New Roman" w:hAnsi="Times New Roman" w:cs="Arial"/>
          <w:szCs w:val="26"/>
        </w:rPr>
        <w:tab/>
      </w:r>
      <w:r w:rsidR="00DE0F14" w:rsidRPr="005D2366">
        <w:rPr>
          <w:rFonts w:ascii="Times New Roman" w:hAnsi="Times New Roman" w:cs="Arial"/>
          <w:szCs w:val="26"/>
        </w:rPr>
        <w:t>In order to provide its customers with an additional option for mitigating the effects of the rate cap expiration in 2010, PPL developed the RMP, which is designed to phase in the effects of rate cap expiration over a period of up to three years and provide customers with an opportunity to mitigate the anticipated one-time i</w:t>
      </w:r>
      <w:r w:rsidR="00E82788">
        <w:rPr>
          <w:rFonts w:ascii="Times New Roman" w:hAnsi="Times New Roman" w:cs="Arial"/>
          <w:szCs w:val="26"/>
        </w:rPr>
        <w:t>ncrease in their electric bills</w:t>
      </w:r>
      <w:r w:rsidR="00E43B94">
        <w:rPr>
          <w:rFonts w:ascii="Times New Roman" w:hAnsi="Times New Roman" w:cs="Arial"/>
          <w:szCs w:val="26"/>
        </w:rPr>
        <w:t>.</w:t>
      </w:r>
    </w:p>
    <w:p w:rsidR="00524C38" w:rsidRDefault="00524C38" w:rsidP="00446938">
      <w:pPr>
        <w:spacing w:line="360" w:lineRule="auto"/>
        <w:ind w:firstLine="1440"/>
        <w:rPr>
          <w:rFonts w:ascii="Times New Roman" w:hAnsi="Times New Roman" w:cs="Arial"/>
          <w:szCs w:val="26"/>
        </w:rPr>
      </w:pPr>
    </w:p>
    <w:p w:rsidR="008D2387" w:rsidRPr="005D2366" w:rsidRDefault="00524C38" w:rsidP="000B28FC">
      <w:pPr>
        <w:spacing w:line="360" w:lineRule="auto"/>
        <w:jc w:val="center"/>
        <w:rPr>
          <w:rFonts w:ascii="Times New Roman" w:hAnsi="Times New Roman" w:cs="Times New Roman"/>
          <w:spacing w:val="-3"/>
          <w:u w:val="single"/>
        </w:rPr>
      </w:pPr>
      <w:r>
        <w:rPr>
          <w:rFonts w:ascii="Times New Roman" w:hAnsi="Times New Roman" w:cs="Arial"/>
          <w:szCs w:val="26"/>
        </w:rPr>
        <w:br w:type="page"/>
      </w:r>
      <w:r w:rsidR="008D2387" w:rsidRPr="005D2366">
        <w:rPr>
          <w:rFonts w:ascii="Times New Roman" w:hAnsi="Times New Roman" w:cs="Times New Roman"/>
          <w:spacing w:val="-3"/>
          <w:u w:val="single"/>
        </w:rPr>
        <w:lastRenderedPageBreak/>
        <w:t>TERMS OF THE SETTLEMENT</w:t>
      </w:r>
    </w:p>
    <w:p w:rsidR="008D2387" w:rsidRPr="005D2366" w:rsidRDefault="008D2387" w:rsidP="000B28FC">
      <w:pPr>
        <w:spacing w:line="360" w:lineRule="auto"/>
        <w:jc w:val="center"/>
        <w:rPr>
          <w:rFonts w:ascii="Times New Roman" w:hAnsi="Times New Roman"/>
        </w:rPr>
      </w:pPr>
    </w:p>
    <w:p w:rsidR="005F44FF" w:rsidRPr="005D2366" w:rsidRDefault="005F44FF" w:rsidP="000B28FC">
      <w:pPr>
        <w:pStyle w:val="TxBrp3"/>
        <w:widowControl/>
        <w:tabs>
          <w:tab w:val="clear" w:pos="1474"/>
        </w:tabs>
        <w:spacing w:line="360" w:lineRule="auto"/>
        <w:ind w:firstLine="1440"/>
        <w:rPr>
          <w:rFonts w:cs="Arial"/>
          <w:szCs w:val="26"/>
        </w:rPr>
      </w:pPr>
      <w:r w:rsidRPr="005D2366">
        <w:rPr>
          <w:spacing w:val="-3"/>
        </w:rPr>
        <w:t xml:space="preserve">The joint petition for settlement states that </w:t>
      </w:r>
      <w:r w:rsidRPr="005D2366">
        <w:t xml:space="preserve">PPL, OTS, OCA, OSBA, RESA, Direct Energy, Richards, Penn Future and Constellation </w:t>
      </w:r>
      <w:r w:rsidRPr="005D2366">
        <w:rPr>
          <w:spacing w:val="-3"/>
        </w:rPr>
        <w:t>(Joint Petitioners) agree that the joint petition for settlement resolves all the issues in this proceeding.  The joint petition for settlement alleges that none of the other parties or interveners objects to the joint petition for settlement.  In addition, the Joint Petitioners assert that</w:t>
      </w:r>
      <w:r w:rsidR="002C35D4" w:rsidRPr="005D2366">
        <w:rPr>
          <w:spacing w:val="-3"/>
        </w:rPr>
        <w:t xml:space="preserve"> PPLICA</w:t>
      </w:r>
      <w:r w:rsidRPr="005D2366">
        <w:rPr>
          <w:spacing w:val="-3"/>
        </w:rPr>
        <w:t xml:space="preserve"> do</w:t>
      </w:r>
      <w:r w:rsidR="002C35D4" w:rsidRPr="005D2366">
        <w:rPr>
          <w:spacing w:val="-3"/>
        </w:rPr>
        <w:t>es</w:t>
      </w:r>
      <w:r w:rsidRPr="005D2366">
        <w:rPr>
          <w:spacing w:val="-3"/>
        </w:rPr>
        <w:t xml:space="preserve"> not oppose the petition. (Settlement Petition pg. 1)  A</w:t>
      </w:r>
      <w:r w:rsidRPr="005D2366">
        <w:t>s of the date of this recommended decision</w:t>
      </w:r>
      <w:r w:rsidRPr="005D2366">
        <w:rPr>
          <w:spacing w:val="-3"/>
        </w:rPr>
        <w:t xml:space="preserve">, I have not received </w:t>
      </w:r>
      <w:r w:rsidRPr="005D2366">
        <w:t>any written comments or objections from any of the parties or interveners opposing the joint petition for settlement.</w:t>
      </w:r>
      <w:r w:rsidRPr="005D2366">
        <w:rPr>
          <w:rFonts w:cs="Arial"/>
          <w:szCs w:val="26"/>
        </w:rPr>
        <w:t xml:space="preserve"> </w:t>
      </w:r>
    </w:p>
    <w:p w:rsidR="00001643" w:rsidRPr="005D2366" w:rsidRDefault="00001643" w:rsidP="000B28FC">
      <w:pPr>
        <w:pStyle w:val="TxBrp3"/>
        <w:widowControl/>
        <w:tabs>
          <w:tab w:val="clear" w:pos="1474"/>
        </w:tabs>
        <w:spacing w:line="360" w:lineRule="auto"/>
        <w:ind w:firstLine="1440"/>
        <w:rPr>
          <w:rFonts w:cs="Arial"/>
          <w:szCs w:val="26"/>
        </w:rPr>
      </w:pPr>
    </w:p>
    <w:p w:rsidR="00001643" w:rsidRPr="005D2366" w:rsidRDefault="00001643" w:rsidP="000B28FC">
      <w:pPr>
        <w:pStyle w:val="TxBrp3"/>
        <w:widowControl/>
        <w:tabs>
          <w:tab w:val="clear" w:pos="1474"/>
        </w:tabs>
        <w:spacing w:line="360" w:lineRule="auto"/>
        <w:ind w:firstLine="1440"/>
        <w:rPr>
          <w:rFonts w:cs="Arial"/>
          <w:szCs w:val="26"/>
        </w:rPr>
      </w:pPr>
      <w:r w:rsidRPr="005D2366">
        <w:rPr>
          <w:rFonts w:cs="Arial"/>
          <w:szCs w:val="26"/>
        </w:rPr>
        <w:t xml:space="preserve">The RMP is designed to phase in the estimated 2010 generation rate increase through a series of non-bypassable credits and charges.  The credits and charges are designed to limit the increase in total charges, on an average for each rate class stratum to no more than 25% in 2010 and an additional 25% in 2011 based on PPL’s current estimate of the generation rate increase.  </w:t>
      </w:r>
    </w:p>
    <w:p w:rsidR="002D085B" w:rsidRPr="005D2366" w:rsidRDefault="002D085B" w:rsidP="000B28FC">
      <w:pPr>
        <w:pStyle w:val="TxBrp3"/>
        <w:widowControl/>
        <w:tabs>
          <w:tab w:val="clear" w:pos="1474"/>
        </w:tabs>
        <w:spacing w:line="360" w:lineRule="auto"/>
        <w:ind w:firstLine="1440"/>
        <w:rPr>
          <w:rFonts w:cs="Arial"/>
          <w:szCs w:val="26"/>
        </w:rPr>
      </w:pPr>
    </w:p>
    <w:p w:rsidR="00B658D5" w:rsidRPr="005D2366" w:rsidRDefault="002D085B" w:rsidP="000B28FC">
      <w:pPr>
        <w:pStyle w:val="TxBrp3"/>
        <w:widowControl/>
        <w:tabs>
          <w:tab w:val="clear" w:pos="1474"/>
        </w:tabs>
        <w:spacing w:line="360" w:lineRule="auto"/>
        <w:ind w:firstLine="1440"/>
        <w:rPr>
          <w:rFonts w:cs="Arial"/>
          <w:szCs w:val="26"/>
        </w:rPr>
      </w:pPr>
      <w:r w:rsidRPr="005D2366">
        <w:rPr>
          <w:rFonts w:cs="Arial"/>
          <w:szCs w:val="26"/>
        </w:rPr>
        <w:t xml:space="preserve">Customers of different usage levels will experience different percentage rate increases in 2010.  PPL estimates that an average residential customer using 1000 kWh per month served </w:t>
      </w:r>
      <w:r w:rsidR="00807C7C">
        <w:rPr>
          <w:rFonts w:cs="Arial"/>
          <w:szCs w:val="26"/>
        </w:rPr>
        <w:t xml:space="preserve">pursuant to </w:t>
      </w:r>
      <w:r w:rsidRPr="005D2366">
        <w:rPr>
          <w:rFonts w:cs="Arial"/>
          <w:szCs w:val="26"/>
        </w:rPr>
        <w:t xml:space="preserve">its rate schedule RS will see a 2010 rate increase of 33%.  </w:t>
      </w:r>
      <w:r w:rsidR="00B658D5" w:rsidRPr="005D2366">
        <w:rPr>
          <w:rFonts w:cs="Arial"/>
          <w:szCs w:val="26"/>
        </w:rPr>
        <w:t xml:space="preserve">However, estimated 2010 rate increases for all residential customers served on rate schedule RS range from 8.5% for customers using 0-100 kWh per month to 42% for customers using 3001 or more kWh per month.  </w:t>
      </w:r>
    </w:p>
    <w:p w:rsidR="00B658D5" w:rsidRPr="005D2366" w:rsidRDefault="00B658D5" w:rsidP="000B28FC">
      <w:pPr>
        <w:pStyle w:val="TxBrp3"/>
        <w:widowControl/>
        <w:tabs>
          <w:tab w:val="clear" w:pos="1474"/>
        </w:tabs>
        <w:spacing w:line="360" w:lineRule="auto"/>
        <w:ind w:firstLine="1440"/>
        <w:rPr>
          <w:rFonts w:cs="Arial"/>
          <w:szCs w:val="26"/>
        </w:rPr>
      </w:pPr>
    </w:p>
    <w:p w:rsidR="00375743" w:rsidRPr="005D2366" w:rsidRDefault="00B658D5" w:rsidP="000B28FC">
      <w:pPr>
        <w:pStyle w:val="TxBrp3"/>
        <w:widowControl/>
        <w:tabs>
          <w:tab w:val="clear" w:pos="1474"/>
        </w:tabs>
        <w:spacing w:line="360" w:lineRule="auto"/>
        <w:ind w:firstLine="1440"/>
        <w:rPr>
          <w:rFonts w:cs="Arial"/>
          <w:szCs w:val="26"/>
        </w:rPr>
      </w:pPr>
      <w:r w:rsidRPr="005D2366">
        <w:rPr>
          <w:rFonts w:cs="Arial"/>
          <w:szCs w:val="26"/>
        </w:rPr>
        <w:t>In order to address this issue, each eligible rate schedule, except for rate schedule GS-1 will be divided into six or seven usage strata</w:t>
      </w:r>
      <w:r w:rsidR="0021482A" w:rsidRPr="005D2366">
        <w:rPr>
          <w:rFonts w:cs="Arial"/>
          <w:szCs w:val="26"/>
        </w:rPr>
        <w:t xml:space="preserve">.  The strata are the same as those used in the RSP and are </w:t>
      </w:r>
      <w:r w:rsidR="005D2366" w:rsidRPr="005D2366">
        <w:rPr>
          <w:rFonts w:cs="Arial"/>
          <w:szCs w:val="26"/>
        </w:rPr>
        <w:t>designed</w:t>
      </w:r>
      <w:r w:rsidR="0021482A" w:rsidRPr="005D2366">
        <w:rPr>
          <w:rFonts w:cs="Arial"/>
          <w:szCs w:val="26"/>
        </w:rPr>
        <w:t xml:space="preserve"> so that customers within each </w:t>
      </w:r>
      <w:r w:rsidR="005D2366" w:rsidRPr="005D2366">
        <w:rPr>
          <w:rFonts w:cs="Arial"/>
          <w:szCs w:val="26"/>
        </w:rPr>
        <w:t>stratum</w:t>
      </w:r>
      <w:r w:rsidR="0021482A" w:rsidRPr="005D2366">
        <w:rPr>
          <w:rFonts w:cs="Arial"/>
          <w:szCs w:val="26"/>
        </w:rPr>
        <w:t xml:space="preserve"> will experience similar percentage increases in their 2010 bills.  For each stratum, PPL has designed a monthly credit to limit the average total bill increase to 25% in 2010 and an additional 25 % in 2011 based on the currently estimated generation rate increase.  </w:t>
      </w:r>
      <w:r w:rsidR="00375743" w:rsidRPr="005D2366">
        <w:rPr>
          <w:rFonts w:cs="Arial"/>
          <w:szCs w:val="26"/>
        </w:rPr>
        <w:t>PPL will place e</w:t>
      </w:r>
      <w:r w:rsidR="0021482A" w:rsidRPr="005D2366">
        <w:rPr>
          <w:rFonts w:cs="Arial"/>
          <w:szCs w:val="26"/>
        </w:rPr>
        <w:t xml:space="preserve">xisting customers </w:t>
      </w:r>
      <w:r w:rsidR="00375743" w:rsidRPr="005D2366">
        <w:rPr>
          <w:rFonts w:cs="Arial"/>
          <w:szCs w:val="26"/>
        </w:rPr>
        <w:t xml:space="preserve">in the appropriate strata based on their actual usage over the most recent twelve month period.  PPL will assign new </w:t>
      </w:r>
      <w:r w:rsidR="00375743" w:rsidRPr="005D2366">
        <w:rPr>
          <w:rFonts w:cs="Arial"/>
          <w:szCs w:val="26"/>
        </w:rPr>
        <w:lastRenderedPageBreak/>
        <w:t xml:space="preserve">customers to strata based upon its estimate of each customer’s anticipated annual usage.  All eligible customers must enroll in the RMP by December 15, 2009.  </w:t>
      </w:r>
    </w:p>
    <w:p w:rsidR="00375743" w:rsidRPr="005D2366" w:rsidRDefault="00375743" w:rsidP="000B28FC">
      <w:pPr>
        <w:pStyle w:val="TxBrp3"/>
        <w:widowControl/>
        <w:tabs>
          <w:tab w:val="clear" w:pos="1474"/>
        </w:tabs>
        <w:spacing w:line="360" w:lineRule="auto"/>
        <w:ind w:firstLine="1440"/>
        <w:rPr>
          <w:rFonts w:cs="Arial"/>
          <w:szCs w:val="26"/>
        </w:rPr>
      </w:pPr>
    </w:p>
    <w:p w:rsidR="00036041" w:rsidRPr="005D2366" w:rsidRDefault="00375743" w:rsidP="000B28FC">
      <w:pPr>
        <w:pStyle w:val="TxBrp3"/>
        <w:widowControl/>
        <w:tabs>
          <w:tab w:val="clear" w:pos="1474"/>
        </w:tabs>
        <w:spacing w:line="360" w:lineRule="auto"/>
        <w:ind w:firstLine="1440"/>
        <w:rPr>
          <w:rFonts w:cs="Arial"/>
          <w:szCs w:val="26"/>
        </w:rPr>
      </w:pPr>
      <w:r w:rsidRPr="005D2366">
        <w:rPr>
          <w:rFonts w:cs="Arial"/>
          <w:szCs w:val="26"/>
        </w:rPr>
        <w:t xml:space="preserve">PPL will recover amounts deferred under the RMP through additional charges in the RMP Rider.  All unrecovered costs plus carrying charges of 6% will be capitalized as a regulatory asset and </w:t>
      </w:r>
      <w:r w:rsidR="005D2366" w:rsidRPr="005D2366">
        <w:rPr>
          <w:rFonts w:cs="Arial"/>
          <w:szCs w:val="26"/>
        </w:rPr>
        <w:t>recovered</w:t>
      </w:r>
      <w:r w:rsidRPr="005D2366">
        <w:rPr>
          <w:rFonts w:cs="Arial"/>
          <w:szCs w:val="26"/>
        </w:rPr>
        <w:t xml:space="preserve"> </w:t>
      </w:r>
      <w:r w:rsidR="00B4275A" w:rsidRPr="005D2366">
        <w:rPr>
          <w:rFonts w:cs="Arial"/>
          <w:szCs w:val="26"/>
        </w:rPr>
        <w:t xml:space="preserve">from customers enrolled in the </w:t>
      </w:r>
      <w:r w:rsidR="005D2366" w:rsidRPr="005D2366">
        <w:rPr>
          <w:rFonts w:cs="Arial"/>
          <w:szCs w:val="26"/>
        </w:rPr>
        <w:t>RMP</w:t>
      </w:r>
      <w:r w:rsidR="005D2366">
        <w:rPr>
          <w:rFonts w:cs="Arial"/>
          <w:szCs w:val="26"/>
        </w:rPr>
        <w:t xml:space="preserve"> </w:t>
      </w:r>
      <w:r w:rsidR="005D2366" w:rsidRPr="005D2366">
        <w:rPr>
          <w:rFonts w:cs="Arial"/>
          <w:szCs w:val="26"/>
        </w:rPr>
        <w:t>by</w:t>
      </w:r>
      <w:r w:rsidR="00B4275A" w:rsidRPr="005D2366">
        <w:rPr>
          <w:rFonts w:cs="Arial"/>
          <w:szCs w:val="26"/>
        </w:rPr>
        <w:t xml:space="preserve"> no later than </w:t>
      </w:r>
      <w:r w:rsidR="005D2366" w:rsidRPr="005D2366">
        <w:rPr>
          <w:rFonts w:cs="Arial"/>
          <w:szCs w:val="26"/>
        </w:rPr>
        <w:t>December</w:t>
      </w:r>
      <w:r w:rsidR="00B4275A" w:rsidRPr="005D2366">
        <w:rPr>
          <w:rFonts w:cs="Arial"/>
          <w:szCs w:val="26"/>
        </w:rPr>
        <w:t xml:space="preserve"> 31, 2012.  The </w:t>
      </w:r>
      <w:r w:rsidR="005D2366" w:rsidRPr="005D2366">
        <w:rPr>
          <w:rFonts w:cs="Arial"/>
          <w:szCs w:val="26"/>
        </w:rPr>
        <w:t>recovery</w:t>
      </w:r>
      <w:r w:rsidR="00B4275A" w:rsidRPr="005D2366">
        <w:rPr>
          <w:rFonts w:cs="Arial"/>
          <w:szCs w:val="26"/>
        </w:rPr>
        <w:t xml:space="preserve"> period will vary by rate schedule strata.  PPL designed the RMP Rider to recover the deferred </w:t>
      </w:r>
      <w:r w:rsidR="005D2366" w:rsidRPr="005D2366">
        <w:rPr>
          <w:rFonts w:cs="Arial"/>
          <w:szCs w:val="26"/>
        </w:rPr>
        <w:t>amounts</w:t>
      </w:r>
      <w:r w:rsidR="00B4275A" w:rsidRPr="005D2366">
        <w:rPr>
          <w:rFonts w:cs="Arial"/>
          <w:szCs w:val="26"/>
        </w:rPr>
        <w:t xml:space="preserve"> plus accumulated interest as quickly as possible in order to minimize the amount of carrying costs that participating customers will have to pay.  PPL desi</w:t>
      </w:r>
      <w:r w:rsidR="00036041" w:rsidRPr="005D2366">
        <w:rPr>
          <w:rFonts w:cs="Arial"/>
          <w:szCs w:val="26"/>
        </w:rPr>
        <w:t>g</w:t>
      </w:r>
      <w:r w:rsidR="00B4275A" w:rsidRPr="005D2366">
        <w:rPr>
          <w:rFonts w:cs="Arial"/>
          <w:szCs w:val="26"/>
        </w:rPr>
        <w:t xml:space="preserve">ned the RMP to recover all deferrals and carrying charges by December 31, 2012.  </w:t>
      </w:r>
    </w:p>
    <w:p w:rsidR="00036041" w:rsidRPr="005D2366" w:rsidRDefault="00036041" w:rsidP="000B28FC">
      <w:pPr>
        <w:pStyle w:val="TxBrp3"/>
        <w:widowControl/>
        <w:tabs>
          <w:tab w:val="clear" w:pos="1474"/>
        </w:tabs>
        <w:spacing w:line="360" w:lineRule="auto"/>
        <w:ind w:firstLine="1440"/>
        <w:rPr>
          <w:rFonts w:cs="Arial"/>
          <w:szCs w:val="26"/>
        </w:rPr>
      </w:pPr>
    </w:p>
    <w:p w:rsidR="00036041" w:rsidRPr="005D2366" w:rsidRDefault="00036041" w:rsidP="000B28FC">
      <w:pPr>
        <w:pStyle w:val="TxBrp3"/>
        <w:widowControl/>
        <w:tabs>
          <w:tab w:val="clear" w:pos="1474"/>
        </w:tabs>
        <w:spacing w:line="360" w:lineRule="auto"/>
        <w:ind w:firstLine="1440"/>
        <w:rPr>
          <w:rFonts w:cs="Arial"/>
          <w:szCs w:val="26"/>
        </w:rPr>
      </w:pPr>
      <w:r w:rsidRPr="005D2366">
        <w:rPr>
          <w:rFonts w:cs="Arial"/>
          <w:szCs w:val="26"/>
        </w:rPr>
        <w:t>The RMP is a non-bypassable charge or credit that will be applied to the bills of all customers who participate in the RMP and will be separately listed as a line item on their bill. Customers will be able to participate in the RMP if they now purchase</w:t>
      </w:r>
      <w:r w:rsidR="001426FB">
        <w:rPr>
          <w:rFonts w:cs="Arial"/>
          <w:szCs w:val="26"/>
        </w:rPr>
        <w:t>,</w:t>
      </w:r>
      <w:r w:rsidRPr="005D2366">
        <w:rPr>
          <w:rFonts w:cs="Arial"/>
          <w:szCs w:val="26"/>
        </w:rPr>
        <w:t xml:space="preserve"> or in the future chose to purchase</w:t>
      </w:r>
      <w:r w:rsidR="001426FB">
        <w:rPr>
          <w:rFonts w:cs="Arial"/>
          <w:szCs w:val="26"/>
        </w:rPr>
        <w:t>,</w:t>
      </w:r>
      <w:r w:rsidRPr="005D2366">
        <w:rPr>
          <w:rFonts w:cs="Arial"/>
          <w:szCs w:val="26"/>
        </w:rPr>
        <w:t xml:space="preserve"> generation supply from an electric generation supplier.  The RMP will not adversely affect competition because the charges and credits will not affect the price to compare for shopping purposes. </w:t>
      </w:r>
    </w:p>
    <w:p w:rsidR="00A26896" w:rsidRPr="005D2366" w:rsidRDefault="00A26896" w:rsidP="000B28FC">
      <w:pPr>
        <w:pStyle w:val="TxBrp3"/>
        <w:widowControl/>
        <w:tabs>
          <w:tab w:val="clear" w:pos="1474"/>
        </w:tabs>
        <w:spacing w:line="360" w:lineRule="auto"/>
        <w:ind w:firstLine="1440"/>
        <w:rPr>
          <w:rFonts w:cs="Arial"/>
          <w:szCs w:val="26"/>
        </w:rPr>
      </w:pPr>
    </w:p>
    <w:p w:rsidR="00D93E31" w:rsidRPr="005D2366" w:rsidRDefault="00A26896" w:rsidP="000B28FC">
      <w:pPr>
        <w:pStyle w:val="TxBrp3"/>
        <w:widowControl/>
        <w:tabs>
          <w:tab w:val="clear" w:pos="1474"/>
        </w:tabs>
        <w:spacing w:line="360" w:lineRule="auto"/>
        <w:ind w:firstLine="1440"/>
        <w:rPr>
          <w:rFonts w:cs="Arial"/>
          <w:szCs w:val="26"/>
        </w:rPr>
      </w:pPr>
      <w:r w:rsidRPr="005D2366">
        <w:rPr>
          <w:rFonts w:cs="Arial"/>
          <w:szCs w:val="26"/>
        </w:rPr>
        <w:t xml:space="preserve">All residential customers taking service under rate schedule RS, RTS(R) or RTD(R) who do not have an existing arrearage, including customers on budget </w:t>
      </w:r>
      <w:r w:rsidR="005D2366" w:rsidRPr="005D2366">
        <w:rPr>
          <w:rFonts w:cs="Arial"/>
          <w:szCs w:val="26"/>
        </w:rPr>
        <w:t>billing</w:t>
      </w:r>
      <w:r w:rsidR="00807C7C">
        <w:rPr>
          <w:rFonts w:cs="Arial"/>
          <w:szCs w:val="26"/>
        </w:rPr>
        <w:t>,</w:t>
      </w:r>
      <w:r w:rsidRPr="005D2366">
        <w:rPr>
          <w:rFonts w:cs="Arial"/>
          <w:szCs w:val="26"/>
        </w:rPr>
        <w:t xml:space="preserve"> are eligible to participate in the RMP.  Customers enrolled in PPL’s OnTrack program and customers enrolled in the RSP </w:t>
      </w:r>
      <w:r w:rsidR="00D93E31" w:rsidRPr="005D2366">
        <w:rPr>
          <w:rFonts w:cs="Arial"/>
          <w:szCs w:val="26"/>
        </w:rPr>
        <w:t>are not eligible to participate in the RMP.</w:t>
      </w:r>
    </w:p>
    <w:p w:rsidR="00D93E31" w:rsidRPr="005D2366" w:rsidRDefault="00D93E31" w:rsidP="000B28FC">
      <w:pPr>
        <w:pStyle w:val="TxBrp3"/>
        <w:widowControl/>
        <w:tabs>
          <w:tab w:val="clear" w:pos="1474"/>
        </w:tabs>
        <w:spacing w:line="360" w:lineRule="auto"/>
        <w:ind w:firstLine="1440"/>
        <w:rPr>
          <w:rFonts w:cs="Arial"/>
          <w:szCs w:val="26"/>
        </w:rPr>
      </w:pPr>
    </w:p>
    <w:p w:rsidR="00742903" w:rsidRPr="005D2366" w:rsidRDefault="00D93E31" w:rsidP="000B28FC">
      <w:pPr>
        <w:pStyle w:val="TxBrp3"/>
        <w:widowControl/>
        <w:tabs>
          <w:tab w:val="clear" w:pos="1474"/>
        </w:tabs>
        <w:spacing w:line="360" w:lineRule="auto"/>
        <w:ind w:firstLine="1440"/>
        <w:rPr>
          <w:rFonts w:cs="Arial"/>
          <w:szCs w:val="26"/>
        </w:rPr>
      </w:pPr>
      <w:r w:rsidRPr="005D2366">
        <w:rPr>
          <w:rFonts w:cs="Arial"/>
          <w:szCs w:val="26"/>
        </w:rPr>
        <w:t>All small commercial and industrial customers without existing arrearages taking service under rate schedules GS-3, GH-1(R) or GH-2(R) are eligible to participate in the RMP.</w:t>
      </w:r>
      <w:r w:rsidR="00A2513C" w:rsidRPr="005D2366">
        <w:rPr>
          <w:rFonts w:cs="Arial"/>
          <w:szCs w:val="26"/>
        </w:rPr>
        <w:t xml:space="preserve">  Customers taking service under rate schedule GS-1 with average monthly usage greater than or equal to 1,775 kWh</w:t>
      </w:r>
      <w:r w:rsidR="00A26896" w:rsidRPr="005D2366">
        <w:rPr>
          <w:rFonts w:cs="Arial"/>
          <w:szCs w:val="26"/>
        </w:rPr>
        <w:t xml:space="preserve"> </w:t>
      </w:r>
      <w:r w:rsidR="00A2513C" w:rsidRPr="005D2366">
        <w:rPr>
          <w:rFonts w:cs="Arial"/>
          <w:szCs w:val="26"/>
        </w:rPr>
        <w:t>and an average monthly load factor greater than or equal to 45% will be eligible to participate in the RMP.</w:t>
      </w:r>
    </w:p>
    <w:p w:rsidR="00742903" w:rsidRPr="005D2366" w:rsidRDefault="00742903" w:rsidP="000B28FC">
      <w:pPr>
        <w:pStyle w:val="TxBrp3"/>
        <w:widowControl/>
        <w:tabs>
          <w:tab w:val="clear" w:pos="1474"/>
        </w:tabs>
        <w:spacing w:line="360" w:lineRule="auto"/>
        <w:ind w:firstLine="1440"/>
        <w:rPr>
          <w:rFonts w:cs="Arial"/>
          <w:szCs w:val="26"/>
        </w:rPr>
      </w:pPr>
    </w:p>
    <w:p w:rsidR="00EB6B60" w:rsidRPr="005D2366" w:rsidRDefault="00742903" w:rsidP="000B28FC">
      <w:pPr>
        <w:pStyle w:val="TxBrp3"/>
        <w:widowControl/>
        <w:tabs>
          <w:tab w:val="clear" w:pos="1474"/>
        </w:tabs>
        <w:spacing w:line="360" w:lineRule="auto"/>
        <w:ind w:firstLine="1440"/>
        <w:rPr>
          <w:rFonts w:cs="Arial"/>
          <w:szCs w:val="26"/>
        </w:rPr>
      </w:pPr>
      <w:r w:rsidRPr="005D2366">
        <w:rPr>
          <w:rFonts w:cs="Arial"/>
          <w:szCs w:val="26"/>
        </w:rPr>
        <w:lastRenderedPageBreak/>
        <w:t xml:space="preserve">The RMP will be available to eligible customers who affirmatively elect to participate in the program.  PPL will encourage participation by making several enrollment options available to customers, including a special toll-free 800 number and the internet.  The deadline for enrolling will be December 15, 2009 so that PPL can implement the RMP </w:t>
      </w:r>
      <w:r w:rsidR="00EB6B60" w:rsidRPr="005D2366">
        <w:rPr>
          <w:rFonts w:cs="Arial"/>
          <w:szCs w:val="26"/>
        </w:rPr>
        <w:t>on a rate strata basis without the need to track deferral and carrying charges on a customer specific basis.</w:t>
      </w:r>
    </w:p>
    <w:p w:rsidR="00EB6B60" w:rsidRPr="005D2366" w:rsidRDefault="00EB6B60" w:rsidP="000B28FC">
      <w:pPr>
        <w:pStyle w:val="TxBrp3"/>
        <w:widowControl/>
        <w:tabs>
          <w:tab w:val="clear" w:pos="1474"/>
        </w:tabs>
        <w:spacing w:line="360" w:lineRule="auto"/>
        <w:ind w:firstLine="1440"/>
        <w:rPr>
          <w:rFonts w:cs="Arial"/>
          <w:szCs w:val="26"/>
        </w:rPr>
      </w:pPr>
    </w:p>
    <w:p w:rsidR="00A82D10" w:rsidRPr="005D2366" w:rsidRDefault="00EB6B60" w:rsidP="000B28FC">
      <w:pPr>
        <w:pStyle w:val="TxBrp3"/>
        <w:widowControl/>
        <w:tabs>
          <w:tab w:val="clear" w:pos="1474"/>
        </w:tabs>
        <w:spacing w:line="360" w:lineRule="auto"/>
        <w:ind w:firstLine="1440"/>
        <w:rPr>
          <w:rFonts w:cs="Arial"/>
          <w:szCs w:val="26"/>
        </w:rPr>
      </w:pPr>
      <w:r w:rsidRPr="005D2366">
        <w:rPr>
          <w:rFonts w:cs="Arial"/>
          <w:szCs w:val="26"/>
        </w:rPr>
        <w:t>PPL will establish a method to reassign RMP deferral balances for any customer enrolled in the RMP who establishes new service within PPL’s service territory.  A customer participating in the RMP can elect to withdraw from the program at any time</w:t>
      </w:r>
      <w:r w:rsidR="000E6D2A" w:rsidRPr="005D2366">
        <w:rPr>
          <w:rFonts w:cs="Arial"/>
          <w:szCs w:val="26"/>
        </w:rPr>
        <w:t xml:space="preserve"> by notifying PPL. PPL will remove a customer from the RMP if the customer’s service is terminated, if the customer fails to pay his or her bill in full for two consecutive billing cycles after joining the RMP or if the customer otherwise becomes ineligible for the plan.  When a customer’s </w:t>
      </w:r>
      <w:r w:rsidR="00632C41" w:rsidRPr="005D2366">
        <w:rPr>
          <w:rFonts w:cs="Arial"/>
          <w:szCs w:val="26"/>
        </w:rPr>
        <w:t xml:space="preserve">participation in the RMP ends, PPL will charge the customer for the then current balance of his or her RMP deferrals including carrying charges.  Chapter 14 of the Public Utility Code and Chapter 56 of the Commission’s regulations apply to a residential customer’s RMP deferral balance, consistent with the terms of the joint settlement petition.  </w:t>
      </w:r>
    </w:p>
    <w:p w:rsidR="00A82D10" w:rsidRPr="005D2366" w:rsidRDefault="00A82D10" w:rsidP="000B28FC">
      <w:pPr>
        <w:pStyle w:val="TxBrp3"/>
        <w:widowControl/>
        <w:tabs>
          <w:tab w:val="clear" w:pos="1474"/>
        </w:tabs>
        <w:spacing w:line="360" w:lineRule="auto"/>
        <w:ind w:firstLine="1440"/>
        <w:rPr>
          <w:rFonts w:cs="Arial"/>
          <w:szCs w:val="26"/>
        </w:rPr>
      </w:pPr>
    </w:p>
    <w:p w:rsidR="00A2513C" w:rsidRPr="005D2366" w:rsidRDefault="00A82D10" w:rsidP="000B28FC">
      <w:pPr>
        <w:pStyle w:val="TxBrp3"/>
        <w:widowControl/>
        <w:tabs>
          <w:tab w:val="clear" w:pos="1474"/>
        </w:tabs>
        <w:spacing w:line="360" w:lineRule="auto"/>
        <w:ind w:firstLine="1440"/>
        <w:rPr>
          <w:rFonts w:cs="Arial"/>
          <w:szCs w:val="26"/>
        </w:rPr>
      </w:pPr>
      <w:r w:rsidRPr="005D2366">
        <w:rPr>
          <w:rFonts w:cs="Arial"/>
          <w:szCs w:val="26"/>
        </w:rPr>
        <w:t xml:space="preserve">The RMP Rider contains and describes all the charges and credits for the full term of the RMP as well as the eligibility criteria, rules for electing to participate in the RMP and the rules for </w:t>
      </w:r>
      <w:r w:rsidR="005D2366" w:rsidRPr="005D2366">
        <w:rPr>
          <w:rFonts w:cs="Arial"/>
          <w:szCs w:val="26"/>
        </w:rPr>
        <w:t>terminating</w:t>
      </w:r>
      <w:r w:rsidRPr="005D2366">
        <w:rPr>
          <w:rFonts w:cs="Arial"/>
          <w:szCs w:val="26"/>
        </w:rPr>
        <w:t xml:space="preserve"> participation in the RMP.</w:t>
      </w:r>
      <w:r w:rsidR="0026321A" w:rsidRPr="005D2366">
        <w:rPr>
          <w:rFonts w:cs="Arial"/>
          <w:szCs w:val="26"/>
        </w:rPr>
        <w:t xml:space="preserve">  Participating customers will be placed in strata based on their average monthly usage</w:t>
      </w:r>
      <w:r w:rsidRPr="005D2366">
        <w:rPr>
          <w:rFonts w:cs="Arial"/>
          <w:szCs w:val="26"/>
        </w:rPr>
        <w:t xml:space="preserve"> </w:t>
      </w:r>
      <w:r w:rsidR="0026321A" w:rsidRPr="005D2366">
        <w:rPr>
          <w:rFonts w:cs="Arial"/>
          <w:szCs w:val="26"/>
        </w:rPr>
        <w:t xml:space="preserve">for the most recent twelve month period.  Starting with the customer’s January 2010 billing, an RMP credit will be reflected on the customer’s bill.  In January </w:t>
      </w:r>
      <w:r w:rsidR="00C01AF2" w:rsidRPr="005D2366">
        <w:rPr>
          <w:rFonts w:cs="Arial"/>
          <w:szCs w:val="26"/>
        </w:rPr>
        <w:t xml:space="preserve">2011, the customer will begin to pay back the deferral.  </w:t>
      </w:r>
    </w:p>
    <w:p w:rsidR="00C01AF2" w:rsidRPr="005D2366" w:rsidRDefault="00C01AF2" w:rsidP="000B28FC">
      <w:pPr>
        <w:pStyle w:val="TxBrp3"/>
        <w:widowControl/>
        <w:tabs>
          <w:tab w:val="clear" w:pos="1474"/>
        </w:tabs>
        <w:spacing w:line="360" w:lineRule="auto"/>
        <w:ind w:firstLine="1440"/>
        <w:rPr>
          <w:rFonts w:cs="Arial"/>
          <w:szCs w:val="26"/>
        </w:rPr>
      </w:pPr>
    </w:p>
    <w:p w:rsidR="00C25472" w:rsidRPr="005D2366" w:rsidRDefault="00BA66A8" w:rsidP="000B28FC">
      <w:pPr>
        <w:pStyle w:val="TxBrp3"/>
        <w:widowControl/>
        <w:tabs>
          <w:tab w:val="clear" w:pos="1474"/>
        </w:tabs>
        <w:spacing w:line="360" w:lineRule="auto"/>
        <w:ind w:firstLine="1440"/>
        <w:rPr>
          <w:rFonts w:cs="Arial"/>
          <w:szCs w:val="26"/>
        </w:rPr>
      </w:pPr>
      <w:r w:rsidRPr="005D2366">
        <w:rPr>
          <w:rFonts w:cs="Arial"/>
          <w:szCs w:val="26"/>
        </w:rPr>
        <w:t xml:space="preserve">The RMP will not require individual customer reconciliation.  The RMP credits and charges will be set on a per month basis and will not be affected by fluctuations in customer use or changes in generation rates.  </w:t>
      </w:r>
      <w:r w:rsidR="005D2366" w:rsidRPr="005D2366">
        <w:rPr>
          <w:rFonts w:cs="Arial"/>
          <w:szCs w:val="26"/>
        </w:rPr>
        <w:t>PP</w:t>
      </w:r>
      <w:r w:rsidR="005D2366">
        <w:rPr>
          <w:rFonts w:cs="Arial"/>
          <w:szCs w:val="26"/>
        </w:rPr>
        <w:t>L</w:t>
      </w:r>
      <w:r w:rsidRPr="005D2366">
        <w:rPr>
          <w:rFonts w:cs="Arial"/>
          <w:szCs w:val="26"/>
        </w:rPr>
        <w:t xml:space="preserve"> will know how much customers in each stratum deferred during the course of the RMP.  The recovery period will </w:t>
      </w:r>
      <w:r w:rsidR="0067389A" w:rsidRPr="005D2366">
        <w:rPr>
          <w:rFonts w:cs="Arial"/>
          <w:szCs w:val="26"/>
        </w:rPr>
        <w:t xml:space="preserve">vary by rate strata.  The monthly surcharges are designed to complete </w:t>
      </w:r>
      <w:r w:rsidR="005D2366" w:rsidRPr="005D2366">
        <w:rPr>
          <w:rFonts w:cs="Arial"/>
          <w:szCs w:val="26"/>
        </w:rPr>
        <w:t>recovery</w:t>
      </w:r>
      <w:r w:rsidR="0067389A" w:rsidRPr="005D2366">
        <w:rPr>
          <w:rFonts w:cs="Arial"/>
          <w:szCs w:val="26"/>
        </w:rPr>
        <w:t xml:space="preserve"> of deferred amounts plus accumulated interest by </w:t>
      </w:r>
      <w:r w:rsidR="0067389A" w:rsidRPr="005D2366">
        <w:rPr>
          <w:rFonts w:cs="Arial"/>
          <w:szCs w:val="26"/>
        </w:rPr>
        <w:lastRenderedPageBreak/>
        <w:t xml:space="preserve">December 31, 2012.  Because the likelihood of over collection or under collection is small, there is no need for after the fact reconciliation.  </w:t>
      </w:r>
    </w:p>
    <w:p w:rsidR="00C25472" w:rsidRPr="005D2366" w:rsidRDefault="00C25472" w:rsidP="000B28FC">
      <w:pPr>
        <w:pStyle w:val="TxBrp3"/>
        <w:widowControl/>
        <w:tabs>
          <w:tab w:val="clear" w:pos="1474"/>
        </w:tabs>
        <w:spacing w:line="360" w:lineRule="auto"/>
        <w:ind w:firstLine="1440"/>
        <w:rPr>
          <w:rFonts w:cs="Arial"/>
          <w:szCs w:val="26"/>
        </w:rPr>
      </w:pPr>
    </w:p>
    <w:p w:rsidR="00C25472" w:rsidRDefault="00C25472" w:rsidP="000B28FC">
      <w:pPr>
        <w:pStyle w:val="TxBrp3"/>
        <w:widowControl/>
        <w:tabs>
          <w:tab w:val="clear" w:pos="1474"/>
        </w:tabs>
        <w:spacing w:line="360" w:lineRule="auto"/>
        <w:ind w:firstLine="1440"/>
        <w:rPr>
          <w:rFonts w:cs="Arial"/>
          <w:szCs w:val="26"/>
        </w:rPr>
      </w:pPr>
      <w:r w:rsidRPr="005D2366">
        <w:rPr>
          <w:rFonts w:cs="Arial"/>
          <w:szCs w:val="26"/>
        </w:rPr>
        <w:t>PPL will provide notice to its customers at the time the Commission acts on the RMP, before implementing the RMP and during the term of the RMP.  PPL will provide notice and information on four primary topics as follows:</w:t>
      </w:r>
    </w:p>
    <w:p w:rsidR="00683E33" w:rsidRPr="005D2366" w:rsidRDefault="00683E33" w:rsidP="000B28FC">
      <w:pPr>
        <w:pStyle w:val="TxBrp3"/>
        <w:widowControl/>
        <w:tabs>
          <w:tab w:val="clear" w:pos="1474"/>
        </w:tabs>
        <w:spacing w:line="360" w:lineRule="auto"/>
        <w:ind w:firstLine="1440"/>
        <w:rPr>
          <w:rFonts w:cs="Arial"/>
          <w:szCs w:val="26"/>
        </w:rPr>
      </w:pPr>
    </w:p>
    <w:p w:rsidR="00C25472" w:rsidRPr="005D2366" w:rsidRDefault="00C25472" w:rsidP="000B28FC">
      <w:pPr>
        <w:pStyle w:val="TxBrp3"/>
        <w:widowControl/>
        <w:tabs>
          <w:tab w:val="clear" w:pos="1474"/>
        </w:tabs>
        <w:spacing w:line="240" w:lineRule="auto"/>
        <w:ind w:firstLine="0"/>
        <w:rPr>
          <w:rFonts w:cs="Arial"/>
          <w:szCs w:val="26"/>
        </w:rPr>
      </w:pPr>
      <w:r w:rsidRPr="005D2366">
        <w:rPr>
          <w:rFonts w:cs="Arial"/>
          <w:szCs w:val="26"/>
        </w:rPr>
        <w:tab/>
      </w:r>
      <w:r w:rsidRPr="005D2366">
        <w:rPr>
          <w:rFonts w:cs="Arial"/>
          <w:szCs w:val="26"/>
        </w:rPr>
        <w:tab/>
      </w:r>
      <w:r w:rsidRPr="005D2366">
        <w:rPr>
          <w:rFonts w:cs="Arial"/>
          <w:szCs w:val="26"/>
        </w:rPr>
        <w:tab/>
        <w:t>1) The magnitude of the expected rate increase in 2010.</w:t>
      </w:r>
    </w:p>
    <w:p w:rsidR="00C25472" w:rsidRPr="005D2366" w:rsidRDefault="00C25472" w:rsidP="000B28FC">
      <w:pPr>
        <w:pStyle w:val="TxBrp3"/>
        <w:widowControl/>
        <w:tabs>
          <w:tab w:val="clear" w:pos="1474"/>
        </w:tabs>
        <w:spacing w:line="240" w:lineRule="auto"/>
        <w:ind w:firstLine="0"/>
        <w:rPr>
          <w:rFonts w:cs="Arial"/>
          <w:szCs w:val="26"/>
        </w:rPr>
      </w:pPr>
      <w:r w:rsidRPr="005D2366">
        <w:rPr>
          <w:rFonts w:cs="Arial"/>
          <w:szCs w:val="26"/>
        </w:rPr>
        <w:tab/>
      </w:r>
      <w:r w:rsidRPr="005D2366">
        <w:rPr>
          <w:rFonts w:cs="Arial"/>
          <w:szCs w:val="26"/>
        </w:rPr>
        <w:tab/>
      </w:r>
      <w:r w:rsidRPr="005D2366">
        <w:rPr>
          <w:rFonts w:cs="Arial"/>
          <w:szCs w:val="26"/>
        </w:rPr>
        <w:tab/>
        <w:t>2) The reasons for that increase.</w:t>
      </w:r>
    </w:p>
    <w:p w:rsidR="00C25472" w:rsidRPr="005D2366" w:rsidRDefault="00C25472" w:rsidP="000B28FC">
      <w:pPr>
        <w:pStyle w:val="TxBrp3"/>
        <w:widowControl/>
        <w:tabs>
          <w:tab w:val="clear" w:pos="1474"/>
        </w:tabs>
        <w:spacing w:line="240" w:lineRule="auto"/>
        <w:ind w:firstLine="0"/>
        <w:rPr>
          <w:rFonts w:cs="Arial"/>
          <w:szCs w:val="26"/>
        </w:rPr>
      </w:pPr>
      <w:r w:rsidRPr="005D2366">
        <w:rPr>
          <w:rFonts w:cs="Arial"/>
          <w:szCs w:val="26"/>
        </w:rPr>
        <w:tab/>
      </w:r>
      <w:r w:rsidRPr="005D2366">
        <w:rPr>
          <w:rFonts w:cs="Arial"/>
          <w:szCs w:val="26"/>
        </w:rPr>
        <w:tab/>
      </w:r>
      <w:r w:rsidRPr="005D2366">
        <w:rPr>
          <w:rFonts w:cs="Arial"/>
          <w:szCs w:val="26"/>
        </w:rPr>
        <w:tab/>
        <w:t>3) A full description of the RMP and its potential impact on rates.</w:t>
      </w:r>
    </w:p>
    <w:p w:rsidR="00C25472" w:rsidRPr="005D2366" w:rsidRDefault="00C25472" w:rsidP="00F47781">
      <w:pPr>
        <w:pStyle w:val="TxBrp3"/>
        <w:widowControl/>
        <w:tabs>
          <w:tab w:val="clear" w:pos="1474"/>
        </w:tabs>
        <w:spacing w:line="240" w:lineRule="auto"/>
        <w:ind w:firstLine="0"/>
        <w:rPr>
          <w:rFonts w:cs="Arial"/>
          <w:szCs w:val="26"/>
        </w:rPr>
      </w:pPr>
      <w:r w:rsidRPr="005D2366">
        <w:rPr>
          <w:rFonts w:cs="Arial"/>
          <w:szCs w:val="26"/>
        </w:rPr>
        <w:tab/>
      </w:r>
      <w:r w:rsidRPr="005D2366">
        <w:rPr>
          <w:rFonts w:cs="Arial"/>
          <w:szCs w:val="26"/>
        </w:rPr>
        <w:tab/>
      </w:r>
      <w:r w:rsidRPr="005D2366">
        <w:rPr>
          <w:rFonts w:cs="Arial"/>
          <w:szCs w:val="26"/>
        </w:rPr>
        <w:tab/>
        <w:t>4) A full description of how customers can elect to participate in the RMP.</w:t>
      </w:r>
    </w:p>
    <w:p w:rsidR="00F47781" w:rsidRDefault="00F47781" w:rsidP="00F47781">
      <w:pPr>
        <w:pStyle w:val="TxBrp3"/>
        <w:widowControl/>
        <w:tabs>
          <w:tab w:val="clear" w:pos="1474"/>
        </w:tabs>
        <w:spacing w:line="360" w:lineRule="auto"/>
        <w:ind w:firstLine="0"/>
        <w:rPr>
          <w:rFonts w:cs="Arial"/>
          <w:szCs w:val="26"/>
        </w:rPr>
      </w:pPr>
    </w:p>
    <w:p w:rsidR="00B61852" w:rsidRPr="005D2366" w:rsidRDefault="00C25472" w:rsidP="00F47781">
      <w:pPr>
        <w:pStyle w:val="TxBrp3"/>
        <w:widowControl/>
        <w:tabs>
          <w:tab w:val="clear" w:pos="1474"/>
        </w:tabs>
        <w:spacing w:line="360" w:lineRule="auto"/>
        <w:ind w:firstLine="1440"/>
        <w:rPr>
          <w:rFonts w:cs="Arial"/>
          <w:szCs w:val="26"/>
        </w:rPr>
      </w:pPr>
      <w:r w:rsidRPr="005D2366">
        <w:rPr>
          <w:rFonts w:cs="Arial"/>
          <w:szCs w:val="26"/>
        </w:rPr>
        <w:t>PPL will send a bill insert to all its customers setting forth eligibility requirements.  The insert will include details of the R</w:t>
      </w:r>
      <w:r w:rsidR="00B61852" w:rsidRPr="005D2366">
        <w:rPr>
          <w:rFonts w:cs="Arial"/>
          <w:szCs w:val="26"/>
        </w:rPr>
        <w:t>M</w:t>
      </w:r>
      <w:r w:rsidRPr="005D2366">
        <w:rPr>
          <w:rFonts w:cs="Arial"/>
          <w:szCs w:val="26"/>
        </w:rPr>
        <w:t xml:space="preserve">P, </w:t>
      </w:r>
      <w:r w:rsidR="00B61852" w:rsidRPr="005D2366">
        <w:rPr>
          <w:rFonts w:cs="Arial"/>
          <w:szCs w:val="26"/>
        </w:rPr>
        <w:t xml:space="preserve">including a detailed explanation and examples to ensure that customers understand that they will pay the full amount of the increase plus the carrying costs on the deferred portion.  PPL will inform customers </w:t>
      </w:r>
      <w:r w:rsidRPr="005D2366">
        <w:rPr>
          <w:rFonts w:cs="Arial"/>
          <w:szCs w:val="26"/>
        </w:rPr>
        <w:t xml:space="preserve">where to find additional information </w:t>
      </w:r>
      <w:r w:rsidR="00B61852" w:rsidRPr="005D2366">
        <w:rPr>
          <w:rFonts w:cs="Arial"/>
          <w:szCs w:val="26"/>
        </w:rPr>
        <w:t xml:space="preserve">regarding the generation rate increases </w:t>
      </w:r>
      <w:r w:rsidRPr="005D2366">
        <w:rPr>
          <w:rFonts w:cs="Arial"/>
          <w:szCs w:val="26"/>
        </w:rPr>
        <w:t>and how to elect to participate in the R</w:t>
      </w:r>
      <w:r w:rsidR="00B61852" w:rsidRPr="005D2366">
        <w:rPr>
          <w:rFonts w:cs="Arial"/>
          <w:szCs w:val="26"/>
        </w:rPr>
        <w:t>M</w:t>
      </w:r>
      <w:r w:rsidRPr="005D2366">
        <w:rPr>
          <w:rFonts w:cs="Arial"/>
          <w:szCs w:val="26"/>
        </w:rPr>
        <w:t>P.</w:t>
      </w:r>
      <w:r w:rsidR="001E4B36" w:rsidRPr="005D2366">
        <w:rPr>
          <w:rFonts w:cs="Arial"/>
          <w:szCs w:val="26"/>
        </w:rPr>
        <w:t xml:space="preserve">  The customer notice and education efforts wil</w:t>
      </w:r>
      <w:r w:rsidR="00F47781">
        <w:rPr>
          <w:rFonts w:cs="Arial"/>
          <w:szCs w:val="26"/>
        </w:rPr>
        <w:t>l also inform customers that 1) </w:t>
      </w:r>
      <w:r w:rsidR="001E4B36" w:rsidRPr="005D2366">
        <w:rPr>
          <w:rFonts w:cs="Arial"/>
          <w:szCs w:val="26"/>
        </w:rPr>
        <w:t>customers who shop for generation service and are otherwise eligible for the RMP may participate; 2) an election by an otherwise eligible customer to participate in the RMP will not affect the customer’s</w:t>
      </w:r>
      <w:r w:rsidR="00FA7C7A" w:rsidRPr="005D2366">
        <w:rPr>
          <w:rFonts w:cs="Arial"/>
          <w:szCs w:val="26"/>
        </w:rPr>
        <w:t xml:space="preserve"> future ability to obtain service from an </w:t>
      </w:r>
      <w:r w:rsidR="00807C7C">
        <w:rPr>
          <w:rFonts w:cs="Arial"/>
          <w:szCs w:val="26"/>
        </w:rPr>
        <w:t>electric generation supplier</w:t>
      </w:r>
      <w:r w:rsidR="00FA7C7A" w:rsidRPr="005D2366">
        <w:rPr>
          <w:rFonts w:cs="Arial"/>
          <w:szCs w:val="26"/>
        </w:rPr>
        <w:t>; and 3) participation in the RMP will not affect the customer’s price to compare.</w:t>
      </w:r>
    </w:p>
    <w:p w:rsidR="001E4B36" w:rsidRPr="005D2366" w:rsidRDefault="001E4B36" w:rsidP="00F47781">
      <w:pPr>
        <w:pStyle w:val="TxBrp3"/>
        <w:widowControl/>
        <w:tabs>
          <w:tab w:val="clear" w:pos="1474"/>
        </w:tabs>
        <w:spacing w:line="360" w:lineRule="auto"/>
        <w:ind w:firstLine="1440"/>
        <w:rPr>
          <w:rFonts w:cs="Arial"/>
          <w:szCs w:val="26"/>
        </w:rPr>
      </w:pPr>
    </w:p>
    <w:p w:rsidR="008D2387" w:rsidRDefault="00C25472" w:rsidP="000B28FC">
      <w:pPr>
        <w:pStyle w:val="TxBrp3"/>
        <w:widowControl/>
        <w:tabs>
          <w:tab w:val="clear" w:pos="1474"/>
        </w:tabs>
        <w:spacing w:line="360" w:lineRule="auto"/>
        <w:ind w:firstLine="0"/>
        <w:rPr>
          <w:rFonts w:cs="Arial"/>
          <w:szCs w:val="26"/>
        </w:rPr>
      </w:pPr>
      <w:r w:rsidRPr="005D2366">
        <w:rPr>
          <w:rFonts w:cs="Arial"/>
          <w:szCs w:val="26"/>
        </w:rPr>
        <w:tab/>
      </w:r>
      <w:r w:rsidRPr="005D2366">
        <w:rPr>
          <w:rFonts w:cs="Arial"/>
          <w:szCs w:val="26"/>
        </w:rPr>
        <w:tab/>
        <w:t xml:space="preserve">PPL will </w:t>
      </w:r>
      <w:r w:rsidR="00FA7C7A" w:rsidRPr="005D2366">
        <w:rPr>
          <w:rFonts w:cs="Arial"/>
          <w:szCs w:val="26"/>
        </w:rPr>
        <w:t xml:space="preserve">brief </w:t>
      </w:r>
      <w:r w:rsidRPr="005D2366">
        <w:rPr>
          <w:rFonts w:cs="Arial"/>
          <w:szCs w:val="26"/>
        </w:rPr>
        <w:t>community based organizations and local business and chamber of commerce groups to help them understand the R</w:t>
      </w:r>
      <w:r w:rsidR="00FA7C7A" w:rsidRPr="005D2366">
        <w:rPr>
          <w:rFonts w:cs="Arial"/>
          <w:szCs w:val="26"/>
        </w:rPr>
        <w:t>M</w:t>
      </w:r>
      <w:r w:rsidRPr="005D2366">
        <w:rPr>
          <w:rFonts w:cs="Arial"/>
          <w:szCs w:val="26"/>
        </w:rPr>
        <w:t>P.  After the R</w:t>
      </w:r>
      <w:r w:rsidR="00FA7C7A" w:rsidRPr="005D2366">
        <w:rPr>
          <w:rFonts w:cs="Arial"/>
          <w:szCs w:val="26"/>
        </w:rPr>
        <w:t>M</w:t>
      </w:r>
      <w:r w:rsidRPr="005D2366">
        <w:rPr>
          <w:rFonts w:cs="Arial"/>
          <w:szCs w:val="26"/>
        </w:rPr>
        <w:t>P becomes effective, PPL will continue to respond to customer inquiries via the internet and telephone.  PPL will also provide information about the R</w:t>
      </w:r>
      <w:r w:rsidR="00FA7C7A" w:rsidRPr="005D2366">
        <w:rPr>
          <w:rFonts w:cs="Arial"/>
          <w:szCs w:val="26"/>
        </w:rPr>
        <w:t>M</w:t>
      </w:r>
      <w:r w:rsidRPr="005D2366">
        <w:rPr>
          <w:rFonts w:cs="Arial"/>
          <w:szCs w:val="26"/>
        </w:rPr>
        <w:t>P to new customers during 2009 in the welcome packa</w:t>
      </w:r>
      <w:r w:rsidR="00CB41AE">
        <w:rPr>
          <w:rFonts w:cs="Arial"/>
          <w:szCs w:val="26"/>
        </w:rPr>
        <w:t>ge it provides to new customers.</w:t>
      </w:r>
    </w:p>
    <w:p w:rsidR="00524C38" w:rsidRPr="005D2366" w:rsidRDefault="00524C38" w:rsidP="000B28FC">
      <w:pPr>
        <w:pStyle w:val="TxBrp3"/>
        <w:widowControl/>
        <w:tabs>
          <w:tab w:val="clear" w:pos="1474"/>
        </w:tabs>
        <w:spacing w:line="360" w:lineRule="auto"/>
        <w:ind w:firstLine="0"/>
        <w:rPr>
          <w:rFonts w:cs="Arial"/>
          <w:szCs w:val="26"/>
        </w:rPr>
      </w:pPr>
    </w:p>
    <w:p w:rsidR="008D2387" w:rsidRPr="005D2366" w:rsidRDefault="00524C38" w:rsidP="000B28FC">
      <w:pPr>
        <w:pStyle w:val="TxBrp3"/>
        <w:widowControl/>
        <w:tabs>
          <w:tab w:val="clear" w:pos="1474"/>
        </w:tabs>
        <w:spacing w:line="360" w:lineRule="auto"/>
        <w:ind w:firstLine="0"/>
        <w:jc w:val="center"/>
        <w:rPr>
          <w:rFonts w:cs="Arial"/>
          <w:szCs w:val="26"/>
          <w:u w:val="single"/>
        </w:rPr>
      </w:pPr>
      <w:r>
        <w:rPr>
          <w:rFonts w:cs="Arial"/>
          <w:szCs w:val="26"/>
          <w:u w:val="single"/>
        </w:rPr>
        <w:br w:type="page"/>
      </w:r>
      <w:r w:rsidR="008D2387" w:rsidRPr="005D2366">
        <w:rPr>
          <w:rFonts w:cs="Arial"/>
          <w:szCs w:val="26"/>
          <w:u w:val="single"/>
        </w:rPr>
        <w:lastRenderedPageBreak/>
        <w:t>PUBLIC INTEREST</w:t>
      </w:r>
    </w:p>
    <w:p w:rsidR="008D2387" w:rsidRPr="005D2366" w:rsidRDefault="008D2387" w:rsidP="000B28FC">
      <w:pPr>
        <w:pStyle w:val="TxBrp3"/>
        <w:widowControl/>
        <w:tabs>
          <w:tab w:val="clear" w:pos="1474"/>
        </w:tabs>
        <w:spacing w:line="360" w:lineRule="auto"/>
        <w:ind w:firstLine="0"/>
        <w:rPr>
          <w:rFonts w:cs="Arial"/>
          <w:szCs w:val="26"/>
        </w:rPr>
      </w:pPr>
    </w:p>
    <w:p w:rsidR="009E4B06" w:rsidRPr="005D2366" w:rsidRDefault="008D2387" w:rsidP="000B28FC">
      <w:pPr>
        <w:spacing w:line="360" w:lineRule="auto"/>
        <w:rPr>
          <w:rFonts w:ascii="Times New Roman" w:hAnsi="Times New Roman"/>
        </w:rPr>
      </w:pPr>
      <w:r w:rsidRPr="005D2366">
        <w:rPr>
          <w:rFonts w:ascii="Times New Roman" w:hAnsi="Times New Roman" w:cs="Arial"/>
          <w:szCs w:val="26"/>
        </w:rPr>
        <w:tab/>
      </w:r>
      <w:r w:rsidRPr="005D2366">
        <w:rPr>
          <w:rFonts w:ascii="Times New Roman" w:hAnsi="Times New Roman" w:cs="Arial"/>
          <w:szCs w:val="26"/>
        </w:rPr>
        <w:tab/>
      </w:r>
      <w:r w:rsidRPr="005D2366">
        <w:rPr>
          <w:rFonts w:ascii="Times New Roman" w:hAnsi="Times New Roman"/>
        </w:rPr>
        <w:t>The terms recited above are in the public interest and balance the interests of PPL, PPL’s customers and the interests of the Joint Petitioners.  The joint petition for settlement will implement the R</w:t>
      </w:r>
      <w:r w:rsidR="008F647B" w:rsidRPr="005D2366">
        <w:rPr>
          <w:rFonts w:ascii="Times New Roman" w:hAnsi="Times New Roman"/>
        </w:rPr>
        <w:t>M</w:t>
      </w:r>
      <w:r w:rsidRPr="005D2366">
        <w:rPr>
          <w:rFonts w:ascii="Times New Roman" w:hAnsi="Times New Roman"/>
        </w:rPr>
        <w:t xml:space="preserve">P that will </w:t>
      </w:r>
      <w:r w:rsidR="008F647B" w:rsidRPr="005D2366">
        <w:rPr>
          <w:rFonts w:ascii="Times New Roman" w:hAnsi="Times New Roman"/>
        </w:rPr>
        <w:t xml:space="preserve">give </w:t>
      </w:r>
      <w:r w:rsidRPr="005D2366">
        <w:rPr>
          <w:rFonts w:ascii="Times New Roman" w:hAnsi="Times New Roman"/>
        </w:rPr>
        <w:t xml:space="preserve">PPL’s customers </w:t>
      </w:r>
      <w:r w:rsidR="008F647B" w:rsidRPr="005D2366">
        <w:rPr>
          <w:rFonts w:ascii="Times New Roman" w:hAnsi="Times New Roman"/>
        </w:rPr>
        <w:t xml:space="preserve">another option to help them </w:t>
      </w:r>
      <w:r w:rsidRPr="005D2366">
        <w:rPr>
          <w:rFonts w:ascii="Times New Roman" w:hAnsi="Times New Roman"/>
        </w:rPr>
        <w:t>manag</w:t>
      </w:r>
      <w:r w:rsidR="008F647B" w:rsidRPr="005D2366">
        <w:rPr>
          <w:rFonts w:ascii="Times New Roman" w:hAnsi="Times New Roman"/>
        </w:rPr>
        <w:t>e</w:t>
      </w:r>
      <w:r w:rsidRPr="005D2366">
        <w:rPr>
          <w:rFonts w:ascii="Times New Roman" w:hAnsi="Times New Roman"/>
        </w:rPr>
        <w:t xml:space="preserve"> the expected generation rate</w:t>
      </w:r>
      <w:r w:rsidR="008F647B" w:rsidRPr="005D2366">
        <w:rPr>
          <w:rFonts w:ascii="Times New Roman" w:hAnsi="Times New Roman"/>
        </w:rPr>
        <w:t xml:space="preserve"> increase.  The expected generation rate increase may lead to significant customer dissatisfaction and the RMP is a reasonable and appropriate measure to address customer concerns.</w:t>
      </w:r>
      <w:r w:rsidR="009E4B06" w:rsidRPr="005D2366">
        <w:rPr>
          <w:rFonts w:ascii="Times New Roman" w:hAnsi="Times New Roman"/>
        </w:rPr>
        <w:t xml:space="preserve">  Providing customers with options to help them manage the expected generation rate increase is in the public interest.  </w:t>
      </w:r>
    </w:p>
    <w:p w:rsidR="008F647B" w:rsidRPr="005D2366" w:rsidRDefault="008F647B" w:rsidP="000B28FC">
      <w:pPr>
        <w:spacing w:line="360" w:lineRule="auto"/>
        <w:rPr>
          <w:rFonts w:ascii="Times New Roman" w:hAnsi="Times New Roman"/>
        </w:rPr>
      </w:pPr>
    </w:p>
    <w:p w:rsidR="009E4B06" w:rsidRPr="005D2366" w:rsidRDefault="008F647B" w:rsidP="000B28FC">
      <w:pPr>
        <w:spacing w:line="360" w:lineRule="auto"/>
        <w:rPr>
          <w:rFonts w:ascii="Times New Roman" w:hAnsi="Times New Roman"/>
        </w:rPr>
      </w:pPr>
      <w:r w:rsidRPr="005D2366">
        <w:rPr>
          <w:rFonts w:ascii="Times New Roman" w:hAnsi="Times New Roman"/>
        </w:rPr>
        <w:tab/>
      </w:r>
      <w:r w:rsidRPr="005D2366">
        <w:rPr>
          <w:rFonts w:ascii="Times New Roman" w:hAnsi="Times New Roman"/>
        </w:rPr>
        <w:tab/>
        <w:t xml:space="preserve">The </w:t>
      </w:r>
      <w:r w:rsidR="00297242" w:rsidRPr="005D2366">
        <w:rPr>
          <w:rFonts w:ascii="Times New Roman" w:hAnsi="Times New Roman"/>
        </w:rPr>
        <w:t xml:space="preserve">joint settlement petition will implement the </w:t>
      </w:r>
      <w:r w:rsidRPr="005D2366">
        <w:rPr>
          <w:rFonts w:ascii="Times New Roman" w:hAnsi="Times New Roman"/>
        </w:rPr>
        <w:t>RMP</w:t>
      </w:r>
      <w:r w:rsidR="001426FB">
        <w:rPr>
          <w:rFonts w:ascii="Times New Roman" w:hAnsi="Times New Roman"/>
        </w:rPr>
        <w:t>,</w:t>
      </w:r>
      <w:r w:rsidRPr="005D2366">
        <w:rPr>
          <w:rFonts w:ascii="Times New Roman" w:hAnsi="Times New Roman"/>
        </w:rPr>
        <w:t xml:space="preserve"> </w:t>
      </w:r>
      <w:r w:rsidR="00297242" w:rsidRPr="005D2366">
        <w:rPr>
          <w:rFonts w:ascii="Times New Roman" w:hAnsi="Times New Roman"/>
        </w:rPr>
        <w:t xml:space="preserve">which </w:t>
      </w:r>
      <w:r w:rsidRPr="005D2366">
        <w:rPr>
          <w:rFonts w:ascii="Times New Roman" w:hAnsi="Times New Roman"/>
        </w:rPr>
        <w:t>is consistent with the</w:t>
      </w:r>
      <w:r w:rsidR="00172B43" w:rsidRPr="005D2366">
        <w:rPr>
          <w:rFonts w:ascii="Times New Roman" w:hAnsi="Times New Roman"/>
        </w:rPr>
        <w:t xml:space="preserve"> Commission’s policy statement on default service and retail electric markets </w:t>
      </w:r>
      <w:r w:rsidR="00172B43" w:rsidRPr="005D2366">
        <w:rPr>
          <w:rFonts w:ascii="Times New Roman" w:hAnsi="Times New Roman" w:cs="Arial"/>
          <w:szCs w:val="26"/>
        </w:rPr>
        <w:t>policy statement at 52 Pa. Code §§69.1801-1817 because it offers residential and small commercial and industrial customers the opportunity to defer a portion of PPL’s January 1, 2010 forecasted rate increase to the extent that the generation rate increase currently is expected to result in a total bill increase that exceeds 25%.</w:t>
      </w:r>
      <w:r w:rsidR="009E4B06" w:rsidRPr="005D2366">
        <w:rPr>
          <w:rFonts w:ascii="Times New Roman" w:hAnsi="Times New Roman" w:cs="Arial"/>
          <w:szCs w:val="26"/>
        </w:rPr>
        <w:t xml:space="preserve">  Providing customers with the opportunity to defer a portion of the expected generation rate increase consistent with the Commission’s policy statement </w:t>
      </w:r>
      <w:r w:rsidR="009E4B06" w:rsidRPr="005D2366">
        <w:rPr>
          <w:rFonts w:ascii="Times New Roman" w:hAnsi="Times New Roman"/>
        </w:rPr>
        <w:t xml:space="preserve">is in the public interest.  </w:t>
      </w:r>
    </w:p>
    <w:p w:rsidR="00130035" w:rsidRPr="005D2366" w:rsidRDefault="00130035" w:rsidP="000B28FC">
      <w:pPr>
        <w:spacing w:line="360" w:lineRule="auto"/>
        <w:rPr>
          <w:rFonts w:ascii="Times New Roman" w:hAnsi="Times New Roman"/>
        </w:rPr>
      </w:pPr>
    </w:p>
    <w:p w:rsidR="00B16767" w:rsidRPr="005D2366" w:rsidRDefault="00130035" w:rsidP="000B28FC">
      <w:pPr>
        <w:spacing w:line="360" w:lineRule="auto"/>
        <w:ind w:firstLine="1440"/>
        <w:rPr>
          <w:rFonts w:ascii="Times New Roman" w:hAnsi="Times New Roman"/>
        </w:rPr>
      </w:pPr>
      <w:r w:rsidRPr="005D2366">
        <w:rPr>
          <w:rFonts w:ascii="Times New Roman" w:hAnsi="Times New Roman"/>
        </w:rPr>
        <w:t xml:space="preserve">The joint settlement petition will implement the RMP that is competitively neutral and will not interfere with development of the retail market.  A customer can participate in the RMP if the customer is purchasing generation supply from an </w:t>
      </w:r>
      <w:r w:rsidR="00807C7C">
        <w:rPr>
          <w:rFonts w:ascii="Times New Roman" w:hAnsi="Times New Roman"/>
        </w:rPr>
        <w:t>electric generation supplier</w:t>
      </w:r>
      <w:r w:rsidRPr="005D2366">
        <w:rPr>
          <w:rFonts w:ascii="Times New Roman" w:hAnsi="Times New Roman"/>
        </w:rPr>
        <w:t xml:space="preserve">.  The RMP credits </w:t>
      </w:r>
      <w:r w:rsidR="005D2366" w:rsidRPr="005D2366">
        <w:rPr>
          <w:rFonts w:ascii="Times New Roman" w:hAnsi="Times New Roman"/>
        </w:rPr>
        <w:t>and</w:t>
      </w:r>
      <w:r w:rsidRPr="005D2366">
        <w:rPr>
          <w:rFonts w:ascii="Times New Roman" w:hAnsi="Times New Roman"/>
        </w:rPr>
        <w:t xml:space="preserve"> charges will not be treated as generation-related and will not affect the price to compare.  RMP credits and charges will be non-bypassable for participating customers</w:t>
      </w:r>
      <w:r w:rsidR="00EE5BD7" w:rsidRPr="005D2366">
        <w:rPr>
          <w:rFonts w:ascii="Times New Roman" w:hAnsi="Times New Roman"/>
        </w:rPr>
        <w:t xml:space="preserve">.  The RMP will help a participating customer phase in the expected generation rate increase regardless of the customer’s choice of supplier.  </w:t>
      </w:r>
      <w:r w:rsidR="00EC271D" w:rsidRPr="005D2366">
        <w:rPr>
          <w:rFonts w:ascii="Times New Roman" w:hAnsi="Times New Roman"/>
        </w:rPr>
        <w:t xml:space="preserve">This addresses concerns raised by RESA and Direct Energy that </w:t>
      </w:r>
      <w:r w:rsidR="00702742" w:rsidRPr="005D2366">
        <w:rPr>
          <w:rFonts w:ascii="Times New Roman" w:hAnsi="Times New Roman"/>
        </w:rPr>
        <w:t xml:space="preserve">the RMP be competitively neutral.  </w:t>
      </w:r>
      <w:r w:rsidR="00702742" w:rsidRPr="005D2366">
        <w:rPr>
          <w:rFonts w:ascii="Times New Roman" w:hAnsi="Times New Roman"/>
          <w:spacing w:val="-3"/>
        </w:rPr>
        <w:t>The provisions of joint petition for settlement that implement the RMP as competitively neutral address this concern and are</w:t>
      </w:r>
      <w:r w:rsidR="00702742" w:rsidRPr="005D2366">
        <w:rPr>
          <w:rFonts w:ascii="Times New Roman" w:hAnsi="Times New Roman"/>
        </w:rPr>
        <w:t xml:space="preserve"> a reasonable balance among the interests of PPL, its customers, the Joint Petitioners and the interveners and therefore in the public interest.</w:t>
      </w:r>
    </w:p>
    <w:p w:rsidR="00B16767" w:rsidRPr="005D2366" w:rsidRDefault="00B16767" w:rsidP="000B28FC">
      <w:pPr>
        <w:spacing w:line="360" w:lineRule="auto"/>
        <w:ind w:firstLine="1440"/>
        <w:rPr>
          <w:rFonts w:ascii="Times New Roman" w:hAnsi="Times New Roman"/>
        </w:rPr>
      </w:pPr>
      <w:r w:rsidRPr="005D2366">
        <w:rPr>
          <w:rFonts w:ascii="Times New Roman" w:hAnsi="Times New Roman" w:cs="Times New Roman"/>
          <w:spacing w:val="-3"/>
        </w:rPr>
        <w:lastRenderedPageBreak/>
        <w:t xml:space="preserve">The joint petition for settlement will </w:t>
      </w:r>
      <w:r w:rsidRPr="005D2366">
        <w:rPr>
          <w:rFonts w:ascii="Times New Roman" w:hAnsi="Times New Roman" w:cs="Arial"/>
          <w:szCs w:val="26"/>
        </w:rPr>
        <w:t xml:space="preserve">implement the RMP on an opt-in basis.  This is consistent with the Commission’s policy statement at 52 Pa. Code §69.1811.  This opt-in provision of the joint petition for settlement will address the concern raised by </w:t>
      </w:r>
      <w:r w:rsidR="001D46C6" w:rsidRPr="005D2366">
        <w:rPr>
          <w:rFonts w:ascii="Times New Roman" w:hAnsi="Times New Roman" w:cs="Arial"/>
          <w:szCs w:val="26"/>
        </w:rPr>
        <w:t>OCA that customers could be inadvertently enrolled in the RMP if another method were used.</w:t>
      </w:r>
      <w:r w:rsidRPr="005D2366">
        <w:rPr>
          <w:rFonts w:ascii="Times New Roman" w:hAnsi="Times New Roman" w:cs="Arial"/>
          <w:szCs w:val="26"/>
        </w:rPr>
        <w:t xml:space="preserve">  </w:t>
      </w:r>
      <w:r w:rsidRPr="005D2366">
        <w:rPr>
          <w:rFonts w:ascii="Times New Roman" w:hAnsi="Times New Roman"/>
          <w:spacing w:val="-3"/>
        </w:rPr>
        <w:t xml:space="preserve">The provisions of </w:t>
      </w:r>
      <w:r w:rsidR="004B7ADF">
        <w:rPr>
          <w:rFonts w:ascii="Times New Roman" w:hAnsi="Times New Roman"/>
          <w:spacing w:val="-3"/>
        </w:rPr>
        <w:t xml:space="preserve">the </w:t>
      </w:r>
      <w:r w:rsidRPr="005D2366">
        <w:rPr>
          <w:rFonts w:ascii="Times New Roman" w:hAnsi="Times New Roman"/>
          <w:spacing w:val="-3"/>
        </w:rPr>
        <w:t>joint petition for settlement that implement the R</w:t>
      </w:r>
      <w:r w:rsidR="001D46C6" w:rsidRPr="005D2366">
        <w:rPr>
          <w:rFonts w:ascii="Times New Roman" w:hAnsi="Times New Roman"/>
          <w:spacing w:val="-3"/>
        </w:rPr>
        <w:t>M</w:t>
      </w:r>
      <w:r w:rsidRPr="005D2366">
        <w:rPr>
          <w:rFonts w:ascii="Times New Roman" w:hAnsi="Times New Roman"/>
          <w:spacing w:val="-3"/>
        </w:rPr>
        <w:t>P on an opt-in basis address this concern and are</w:t>
      </w:r>
      <w:r w:rsidRPr="005D2366">
        <w:rPr>
          <w:rFonts w:ascii="Times New Roman" w:hAnsi="Times New Roman"/>
        </w:rPr>
        <w:t xml:space="preserve"> a reasonable balance among the interests of PPL, its customers, the Joint Petitioners and the interveners</w:t>
      </w:r>
      <w:r w:rsidR="001D46C6" w:rsidRPr="005D2366">
        <w:rPr>
          <w:rFonts w:ascii="Times New Roman" w:hAnsi="Times New Roman"/>
        </w:rPr>
        <w:t xml:space="preserve"> and therefore in the public interest</w:t>
      </w:r>
      <w:r w:rsidRPr="005D2366">
        <w:rPr>
          <w:rFonts w:ascii="Times New Roman" w:hAnsi="Times New Roman"/>
        </w:rPr>
        <w:t>.</w:t>
      </w:r>
    </w:p>
    <w:p w:rsidR="00CF5924" w:rsidRPr="005D2366" w:rsidRDefault="00CF5924" w:rsidP="000B28FC">
      <w:pPr>
        <w:spacing w:line="360" w:lineRule="auto"/>
        <w:ind w:firstLine="1440"/>
        <w:rPr>
          <w:rFonts w:ascii="Times New Roman" w:hAnsi="Times New Roman"/>
        </w:rPr>
      </w:pPr>
    </w:p>
    <w:p w:rsidR="00E70EA5" w:rsidRPr="005D2366" w:rsidRDefault="00CF5924" w:rsidP="000B28FC">
      <w:pPr>
        <w:pStyle w:val="TxBrp3"/>
        <w:widowControl/>
        <w:tabs>
          <w:tab w:val="clear" w:pos="1474"/>
        </w:tabs>
        <w:spacing w:line="360" w:lineRule="auto"/>
        <w:ind w:firstLine="1440"/>
      </w:pPr>
      <w:r w:rsidRPr="005D2366">
        <w:rPr>
          <w:rFonts w:cs="Arial"/>
          <w:szCs w:val="26"/>
        </w:rPr>
        <w:t>The joint settlement petition provides that a customer participating in the RMP can elect to withdraw from the program at any time by notifying PPL.  PPL will remove a customer from the RMP if the customer’s service is terminated, if the customer fails to pay his or her bill in full for two consecutive billing cycles after joining the RMP or if the customer otherwise becomes ineligible for the plan.  When a customer’s participation in the RMP ends, PPL will charge the customer for the then current balance of his or her RMP deferrals including carrying charges.  Chapter 14 of the Public Utility Code and Chapter 56 of the Commission’s regulations apply to a residential customer’s RMP deferral balance, consistent with the terms of the joint settlement petition.  If a residential customer’s participation in the RMP is terminated for non-payment, PPL will evaluate the customer for participation in the OnTrack program.  This provision addresses the concern raised by OCA</w:t>
      </w:r>
      <w:r w:rsidR="00E70EA5" w:rsidRPr="005D2366">
        <w:rPr>
          <w:rFonts w:cs="Arial"/>
          <w:szCs w:val="26"/>
        </w:rPr>
        <w:t xml:space="preserve"> that existing consumer protections extend to RMP balances and that customers can avail themselves of low income programs if eligible and is </w:t>
      </w:r>
      <w:r w:rsidR="00E70EA5" w:rsidRPr="005D2366">
        <w:t>a reasonable balance among the interests of PPL, its customers, the Joint Petitioners and the interveners and therefore in the public interest.</w:t>
      </w:r>
    </w:p>
    <w:p w:rsidR="006D384E" w:rsidRPr="005D2366" w:rsidRDefault="006D384E" w:rsidP="000B28FC">
      <w:pPr>
        <w:pStyle w:val="TxBrp3"/>
        <w:widowControl/>
        <w:tabs>
          <w:tab w:val="clear" w:pos="1474"/>
        </w:tabs>
        <w:spacing w:line="360" w:lineRule="auto"/>
        <w:ind w:firstLine="1440"/>
      </w:pPr>
    </w:p>
    <w:p w:rsidR="00E43B94" w:rsidRDefault="006D384E" w:rsidP="000B28FC">
      <w:pPr>
        <w:pStyle w:val="TxBrp3"/>
        <w:widowControl/>
        <w:tabs>
          <w:tab w:val="clear" w:pos="1474"/>
        </w:tabs>
        <w:spacing w:line="360" w:lineRule="auto"/>
        <w:ind w:firstLine="1440"/>
        <w:rPr>
          <w:rFonts w:cs="Arial"/>
          <w:szCs w:val="26"/>
        </w:rPr>
      </w:pPr>
      <w:r w:rsidRPr="005D2366">
        <w:rPr>
          <w:rFonts w:cs="Arial"/>
          <w:szCs w:val="26"/>
        </w:rPr>
        <w:t xml:space="preserve">The joint settlement petition provides that PPL will provide notice to its customers at the time the Commission acts on the RMP, before implementing the RMP and during the term of the RMP. </w:t>
      </w:r>
    </w:p>
    <w:p w:rsidR="006D384E" w:rsidRDefault="00E43B94" w:rsidP="000B28FC">
      <w:pPr>
        <w:pStyle w:val="TxBrp3"/>
        <w:widowControl/>
        <w:tabs>
          <w:tab w:val="clear" w:pos="1474"/>
        </w:tabs>
        <w:spacing w:line="360" w:lineRule="auto"/>
        <w:ind w:firstLine="0"/>
        <w:rPr>
          <w:rFonts w:cs="Arial"/>
          <w:szCs w:val="26"/>
        </w:rPr>
      </w:pPr>
      <w:r>
        <w:rPr>
          <w:rFonts w:cs="Arial"/>
          <w:szCs w:val="26"/>
        </w:rPr>
        <w:br w:type="page"/>
      </w:r>
      <w:r w:rsidR="006D384E" w:rsidRPr="005D2366">
        <w:rPr>
          <w:rFonts w:cs="Arial"/>
          <w:szCs w:val="26"/>
        </w:rPr>
        <w:lastRenderedPageBreak/>
        <w:t>PPL will provide notice and information on four primary topics as follows:</w:t>
      </w:r>
    </w:p>
    <w:p w:rsidR="00E43B94" w:rsidRPr="005D2366" w:rsidRDefault="00E43B94" w:rsidP="000B28FC">
      <w:pPr>
        <w:pStyle w:val="TxBrp3"/>
        <w:widowControl/>
        <w:tabs>
          <w:tab w:val="clear" w:pos="1474"/>
        </w:tabs>
        <w:spacing w:line="360" w:lineRule="auto"/>
        <w:ind w:firstLine="0"/>
        <w:rPr>
          <w:rFonts w:cs="Arial"/>
          <w:szCs w:val="26"/>
        </w:rPr>
      </w:pPr>
    </w:p>
    <w:p w:rsidR="006D384E" w:rsidRPr="005D2366" w:rsidRDefault="006D384E" w:rsidP="000B28FC">
      <w:pPr>
        <w:pStyle w:val="TxBrp3"/>
        <w:widowControl/>
        <w:tabs>
          <w:tab w:val="clear" w:pos="1474"/>
        </w:tabs>
        <w:spacing w:line="240" w:lineRule="auto"/>
        <w:ind w:firstLine="0"/>
        <w:rPr>
          <w:rFonts w:cs="Arial"/>
          <w:szCs w:val="26"/>
        </w:rPr>
      </w:pPr>
      <w:r w:rsidRPr="005D2366">
        <w:rPr>
          <w:rFonts w:cs="Arial"/>
          <w:szCs w:val="26"/>
        </w:rPr>
        <w:tab/>
      </w:r>
      <w:r w:rsidRPr="005D2366">
        <w:rPr>
          <w:rFonts w:cs="Arial"/>
          <w:szCs w:val="26"/>
        </w:rPr>
        <w:tab/>
      </w:r>
      <w:r w:rsidRPr="005D2366">
        <w:rPr>
          <w:rFonts w:cs="Arial"/>
          <w:szCs w:val="26"/>
        </w:rPr>
        <w:tab/>
        <w:t>1) The magnitude of the expected rate increase in 2010.</w:t>
      </w:r>
    </w:p>
    <w:p w:rsidR="006D384E" w:rsidRPr="005D2366" w:rsidRDefault="006D384E" w:rsidP="000B28FC">
      <w:pPr>
        <w:pStyle w:val="TxBrp3"/>
        <w:widowControl/>
        <w:tabs>
          <w:tab w:val="clear" w:pos="1474"/>
        </w:tabs>
        <w:spacing w:line="240" w:lineRule="auto"/>
        <w:ind w:firstLine="0"/>
        <w:rPr>
          <w:rFonts w:cs="Arial"/>
          <w:szCs w:val="26"/>
        </w:rPr>
      </w:pPr>
      <w:r w:rsidRPr="005D2366">
        <w:rPr>
          <w:rFonts w:cs="Arial"/>
          <w:szCs w:val="26"/>
        </w:rPr>
        <w:tab/>
      </w:r>
      <w:r w:rsidRPr="005D2366">
        <w:rPr>
          <w:rFonts w:cs="Arial"/>
          <w:szCs w:val="26"/>
        </w:rPr>
        <w:tab/>
      </w:r>
      <w:r w:rsidRPr="005D2366">
        <w:rPr>
          <w:rFonts w:cs="Arial"/>
          <w:szCs w:val="26"/>
        </w:rPr>
        <w:tab/>
        <w:t>2) The reasons for that increase.</w:t>
      </w:r>
    </w:p>
    <w:p w:rsidR="006D384E" w:rsidRPr="005D2366" w:rsidRDefault="006D384E" w:rsidP="000B28FC">
      <w:pPr>
        <w:pStyle w:val="TxBrp3"/>
        <w:widowControl/>
        <w:tabs>
          <w:tab w:val="clear" w:pos="1474"/>
        </w:tabs>
        <w:spacing w:line="240" w:lineRule="auto"/>
        <w:ind w:firstLine="0"/>
        <w:rPr>
          <w:rFonts w:cs="Arial"/>
          <w:szCs w:val="26"/>
        </w:rPr>
      </w:pPr>
      <w:r w:rsidRPr="005D2366">
        <w:rPr>
          <w:rFonts w:cs="Arial"/>
          <w:szCs w:val="26"/>
        </w:rPr>
        <w:tab/>
      </w:r>
      <w:r w:rsidRPr="005D2366">
        <w:rPr>
          <w:rFonts w:cs="Arial"/>
          <w:szCs w:val="26"/>
        </w:rPr>
        <w:tab/>
      </w:r>
      <w:r w:rsidRPr="005D2366">
        <w:rPr>
          <w:rFonts w:cs="Arial"/>
          <w:szCs w:val="26"/>
        </w:rPr>
        <w:tab/>
        <w:t>3) A full description of the RMP and its potential impact on rates.</w:t>
      </w:r>
    </w:p>
    <w:p w:rsidR="006D384E" w:rsidRPr="005D2366" w:rsidRDefault="006D384E" w:rsidP="000B28FC">
      <w:pPr>
        <w:pStyle w:val="TxBrp3"/>
        <w:widowControl/>
        <w:tabs>
          <w:tab w:val="clear" w:pos="1474"/>
        </w:tabs>
        <w:spacing w:line="240" w:lineRule="auto"/>
        <w:ind w:firstLine="0"/>
        <w:rPr>
          <w:rFonts w:cs="Arial"/>
          <w:szCs w:val="26"/>
        </w:rPr>
      </w:pPr>
      <w:r w:rsidRPr="005D2366">
        <w:rPr>
          <w:rFonts w:cs="Arial"/>
          <w:szCs w:val="26"/>
        </w:rPr>
        <w:tab/>
      </w:r>
      <w:r w:rsidRPr="005D2366">
        <w:rPr>
          <w:rFonts w:cs="Arial"/>
          <w:szCs w:val="26"/>
        </w:rPr>
        <w:tab/>
      </w:r>
      <w:r w:rsidRPr="005D2366">
        <w:rPr>
          <w:rFonts w:cs="Arial"/>
          <w:szCs w:val="26"/>
        </w:rPr>
        <w:tab/>
        <w:t>4) A full description of how customers can elect to participate in the RMP.</w:t>
      </w:r>
    </w:p>
    <w:p w:rsidR="006D384E" w:rsidRPr="005D2366" w:rsidRDefault="006D384E" w:rsidP="000B28FC">
      <w:pPr>
        <w:pStyle w:val="TxBrp3"/>
        <w:widowControl/>
        <w:tabs>
          <w:tab w:val="clear" w:pos="1474"/>
        </w:tabs>
        <w:spacing w:line="360" w:lineRule="auto"/>
        <w:ind w:firstLine="0"/>
        <w:rPr>
          <w:rFonts w:cs="Arial"/>
          <w:szCs w:val="26"/>
        </w:rPr>
      </w:pPr>
    </w:p>
    <w:p w:rsidR="006D384E" w:rsidRPr="005D2366" w:rsidRDefault="006D384E" w:rsidP="000B28FC">
      <w:pPr>
        <w:pStyle w:val="TxBrp3"/>
        <w:widowControl/>
        <w:tabs>
          <w:tab w:val="clear" w:pos="1474"/>
        </w:tabs>
        <w:spacing w:line="360" w:lineRule="auto"/>
        <w:ind w:firstLine="1440"/>
      </w:pPr>
      <w:r w:rsidRPr="005D2366">
        <w:rPr>
          <w:rFonts w:cs="Arial"/>
          <w:szCs w:val="26"/>
        </w:rPr>
        <w:t xml:space="preserve">PPL will send a bill insert to all its customers setting forth eligibility requirements.  The insert will include details of the RMP, including a detailed explanation and examples to ensure that customers understand that they will pay the full amount of the increase plus the carrying costs on the deferred portion.  PPL will inform customers where to find additional information regarding the generation rate increases and how to elect to participate in the RMP.  PPL will brief community based organizations and local business and chamber of commerce groups to help them understand the RMP.  These provisions address the concerns raised by OCA that </w:t>
      </w:r>
      <w:r w:rsidR="00371A5C" w:rsidRPr="005D2366">
        <w:rPr>
          <w:rFonts w:cs="Arial"/>
          <w:szCs w:val="26"/>
        </w:rPr>
        <w:t>customers be adequately informed about the RMP</w:t>
      </w:r>
      <w:r w:rsidRPr="005D2366">
        <w:rPr>
          <w:rFonts w:cs="Arial"/>
          <w:szCs w:val="26"/>
        </w:rPr>
        <w:t xml:space="preserve"> and </w:t>
      </w:r>
      <w:r w:rsidR="00371A5C" w:rsidRPr="005D2366">
        <w:rPr>
          <w:rFonts w:cs="Arial"/>
          <w:szCs w:val="26"/>
        </w:rPr>
        <w:t>are</w:t>
      </w:r>
      <w:r w:rsidRPr="005D2366">
        <w:rPr>
          <w:rFonts w:cs="Arial"/>
          <w:szCs w:val="26"/>
        </w:rPr>
        <w:t xml:space="preserve"> </w:t>
      </w:r>
      <w:r w:rsidRPr="005D2366">
        <w:t>a reasonable balance among the interests of PPL, its customers, the Joint Petitioners and the interveners and therefore in the public interest.</w:t>
      </w:r>
    </w:p>
    <w:p w:rsidR="00981D49" w:rsidRPr="005D2366" w:rsidRDefault="00981D49" w:rsidP="000B28FC">
      <w:pPr>
        <w:pStyle w:val="TxBrp3"/>
        <w:widowControl/>
        <w:tabs>
          <w:tab w:val="clear" w:pos="1474"/>
        </w:tabs>
        <w:spacing w:line="360" w:lineRule="auto"/>
        <w:ind w:firstLine="1440"/>
      </w:pPr>
    </w:p>
    <w:p w:rsidR="00C41DCE" w:rsidRPr="005D2366" w:rsidRDefault="00981D49" w:rsidP="000B28FC">
      <w:pPr>
        <w:pStyle w:val="TxBrp3"/>
        <w:widowControl/>
        <w:tabs>
          <w:tab w:val="clear" w:pos="1474"/>
        </w:tabs>
        <w:spacing w:line="360" w:lineRule="auto"/>
        <w:ind w:firstLine="1440"/>
      </w:pPr>
      <w:r w:rsidRPr="005D2366">
        <w:rPr>
          <w:rFonts w:cs="Arial"/>
          <w:szCs w:val="26"/>
        </w:rPr>
        <w:t>The joint settlement petition provides that customers taking service under rate schedule GS-1 with average monthly usage greater than or equal to 1,775 kWh and an average monthly load factor greater than or equal to 45% will be eligible to participate in the RMP.  This provision addresses concerns expressed by OSBA</w:t>
      </w:r>
      <w:r w:rsidR="004B7ADF">
        <w:rPr>
          <w:rFonts w:cs="Arial"/>
          <w:szCs w:val="26"/>
        </w:rPr>
        <w:t xml:space="preserve"> and</w:t>
      </w:r>
      <w:r w:rsidR="00EC271D" w:rsidRPr="005D2366">
        <w:rPr>
          <w:rFonts w:cs="Arial"/>
          <w:szCs w:val="26"/>
        </w:rPr>
        <w:t xml:space="preserve"> </w:t>
      </w:r>
      <w:r w:rsidR="005D2366" w:rsidRPr="005D2366">
        <w:rPr>
          <w:rFonts w:cs="Arial"/>
          <w:szCs w:val="26"/>
        </w:rPr>
        <w:t>Richards that</w:t>
      </w:r>
      <w:r w:rsidRPr="005D2366">
        <w:rPr>
          <w:rFonts w:cs="Arial"/>
          <w:szCs w:val="26"/>
        </w:rPr>
        <w:t xml:space="preserve"> certain GS-1 customers could experience an increase in generation rates of 25% or more even though the GS-1 class as a whole may not.  </w:t>
      </w:r>
      <w:r w:rsidR="00C41DCE" w:rsidRPr="005D2366">
        <w:rPr>
          <w:rFonts w:cs="Arial"/>
          <w:szCs w:val="26"/>
        </w:rPr>
        <w:t xml:space="preserve">OSBA points out that 52 Pa. Code §69.1811(a) provides that small commercial and industrial customers with a peak demand of 25 kW or less should be included in any RMP.  This provision of the joint settlement petition addresses the concern raised by OSBA and is </w:t>
      </w:r>
      <w:r w:rsidR="00C41DCE" w:rsidRPr="005D2366">
        <w:t>a reasonable balance among the interests of PPL, its customers, the Joint Petitioners and the interveners and therefore in the public interest.</w:t>
      </w:r>
    </w:p>
    <w:p w:rsidR="003A3A26" w:rsidRPr="005D2366" w:rsidRDefault="003A3A26" w:rsidP="000B28FC">
      <w:pPr>
        <w:pStyle w:val="TxBrp3"/>
        <w:widowControl/>
        <w:tabs>
          <w:tab w:val="clear" w:pos="1474"/>
        </w:tabs>
        <w:spacing w:line="360" w:lineRule="auto"/>
        <w:ind w:firstLine="1440"/>
      </w:pPr>
    </w:p>
    <w:p w:rsidR="003A3A26" w:rsidRPr="005D2366" w:rsidRDefault="003A3A26" w:rsidP="000B28FC">
      <w:pPr>
        <w:spacing w:line="360" w:lineRule="auto"/>
        <w:ind w:firstLine="1440"/>
        <w:rPr>
          <w:rFonts w:ascii="Times New Roman" w:hAnsi="Times New Roman" w:cs="Times New Roman"/>
          <w:spacing w:val="-3"/>
        </w:rPr>
      </w:pPr>
      <w:r w:rsidRPr="005D2366">
        <w:rPr>
          <w:rFonts w:ascii="Times New Roman" w:hAnsi="Times New Roman" w:cs="Times New Roman"/>
          <w:spacing w:val="-3"/>
        </w:rPr>
        <w:t xml:space="preserve">The joint petition for settlement allows for expedited treatment of the RMP.  Prompt resolution of this proceeding will allow PPL to ensure the successful implementation of the RMP by providing PPL with sufficient time to modify its billing programs as well as inform and educate </w:t>
      </w:r>
      <w:r w:rsidRPr="005D2366">
        <w:rPr>
          <w:rFonts w:ascii="Times New Roman" w:hAnsi="Times New Roman" w:cs="Times New Roman"/>
          <w:spacing w:val="-3"/>
        </w:rPr>
        <w:lastRenderedPageBreak/>
        <w:t>its customers.  The timely implementation of the RMP is in the interest of both PPL and its customers and therefore in the public interest.</w:t>
      </w:r>
    </w:p>
    <w:p w:rsidR="003A3A26" w:rsidRPr="005D2366" w:rsidRDefault="003A3A26" w:rsidP="000B28FC">
      <w:pPr>
        <w:spacing w:line="360" w:lineRule="auto"/>
        <w:ind w:firstLine="1440"/>
        <w:rPr>
          <w:rFonts w:ascii="Times New Roman" w:hAnsi="Times New Roman" w:cs="Times New Roman"/>
          <w:spacing w:val="-3"/>
        </w:rPr>
      </w:pPr>
    </w:p>
    <w:p w:rsidR="001A683B" w:rsidRPr="005D2366" w:rsidRDefault="003A3A26" w:rsidP="000B28FC">
      <w:pPr>
        <w:spacing w:line="360" w:lineRule="auto"/>
        <w:ind w:firstLine="1440"/>
        <w:rPr>
          <w:rFonts w:ascii="Times New Roman" w:hAnsi="Times New Roman"/>
        </w:rPr>
      </w:pPr>
      <w:r w:rsidRPr="005D2366">
        <w:rPr>
          <w:rFonts w:ascii="Times New Roman" w:hAnsi="Times New Roman"/>
        </w:rPr>
        <w:t>Approving and adopting the joint settlement petition is also in the public interest because accepting the settlement will avoid the substantial time and expense involved in litigating the proceeding.  Accepting the settlement will negate the need to examine or cross-examine witnesses, prepare main briefs, reply briefs, exceptions and reply exceptions and possibly file appeals.  Avoiding these expenses serves the interests of PPL, the Joint Petitioners, the interveners and PPL’s customers</w:t>
      </w:r>
      <w:r w:rsidR="004B7ADF">
        <w:rPr>
          <w:rFonts w:ascii="Times New Roman" w:hAnsi="Times New Roman"/>
        </w:rPr>
        <w:t xml:space="preserve"> and therefore is in the public interest</w:t>
      </w:r>
      <w:r w:rsidRPr="005D2366">
        <w:rPr>
          <w:rFonts w:ascii="Times New Roman" w:hAnsi="Times New Roman"/>
        </w:rPr>
        <w:t>.</w:t>
      </w:r>
    </w:p>
    <w:p w:rsidR="001A683B" w:rsidRPr="005D2366" w:rsidRDefault="001A683B" w:rsidP="000B28FC">
      <w:pPr>
        <w:spacing w:line="360" w:lineRule="auto"/>
        <w:rPr>
          <w:rFonts w:ascii="Times New Roman" w:hAnsi="Times New Roman"/>
        </w:rPr>
      </w:pPr>
    </w:p>
    <w:p w:rsidR="001A683B" w:rsidRDefault="001A683B" w:rsidP="000B28FC">
      <w:pPr>
        <w:spacing w:line="360" w:lineRule="auto"/>
        <w:jc w:val="center"/>
        <w:rPr>
          <w:rFonts w:ascii="Times New Roman" w:hAnsi="Times New Roman"/>
          <w:u w:val="single"/>
        </w:rPr>
      </w:pPr>
      <w:r w:rsidRPr="005D2366">
        <w:rPr>
          <w:rFonts w:ascii="Times New Roman" w:hAnsi="Times New Roman"/>
          <w:u w:val="single"/>
        </w:rPr>
        <w:t>CONDITIONS OF SETTLEMENT</w:t>
      </w:r>
    </w:p>
    <w:p w:rsidR="004B7ADF" w:rsidRPr="005D2366" w:rsidRDefault="004B7ADF" w:rsidP="000B28FC">
      <w:pPr>
        <w:spacing w:line="360" w:lineRule="auto"/>
        <w:jc w:val="center"/>
        <w:rPr>
          <w:rFonts w:ascii="Times New Roman" w:hAnsi="Times New Roman"/>
          <w:u w:val="single"/>
        </w:rPr>
      </w:pPr>
    </w:p>
    <w:p w:rsidR="009F2DF1" w:rsidRPr="005D2366" w:rsidRDefault="009F2DF1" w:rsidP="000B28FC">
      <w:pPr>
        <w:pStyle w:val="ListNumber"/>
        <w:numPr>
          <w:ilvl w:val="0"/>
          <w:numId w:val="0"/>
        </w:numPr>
        <w:spacing w:line="360" w:lineRule="auto"/>
        <w:ind w:firstLine="1440"/>
      </w:pPr>
      <w:r w:rsidRPr="005D2366">
        <w:t xml:space="preserve">The proposed settlement is conditioned upon the Commission’s approval of the terms and conditions contained in the </w:t>
      </w:r>
      <w:r w:rsidR="004B7ADF">
        <w:t xml:space="preserve">proposed </w:t>
      </w:r>
      <w:r w:rsidRPr="005D2366">
        <w:t xml:space="preserve">settlement without modification.  If the Commission modifies the proposed settlement, any Joint Petitioner may elect to withdraw from the proposed settlement and may proceed with litigation.  In the event a party withdraws from the proposed settlement, the proposed settlement shall be of no force and effect.  Any election to withdraw must be made in writing, filed with the Commission and served upon all Joint Petitioners within five business days after the entry of an order modifying the proposed settlement.  </w:t>
      </w:r>
    </w:p>
    <w:p w:rsidR="004B7ADF" w:rsidRDefault="004B7ADF" w:rsidP="000B28FC">
      <w:pPr>
        <w:pStyle w:val="ListNumber"/>
        <w:numPr>
          <w:ilvl w:val="0"/>
          <w:numId w:val="0"/>
        </w:numPr>
        <w:spacing w:line="360" w:lineRule="auto"/>
        <w:ind w:firstLine="1440"/>
      </w:pPr>
    </w:p>
    <w:p w:rsidR="009F2DF1" w:rsidRPr="005D2366" w:rsidRDefault="009F2DF1" w:rsidP="000B28FC">
      <w:pPr>
        <w:pStyle w:val="ListNumber"/>
        <w:numPr>
          <w:ilvl w:val="0"/>
          <w:numId w:val="0"/>
        </w:numPr>
        <w:spacing w:line="360" w:lineRule="auto"/>
        <w:ind w:firstLine="1440"/>
      </w:pPr>
      <w:r w:rsidRPr="005D2366">
        <w:t xml:space="preserve">The proposed settlement is proposed by the Joint Petitioners to settle all issues in this proceeding.  If the Commission does not approve the proposed settlement and the proceeding continues to hearing, the Joint Petitioners reserve their respective rights to present additional testimony, to conduct full cross-examination and to submit briefs, reply briefs, exceptions and replies to exceptions.  The proposed settlement is made without any admission against or prejudice to any position that any Joint Petitioner may adopt in the event of any subsequent litigation in this proceeding or any other proceeding. </w:t>
      </w:r>
    </w:p>
    <w:p w:rsidR="009F2DF1" w:rsidRPr="005D2366" w:rsidRDefault="009F2DF1" w:rsidP="000B28FC">
      <w:pPr>
        <w:pStyle w:val="ListNumber"/>
        <w:numPr>
          <w:ilvl w:val="0"/>
          <w:numId w:val="0"/>
        </w:numPr>
        <w:spacing w:line="360" w:lineRule="auto"/>
        <w:ind w:firstLine="1440"/>
      </w:pPr>
    </w:p>
    <w:p w:rsidR="0053639F" w:rsidRPr="005D2366" w:rsidRDefault="009F2DF1" w:rsidP="000B28FC">
      <w:pPr>
        <w:pStyle w:val="ListNumber"/>
        <w:numPr>
          <w:ilvl w:val="0"/>
          <w:numId w:val="0"/>
        </w:numPr>
        <w:spacing w:line="360" w:lineRule="auto"/>
        <w:ind w:firstLine="1440"/>
      </w:pPr>
      <w:r w:rsidRPr="005D2366">
        <w:lastRenderedPageBreak/>
        <w:t xml:space="preserve">The Joint Petitioners acknowledge that the proposed settlement reflects a compromise of competing positions and does not necessarily reflect any party’s position with respect to any issues raised in this proceeding.  The Joint Petitioners agree that the proposed settlement shall not constitute or be cited as precedent in any other proceeding.  </w:t>
      </w:r>
    </w:p>
    <w:p w:rsidR="0053639F" w:rsidRPr="005D2366" w:rsidRDefault="0053639F" w:rsidP="000B28FC">
      <w:pPr>
        <w:pStyle w:val="ListNumber"/>
        <w:numPr>
          <w:ilvl w:val="0"/>
          <w:numId w:val="0"/>
        </w:numPr>
        <w:spacing w:line="360" w:lineRule="auto"/>
        <w:ind w:firstLine="1440"/>
      </w:pPr>
    </w:p>
    <w:p w:rsidR="009F2DF1" w:rsidRPr="005D2366" w:rsidRDefault="0053639F" w:rsidP="000B28FC">
      <w:pPr>
        <w:pStyle w:val="ListNumber"/>
        <w:numPr>
          <w:ilvl w:val="0"/>
          <w:numId w:val="0"/>
        </w:numPr>
        <w:spacing w:line="360" w:lineRule="auto"/>
        <w:ind w:firstLine="1440"/>
      </w:pPr>
      <w:r w:rsidRPr="005D2366">
        <w:t xml:space="preserve">If the ALJ adopts the proposed settlement without modification, the Joint Petitioners waive their rights to file exceptions.  The Joint Petitioners agree that it is desirable to begin </w:t>
      </w:r>
      <w:r w:rsidR="005D2366" w:rsidRPr="005D2366">
        <w:t>customer</w:t>
      </w:r>
      <w:r w:rsidRPr="005D2366">
        <w:t xml:space="preserve"> notification and education as soon as possible and therefore support expedited review and approval of the proposed settlement.  The Joint </w:t>
      </w:r>
      <w:r w:rsidR="005D2366" w:rsidRPr="005D2366">
        <w:t>Petitioners</w:t>
      </w:r>
      <w:r w:rsidRPr="005D2366">
        <w:t xml:space="preserve"> request that the ALJ and Commission approve the RMP as soon as possible.</w:t>
      </w:r>
      <w:r w:rsidR="00B14B99" w:rsidRPr="005D2366">
        <w:t xml:space="preserve">  After the Commission approves the proposed settlement, PPL will file the RMP Rider in a tariff supplement to be effective on one day’s notice.</w:t>
      </w:r>
    </w:p>
    <w:p w:rsidR="001A683B" w:rsidRPr="005D2366" w:rsidRDefault="001A683B" w:rsidP="000B28FC">
      <w:pPr>
        <w:pStyle w:val="ListNumber"/>
        <w:numPr>
          <w:ilvl w:val="0"/>
          <w:numId w:val="0"/>
        </w:numPr>
        <w:spacing w:line="360" w:lineRule="auto"/>
      </w:pPr>
    </w:p>
    <w:p w:rsidR="001A683B" w:rsidRPr="005D2366" w:rsidRDefault="001A683B" w:rsidP="000B28FC">
      <w:pPr>
        <w:pStyle w:val="TxBrp3"/>
        <w:widowControl/>
        <w:spacing w:line="360" w:lineRule="auto"/>
        <w:ind w:firstLine="0"/>
        <w:jc w:val="center"/>
        <w:rPr>
          <w:u w:val="single"/>
        </w:rPr>
      </w:pPr>
      <w:r w:rsidRPr="005D2366">
        <w:rPr>
          <w:u w:val="single"/>
        </w:rPr>
        <w:t>CONCLUSION</w:t>
      </w:r>
    </w:p>
    <w:p w:rsidR="001A683B" w:rsidRPr="005D2366" w:rsidRDefault="001A683B" w:rsidP="000B28FC">
      <w:pPr>
        <w:pStyle w:val="TxBrp3"/>
        <w:widowControl/>
        <w:spacing w:line="360" w:lineRule="auto"/>
        <w:ind w:firstLine="1440"/>
      </w:pPr>
    </w:p>
    <w:p w:rsidR="001A683B" w:rsidRPr="005D2366" w:rsidRDefault="001A683B" w:rsidP="000B28FC">
      <w:pPr>
        <w:pStyle w:val="TxBrp3"/>
        <w:widowControl/>
        <w:spacing w:line="360" w:lineRule="auto"/>
        <w:ind w:firstLine="1440"/>
      </w:pPr>
      <w:r w:rsidRPr="005D2366">
        <w:t>For the reasons set forth above, I find that the proposed settlement is in the public interest.  Accordingly, I recommend that the Commission approve the proposed settlement and that PPL file a tariff supplement as set forth in their proposed compliance tariff attached to the joint petition for settlement as Appendix A to become effective on one day’s notice after the entry of a final Commission Order.</w:t>
      </w:r>
    </w:p>
    <w:p w:rsidR="001A683B" w:rsidRPr="005D2366" w:rsidRDefault="001A683B" w:rsidP="000B28FC">
      <w:pPr>
        <w:tabs>
          <w:tab w:val="left" w:pos="1474"/>
        </w:tabs>
        <w:spacing w:line="360" w:lineRule="auto"/>
        <w:ind w:firstLine="1440"/>
        <w:rPr>
          <w:rFonts w:ascii="Times New Roman" w:hAnsi="Times New Roman"/>
        </w:rPr>
      </w:pPr>
    </w:p>
    <w:p w:rsidR="001A683B" w:rsidRPr="005D2366" w:rsidRDefault="001A683B" w:rsidP="000B28FC">
      <w:pPr>
        <w:pStyle w:val="Heading5"/>
        <w:suppressAutoHyphens/>
        <w:spacing w:before="0" w:after="0" w:line="360" w:lineRule="auto"/>
        <w:jc w:val="center"/>
        <w:rPr>
          <w:rFonts w:ascii="Times New Roman" w:hAnsi="Times New Roman"/>
          <w:b w:val="0"/>
          <w:i w:val="0"/>
          <w:spacing w:val="-3"/>
          <w:sz w:val="24"/>
          <w:szCs w:val="24"/>
          <w:u w:val="single"/>
        </w:rPr>
      </w:pPr>
      <w:r w:rsidRPr="005D2366">
        <w:rPr>
          <w:rFonts w:ascii="Times New Roman" w:hAnsi="Times New Roman"/>
          <w:b w:val="0"/>
          <w:i w:val="0"/>
          <w:spacing w:val="-3"/>
          <w:sz w:val="24"/>
          <w:szCs w:val="24"/>
          <w:u w:val="single"/>
        </w:rPr>
        <w:t>CONCLUSIONS OF LAW</w:t>
      </w:r>
    </w:p>
    <w:p w:rsidR="001A683B" w:rsidRPr="005D2366" w:rsidRDefault="001A683B" w:rsidP="000B28FC">
      <w:pPr>
        <w:rPr>
          <w:rFonts w:ascii="Times New Roman" w:hAnsi="Times New Roman"/>
        </w:rPr>
      </w:pPr>
    </w:p>
    <w:p w:rsidR="001A683B" w:rsidRPr="005D2366" w:rsidRDefault="001A683B" w:rsidP="000B28FC">
      <w:pPr>
        <w:spacing w:line="360" w:lineRule="auto"/>
        <w:ind w:firstLine="720"/>
        <w:rPr>
          <w:rFonts w:ascii="Times New Roman" w:hAnsi="Times New Roman"/>
        </w:rPr>
      </w:pPr>
      <w:r w:rsidRPr="005D2366">
        <w:rPr>
          <w:rFonts w:ascii="Times New Roman" w:hAnsi="Times New Roman"/>
        </w:rPr>
        <w:tab/>
        <w:t>1.</w:t>
      </w:r>
      <w:r w:rsidRPr="005D2366">
        <w:rPr>
          <w:rFonts w:ascii="Times New Roman" w:hAnsi="Times New Roman"/>
        </w:rPr>
        <w:tab/>
        <w:t>The Commission has jurisdiction over the subject matter of and the parties to this proceeding.</w:t>
      </w:r>
    </w:p>
    <w:p w:rsidR="001A683B" w:rsidRPr="005D2366" w:rsidRDefault="001A683B" w:rsidP="000B28FC">
      <w:pPr>
        <w:spacing w:line="360" w:lineRule="auto"/>
        <w:ind w:firstLine="720"/>
        <w:rPr>
          <w:rFonts w:ascii="Times New Roman" w:hAnsi="Times New Roman"/>
        </w:rPr>
      </w:pPr>
    </w:p>
    <w:p w:rsidR="001A683B" w:rsidRDefault="001A683B" w:rsidP="000B28FC">
      <w:pPr>
        <w:spacing w:line="360" w:lineRule="auto"/>
      </w:pPr>
      <w:r w:rsidRPr="005D2366">
        <w:tab/>
      </w:r>
      <w:r w:rsidRPr="005D2366">
        <w:tab/>
        <w:t>2.</w:t>
      </w:r>
      <w:r w:rsidRPr="005D2366">
        <w:tab/>
        <w:t xml:space="preserve">The joint petition for settlement filed on </w:t>
      </w:r>
      <w:r w:rsidR="00B14B99" w:rsidRPr="005D2366">
        <w:t>June 12, 2009</w:t>
      </w:r>
      <w:r w:rsidRPr="005D2366">
        <w:t xml:space="preserve"> among PPL and the Joint Petitioners is in the public interest and shoul</w:t>
      </w:r>
      <w:r w:rsidR="001B7F24">
        <w:t>d be approved by the Commission</w:t>
      </w:r>
    </w:p>
    <w:p w:rsidR="00524C38" w:rsidRPr="005D2366" w:rsidRDefault="00524C38" w:rsidP="000B28FC">
      <w:pPr>
        <w:spacing w:line="360" w:lineRule="auto"/>
        <w:rPr>
          <w:b/>
          <w:i/>
          <w:spacing w:val="-3"/>
          <w:u w:val="single"/>
        </w:rPr>
      </w:pPr>
    </w:p>
    <w:p w:rsidR="001A683B" w:rsidRPr="005D2366" w:rsidRDefault="00524C38" w:rsidP="00A77C63">
      <w:pPr>
        <w:pStyle w:val="Heading5"/>
        <w:suppressAutoHyphens/>
        <w:spacing w:before="0" w:after="0" w:line="360" w:lineRule="auto"/>
        <w:jc w:val="center"/>
        <w:rPr>
          <w:rFonts w:ascii="Times New Roman" w:hAnsi="Times New Roman"/>
          <w:b w:val="0"/>
          <w:i w:val="0"/>
          <w:spacing w:val="-3"/>
          <w:sz w:val="24"/>
          <w:szCs w:val="24"/>
          <w:u w:val="single"/>
        </w:rPr>
      </w:pPr>
      <w:r>
        <w:rPr>
          <w:rFonts w:ascii="Times New Roman" w:hAnsi="Times New Roman"/>
          <w:b w:val="0"/>
          <w:i w:val="0"/>
          <w:spacing w:val="-3"/>
          <w:sz w:val="24"/>
          <w:szCs w:val="24"/>
          <w:u w:val="single"/>
        </w:rPr>
        <w:br w:type="page"/>
      </w:r>
      <w:r w:rsidR="001A683B" w:rsidRPr="005D2366">
        <w:rPr>
          <w:rFonts w:ascii="Times New Roman" w:hAnsi="Times New Roman"/>
          <w:b w:val="0"/>
          <w:i w:val="0"/>
          <w:spacing w:val="-3"/>
          <w:sz w:val="24"/>
          <w:szCs w:val="24"/>
          <w:u w:val="single"/>
        </w:rPr>
        <w:lastRenderedPageBreak/>
        <w:t>ORDER</w:t>
      </w:r>
    </w:p>
    <w:p w:rsidR="001A683B" w:rsidRPr="005D2366" w:rsidRDefault="001A683B" w:rsidP="00A77C63">
      <w:pPr>
        <w:tabs>
          <w:tab w:val="center" w:pos="4680"/>
        </w:tabs>
        <w:suppressAutoHyphens/>
        <w:spacing w:line="360" w:lineRule="auto"/>
        <w:jc w:val="both"/>
        <w:rPr>
          <w:rFonts w:ascii="Times New Roman" w:hAnsi="Times New Roman"/>
          <w:b/>
          <w:spacing w:val="-3"/>
        </w:rPr>
      </w:pPr>
    </w:p>
    <w:p w:rsidR="001A683B" w:rsidRPr="005D2366" w:rsidRDefault="001A683B" w:rsidP="00A77C63">
      <w:pPr>
        <w:tabs>
          <w:tab w:val="center" w:pos="4680"/>
        </w:tabs>
        <w:suppressAutoHyphens/>
        <w:spacing w:line="360" w:lineRule="auto"/>
        <w:jc w:val="both"/>
        <w:rPr>
          <w:rFonts w:ascii="Times New Roman" w:hAnsi="Times New Roman"/>
          <w:b/>
          <w:spacing w:val="-3"/>
        </w:rPr>
      </w:pPr>
    </w:p>
    <w:p w:rsidR="001A683B" w:rsidRPr="005D2366" w:rsidRDefault="001A683B" w:rsidP="00A77C63">
      <w:pPr>
        <w:tabs>
          <w:tab w:val="left" w:pos="-720"/>
        </w:tabs>
        <w:suppressAutoHyphens/>
        <w:spacing w:line="360" w:lineRule="auto"/>
        <w:jc w:val="both"/>
        <w:rPr>
          <w:rFonts w:ascii="Times New Roman" w:hAnsi="Times New Roman"/>
          <w:spacing w:val="-3"/>
        </w:rPr>
      </w:pPr>
      <w:r w:rsidRPr="005D2366">
        <w:rPr>
          <w:rFonts w:ascii="Times New Roman" w:hAnsi="Times New Roman"/>
          <w:spacing w:val="-3"/>
        </w:rPr>
        <w:tab/>
      </w:r>
      <w:r w:rsidRPr="005D2366">
        <w:rPr>
          <w:rFonts w:ascii="Times New Roman" w:hAnsi="Times New Roman"/>
          <w:spacing w:val="-3"/>
        </w:rPr>
        <w:tab/>
        <w:t>THEREFORE,</w:t>
      </w:r>
    </w:p>
    <w:p w:rsidR="001A683B" w:rsidRPr="005D2366" w:rsidRDefault="001A683B" w:rsidP="00A77C63">
      <w:pPr>
        <w:tabs>
          <w:tab w:val="left" w:pos="-720"/>
        </w:tabs>
        <w:suppressAutoHyphens/>
        <w:spacing w:line="360" w:lineRule="auto"/>
        <w:jc w:val="both"/>
        <w:rPr>
          <w:rFonts w:ascii="Times New Roman" w:hAnsi="Times New Roman"/>
          <w:spacing w:val="-3"/>
        </w:rPr>
      </w:pPr>
    </w:p>
    <w:p w:rsidR="001A683B" w:rsidRPr="005D2366" w:rsidRDefault="001A683B" w:rsidP="00A77C63">
      <w:pPr>
        <w:pStyle w:val="BodyText3"/>
        <w:tabs>
          <w:tab w:val="left" w:pos="-720"/>
        </w:tabs>
        <w:spacing w:after="0" w:line="360" w:lineRule="auto"/>
        <w:rPr>
          <w:rFonts w:ascii="Times New Roman" w:hAnsi="Times New Roman"/>
          <w:sz w:val="24"/>
          <w:szCs w:val="24"/>
        </w:rPr>
      </w:pPr>
      <w:r w:rsidRPr="005D2366">
        <w:rPr>
          <w:rFonts w:ascii="Times New Roman" w:hAnsi="Times New Roman"/>
          <w:sz w:val="24"/>
          <w:szCs w:val="24"/>
        </w:rPr>
        <w:tab/>
      </w:r>
      <w:r w:rsidRPr="005D2366">
        <w:rPr>
          <w:rFonts w:ascii="Times New Roman" w:hAnsi="Times New Roman"/>
          <w:sz w:val="24"/>
          <w:szCs w:val="24"/>
        </w:rPr>
        <w:tab/>
        <w:t>IT IS RECOMMENDED:</w:t>
      </w:r>
    </w:p>
    <w:p w:rsidR="001A683B" w:rsidRPr="005D2366" w:rsidRDefault="001A683B" w:rsidP="00A77C63">
      <w:pPr>
        <w:tabs>
          <w:tab w:val="left" w:pos="-720"/>
        </w:tabs>
        <w:suppressAutoHyphens/>
        <w:spacing w:line="360" w:lineRule="auto"/>
        <w:rPr>
          <w:rFonts w:ascii="Times New Roman" w:hAnsi="Times New Roman"/>
          <w:spacing w:val="-3"/>
        </w:rPr>
      </w:pPr>
    </w:p>
    <w:p w:rsidR="001A683B" w:rsidRPr="005D2366" w:rsidRDefault="001A683B" w:rsidP="00A77C63">
      <w:pPr>
        <w:suppressAutoHyphens/>
        <w:spacing w:line="360" w:lineRule="auto"/>
        <w:rPr>
          <w:rFonts w:ascii="Times New Roman" w:hAnsi="Times New Roman" w:cs="Times New Roman"/>
          <w:spacing w:val="-3"/>
        </w:rPr>
      </w:pPr>
      <w:r w:rsidRPr="005D2366">
        <w:rPr>
          <w:rFonts w:ascii="Times New Roman" w:hAnsi="Times New Roman"/>
          <w:spacing w:val="-3"/>
        </w:rPr>
        <w:tab/>
      </w:r>
      <w:r w:rsidRPr="005D2366">
        <w:rPr>
          <w:rFonts w:ascii="Times New Roman" w:hAnsi="Times New Roman"/>
          <w:spacing w:val="-3"/>
        </w:rPr>
        <w:tab/>
        <w:t>1.</w:t>
      </w:r>
      <w:r w:rsidRPr="005D2366">
        <w:rPr>
          <w:rFonts w:ascii="Times New Roman" w:hAnsi="Times New Roman"/>
          <w:spacing w:val="-3"/>
        </w:rPr>
        <w:tab/>
        <w:t xml:space="preserve">That </w:t>
      </w:r>
      <w:r w:rsidRPr="005D2366">
        <w:rPr>
          <w:rFonts w:ascii="Times New Roman" w:hAnsi="Times New Roman" w:cs="Times New Roman"/>
          <w:spacing w:val="-3"/>
        </w:rPr>
        <w:t>PPL Electric Utilities Corporation</w:t>
      </w:r>
      <w:r w:rsidRPr="005D2366">
        <w:rPr>
          <w:rFonts w:ascii="Times New Roman" w:hAnsi="Times New Roman"/>
          <w:spacing w:val="-3"/>
        </w:rPr>
        <w:t xml:space="preserve"> shall not place into effect the proposed </w:t>
      </w:r>
      <w:r w:rsidRPr="005D2366">
        <w:rPr>
          <w:rFonts w:ascii="Times New Roman" w:hAnsi="Times New Roman" w:cs="Times New Roman"/>
          <w:spacing w:val="-3"/>
        </w:rPr>
        <w:t xml:space="preserve">tariff establishing a Rate </w:t>
      </w:r>
      <w:r w:rsidR="00B14B99" w:rsidRPr="005D2366">
        <w:rPr>
          <w:rFonts w:ascii="Times New Roman" w:hAnsi="Times New Roman" w:cs="Times New Roman"/>
          <w:spacing w:val="-3"/>
        </w:rPr>
        <w:t xml:space="preserve">Mitigation </w:t>
      </w:r>
      <w:r w:rsidRPr="005D2366">
        <w:rPr>
          <w:rFonts w:ascii="Times New Roman" w:hAnsi="Times New Roman" w:cs="Times New Roman"/>
          <w:spacing w:val="-3"/>
        </w:rPr>
        <w:t xml:space="preserve">Plan Rider attached to its petition filed </w:t>
      </w:r>
      <w:r w:rsidR="009D1074" w:rsidRPr="005D2366">
        <w:rPr>
          <w:rFonts w:ascii="Times New Roman" w:hAnsi="Times New Roman" w:cs="Times New Roman"/>
          <w:spacing w:val="-3"/>
        </w:rPr>
        <w:t>February 19, 2008</w:t>
      </w:r>
      <w:r w:rsidRPr="005D2366">
        <w:rPr>
          <w:rFonts w:ascii="Times New Roman" w:hAnsi="Times New Roman" w:cs="Times New Roman"/>
          <w:spacing w:val="-3"/>
        </w:rPr>
        <w:t>.</w:t>
      </w:r>
      <w:r w:rsidR="004E1764" w:rsidRPr="005D2366">
        <w:rPr>
          <w:rFonts w:ascii="Times New Roman" w:hAnsi="Times New Roman" w:cs="Times New Roman"/>
          <w:spacing w:val="-3"/>
        </w:rPr>
        <w:t xml:space="preserve">  </w:t>
      </w:r>
    </w:p>
    <w:p w:rsidR="001A683B" w:rsidRPr="005D2366" w:rsidRDefault="001A683B" w:rsidP="000B28FC">
      <w:pPr>
        <w:suppressAutoHyphens/>
        <w:spacing w:line="360" w:lineRule="auto"/>
        <w:rPr>
          <w:rFonts w:ascii="Times New Roman" w:hAnsi="Times New Roman"/>
          <w:spacing w:val="-3"/>
        </w:rPr>
      </w:pPr>
      <w:r w:rsidRPr="005D2366">
        <w:rPr>
          <w:rFonts w:ascii="Times New Roman" w:hAnsi="Times New Roman"/>
          <w:spacing w:val="-3"/>
        </w:rPr>
        <w:t xml:space="preserve"> </w:t>
      </w:r>
    </w:p>
    <w:p w:rsidR="001A683B" w:rsidRPr="005D2366" w:rsidRDefault="001A683B" w:rsidP="000B28FC">
      <w:pPr>
        <w:suppressAutoHyphens/>
        <w:spacing w:line="360" w:lineRule="auto"/>
        <w:rPr>
          <w:rFonts w:ascii="Times New Roman" w:hAnsi="Times New Roman"/>
          <w:spacing w:val="-3"/>
        </w:rPr>
      </w:pPr>
      <w:r w:rsidRPr="005D2366">
        <w:rPr>
          <w:rFonts w:ascii="Times New Roman" w:hAnsi="Times New Roman"/>
          <w:spacing w:val="-3"/>
        </w:rPr>
        <w:tab/>
      </w:r>
      <w:r w:rsidRPr="005D2366">
        <w:rPr>
          <w:rFonts w:ascii="Times New Roman" w:hAnsi="Times New Roman"/>
          <w:spacing w:val="-3"/>
        </w:rPr>
        <w:tab/>
        <w:t>2</w:t>
      </w:r>
      <w:r w:rsidRPr="005D2366">
        <w:rPr>
          <w:rFonts w:ascii="Times New Roman" w:hAnsi="Times New Roman"/>
        </w:rPr>
        <w:t>.</w:t>
      </w:r>
      <w:r w:rsidRPr="005D2366">
        <w:rPr>
          <w:rFonts w:ascii="Times New Roman" w:hAnsi="Times New Roman"/>
        </w:rPr>
        <w:tab/>
        <w:t xml:space="preserve">That the joint settlement petition among PPL Electric Utilities Corporation, the Commission’s Office of Trial Staff, the Office of Consumer Advocate, the Office of Small Business Advocate, Retail Energy Supply Association, </w:t>
      </w:r>
      <w:r w:rsidR="00296286" w:rsidRPr="005D2366">
        <w:rPr>
          <w:rFonts w:ascii="Times New Roman" w:hAnsi="Times New Roman"/>
          <w:color w:val="000000"/>
          <w:kern w:val="1"/>
        </w:rPr>
        <w:t xml:space="preserve">Direct Energy Services, LLC, </w:t>
      </w:r>
      <w:r w:rsidRPr="005D2366">
        <w:rPr>
          <w:rFonts w:ascii="Times New Roman" w:hAnsi="Times New Roman"/>
        </w:rPr>
        <w:t>Richards Energy Group</w:t>
      </w:r>
      <w:r w:rsidR="005D2366" w:rsidRPr="005D2366">
        <w:rPr>
          <w:rFonts w:ascii="Times New Roman" w:hAnsi="Times New Roman"/>
        </w:rPr>
        <w:t>, Citizens</w:t>
      </w:r>
      <w:r w:rsidR="00296286" w:rsidRPr="005D2366">
        <w:rPr>
          <w:rFonts w:ascii="Times New Roman" w:hAnsi="Times New Roman"/>
        </w:rPr>
        <w:t xml:space="preserve"> for Pennsylvania’s Future and </w:t>
      </w:r>
      <w:r w:rsidR="005D2366" w:rsidRPr="005D2366">
        <w:rPr>
          <w:rFonts w:ascii="Times New Roman" w:hAnsi="Times New Roman"/>
        </w:rPr>
        <w:t>Constellation Energy</w:t>
      </w:r>
      <w:r w:rsidR="00296286" w:rsidRPr="005D2366">
        <w:rPr>
          <w:rFonts w:ascii="Times New Roman" w:hAnsi="Times New Roman"/>
        </w:rPr>
        <w:t xml:space="preserve"> Group, Inc. </w:t>
      </w:r>
      <w:r w:rsidR="00857E56" w:rsidRPr="005D2366">
        <w:rPr>
          <w:rFonts w:ascii="Times New Roman" w:hAnsi="Times New Roman"/>
        </w:rPr>
        <w:t xml:space="preserve">filed on June 12, 2009 </w:t>
      </w:r>
      <w:r w:rsidRPr="005D2366">
        <w:rPr>
          <w:rFonts w:ascii="Times New Roman" w:hAnsi="Times New Roman"/>
        </w:rPr>
        <w:t>in the above-captioned case is hereby approved and adopted.</w:t>
      </w:r>
    </w:p>
    <w:p w:rsidR="001A683B" w:rsidRPr="005D2366" w:rsidRDefault="001A683B" w:rsidP="000B28FC">
      <w:pPr>
        <w:suppressAutoHyphens/>
        <w:spacing w:line="360" w:lineRule="auto"/>
        <w:rPr>
          <w:rFonts w:ascii="Times New Roman" w:hAnsi="Times New Roman"/>
          <w:spacing w:val="-3"/>
        </w:rPr>
      </w:pPr>
    </w:p>
    <w:p w:rsidR="001A683B" w:rsidRPr="005D2366" w:rsidRDefault="001A683B" w:rsidP="000B28FC">
      <w:pPr>
        <w:suppressAutoHyphens/>
        <w:spacing w:line="360" w:lineRule="auto"/>
        <w:rPr>
          <w:rFonts w:ascii="Times New Roman" w:hAnsi="Times New Roman"/>
          <w:spacing w:val="-3"/>
        </w:rPr>
      </w:pPr>
      <w:r w:rsidRPr="005D2366">
        <w:rPr>
          <w:rFonts w:ascii="Times New Roman" w:hAnsi="Times New Roman"/>
          <w:spacing w:val="-3"/>
        </w:rPr>
        <w:tab/>
      </w:r>
      <w:r w:rsidRPr="005D2366">
        <w:rPr>
          <w:rFonts w:ascii="Times New Roman" w:hAnsi="Times New Roman"/>
          <w:spacing w:val="-3"/>
        </w:rPr>
        <w:tab/>
        <w:t>3.</w:t>
      </w:r>
      <w:r w:rsidRPr="005D2366">
        <w:rPr>
          <w:rFonts w:ascii="Times New Roman" w:hAnsi="Times New Roman"/>
          <w:spacing w:val="-3"/>
        </w:rPr>
        <w:tab/>
        <w:t xml:space="preserve">That </w:t>
      </w:r>
      <w:r w:rsidRPr="005D2366">
        <w:rPr>
          <w:rFonts w:ascii="Times New Roman" w:hAnsi="Times New Roman" w:cs="Times New Roman"/>
          <w:spacing w:val="-3"/>
        </w:rPr>
        <w:t>PPL Electric Utilities Corporation</w:t>
      </w:r>
      <w:r w:rsidRPr="005D2366">
        <w:rPr>
          <w:rFonts w:ascii="Times New Roman" w:hAnsi="Times New Roman"/>
        </w:rPr>
        <w:t xml:space="preserve"> </w:t>
      </w:r>
      <w:r w:rsidRPr="005D2366">
        <w:rPr>
          <w:rFonts w:ascii="Times New Roman" w:hAnsi="Times New Roman"/>
          <w:spacing w:val="-3"/>
        </w:rPr>
        <w:t xml:space="preserve">shall file a tariff supplement as set forth in </w:t>
      </w:r>
      <w:r w:rsidRPr="005D2366">
        <w:rPr>
          <w:rFonts w:ascii="Times New Roman" w:hAnsi="Times New Roman" w:cs="Arial"/>
          <w:szCs w:val="26"/>
        </w:rPr>
        <w:t xml:space="preserve">the proposed revision </w:t>
      </w:r>
      <w:r w:rsidRPr="005D2366">
        <w:rPr>
          <w:rFonts w:ascii="Times New Roman" w:hAnsi="Times New Roman"/>
          <w:spacing w:val="-3"/>
        </w:rPr>
        <w:t>attached to the joint petition for settlement as Appendix A to become effective on one day’s notice after entry of the final Commission order.</w:t>
      </w:r>
    </w:p>
    <w:p w:rsidR="00EB5FAB" w:rsidRDefault="00EB5FAB" w:rsidP="000B28FC">
      <w:pPr>
        <w:tabs>
          <w:tab w:val="left" w:pos="-720"/>
        </w:tabs>
        <w:suppressAutoHyphens/>
        <w:spacing w:line="360" w:lineRule="auto"/>
        <w:rPr>
          <w:rFonts w:ascii="Times New Roman" w:hAnsi="Times New Roman"/>
          <w:spacing w:val="-3"/>
        </w:rPr>
      </w:pPr>
    </w:p>
    <w:p w:rsidR="001A683B" w:rsidRPr="005D2366" w:rsidRDefault="001A683B" w:rsidP="000B28FC">
      <w:pPr>
        <w:tabs>
          <w:tab w:val="left" w:pos="-720"/>
        </w:tabs>
        <w:suppressAutoHyphens/>
        <w:spacing w:line="360" w:lineRule="auto"/>
        <w:rPr>
          <w:rFonts w:ascii="Times New Roman" w:hAnsi="Times New Roman"/>
          <w:spacing w:val="-3"/>
        </w:rPr>
      </w:pPr>
      <w:r w:rsidRPr="005D2366">
        <w:rPr>
          <w:rFonts w:ascii="Times New Roman" w:hAnsi="Times New Roman"/>
          <w:spacing w:val="-3"/>
        </w:rPr>
        <w:t xml:space="preserve"> </w:t>
      </w:r>
      <w:r w:rsidRPr="005D2366">
        <w:rPr>
          <w:rFonts w:ascii="Times New Roman" w:hAnsi="Times New Roman"/>
          <w:spacing w:val="-3"/>
        </w:rPr>
        <w:tab/>
      </w:r>
      <w:r w:rsidRPr="005D2366">
        <w:rPr>
          <w:rFonts w:ascii="Times New Roman" w:hAnsi="Times New Roman"/>
          <w:spacing w:val="-3"/>
        </w:rPr>
        <w:tab/>
      </w:r>
      <w:r w:rsidR="00857E56" w:rsidRPr="005D2366">
        <w:rPr>
          <w:rFonts w:ascii="Times New Roman" w:hAnsi="Times New Roman"/>
          <w:spacing w:val="-3"/>
        </w:rPr>
        <w:t>4</w:t>
      </w:r>
      <w:r w:rsidRPr="005D2366">
        <w:rPr>
          <w:rFonts w:ascii="Times New Roman" w:hAnsi="Times New Roman"/>
          <w:spacing w:val="-3"/>
        </w:rPr>
        <w:t>.</w:t>
      </w:r>
      <w:r w:rsidRPr="005D2366">
        <w:rPr>
          <w:rFonts w:ascii="Times New Roman" w:hAnsi="Times New Roman"/>
          <w:spacing w:val="-3"/>
        </w:rPr>
        <w:tab/>
        <w:t xml:space="preserve">That the </w:t>
      </w:r>
      <w:r w:rsidRPr="005D2366">
        <w:rPr>
          <w:rFonts w:ascii="Times New Roman" w:hAnsi="Times New Roman" w:cs="Times New Roman"/>
          <w:spacing w:val="-3"/>
        </w:rPr>
        <w:t xml:space="preserve">Petition of PPL Electric Utilities Corporation for Approval of a Rate </w:t>
      </w:r>
      <w:r w:rsidR="00857E56" w:rsidRPr="005D2366">
        <w:rPr>
          <w:rFonts w:ascii="Times New Roman" w:hAnsi="Times New Roman" w:cs="Times New Roman"/>
          <w:spacing w:val="-3"/>
        </w:rPr>
        <w:t xml:space="preserve">Mitigation </w:t>
      </w:r>
      <w:r w:rsidRPr="005D2366">
        <w:rPr>
          <w:rFonts w:ascii="Times New Roman" w:hAnsi="Times New Roman" w:cs="Times New Roman"/>
          <w:spacing w:val="-3"/>
        </w:rPr>
        <w:t>Plan at Docket P-200</w:t>
      </w:r>
      <w:r w:rsidR="00857E56" w:rsidRPr="005D2366">
        <w:rPr>
          <w:rFonts w:ascii="Times New Roman" w:hAnsi="Times New Roman" w:cs="Times New Roman"/>
          <w:spacing w:val="-3"/>
        </w:rPr>
        <w:t>9-2091280</w:t>
      </w:r>
      <w:r w:rsidRPr="005D2366">
        <w:rPr>
          <w:rFonts w:ascii="Times New Roman" w:hAnsi="Times New Roman"/>
          <w:spacing w:val="-3"/>
        </w:rPr>
        <w:t xml:space="preserve"> shall be terminated and marked closed.</w:t>
      </w:r>
    </w:p>
    <w:p w:rsidR="001A683B" w:rsidRPr="005D2366" w:rsidRDefault="001A683B" w:rsidP="000B28FC">
      <w:pPr>
        <w:suppressAutoHyphens/>
        <w:spacing w:line="360" w:lineRule="auto"/>
        <w:rPr>
          <w:rFonts w:ascii="Times New Roman" w:hAnsi="Times New Roman"/>
          <w:spacing w:val="-3"/>
        </w:rPr>
      </w:pPr>
    </w:p>
    <w:p w:rsidR="001A683B" w:rsidRPr="005D2366" w:rsidRDefault="001A683B" w:rsidP="000B28FC">
      <w:pPr>
        <w:pStyle w:val="TxBrp2"/>
        <w:tabs>
          <w:tab w:val="clear" w:pos="204"/>
        </w:tabs>
        <w:spacing w:line="360" w:lineRule="auto"/>
        <w:jc w:val="left"/>
      </w:pPr>
    </w:p>
    <w:p w:rsidR="001A683B" w:rsidRPr="005D2366" w:rsidRDefault="001A683B" w:rsidP="000B28FC">
      <w:pPr>
        <w:tabs>
          <w:tab w:val="left" w:pos="1440"/>
        </w:tabs>
        <w:spacing w:line="360" w:lineRule="auto"/>
        <w:ind w:firstLine="1440"/>
        <w:rPr>
          <w:rFonts w:ascii="Times New Roman" w:hAnsi="Times New Roman" w:cs="Times New Roman"/>
        </w:rPr>
      </w:pPr>
    </w:p>
    <w:p w:rsidR="001A683B" w:rsidRPr="005D2366" w:rsidRDefault="001A683B" w:rsidP="000B28FC">
      <w:pPr>
        <w:tabs>
          <w:tab w:val="left" w:pos="1440"/>
        </w:tabs>
        <w:rPr>
          <w:rFonts w:ascii="Times New Roman" w:hAnsi="Times New Roman" w:cs="Times New Roman"/>
          <w:u w:val="single"/>
        </w:rPr>
      </w:pPr>
      <w:r w:rsidRPr="005D2366">
        <w:rPr>
          <w:rFonts w:ascii="Times New Roman" w:hAnsi="Times New Roman" w:cs="Times New Roman"/>
        </w:rPr>
        <w:t xml:space="preserve">Date: </w:t>
      </w:r>
      <w:r w:rsidR="00857E56" w:rsidRPr="005D2366">
        <w:rPr>
          <w:rFonts w:ascii="Times New Roman" w:hAnsi="Times New Roman" w:cs="Times New Roman"/>
          <w:u w:val="single"/>
        </w:rPr>
        <w:t>June 18, 2009</w:t>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u w:val="single"/>
        </w:rPr>
        <w:tab/>
      </w:r>
      <w:r w:rsidRPr="005D2366">
        <w:rPr>
          <w:rFonts w:ascii="Times New Roman" w:hAnsi="Times New Roman" w:cs="Times New Roman"/>
          <w:u w:val="single"/>
        </w:rPr>
        <w:tab/>
      </w:r>
      <w:r w:rsidRPr="005D2366">
        <w:rPr>
          <w:rFonts w:ascii="Times New Roman" w:hAnsi="Times New Roman" w:cs="Times New Roman"/>
          <w:u w:val="single"/>
        </w:rPr>
        <w:tab/>
      </w:r>
      <w:r w:rsidRPr="005D2366">
        <w:rPr>
          <w:rFonts w:ascii="Times New Roman" w:hAnsi="Times New Roman" w:cs="Times New Roman"/>
          <w:u w:val="single"/>
        </w:rPr>
        <w:tab/>
      </w:r>
      <w:r w:rsidRPr="005D2366">
        <w:rPr>
          <w:rFonts w:ascii="Times New Roman" w:hAnsi="Times New Roman" w:cs="Times New Roman"/>
          <w:u w:val="single"/>
        </w:rPr>
        <w:tab/>
      </w:r>
      <w:r w:rsidRPr="005D2366">
        <w:rPr>
          <w:rFonts w:ascii="Times New Roman" w:hAnsi="Times New Roman" w:cs="Times New Roman"/>
          <w:u w:val="single"/>
        </w:rPr>
        <w:tab/>
      </w:r>
    </w:p>
    <w:p w:rsidR="001A683B" w:rsidRPr="005D2366" w:rsidRDefault="001A683B" w:rsidP="000B28FC">
      <w:pPr>
        <w:rPr>
          <w:rFonts w:ascii="Times New Roman" w:hAnsi="Times New Roman" w:cs="Times New Roman"/>
        </w:rPr>
      </w:pP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t>David A. Salapa</w:t>
      </w:r>
    </w:p>
    <w:p w:rsidR="001A683B" w:rsidRPr="005D2366" w:rsidRDefault="001A683B" w:rsidP="000B28FC">
      <w:pPr>
        <w:rPr>
          <w:rFonts w:ascii="Times New Roman" w:hAnsi="Times New Roman" w:cs="Times New Roman"/>
        </w:rPr>
      </w:pP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r>
      <w:r w:rsidRPr="005D2366">
        <w:rPr>
          <w:rFonts w:ascii="Times New Roman" w:hAnsi="Times New Roman" w:cs="Times New Roman"/>
        </w:rPr>
        <w:tab/>
        <w:t>Administrative Law Judge</w:t>
      </w:r>
    </w:p>
    <w:p w:rsidR="001A683B" w:rsidRPr="005D2366" w:rsidRDefault="001A683B" w:rsidP="000B28FC">
      <w:pPr>
        <w:spacing w:line="360" w:lineRule="auto"/>
        <w:rPr>
          <w:rFonts w:ascii="Times New Roman" w:hAnsi="Times New Roman"/>
        </w:rPr>
      </w:pPr>
    </w:p>
    <w:p w:rsidR="003A52A6" w:rsidRPr="005D2366" w:rsidRDefault="003A52A6" w:rsidP="000B28FC">
      <w:pPr>
        <w:pStyle w:val="BodyText"/>
        <w:tabs>
          <w:tab w:val="left" w:pos="0"/>
        </w:tabs>
        <w:spacing w:after="0" w:line="360" w:lineRule="auto"/>
        <w:rPr>
          <w:rFonts w:ascii="Times New Roman" w:hAnsi="Times New Roman"/>
          <w:color w:val="000000"/>
          <w:kern w:val="1"/>
        </w:rPr>
      </w:pPr>
    </w:p>
    <w:sectPr w:rsidR="003A52A6" w:rsidRPr="005D2366" w:rsidSect="004565A4">
      <w:footerReference w:type="default" r:id="rId7"/>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8A2" w:rsidRDefault="003768A2">
      <w:pPr>
        <w:spacing w:line="20" w:lineRule="exact"/>
        <w:rPr>
          <w:sz w:val="22"/>
          <w:szCs w:val="22"/>
        </w:rPr>
      </w:pPr>
    </w:p>
  </w:endnote>
  <w:endnote w:type="continuationSeparator" w:id="1">
    <w:p w:rsidR="003768A2" w:rsidRDefault="003768A2">
      <w:pPr>
        <w:pStyle w:val="ParaTab1"/>
        <w:rPr>
          <w:sz w:val="22"/>
          <w:szCs w:val="22"/>
        </w:rPr>
      </w:pPr>
      <w:r>
        <w:rPr>
          <w:sz w:val="22"/>
          <w:szCs w:val="22"/>
        </w:rPr>
        <w:t xml:space="preserve"> </w:t>
      </w:r>
    </w:p>
  </w:endnote>
  <w:endnote w:type="continuationNotice" w:id="2">
    <w:p w:rsidR="003768A2" w:rsidRDefault="003768A2">
      <w:pPr>
        <w:pStyle w:val="ParaTab1"/>
        <w:rPr>
          <w:sz w:val="22"/>
          <w:szCs w:val="22"/>
        </w:rPr>
      </w:pPr>
      <w:r>
        <w:rPr>
          <w:sz w:val="22"/>
          <w:szCs w:val="22"/>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D27" w:rsidRDefault="009A0D2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5A29">
      <w:rPr>
        <w:rStyle w:val="PageNumber"/>
        <w:noProof/>
      </w:rPr>
      <w:t>17</w:t>
    </w:r>
    <w:r>
      <w:rPr>
        <w:rStyle w:val="PageNumber"/>
      </w:rPr>
      <w:fldChar w:fldCharType="end"/>
    </w:r>
  </w:p>
  <w:p w:rsidR="009A0D27" w:rsidRDefault="009A0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8A2" w:rsidRDefault="003768A2">
      <w:pPr>
        <w:pStyle w:val="ParaTab1"/>
        <w:rPr>
          <w:sz w:val="22"/>
          <w:szCs w:val="22"/>
        </w:rPr>
      </w:pPr>
      <w:r>
        <w:rPr>
          <w:sz w:val="22"/>
          <w:szCs w:val="22"/>
        </w:rPr>
        <w:separator/>
      </w:r>
    </w:p>
  </w:footnote>
  <w:footnote w:type="continuationSeparator" w:id="1">
    <w:p w:rsidR="003768A2" w:rsidRDefault="00376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4C26A66"/>
    <w:lvl w:ilvl="0">
      <w:start w:val="1"/>
      <w:numFmt w:val="decimal"/>
      <w:pStyle w:val="ListNumber"/>
      <w:lvlText w:val="%1."/>
      <w:lvlJc w:val="left"/>
      <w:pPr>
        <w:tabs>
          <w:tab w:val="num" w:pos="360"/>
        </w:tabs>
        <w:ind w:left="360" w:hanging="360"/>
      </w:pPr>
    </w:lvl>
  </w:abstractNum>
  <w:abstractNum w:abstractNumId="1">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 w:id="2"/>
  </w:endnotePr>
  <w:compat/>
  <w:rsids>
    <w:rsidRoot w:val="0085157E"/>
    <w:rsid w:val="00001643"/>
    <w:rsid w:val="00014D92"/>
    <w:rsid w:val="00016299"/>
    <w:rsid w:val="000240F8"/>
    <w:rsid w:val="000259F2"/>
    <w:rsid w:val="00036041"/>
    <w:rsid w:val="00040EE4"/>
    <w:rsid w:val="00042A57"/>
    <w:rsid w:val="00062597"/>
    <w:rsid w:val="000735CA"/>
    <w:rsid w:val="0007470B"/>
    <w:rsid w:val="000A4518"/>
    <w:rsid w:val="000B21BD"/>
    <w:rsid w:val="000B28FC"/>
    <w:rsid w:val="000B5AEF"/>
    <w:rsid w:val="000C34E7"/>
    <w:rsid w:val="000D4E16"/>
    <w:rsid w:val="000E0280"/>
    <w:rsid w:val="000E6D2A"/>
    <w:rsid w:val="000F049E"/>
    <w:rsid w:val="001170E7"/>
    <w:rsid w:val="00130035"/>
    <w:rsid w:val="001426FB"/>
    <w:rsid w:val="00146B7D"/>
    <w:rsid w:val="0015101B"/>
    <w:rsid w:val="00172B43"/>
    <w:rsid w:val="00173A50"/>
    <w:rsid w:val="00181A9B"/>
    <w:rsid w:val="00184A8D"/>
    <w:rsid w:val="001A683B"/>
    <w:rsid w:val="001B2A1A"/>
    <w:rsid w:val="001B7F24"/>
    <w:rsid w:val="001C1CE4"/>
    <w:rsid w:val="001D46C6"/>
    <w:rsid w:val="001E08FE"/>
    <w:rsid w:val="001E4B36"/>
    <w:rsid w:val="001E707A"/>
    <w:rsid w:val="00204C04"/>
    <w:rsid w:val="00205630"/>
    <w:rsid w:val="0021482A"/>
    <w:rsid w:val="0021526A"/>
    <w:rsid w:val="0021713C"/>
    <w:rsid w:val="00222758"/>
    <w:rsid w:val="00240D1D"/>
    <w:rsid w:val="00251961"/>
    <w:rsid w:val="00254582"/>
    <w:rsid w:val="00256260"/>
    <w:rsid w:val="00261A56"/>
    <w:rsid w:val="002627EC"/>
    <w:rsid w:val="0026321A"/>
    <w:rsid w:val="00264F4A"/>
    <w:rsid w:val="00281AE3"/>
    <w:rsid w:val="00292D28"/>
    <w:rsid w:val="00295CE1"/>
    <w:rsid w:val="00296286"/>
    <w:rsid w:val="00297242"/>
    <w:rsid w:val="002A2018"/>
    <w:rsid w:val="002B14A1"/>
    <w:rsid w:val="002C35D4"/>
    <w:rsid w:val="002D085B"/>
    <w:rsid w:val="002E7338"/>
    <w:rsid w:val="002F0F48"/>
    <w:rsid w:val="003008CD"/>
    <w:rsid w:val="00307952"/>
    <w:rsid w:val="00312839"/>
    <w:rsid w:val="00313FAA"/>
    <w:rsid w:val="00321DE5"/>
    <w:rsid w:val="00332F62"/>
    <w:rsid w:val="00332FED"/>
    <w:rsid w:val="00333302"/>
    <w:rsid w:val="00350A2E"/>
    <w:rsid w:val="00360D5A"/>
    <w:rsid w:val="00371A5C"/>
    <w:rsid w:val="00375743"/>
    <w:rsid w:val="003768A2"/>
    <w:rsid w:val="00376E89"/>
    <w:rsid w:val="00381E2F"/>
    <w:rsid w:val="003930BF"/>
    <w:rsid w:val="00396981"/>
    <w:rsid w:val="003A11C7"/>
    <w:rsid w:val="003A3A26"/>
    <w:rsid w:val="003A52A6"/>
    <w:rsid w:val="00402518"/>
    <w:rsid w:val="00413787"/>
    <w:rsid w:val="00422BB7"/>
    <w:rsid w:val="00444D47"/>
    <w:rsid w:val="00445484"/>
    <w:rsid w:val="00446938"/>
    <w:rsid w:val="004565A4"/>
    <w:rsid w:val="0046224F"/>
    <w:rsid w:val="00465C9E"/>
    <w:rsid w:val="004714EF"/>
    <w:rsid w:val="00490392"/>
    <w:rsid w:val="00497FAD"/>
    <w:rsid w:val="004B7ADF"/>
    <w:rsid w:val="004C674B"/>
    <w:rsid w:val="004D7367"/>
    <w:rsid w:val="004D7831"/>
    <w:rsid w:val="004E1764"/>
    <w:rsid w:val="004E4612"/>
    <w:rsid w:val="004F62EF"/>
    <w:rsid w:val="00510014"/>
    <w:rsid w:val="00524C38"/>
    <w:rsid w:val="005354C4"/>
    <w:rsid w:val="0053639F"/>
    <w:rsid w:val="005542D5"/>
    <w:rsid w:val="00557EE0"/>
    <w:rsid w:val="00571029"/>
    <w:rsid w:val="00576A16"/>
    <w:rsid w:val="005D1B7A"/>
    <w:rsid w:val="005D2366"/>
    <w:rsid w:val="005D4FE0"/>
    <w:rsid w:val="005E2BA5"/>
    <w:rsid w:val="005E5486"/>
    <w:rsid w:val="005F44FF"/>
    <w:rsid w:val="005F51B7"/>
    <w:rsid w:val="00602EBD"/>
    <w:rsid w:val="00614931"/>
    <w:rsid w:val="00632C41"/>
    <w:rsid w:val="00652967"/>
    <w:rsid w:val="006647D6"/>
    <w:rsid w:val="0067389A"/>
    <w:rsid w:val="00683E33"/>
    <w:rsid w:val="006B4BDA"/>
    <w:rsid w:val="006C1E94"/>
    <w:rsid w:val="006D384E"/>
    <w:rsid w:val="006E5A29"/>
    <w:rsid w:val="00702742"/>
    <w:rsid w:val="00723FF1"/>
    <w:rsid w:val="00724F30"/>
    <w:rsid w:val="00726528"/>
    <w:rsid w:val="00742903"/>
    <w:rsid w:val="00755C22"/>
    <w:rsid w:val="00762F71"/>
    <w:rsid w:val="007746F4"/>
    <w:rsid w:val="007A1E96"/>
    <w:rsid w:val="007A76E8"/>
    <w:rsid w:val="007B5EC2"/>
    <w:rsid w:val="007C1507"/>
    <w:rsid w:val="007C28F3"/>
    <w:rsid w:val="007D3FBF"/>
    <w:rsid w:val="007E1761"/>
    <w:rsid w:val="007E2AA7"/>
    <w:rsid w:val="007E65A6"/>
    <w:rsid w:val="007F1E01"/>
    <w:rsid w:val="00807C7C"/>
    <w:rsid w:val="00812D7C"/>
    <w:rsid w:val="00820A89"/>
    <w:rsid w:val="00825714"/>
    <w:rsid w:val="0083513C"/>
    <w:rsid w:val="00842327"/>
    <w:rsid w:val="00846633"/>
    <w:rsid w:val="0085157E"/>
    <w:rsid w:val="00853787"/>
    <w:rsid w:val="008551D3"/>
    <w:rsid w:val="00857E56"/>
    <w:rsid w:val="00866FDB"/>
    <w:rsid w:val="00874B62"/>
    <w:rsid w:val="00886E0B"/>
    <w:rsid w:val="008A5B24"/>
    <w:rsid w:val="008D2387"/>
    <w:rsid w:val="008E6937"/>
    <w:rsid w:val="008F4CA2"/>
    <w:rsid w:val="008F647B"/>
    <w:rsid w:val="009461BF"/>
    <w:rsid w:val="00972AE6"/>
    <w:rsid w:val="00972C31"/>
    <w:rsid w:val="009730EA"/>
    <w:rsid w:val="00981D49"/>
    <w:rsid w:val="009938FF"/>
    <w:rsid w:val="009945D1"/>
    <w:rsid w:val="0099487E"/>
    <w:rsid w:val="009A046F"/>
    <w:rsid w:val="009A0D27"/>
    <w:rsid w:val="009B183D"/>
    <w:rsid w:val="009B7666"/>
    <w:rsid w:val="009C32A9"/>
    <w:rsid w:val="009D1074"/>
    <w:rsid w:val="009D4432"/>
    <w:rsid w:val="009E3DDA"/>
    <w:rsid w:val="009E4B06"/>
    <w:rsid w:val="009F2DF1"/>
    <w:rsid w:val="00A05815"/>
    <w:rsid w:val="00A106F0"/>
    <w:rsid w:val="00A12A46"/>
    <w:rsid w:val="00A1589D"/>
    <w:rsid w:val="00A216B3"/>
    <w:rsid w:val="00A2513C"/>
    <w:rsid w:val="00A26896"/>
    <w:rsid w:val="00A27F50"/>
    <w:rsid w:val="00A460DB"/>
    <w:rsid w:val="00A63DEC"/>
    <w:rsid w:val="00A77C63"/>
    <w:rsid w:val="00A82D10"/>
    <w:rsid w:val="00A8365C"/>
    <w:rsid w:val="00AA667B"/>
    <w:rsid w:val="00AB0BDF"/>
    <w:rsid w:val="00AB123A"/>
    <w:rsid w:val="00AB5788"/>
    <w:rsid w:val="00AD33B9"/>
    <w:rsid w:val="00AF3D60"/>
    <w:rsid w:val="00B02825"/>
    <w:rsid w:val="00B14B99"/>
    <w:rsid w:val="00B16767"/>
    <w:rsid w:val="00B300D6"/>
    <w:rsid w:val="00B35B31"/>
    <w:rsid w:val="00B36A40"/>
    <w:rsid w:val="00B4275A"/>
    <w:rsid w:val="00B61852"/>
    <w:rsid w:val="00B658D5"/>
    <w:rsid w:val="00B7193C"/>
    <w:rsid w:val="00B8006A"/>
    <w:rsid w:val="00BA4112"/>
    <w:rsid w:val="00BA66A8"/>
    <w:rsid w:val="00BC1333"/>
    <w:rsid w:val="00BC5B01"/>
    <w:rsid w:val="00BC5B64"/>
    <w:rsid w:val="00BF08C2"/>
    <w:rsid w:val="00BF224D"/>
    <w:rsid w:val="00BF7401"/>
    <w:rsid w:val="00C01AF2"/>
    <w:rsid w:val="00C02F70"/>
    <w:rsid w:val="00C10200"/>
    <w:rsid w:val="00C1148F"/>
    <w:rsid w:val="00C16878"/>
    <w:rsid w:val="00C21F99"/>
    <w:rsid w:val="00C2452B"/>
    <w:rsid w:val="00C25472"/>
    <w:rsid w:val="00C34194"/>
    <w:rsid w:val="00C41DCE"/>
    <w:rsid w:val="00C42283"/>
    <w:rsid w:val="00C42DE0"/>
    <w:rsid w:val="00C43AA1"/>
    <w:rsid w:val="00C6742F"/>
    <w:rsid w:val="00C7227F"/>
    <w:rsid w:val="00C81EF0"/>
    <w:rsid w:val="00C83E52"/>
    <w:rsid w:val="00C91B70"/>
    <w:rsid w:val="00CA2282"/>
    <w:rsid w:val="00CB270C"/>
    <w:rsid w:val="00CB41AE"/>
    <w:rsid w:val="00CB55D3"/>
    <w:rsid w:val="00CE157E"/>
    <w:rsid w:val="00CF303B"/>
    <w:rsid w:val="00CF5258"/>
    <w:rsid w:val="00CF5924"/>
    <w:rsid w:val="00D30668"/>
    <w:rsid w:val="00D50AC1"/>
    <w:rsid w:val="00D53391"/>
    <w:rsid w:val="00D54101"/>
    <w:rsid w:val="00D559AC"/>
    <w:rsid w:val="00D714CD"/>
    <w:rsid w:val="00D833B1"/>
    <w:rsid w:val="00D93E31"/>
    <w:rsid w:val="00D97CC1"/>
    <w:rsid w:val="00DA3BA9"/>
    <w:rsid w:val="00DA55AC"/>
    <w:rsid w:val="00DB1609"/>
    <w:rsid w:val="00DE0F14"/>
    <w:rsid w:val="00DE4BB5"/>
    <w:rsid w:val="00DF3A51"/>
    <w:rsid w:val="00E06A47"/>
    <w:rsid w:val="00E12A4F"/>
    <w:rsid w:val="00E1342E"/>
    <w:rsid w:val="00E33A5F"/>
    <w:rsid w:val="00E41700"/>
    <w:rsid w:val="00E4215E"/>
    <w:rsid w:val="00E435B6"/>
    <w:rsid w:val="00E43B94"/>
    <w:rsid w:val="00E70D60"/>
    <w:rsid w:val="00E70EA5"/>
    <w:rsid w:val="00E82788"/>
    <w:rsid w:val="00E832CF"/>
    <w:rsid w:val="00E926A5"/>
    <w:rsid w:val="00EA4AB9"/>
    <w:rsid w:val="00EB5FAB"/>
    <w:rsid w:val="00EB6B60"/>
    <w:rsid w:val="00EC271D"/>
    <w:rsid w:val="00ED2355"/>
    <w:rsid w:val="00EE5BD7"/>
    <w:rsid w:val="00EE6222"/>
    <w:rsid w:val="00EF22A6"/>
    <w:rsid w:val="00EF50F6"/>
    <w:rsid w:val="00EF6BA3"/>
    <w:rsid w:val="00F0184B"/>
    <w:rsid w:val="00F04F7B"/>
    <w:rsid w:val="00F07F11"/>
    <w:rsid w:val="00F16800"/>
    <w:rsid w:val="00F27264"/>
    <w:rsid w:val="00F428CF"/>
    <w:rsid w:val="00F47781"/>
    <w:rsid w:val="00F60FE5"/>
    <w:rsid w:val="00F660D6"/>
    <w:rsid w:val="00F72006"/>
    <w:rsid w:val="00F7653C"/>
    <w:rsid w:val="00F768DD"/>
    <w:rsid w:val="00F95DA5"/>
    <w:rsid w:val="00FA7C7A"/>
    <w:rsid w:val="00FB717B"/>
    <w:rsid w:val="00FD2C79"/>
    <w:rsid w:val="00FD3C7E"/>
    <w:rsid w:val="00FD5454"/>
    <w:rsid w:val="00FE1668"/>
    <w:rsid w:val="00FF5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next w:val="Normal"/>
    <w:qFormat/>
    <w:rsid w:val="00C43AA1"/>
    <w:pPr>
      <w:keepNext/>
      <w:autoSpaceDE/>
      <w:autoSpaceDN/>
      <w:outlineLvl w:val="3"/>
    </w:pPr>
    <w:rPr>
      <w:rFonts w:ascii="Times New Roman" w:hAnsi="Times New Roman" w:cs="Times New Roman"/>
      <w:szCs w:val="20"/>
    </w:rPr>
  </w:style>
  <w:style w:type="paragraph" w:styleId="Heading5">
    <w:name w:val="heading 5"/>
    <w:basedOn w:val="Normal"/>
    <w:next w:val="Normal"/>
    <w:qFormat/>
    <w:rsid w:val="001A683B"/>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paragraph" w:styleId="NormalWeb">
    <w:name w:val="Normal (Web)"/>
    <w:basedOn w:val="Normal"/>
    <w:rsid w:val="00C43AA1"/>
    <w:pPr>
      <w:autoSpaceDE/>
      <w:autoSpaceDN/>
      <w:spacing w:before="100" w:beforeAutospacing="1" w:after="100" w:afterAutospacing="1"/>
    </w:pPr>
    <w:rPr>
      <w:rFonts w:ascii="Times New Roman" w:hAnsi="Times New Roman" w:cs="Times New Roman"/>
    </w:rPr>
  </w:style>
  <w:style w:type="paragraph" w:styleId="BodyText">
    <w:name w:val="Body Text"/>
    <w:basedOn w:val="Normal"/>
    <w:rsid w:val="008E6937"/>
    <w:pPr>
      <w:spacing w:after="120"/>
    </w:pPr>
  </w:style>
  <w:style w:type="paragraph" w:customStyle="1" w:styleId="TxBrp3">
    <w:name w:val="TxBr_p3"/>
    <w:basedOn w:val="Normal"/>
    <w:rsid w:val="008D2387"/>
    <w:pPr>
      <w:widowControl w:val="0"/>
      <w:tabs>
        <w:tab w:val="left" w:pos="1474"/>
      </w:tabs>
      <w:adjustRightInd w:val="0"/>
      <w:spacing w:line="425" w:lineRule="atLeast"/>
      <w:ind w:firstLine="1474"/>
    </w:pPr>
    <w:rPr>
      <w:rFonts w:ascii="Times New Roman" w:hAnsi="Times New Roman" w:cs="Times New Roman"/>
    </w:rPr>
  </w:style>
  <w:style w:type="paragraph" w:styleId="ListNumber">
    <w:name w:val="List Number"/>
    <w:basedOn w:val="Normal"/>
    <w:rsid w:val="001A683B"/>
    <w:pPr>
      <w:numPr>
        <w:numId w:val="6"/>
      </w:numPr>
      <w:tabs>
        <w:tab w:val="clear" w:pos="360"/>
      </w:tabs>
      <w:autoSpaceDE/>
      <w:autoSpaceDN/>
      <w:spacing w:line="480" w:lineRule="auto"/>
      <w:ind w:left="0" w:firstLine="720"/>
    </w:pPr>
    <w:rPr>
      <w:rFonts w:ascii="Times New Roman" w:hAnsi="Times New Roman" w:cs="Times New Roman"/>
    </w:rPr>
  </w:style>
  <w:style w:type="paragraph" w:styleId="BodyText3">
    <w:name w:val="Body Text 3"/>
    <w:basedOn w:val="Normal"/>
    <w:rsid w:val="001A683B"/>
    <w:pPr>
      <w:spacing w:after="120"/>
    </w:pPr>
    <w:rPr>
      <w:sz w:val="16"/>
      <w:szCs w:val="16"/>
    </w:rPr>
  </w:style>
  <w:style w:type="paragraph" w:customStyle="1" w:styleId="TxBrp2">
    <w:name w:val="TxBr_p2"/>
    <w:basedOn w:val="Normal"/>
    <w:rsid w:val="001A683B"/>
    <w:pPr>
      <w:widowControl w:val="0"/>
      <w:tabs>
        <w:tab w:val="left" w:pos="204"/>
      </w:tabs>
      <w:adjustRightInd w:val="0"/>
      <w:spacing w:line="215" w:lineRule="atLeast"/>
      <w:jc w:val="both"/>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5118</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34229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subject/>
  <dc:creator>SALAPA</dc:creator>
  <cp:keywords/>
  <dc:description/>
  <cp:lastModifiedBy>shoffner</cp:lastModifiedBy>
  <cp:revision>2</cp:revision>
  <cp:lastPrinted>2009-06-25T16:36:00Z</cp:lastPrinted>
  <dcterms:created xsi:type="dcterms:W3CDTF">2009-06-25T17:03:00Z</dcterms:created>
  <dcterms:modified xsi:type="dcterms:W3CDTF">2009-06-25T17:03:00Z</dcterms:modified>
</cp:coreProperties>
</file>