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0E78AC"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0E78AC">
      <w:pPr>
        <w:jc w:val="center"/>
        <w:rPr>
          <w:rFonts w:ascii="Arial" w:hAnsi="Arial"/>
          <w:sz w:val="24"/>
        </w:rPr>
      </w:pPr>
      <w:r>
        <w:rPr>
          <w:rFonts w:ascii="Arial" w:hAnsi="Arial"/>
          <w:sz w:val="24"/>
        </w:rPr>
        <w:t>June 30,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0E78AC">
        <w:rPr>
          <w:rFonts w:ascii="Arial" w:hAnsi="Arial"/>
          <w:sz w:val="24"/>
        </w:rPr>
        <w:t>C-2008-2079810</w:t>
      </w:r>
    </w:p>
    <w:p w:rsidR="001229F8" w:rsidRDefault="001229F8">
      <w:pPr>
        <w:ind w:left="720" w:right="720"/>
        <w:rPr>
          <w:rFonts w:ascii="Arial" w:hAnsi="Arial"/>
          <w:sz w:val="24"/>
        </w:rPr>
      </w:pPr>
    </w:p>
    <w:p w:rsidR="007D622F" w:rsidRDefault="000E78AC" w:rsidP="00AE5973">
      <w:pPr>
        <w:ind w:left="432" w:right="720"/>
        <w:jc w:val="both"/>
        <w:rPr>
          <w:rFonts w:ascii="Arial" w:hAnsi="Arial"/>
          <w:sz w:val="22"/>
          <w:szCs w:val="22"/>
        </w:rPr>
      </w:pPr>
      <w:r>
        <w:rPr>
          <w:rFonts w:ascii="Arial" w:hAnsi="Arial"/>
          <w:sz w:val="22"/>
          <w:szCs w:val="22"/>
        </w:rPr>
        <w:t>SANDRA BROWN</w:t>
      </w:r>
    </w:p>
    <w:p w:rsidR="000E78AC" w:rsidRDefault="000E78AC" w:rsidP="00AE5973">
      <w:pPr>
        <w:ind w:left="432" w:right="720"/>
        <w:jc w:val="both"/>
        <w:rPr>
          <w:rFonts w:ascii="Arial" w:hAnsi="Arial"/>
          <w:sz w:val="22"/>
          <w:szCs w:val="22"/>
        </w:rPr>
      </w:pPr>
      <w:r>
        <w:rPr>
          <w:rFonts w:ascii="Arial" w:hAnsi="Arial"/>
          <w:sz w:val="22"/>
          <w:szCs w:val="22"/>
        </w:rPr>
        <w:t>613 THIRD STREET</w:t>
      </w:r>
    </w:p>
    <w:p w:rsidR="000E78AC" w:rsidRDefault="000E78AC" w:rsidP="00AE5973">
      <w:pPr>
        <w:ind w:left="432" w:right="720"/>
        <w:jc w:val="both"/>
        <w:rPr>
          <w:rFonts w:ascii="Arial" w:hAnsi="Arial"/>
          <w:sz w:val="22"/>
          <w:szCs w:val="22"/>
        </w:rPr>
      </w:pPr>
      <w:r>
        <w:rPr>
          <w:rFonts w:ascii="Arial" w:hAnsi="Arial"/>
          <w:sz w:val="22"/>
          <w:szCs w:val="22"/>
        </w:rPr>
        <w:t>APT 1</w:t>
      </w:r>
    </w:p>
    <w:p w:rsidR="000E78AC" w:rsidRDefault="000E78AC" w:rsidP="00AE5973">
      <w:pPr>
        <w:ind w:left="432" w:right="720"/>
        <w:jc w:val="both"/>
        <w:rPr>
          <w:rFonts w:ascii="Arial" w:hAnsi="Arial"/>
          <w:sz w:val="22"/>
          <w:szCs w:val="22"/>
        </w:rPr>
      </w:pPr>
      <w:r>
        <w:rPr>
          <w:rFonts w:ascii="Arial" w:hAnsi="Arial"/>
          <w:sz w:val="22"/>
          <w:szCs w:val="22"/>
        </w:rPr>
        <w:t>BUTLER  PA  16001</w:t>
      </w:r>
    </w:p>
    <w:p w:rsidR="000E78AC" w:rsidRPr="00AE5973" w:rsidRDefault="000E78AC"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0E78AC">
      <w:pPr>
        <w:ind w:left="720" w:right="720"/>
        <w:jc w:val="center"/>
        <w:rPr>
          <w:rFonts w:ascii="Arial" w:hAnsi="Arial"/>
          <w:sz w:val="22"/>
          <w:szCs w:val="22"/>
        </w:rPr>
      </w:pPr>
      <w:r>
        <w:rPr>
          <w:rFonts w:ascii="Arial" w:hAnsi="Arial"/>
          <w:sz w:val="22"/>
          <w:szCs w:val="22"/>
        </w:rPr>
        <w:t>Sandra Brown</w:t>
      </w:r>
    </w:p>
    <w:p w:rsidR="000E78AC" w:rsidRDefault="000E78AC">
      <w:pPr>
        <w:ind w:left="720" w:right="720"/>
        <w:jc w:val="center"/>
        <w:rPr>
          <w:rFonts w:ascii="Arial" w:hAnsi="Arial"/>
          <w:sz w:val="22"/>
          <w:szCs w:val="22"/>
        </w:rPr>
      </w:pPr>
      <w:r>
        <w:rPr>
          <w:rFonts w:ascii="Arial" w:hAnsi="Arial"/>
          <w:sz w:val="22"/>
          <w:szCs w:val="22"/>
        </w:rPr>
        <w:t>v.</w:t>
      </w:r>
    </w:p>
    <w:p w:rsidR="000E78AC" w:rsidRPr="00AE5973" w:rsidRDefault="000E78AC">
      <w:pPr>
        <w:ind w:left="720" w:right="720"/>
        <w:jc w:val="center"/>
        <w:rPr>
          <w:rFonts w:ascii="Arial" w:hAnsi="Arial"/>
          <w:sz w:val="22"/>
          <w:szCs w:val="22"/>
        </w:rPr>
      </w:pPr>
      <w:r>
        <w:rPr>
          <w:rFonts w:ascii="Arial" w:hAnsi="Arial"/>
          <w:sz w:val="22"/>
          <w:szCs w:val="22"/>
        </w:rPr>
        <w:t>Armstrong Digital Services Incorporated d/b/a Armstrong Telephone</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0E78AC">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0E78AC" w:rsidRDefault="000E78AC">
      <w:pPr>
        <w:ind w:left="432" w:right="720"/>
        <w:jc w:val="both"/>
        <w:rPr>
          <w:rFonts w:ascii="Arial" w:hAnsi="Arial"/>
          <w:sz w:val="22"/>
          <w:szCs w:val="22"/>
        </w:rPr>
      </w:pPr>
    </w:p>
    <w:p w:rsidR="000E78AC" w:rsidRDefault="000E78AC">
      <w:pPr>
        <w:ind w:left="432" w:right="720"/>
        <w:jc w:val="both"/>
        <w:rPr>
          <w:rFonts w:ascii="Arial" w:hAnsi="Arial"/>
          <w:sz w:val="22"/>
          <w:szCs w:val="22"/>
        </w:rPr>
      </w:pPr>
      <w:r>
        <w:rPr>
          <w:rFonts w:ascii="Arial" w:hAnsi="Arial"/>
          <w:sz w:val="22"/>
          <w:szCs w:val="22"/>
        </w:rPr>
        <w:t>THOMAS WILSON</w:t>
      </w:r>
    </w:p>
    <w:p w:rsidR="000E78AC" w:rsidRDefault="000E78AC">
      <w:pPr>
        <w:ind w:left="432" w:right="720"/>
        <w:jc w:val="both"/>
        <w:rPr>
          <w:rFonts w:ascii="Arial" w:hAnsi="Arial"/>
          <w:sz w:val="22"/>
          <w:szCs w:val="22"/>
        </w:rPr>
      </w:pPr>
      <w:r>
        <w:rPr>
          <w:rFonts w:ascii="Arial" w:hAnsi="Arial"/>
          <w:sz w:val="22"/>
          <w:szCs w:val="22"/>
        </w:rPr>
        <w:t>ARMSTRONG TELEPHONE</w:t>
      </w:r>
    </w:p>
    <w:p w:rsidR="000E78AC" w:rsidRDefault="000E78AC">
      <w:pPr>
        <w:ind w:left="432" w:right="720"/>
        <w:jc w:val="both"/>
        <w:rPr>
          <w:rFonts w:ascii="Arial" w:hAnsi="Arial"/>
          <w:sz w:val="22"/>
          <w:szCs w:val="22"/>
        </w:rPr>
      </w:pPr>
      <w:r>
        <w:rPr>
          <w:rFonts w:ascii="Arial" w:hAnsi="Arial"/>
          <w:sz w:val="22"/>
          <w:szCs w:val="22"/>
        </w:rPr>
        <w:t>ONE ARMSTRONG PLACE</w:t>
      </w:r>
    </w:p>
    <w:p w:rsidR="000E78AC" w:rsidRDefault="000E78AC">
      <w:pPr>
        <w:ind w:left="432" w:right="720"/>
        <w:jc w:val="both"/>
        <w:rPr>
          <w:rFonts w:ascii="Arial" w:hAnsi="Arial"/>
          <w:sz w:val="22"/>
          <w:szCs w:val="22"/>
        </w:rPr>
      </w:pPr>
      <w:r>
        <w:rPr>
          <w:rFonts w:ascii="Arial" w:hAnsi="Arial"/>
          <w:sz w:val="22"/>
          <w:szCs w:val="22"/>
        </w:rPr>
        <w:t>BUTLER  PA  16001</w:t>
      </w:r>
    </w:p>
    <w:p w:rsidR="000E78AC" w:rsidRDefault="000E78AC">
      <w:pPr>
        <w:ind w:left="432" w:right="720"/>
        <w:jc w:val="both"/>
        <w:rPr>
          <w:rFonts w:ascii="Arial" w:hAnsi="Arial"/>
          <w:sz w:val="22"/>
          <w:szCs w:val="22"/>
        </w:rPr>
      </w:pPr>
    </w:p>
    <w:p w:rsidR="000E78AC" w:rsidRDefault="000E78AC">
      <w:pPr>
        <w:ind w:left="432" w:right="720"/>
        <w:jc w:val="both"/>
        <w:rPr>
          <w:rFonts w:ascii="Arial" w:hAnsi="Arial"/>
          <w:sz w:val="22"/>
          <w:szCs w:val="22"/>
        </w:rPr>
      </w:pPr>
      <w:r>
        <w:rPr>
          <w:rFonts w:ascii="Arial" w:hAnsi="Arial"/>
          <w:sz w:val="22"/>
          <w:szCs w:val="22"/>
        </w:rPr>
        <w:t>JOHN F POVILAITIS ESQUIRE</w:t>
      </w:r>
    </w:p>
    <w:p w:rsidR="000E78AC" w:rsidRDefault="000E78AC">
      <w:pPr>
        <w:ind w:left="432" w:right="720"/>
        <w:jc w:val="both"/>
        <w:rPr>
          <w:rFonts w:ascii="Arial" w:hAnsi="Arial"/>
          <w:sz w:val="22"/>
          <w:szCs w:val="22"/>
        </w:rPr>
      </w:pPr>
      <w:r>
        <w:rPr>
          <w:rFonts w:ascii="Arial" w:hAnsi="Arial"/>
          <w:sz w:val="22"/>
          <w:szCs w:val="22"/>
        </w:rPr>
        <w:t>RYAN RUSSELL OGDEN &amp; SELTZER PC</w:t>
      </w:r>
    </w:p>
    <w:p w:rsidR="000E78AC" w:rsidRDefault="000E78AC">
      <w:pPr>
        <w:ind w:left="432" w:right="720"/>
        <w:jc w:val="both"/>
        <w:rPr>
          <w:rFonts w:ascii="Arial" w:hAnsi="Arial"/>
          <w:sz w:val="22"/>
          <w:szCs w:val="22"/>
        </w:rPr>
      </w:pPr>
      <w:r>
        <w:rPr>
          <w:rFonts w:ascii="Arial" w:hAnsi="Arial"/>
          <w:sz w:val="22"/>
          <w:szCs w:val="22"/>
        </w:rPr>
        <w:t>800 NORTH THIRD STREET  SUITE 101</w:t>
      </w:r>
    </w:p>
    <w:p w:rsidR="000E78AC" w:rsidRPr="00AE5973" w:rsidRDefault="000E78AC">
      <w:pPr>
        <w:ind w:left="432" w:right="720"/>
        <w:jc w:val="both"/>
        <w:rPr>
          <w:rFonts w:ascii="Arial" w:hAnsi="Arial"/>
          <w:sz w:val="22"/>
          <w:szCs w:val="22"/>
        </w:rPr>
      </w:pPr>
      <w:r>
        <w:rPr>
          <w:rFonts w:ascii="Arial" w:hAnsi="Arial"/>
          <w:sz w:val="22"/>
          <w:szCs w:val="22"/>
        </w:rPr>
        <w:t>HARRISBURG  PA  17102-2025</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0E78AC"/>
    <w:rsid w:val="001229F8"/>
    <w:rsid w:val="002F6015"/>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2009-06-30T17:34:00Z</cp:lastPrinted>
  <dcterms:created xsi:type="dcterms:W3CDTF">2009-06-30T17:34:00Z</dcterms:created>
  <dcterms:modified xsi:type="dcterms:W3CDTF">2009-06-30T17:34:00Z</dcterms:modified>
</cp:coreProperties>
</file>