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925" w:rsidRDefault="000B671F" w:rsidP="000B671F">
      <w:pPr>
        <w:spacing w:line="240" w:lineRule="auto"/>
        <w:jc w:val="center"/>
        <w:rPr>
          <w:b/>
        </w:rPr>
      </w:pPr>
      <w:r>
        <w:rPr>
          <w:b/>
        </w:rPr>
        <w:t>BEFORE THE</w:t>
      </w:r>
    </w:p>
    <w:p w:rsidR="000B671F" w:rsidRDefault="000B671F" w:rsidP="000B671F">
      <w:pPr>
        <w:spacing w:line="240" w:lineRule="auto"/>
        <w:jc w:val="center"/>
      </w:pPr>
      <w:r>
        <w:rPr>
          <w:b/>
        </w:rPr>
        <w:t>PENNSYLVANIA PUBLIC UTILITY COMMISSION</w:t>
      </w:r>
    </w:p>
    <w:p w:rsidR="000B671F" w:rsidRDefault="000B671F" w:rsidP="000B671F">
      <w:pPr>
        <w:spacing w:line="240" w:lineRule="auto"/>
      </w:pPr>
    </w:p>
    <w:p w:rsidR="000B671F" w:rsidRDefault="000B671F" w:rsidP="000B671F">
      <w:pPr>
        <w:spacing w:line="240" w:lineRule="auto"/>
      </w:pPr>
    </w:p>
    <w:p w:rsidR="000B671F" w:rsidRDefault="000B671F" w:rsidP="000B671F">
      <w:pPr>
        <w:spacing w:line="240" w:lineRule="auto"/>
      </w:pPr>
    </w:p>
    <w:p w:rsidR="000B671F" w:rsidRDefault="000B671F" w:rsidP="000B671F">
      <w:pPr>
        <w:spacing w:line="240" w:lineRule="auto"/>
      </w:pPr>
      <w:r>
        <w:t>Leonard W. Duke</w:t>
      </w:r>
      <w:r>
        <w:tab/>
      </w:r>
      <w:r>
        <w:tab/>
      </w:r>
      <w:r>
        <w:tab/>
      </w:r>
      <w:r>
        <w:tab/>
      </w:r>
      <w:r>
        <w:tab/>
        <w:t>:</w:t>
      </w:r>
    </w:p>
    <w:p w:rsidR="000B671F" w:rsidRDefault="000B671F" w:rsidP="000B671F">
      <w:pPr>
        <w:spacing w:line="240" w:lineRule="auto"/>
      </w:pPr>
      <w:r>
        <w:tab/>
      </w:r>
      <w:r>
        <w:tab/>
      </w:r>
      <w:r>
        <w:tab/>
      </w:r>
      <w:r>
        <w:tab/>
      </w:r>
      <w:r>
        <w:tab/>
      </w:r>
      <w:r>
        <w:tab/>
      </w:r>
      <w:r>
        <w:tab/>
        <w:t>:</w:t>
      </w:r>
    </w:p>
    <w:p w:rsidR="000B671F" w:rsidRDefault="000B671F" w:rsidP="000B671F">
      <w:pPr>
        <w:spacing w:line="240" w:lineRule="auto"/>
      </w:pPr>
      <w:r>
        <w:tab/>
        <w:t>v.</w:t>
      </w:r>
      <w:r>
        <w:tab/>
      </w:r>
      <w:r>
        <w:tab/>
      </w:r>
      <w:r>
        <w:tab/>
      </w:r>
      <w:r>
        <w:tab/>
      </w:r>
      <w:r w:rsidR="002E71E1">
        <w:tab/>
      </w:r>
      <w:r>
        <w:tab/>
        <w:t>:</w:t>
      </w:r>
      <w:r>
        <w:tab/>
      </w:r>
      <w:r w:rsidR="002E71E1">
        <w:tab/>
      </w:r>
      <w:r>
        <w:t>C-2008-2057957</w:t>
      </w:r>
    </w:p>
    <w:p w:rsidR="000B671F" w:rsidRDefault="000B671F" w:rsidP="000B671F">
      <w:pPr>
        <w:spacing w:line="240" w:lineRule="auto"/>
      </w:pPr>
      <w:r>
        <w:tab/>
      </w:r>
      <w:r>
        <w:tab/>
      </w:r>
      <w:r>
        <w:tab/>
      </w:r>
      <w:r>
        <w:tab/>
      </w:r>
      <w:r>
        <w:tab/>
      </w:r>
      <w:r>
        <w:tab/>
      </w:r>
      <w:r>
        <w:tab/>
        <w:t>:</w:t>
      </w:r>
    </w:p>
    <w:p w:rsidR="000B671F" w:rsidRDefault="000B671F" w:rsidP="000B671F">
      <w:pPr>
        <w:spacing w:line="240" w:lineRule="auto"/>
      </w:pPr>
      <w:r>
        <w:t>Duquesne Light Company</w:t>
      </w:r>
      <w:r>
        <w:tab/>
      </w:r>
      <w:r>
        <w:tab/>
      </w:r>
      <w:r>
        <w:tab/>
      </w:r>
      <w:r>
        <w:tab/>
        <w:t>:</w:t>
      </w:r>
    </w:p>
    <w:p w:rsidR="000B671F" w:rsidRDefault="000B671F" w:rsidP="000B671F">
      <w:pPr>
        <w:spacing w:line="240" w:lineRule="auto"/>
      </w:pPr>
    </w:p>
    <w:p w:rsidR="000B671F" w:rsidRDefault="000B671F" w:rsidP="000B671F">
      <w:pPr>
        <w:spacing w:line="240" w:lineRule="auto"/>
      </w:pPr>
    </w:p>
    <w:p w:rsidR="000B671F" w:rsidRDefault="000B671F" w:rsidP="000B671F">
      <w:pPr>
        <w:spacing w:line="240" w:lineRule="auto"/>
      </w:pPr>
    </w:p>
    <w:p w:rsidR="000B671F" w:rsidRDefault="000B671F" w:rsidP="000B671F">
      <w:pPr>
        <w:spacing w:line="240" w:lineRule="auto"/>
        <w:jc w:val="center"/>
      </w:pPr>
      <w:r>
        <w:rPr>
          <w:b/>
          <w:u w:val="single"/>
        </w:rPr>
        <w:t>INITIAL DECISION</w:t>
      </w:r>
    </w:p>
    <w:p w:rsidR="000B671F" w:rsidRDefault="000B671F" w:rsidP="000B671F">
      <w:pPr>
        <w:spacing w:line="240" w:lineRule="auto"/>
        <w:jc w:val="center"/>
      </w:pPr>
    </w:p>
    <w:p w:rsidR="002E71E1" w:rsidRDefault="002E71E1" w:rsidP="000B671F">
      <w:pPr>
        <w:spacing w:line="240" w:lineRule="auto"/>
        <w:jc w:val="center"/>
      </w:pPr>
    </w:p>
    <w:p w:rsidR="000B671F" w:rsidRDefault="000B671F" w:rsidP="000B671F">
      <w:pPr>
        <w:spacing w:line="240" w:lineRule="auto"/>
        <w:jc w:val="center"/>
      </w:pPr>
      <w:r>
        <w:t>Before</w:t>
      </w:r>
    </w:p>
    <w:p w:rsidR="000B671F" w:rsidRDefault="000B671F" w:rsidP="000B671F">
      <w:pPr>
        <w:spacing w:line="240" w:lineRule="auto"/>
        <w:jc w:val="center"/>
      </w:pPr>
      <w:r>
        <w:t>Robert P. Meehan</w:t>
      </w:r>
    </w:p>
    <w:p w:rsidR="000B671F" w:rsidRDefault="000B671F" w:rsidP="000B671F">
      <w:pPr>
        <w:spacing w:line="240" w:lineRule="auto"/>
        <w:jc w:val="center"/>
      </w:pPr>
      <w:r>
        <w:t>Administrative Law Judge</w:t>
      </w:r>
    </w:p>
    <w:p w:rsidR="000B671F" w:rsidRDefault="000B671F" w:rsidP="000B671F">
      <w:pPr>
        <w:spacing w:line="240" w:lineRule="auto"/>
      </w:pPr>
    </w:p>
    <w:p w:rsidR="002E71E1" w:rsidRDefault="002E71E1" w:rsidP="000B671F">
      <w:pPr>
        <w:spacing w:line="240" w:lineRule="auto"/>
      </w:pPr>
    </w:p>
    <w:p w:rsidR="000B671F" w:rsidRDefault="000B671F" w:rsidP="00864518">
      <w:pPr>
        <w:spacing w:line="360" w:lineRule="auto"/>
      </w:pPr>
      <w:r>
        <w:tab/>
      </w:r>
      <w:r>
        <w:tab/>
        <w:t>This Initial Decision dismisses the formal complaint filed by Leonard W. Duke (</w:t>
      </w:r>
      <w:r w:rsidR="000C69C7">
        <w:t xml:space="preserve">Complainant or </w:t>
      </w:r>
      <w:r>
        <w:t>Mr. Duke) against Du</w:t>
      </w:r>
      <w:r w:rsidR="000A4A56">
        <w:t>quesne Light Company (Duquesne)</w:t>
      </w:r>
      <w:r>
        <w:t xml:space="preserve"> at Docket No. C</w:t>
      </w:r>
      <w:r>
        <w:noBreakHyphen/>
        <w:t>2008</w:t>
      </w:r>
      <w:r>
        <w:noBreakHyphen/>
        <w:t>2057957 for the failure to satisfy the burden of proof.</w:t>
      </w:r>
    </w:p>
    <w:p w:rsidR="000B671F" w:rsidRDefault="000B671F" w:rsidP="00864518">
      <w:pPr>
        <w:spacing w:line="360" w:lineRule="auto"/>
      </w:pPr>
    </w:p>
    <w:p w:rsidR="000B671F" w:rsidRDefault="00DB6E61" w:rsidP="00864518">
      <w:pPr>
        <w:spacing w:line="360" w:lineRule="auto"/>
        <w:jc w:val="center"/>
      </w:pPr>
      <w:r>
        <w:rPr>
          <w:u w:val="single"/>
        </w:rPr>
        <w:t>HISTORY OF THE PROCEEDING</w:t>
      </w:r>
    </w:p>
    <w:p w:rsidR="00DB6E61" w:rsidRDefault="00DB6E61" w:rsidP="00864518">
      <w:pPr>
        <w:spacing w:line="360" w:lineRule="auto"/>
      </w:pPr>
    </w:p>
    <w:p w:rsidR="00DB6E61" w:rsidRDefault="00DB6E61" w:rsidP="00864518">
      <w:pPr>
        <w:spacing w:line="360" w:lineRule="auto"/>
      </w:pPr>
      <w:r>
        <w:tab/>
      </w:r>
      <w:r>
        <w:tab/>
        <w:t>The formal complaint of Mr. Duke alleging a billing dispute</w:t>
      </w:r>
      <w:r w:rsidR="008C00ED">
        <w:t xml:space="preserve"> and requesting refund and a rate adjustment was filed on July 31, 2008.  Duquesne’s answer and new matter were filed on September 10, 2008.  By letter dated November 4, 2008, the Commission informed the parties that the initial hearing in this case would be held, by telephone, on December 2 at 10:00 a.m.  On November 6, 2008, I issued a Prehearing Order in this case which, among other matters, reminded the parties of the date, time, and manner of the scheduled hearing.</w:t>
      </w:r>
    </w:p>
    <w:p w:rsidR="000C69C7" w:rsidRDefault="000C69C7" w:rsidP="00864518">
      <w:pPr>
        <w:spacing w:line="360" w:lineRule="auto"/>
      </w:pPr>
    </w:p>
    <w:p w:rsidR="000C69C7" w:rsidRDefault="000C69C7" w:rsidP="00864518">
      <w:pPr>
        <w:spacing w:line="360" w:lineRule="auto"/>
      </w:pPr>
      <w:r>
        <w:tab/>
      </w:r>
      <w:r>
        <w:tab/>
        <w:t>The initial hearing was held on December 2, 2008, as previously scheduled.  However, the hearing was continued at the request of the Complainant.</w:t>
      </w:r>
      <w:r w:rsidR="00A07053">
        <w:t xml:space="preserve">  By letter dated January 13, 2009, the Commission informed the parties that the further hearing would be held, by telephone, on January 28, 2009.</w:t>
      </w:r>
    </w:p>
    <w:p w:rsidR="00A07053" w:rsidRDefault="00A07053" w:rsidP="00864518">
      <w:pPr>
        <w:spacing w:line="360" w:lineRule="auto"/>
      </w:pPr>
      <w:r>
        <w:lastRenderedPageBreak/>
        <w:tab/>
      </w:r>
      <w:r>
        <w:tab/>
        <w:t>The further hearing was held, as scheduled.</w:t>
      </w:r>
      <w:r w:rsidR="00570B6B">
        <w:t xml:space="preserve">  Mr. Duke, represented by counsel, testified in support of the complaint and presented the testimony of other witnesses</w:t>
      </w:r>
      <w:r w:rsidR="00C0643A">
        <w:t>.  A total of 23 exhibits were submitted by the Complainant.  All but Complainant’s Exhibit 14 were admitted into the record</w:t>
      </w:r>
      <w:r w:rsidR="005A2CCC">
        <w:rPr>
          <w:rStyle w:val="FootnoteReference"/>
        </w:rPr>
        <w:footnoteReference w:id="2"/>
      </w:r>
      <w:r w:rsidR="00C0643A">
        <w:t>.  Duquesne, represented by counsel, presented the testimony of two witnesses and submitted six exhibits, all of which were admitted.  Main and reply briefs were submitted by the parties.</w:t>
      </w:r>
    </w:p>
    <w:p w:rsidR="00C0643A" w:rsidRDefault="00C0643A" w:rsidP="00864518">
      <w:pPr>
        <w:spacing w:line="360" w:lineRule="auto"/>
      </w:pPr>
    </w:p>
    <w:p w:rsidR="00C0643A" w:rsidRDefault="00C0643A" w:rsidP="00864518">
      <w:pPr>
        <w:spacing w:line="360" w:lineRule="auto"/>
      </w:pPr>
      <w:r>
        <w:tab/>
      </w:r>
      <w:r>
        <w:tab/>
        <w:t>The record, consisting of the 133-page transcript of the hearings and the 28 total exhibits was closed by Order issued April 27, 2009.</w:t>
      </w:r>
    </w:p>
    <w:p w:rsidR="00C0643A" w:rsidRDefault="00C0643A" w:rsidP="00864518">
      <w:pPr>
        <w:spacing w:line="360" w:lineRule="auto"/>
      </w:pPr>
    </w:p>
    <w:p w:rsidR="00C0643A" w:rsidRDefault="006A43FA" w:rsidP="00864518">
      <w:pPr>
        <w:spacing w:line="360" w:lineRule="auto"/>
        <w:jc w:val="center"/>
      </w:pPr>
      <w:r>
        <w:rPr>
          <w:u w:val="single"/>
        </w:rPr>
        <w:t>FINDINGS OF FACT</w:t>
      </w:r>
    </w:p>
    <w:p w:rsidR="006A43FA" w:rsidRDefault="006A43FA" w:rsidP="00864518">
      <w:pPr>
        <w:spacing w:line="360" w:lineRule="auto"/>
      </w:pPr>
    </w:p>
    <w:p w:rsidR="006A43FA" w:rsidRDefault="006A43FA" w:rsidP="00864518">
      <w:pPr>
        <w:spacing w:line="360" w:lineRule="auto"/>
      </w:pPr>
      <w:r>
        <w:tab/>
      </w:r>
      <w:r>
        <w:tab/>
        <w:t>1.</w:t>
      </w:r>
      <w:r>
        <w:tab/>
        <w:t>The Complainant in this proceeding is Leonard W. Duke.  His address is 1464 James Street, Monroeville, PA 15146 (Tr. 35).</w:t>
      </w:r>
    </w:p>
    <w:p w:rsidR="006A43FA" w:rsidRDefault="006A43FA" w:rsidP="00864518">
      <w:pPr>
        <w:spacing w:line="360" w:lineRule="auto"/>
      </w:pPr>
    </w:p>
    <w:p w:rsidR="006A43FA" w:rsidRDefault="006A43FA" w:rsidP="00864518">
      <w:pPr>
        <w:spacing w:line="360" w:lineRule="auto"/>
      </w:pPr>
      <w:r>
        <w:tab/>
      </w:r>
      <w:r>
        <w:tab/>
        <w:t>2.</w:t>
      </w:r>
      <w:r>
        <w:tab/>
        <w:t>The Respondent in this proceeding is Duquesne Light Company.</w:t>
      </w:r>
    </w:p>
    <w:p w:rsidR="006A43FA" w:rsidRDefault="006A43FA" w:rsidP="00864518">
      <w:pPr>
        <w:spacing w:line="360" w:lineRule="auto"/>
      </w:pPr>
    </w:p>
    <w:p w:rsidR="006A43FA" w:rsidRDefault="006A43FA" w:rsidP="00864518">
      <w:pPr>
        <w:spacing w:line="360" w:lineRule="auto"/>
      </w:pPr>
      <w:r>
        <w:tab/>
      </w:r>
      <w:r>
        <w:tab/>
        <w:t>3.</w:t>
      </w:r>
      <w:r>
        <w:tab/>
        <w:t>The subject matter of this proceeding concerns billings for electric service furnished to</w:t>
      </w:r>
      <w:r w:rsidR="002D71AF">
        <w:t xml:space="preserve"> a Mad Mex restaurant at 5740 Baum Blvd., Pittsburgh, PA 15206-3775 (Comp. Ex.</w:t>
      </w:r>
      <w:r w:rsidR="000A4A56">
        <w:t> </w:t>
      </w:r>
      <w:r w:rsidR="002D71AF">
        <w:t>1).</w:t>
      </w:r>
    </w:p>
    <w:p w:rsidR="002D71AF" w:rsidRDefault="002D71AF" w:rsidP="00864518">
      <w:pPr>
        <w:spacing w:line="360" w:lineRule="auto"/>
      </w:pPr>
    </w:p>
    <w:p w:rsidR="002D71AF" w:rsidRDefault="002D71AF" w:rsidP="00864518">
      <w:pPr>
        <w:spacing w:line="360" w:lineRule="auto"/>
      </w:pPr>
      <w:r>
        <w:tab/>
      </w:r>
      <w:r>
        <w:tab/>
        <w:t>4.</w:t>
      </w:r>
      <w:r w:rsidR="007A34AB">
        <w:tab/>
        <w:t>Complainant’s witness Tausha Adams is the office manager for the Mad Mex, a part of the Big Burrito Restaurant Group, which has 10 restaurants in Allegheny County receiving electric service from Duquesne (Tr. 31-32).</w:t>
      </w:r>
    </w:p>
    <w:p w:rsidR="007A34AB" w:rsidRDefault="007A34AB" w:rsidP="00864518">
      <w:pPr>
        <w:spacing w:line="360" w:lineRule="auto"/>
      </w:pPr>
    </w:p>
    <w:p w:rsidR="007A34AB" w:rsidRDefault="00CA3FCF" w:rsidP="00864518">
      <w:pPr>
        <w:spacing w:line="360" w:lineRule="auto"/>
      </w:pPr>
      <w:r>
        <w:tab/>
      </w:r>
      <w:r>
        <w:tab/>
        <w:t>5.</w:t>
      </w:r>
      <w:r>
        <w:tab/>
        <w:t>Ms. Adams received a notice from Duquesne, dated December 7, 2007, pertaining to the settlement of Duquesne’s default-service energy supply filing.  She forwarded that notice to Leonard Duke for review because Mr. Duke does the energy audits for the company (Tr. 34).</w:t>
      </w:r>
    </w:p>
    <w:p w:rsidR="00CA3FCF" w:rsidRDefault="00CA3FCF" w:rsidP="00864518">
      <w:pPr>
        <w:spacing w:line="360" w:lineRule="auto"/>
      </w:pPr>
    </w:p>
    <w:p w:rsidR="00CA3FCF" w:rsidRDefault="00CA3FCF" w:rsidP="00864518">
      <w:pPr>
        <w:spacing w:line="360" w:lineRule="auto"/>
      </w:pPr>
      <w:r>
        <w:lastRenderedPageBreak/>
        <w:tab/>
      </w:r>
      <w:r>
        <w:tab/>
      </w:r>
      <w:r w:rsidR="002E228F">
        <w:t>6.</w:t>
      </w:r>
      <w:r w:rsidR="002E228F">
        <w:tab/>
        <w:t>Mr. Duke, the named Complainant, has been auditing the energy bills for the Big Burrito Restaurant Group for approximately 12 years (Tr. 35-36).</w:t>
      </w:r>
    </w:p>
    <w:p w:rsidR="003E2F2C" w:rsidRDefault="003E2F2C" w:rsidP="00864518">
      <w:pPr>
        <w:spacing w:line="360" w:lineRule="auto"/>
      </w:pPr>
    </w:p>
    <w:p w:rsidR="003E2F2C" w:rsidRDefault="003E2F2C" w:rsidP="00864518">
      <w:pPr>
        <w:spacing w:line="360" w:lineRule="auto"/>
      </w:pPr>
      <w:r>
        <w:tab/>
      </w:r>
      <w:r>
        <w:tab/>
        <w:t>7.</w:t>
      </w:r>
      <w:r>
        <w:tab/>
        <w:t>Based on the December 7, 2007 letter from Duquesne, Mr. Duke budgeted for an 8.9% increase in the restaurant’s electric bills for 2008 (Tr. 36-38).</w:t>
      </w:r>
    </w:p>
    <w:p w:rsidR="003E2F2C" w:rsidRDefault="003E2F2C" w:rsidP="00864518">
      <w:pPr>
        <w:spacing w:line="360" w:lineRule="auto"/>
      </w:pPr>
    </w:p>
    <w:p w:rsidR="003E2F2C" w:rsidRDefault="003E2F2C" w:rsidP="00864518">
      <w:pPr>
        <w:spacing w:line="360" w:lineRule="auto"/>
      </w:pPr>
      <w:r>
        <w:tab/>
      </w:r>
      <w:r>
        <w:tab/>
        <w:t>8.</w:t>
      </w:r>
      <w:r>
        <w:tab/>
        <w:t xml:space="preserve">When the electric bills began to be received in 2008, they were higher than the 8.9% increase that had been anticipated.  According to Mr. Duke, the bills were 17.7% higher than what they had been in 2007 (Tr. </w:t>
      </w:r>
      <w:r w:rsidR="00EB222E">
        <w:t>38).</w:t>
      </w:r>
    </w:p>
    <w:p w:rsidR="00EB222E" w:rsidRDefault="00EB222E" w:rsidP="00864518">
      <w:pPr>
        <w:spacing w:line="360" w:lineRule="auto"/>
      </w:pPr>
    </w:p>
    <w:p w:rsidR="00EB222E" w:rsidRDefault="00EB222E" w:rsidP="00864518">
      <w:pPr>
        <w:spacing w:line="360" w:lineRule="auto"/>
      </w:pPr>
      <w:r>
        <w:tab/>
      </w:r>
      <w:r>
        <w:tab/>
        <w:t>9.</w:t>
      </w:r>
      <w:r>
        <w:tab/>
        <w:t>Mr. Duke engaged Richard DiDonato to help him analyze and compare Mad Mex’s electric bills received in 2008 with those of 2007 (Tr. 38, 40-41).</w:t>
      </w:r>
    </w:p>
    <w:p w:rsidR="00EB222E" w:rsidRDefault="00EB222E" w:rsidP="00864518">
      <w:pPr>
        <w:spacing w:line="360" w:lineRule="auto"/>
      </w:pPr>
    </w:p>
    <w:p w:rsidR="00EB222E" w:rsidRDefault="00EB222E" w:rsidP="00864518">
      <w:pPr>
        <w:spacing w:line="360" w:lineRule="auto"/>
      </w:pPr>
      <w:r>
        <w:tab/>
      </w:r>
      <w:r>
        <w:tab/>
        <w:t>10</w:t>
      </w:r>
      <w:r w:rsidR="00E8557A">
        <w:t>.</w:t>
      </w:r>
      <w:r w:rsidR="00E8557A">
        <w:tab/>
        <w:t>Mr. Duke calculated that the Mad Mex was $1,683.30 over its budgeted electric costs for the 10 months following the change in the rates (Tr. 44).</w:t>
      </w:r>
    </w:p>
    <w:p w:rsidR="00E8557A" w:rsidRDefault="00E8557A" w:rsidP="00864518">
      <w:pPr>
        <w:spacing w:line="360" w:lineRule="auto"/>
      </w:pPr>
    </w:p>
    <w:p w:rsidR="00E8557A" w:rsidRDefault="00E8557A" w:rsidP="00864518">
      <w:pPr>
        <w:spacing w:line="360" w:lineRule="auto"/>
      </w:pPr>
      <w:r>
        <w:tab/>
      </w:r>
      <w:r>
        <w:tab/>
        <w:t>11.</w:t>
      </w:r>
      <w:r>
        <w:tab/>
        <w:t xml:space="preserve">Mr. Duke did not contact </w:t>
      </w:r>
      <w:r w:rsidR="00D76663">
        <w:t>his Duquesne</w:t>
      </w:r>
      <w:r>
        <w:t xml:space="preserve"> Service Representative at Duquesne to have the Representative calculate what the impact on his individual business based on the rate change (Tr. 46-47)</w:t>
      </w:r>
      <w:r w:rsidR="00D76663">
        <w:t>.</w:t>
      </w:r>
    </w:p>
    <w:p w:rsidR="00D76663" w:rsidRDefault="00D76663" w:rsidP="00864518">
      <w:pPr>
        <w:spacing w:line="360" w:lineRule="auto"/>
      </w:pPr>
    </w:p>
    <w:p w:rsidR="00D76663" w:rsidRDefault="00D76663" w:rsidP="00864518">
      <w:pPr>
        <w:spacing w:line="360" w:lineRule="auto"/>
      </w:pPr>
      <w:r>
        <w:tab/>
      </w:r>
      <w:r>
        <w:tab/>
        <w:t>12.</w:t>
      </w:r>
      <w:r>
        <w:tab/>
        <w:t>Mr. Duke saw the sentence in the December 7, 2007 letter from Duquesne that the actual change in his bill would be determined by his specific usage pattern and may be greater or less than the average stated above, but he did not ask his Duquesne Service Representative about that sentence (Tr. 47-48).</w:t>
      </w:r>
    </w:p>
    <w:p w:rsidR="00D76663" w:rsidRDefault="00D76663" w:rsidP="00864518">
      <w:pPr>
        <w:spacing w:line="360" w:lineRule="auto"/>
      </w:pPr>
    </w:p>
    <w:p w:rsidR="00D76663" w:rsidRDefault="00D76663" w:rsidP="00864518">
      <w:pPr>
        <w:spacing w:line="360" w:lineRule="auto"/>
      </w:pPr>
      <w:r>
        <w:tab/>
      </w:r>
      <w:r>
        <w:tab/>
        <w:t>13.</w:t>
      </w:r>
      <w:r>
        <w:tab/>
        <w:t>It is Mr. Duke’s understanding of the electric usage at Mad Mex</w:t>
      </w:r>
      <w:r w:rsidR="005C7A9E">
        <w:t xml:space="preserve"> is that the demand varies from month to month (Tr. 49).</w:t>
      </w:r>
    </w:p>
    <w:p w:rsidR="005C7A9E" w:rsidRDefault="005C7A9E" w:rsidP="00864518">
      <w:pPr>
        <w:spacing w:line="360" w:lineRule="auto"/>
      </w:pPr>
    </w:p>
    <w:p w:rsidR="005C7A9E" w:rsidRDefault="00CE5B17" w:rsidP="00864518">
      <w:pPr>
        <w:spacing w:line="360" w:lineRule="auto"/>
      </w:pPr>
      <w:r>
        <w:tab/>
      </w:r>
      <w:r>
        <w:tab/>
        <w:t>14.</w:t>
      </w:r>
      <w:r>
        <w:tab/>
        <w:t xml:space="preserve">Richard DiDonato, a Commercial Sales Rep with Duquesne from 1982 to 1996, and since then a sales consultant with KMAC selling energy management equipment, and comparing energy bills and performing energy audits, was engaged by Mr. Duke to analyze and </w:t>
      </w:r>
      <w:r>
        <w:lastRenderedPageBreak/>
        <w:t>compare the electric bills of Mad Mex for February through October in both 2007 and 2008 (Tr. 51-52).</w:t>
      </w:r>
    </w:p>
    <w:p w:rsidR="00EC68E2" w:rsidRDefault="00EC68E2" w:rsidP="00864518">
      <w:pPr>
        <w:spacing w:line="360" w:lineRule="auto"/>
      </w:pPr>
    </w:p>
    <w:p w:rsidR="00CE5B17" w:rsidRDefault="00CE5B17" w:rsidP="00864518">
      <w:pPr>
        <w:spacing w:line="360" w:lineRule="auto"/>
      </w:pPr>
      <w:r>
        <w:tab/>
      </w:r>
      <w:r>
        <w:tab/>
        <w:t>15.</w:t>
      </w:r>
      <w:r>
        <w:tab/>
        <w:t>Mr. DiDonato summarized his analysis and comparison on Complainant’s Exhibit 2.  It is his opinion that for the 10-month period, beginning</w:t>
      </w:r>
      <w:r w:rsidR="00F96F06">
        <w:t xml:space="preserve"> with the meter reading date of</w:t>
      </w:r>
      <w:r>
        <w:t xml:space="preserve"> March 10, 2008 and ending</w:t>
      </w:r>
      <w:r w:rsidR="00F96F06">
        <w:t xml:space="preserve"> with the meter reading date of</w:t>
      </w:r>
      <w:r>
        <w:t xml:space="preserve"> December 10,</w:t>
      </w:r>
      <w:r w:rsidR="00D24D13">
        <w:t xml:space="preserve"> </w:t>
      </w:r>
      <w:r>
        <w:t>2008, the electric bills for the Mad Mex were, on average, 17.7% higher than the electric bills in 2007 for the same period (Tr. 52</w:t>
      </w:r>
      <w:r w:rsidR="00F96F06">
        <w:t>; Comp. Ex. 2</w:t>
      </w:r>
      <w:r>
        <w:t>).</w:t>
      </w:r>
    </w:p>
    <w:p w:rsidR="00F96F06" w:rsidRDefault="00F96F06" w:rsidP="00864518">
      <w:pPr>
        <w:spacing w:line="360" w:lineRule="auto"/>
      </w:pPr>
    </w:p>
    <w:p w:rsidR="00F96F06" w:rsidRDefault="00F96F06" w:rsidP="00864518">
      <w:pPr>
        <w:spacing w:line="360" w:lineRule="auto"/>
      </w:pPr>
      <w:r>
        <w:tab/>
      </w:r>
      <w:r>
        <w:tab/>
        <w:t>16.</w:t>
      </w:r>
      <w:r>
        <w:tab/>
        <w:t>Mr. DiDonato</w:t>
      </w:r>
      <w:r w:rsidR="00CA663E">
        <w:t xml:space="preserve"> compared Mad Mex’s cost per kilowatts and cost per kilowatt hours, by applying Duquesne’s tariff rates for 2007 and 2008 to Mad Mex’s 2008 billing history for each of the 10 months (Tr. 57; Comp. Exs. 3a through 12B).</w:t>
      </w:r>
    </w:p>
    <w:p w:rsidR="00CA663E" w:rsidRDefault="00CA663E" w:rsidP="00864518">
      <w:pPr>
        <w:spacing w:line="360" w:lineRule="auto"/>
      </w:pPr>
    </w:p>
    <w:p w:rsidR="00CA663E" w:rsidRDefault="00CA663E" w:rsidP="00864518">
      <w:pPr>
        <w:spacing w:line="360" w:lineRule="auto"/>
      </w:pPr>
      <w:r>
        <w:tab/>
      </w:r>
      <w:r>
        <w:tab/>
        <w:t>17.</w:t>
      </w:r>
      <w:r>
        <w:tab/>
        <w:t xml:space="preserve">Mr. DiDonato did not use Mad Mex’s bill based on the January 10, 2008 meter </w:t>
      </w:r>
      <w:r w:rsidR="009B4276">
        <w:t>reading</w:t>
      </w:r>
      <w:r>
        <w:t xml:space="preserve"> date, because it would have included 20 days of billings on the prior date and 10 days of billings on the new rate.  He did not use the February 2008 bill because he didn’t have that information (Tr. 58-59).</w:t>
      </w:r>
    </w:p>
    <w:p w:rsidR="00ED74C0" w:rsidRDefault="00ED74C0" w:rsidP="00864518">
      <w:pPr>
        <w:spacing w:line="360" w:lineRule="auto"/>
      </w:pPr>
    </w:p>
    <w:p w:rsidR="00ED74C0" w:rsidRDefault="00ED74C0" w:rsidP="00864518">
      <w:pPr>
        <w:spacing w:line="360" w:lineRule="auto"/>
      </w:pPr>
      <w:r>
        <w:tab/>
      </w:r>
      <w:r>
        <w:tab/>
        <w:t>18.</w:t>
      </w:r>
      <w:r>
        <w:tab/>
        <w:t>Mr. Duke and Mr. DiDonato both testified that they understood an increase of 8.9% on average, as indicated in Duquesne’s letter of December 7, 2007, would be within a reasonable range of 7% to 11% (Tr. 50, 68).</w:t>
      </w:r>
    </w:p>
    <w:p w:rsidR="00ED74C0" w:rsidRDefault="00ED74C0" w:rsidP="00864518">
      <w:pPr>
        <w:spacing w:line="360" w:lineRule="auto"/>
      </w:pPr>
    </w:p>
    <w:p w:rsidR="00ED74C0" w:rsidRDefault="00ED74C0" w:rsidP="00864518">
      <w:pPr>
        <w:spacing w:line="360" w:lineRule="auto"/>
      </w:pPr>
      <w:r>
        <w:tab/>
      </w:r>
      <w:r>
        <w:tab/>
        <w:t>19.</w:t>
      </w:r>
      <w:r>
        <w:tab/>
        <w:t>Mr. DiDonato saw many of his Duquesne “GM” see an increase in the electric bills of between 15% to 23%.  He does not have any customers in Duquesne’s “GS/GM” customer class (Tr. 68-69).</w:t>
      </w:r>
    </w:p>
    <w:p w:rsidR="00380B7B" w:rsidRDefault="00380B7B" w:rsidP="00864518">
      <w:pPr>
        <w:spacing w:line="360" w:lineRule="auto"/>
      </w:pPr>
    </w:p>
    <w:p w:rsidR="00380B7B" w:rsidRDefault="00380B7B" w:rsidP="00864518">
      <w:pPr>
        <w:spacing w:line="360" w:lineRule="auto"/>
      </w:pPr>
      <w:r>
        <w:tab/>
      </w:r>
      <w:r>
        <w:tab/>
        <w:t>20.</w:t>
      </w:r>
      <w:r>
        <w:tab/>
        <w:t xml:space="preserve">Mr. DiDonato did </w:t>
      </w:r>
      <w:r w:rsidR="008B1BED">
        <w:t xml:space="preserve">not </w:t>
      </w:r>
      <w:r>
        <w:t>compare the actual 2007 electric bills for Mad Mex with its actual 2008 electric bills, and does not know the actual dollar increase in the bills for 2008 over 2007</w:t>
      </w:r>
      <w:r w:rsidR="005673F3">
        <w:t xml:space="preserve"> (Tr. 69-70)</w:t>
      </w:r>
    </w:p>
    <w:p w:rsidR="005673F3" w:rsidRDefault="005673F3" w:rsidP="00864518">
      <w:pPr>
        <w:spacing w:line="360" w:lineRule="auto"/>
      </w:pPr>
    </w:p>
    <w:p w:rsidR="005673F3" w:rsidRDefault="005673F3" w:rsidP="00864518">
      <w:pPr>
        <w:spacing w:line="360" w:lineRule="auto"/>
      </w:pPr>
      <w:r>
        <w:lastRenderedPageBreak/>
        <w:tab/>
      </w:r>
      <w:r>
        <w:tab/>
        <w:t>21.</w:t>
      </w:r>
      <w:r>
        <w:tab/>
        <w:t>Mr. DiDonato’s conclusion that Mad Mex experienced an increase in its electric bills of $1,600.00 is based on his calculations (Tr. 70).</w:t>
      </w:r>
    </w:p>
    <w:p w:rsidR="005673F3" w:rsidRDefault="005673F3" w:rsidP="00864518">
      <w:pPr>
        <w:spacing w:line="360" w:lineRule="auto"/>
      </w:pPr>
    </w:p>
    <w:p w:rsidR="005673F3" w:rsidRDefault="005673F3" w:rsidP="00864518">
      <w:pPr>
        <w:spacing w:line="360" w:lineRule="auto"/>
      </w:pPr>
      <w:r>
        <w:tab/>
      </w:r>
      <w:r>
        <w:tab/>
        <w:t>22.</w:t>
      </w:r>
      <w:r>
        <w:tab/>
        <w:t>Mr. DiDonato’s calculations included not only the default service settlement rates, but also the transmission service rate increase that became effective in June of 2008 (Tr. 70)</w:t>
      </w:r>
      <w:r w:rsidR="009B4276">
        <w:t>.</w:t>
      </w:r>
    </w:p>
    <w:p w:rsidR="003C0CBC" w:rsidRDefault="003C0CBC" w:rsidP="00864518">
      <w:pPr>
        <w:spacing w:line="360" w:lineRule="auto"/>
      </w:pPr>
    </w:p>
    <w:p w:rsidR="003C0CBC" w:rsidRDefault="003C0CBC" w:rsidP="00864518">
      <w:pPr>
        <w:spacing w:line="360" w:lineRule="auto"/>
      </w:pPr>
      <w:r>
        <w:tab/>
      </w:r>
      <w:r>
        <w:tab/>
        <w:t>23.</w:t>
      </w:r>
      <w:r>
        <w:tab/>
        <w:t xml:space="preserve">Mr. DiDonato does not know if Mad Mex filed a complaint in either the default service or transmission service rate cases </w:t>
      </w:r>
      <w:r w:rsidR="00A82B7D">
        <w:t>(Tr. 71).</w:t>
      </w:r>
    </w:p>
    <w:p w:rsidR="009C4807" w:rsidRDefault="009C4807" w:rsidP="00864518">
      <w:pPr>
        <w:spacing w:line="360" w:lineRule="auto"/>
      </w:pPr>
    </w:p>
    <w:p w:rsidR="009C4807" w:rsidRDefault="009C4807" w:rsidP="00864518">
      <w:pPr>
        <w:spacing w:line="360" w:lineRule="auto"/>
      </w:pPr>
      <w:r>
        <w:tab/>
      </w:r>
      <w:r>
        <w:tab/>
        <w:t>24.</w:t>
      </w:r>
      <w:r>
        <w:tab/>
        <w:t>Deborah Brown employed by Duquesne</w:t>
      </w:r>
      <w:r w:rsidR="0000765C">
        <w:t xml:space="preserve"> for 34 years, the last two of which she has been a Regulatory Analyst</w:t>
      </w:r>
      <w:r>
        <w:t>, testified that the Statement of Account for Mad Mex does not show drastic changes in this customers billings from May of 2006 to April of 2008, the period of time shown on the Statement (Tr. 7</w:t>
      </w:r>
      <w:r w:rsidR="0000765C">
        <w:t>7</w:t>
      </w:r>
      <w:r>
        <w:t>-79; Resp. Ex. 1).</w:t>
      </w:r>
    </w:p>
    <w:p w:rsidR="009C4807" w:rsidRDefault="009C4807" w:rsidP="00864518">
      <w:pPr>
        <w:spacing w:line="360" w:lineRule="auto"/>
      </w:pPr>
    </w:p>
    <w:p w:rsidR="009C4807" w:rsidRDefault="0062673C" w:rsidP="00864518">
      <w:pPr>
        <w:spacing w:line="360" w:lineRule="auto"/>
      </w:pPr>
      <w:r>
        <w:tab/>
      </w:r>
      <w:r>
        <w:tab/>
        <w:t>24.</w:t>
      </w:r>
      <w:r>
        <w:tab/>
        <w:t>Ms. Brown also noted that the amount of Mad Mex’s bills payable April 27, 2007, in the amount of $1,983.25 is substantially similar in amount to its bill for current service payable March 27, 2008, in the amount of $1,975.36</w:t>
      </w:r>
      <w:r w:rsidR="00BE25DD">
        <w:t xml:space="preserve"> (Tr. 80-81; Resp. Exs. 2-3).</w:t>
      </w:r>
    </w:p>
    <w:p w:rsidR="00BE25DD" w:rsidRDefault="00BE25DD" w:rsidP="00864518">
      <w:pPr>
        <w:spacing w:line="360" w:lineRule="auto"/>
      </w:pPr>
    </w:p>
    <w:p w:rsidR="00BE25DD" w:rsidRDefault="00BE25DD" w:rsidP="00864518">
      <w:pPr>
        <w:spacing w:line="360" w:lineRule="auto"/>
      </w:pPr>
      <w:r>
        <w:tab/>
      </w:r>
      <w:r>
        <w:tab/>
        <w:t>25.</w:t>
      </w:r>
      <w:r>
        <w:tab/>
        <w:t>Ms. Brown’s testimony concerns only the total amounts bill</w:t>
      </w:r>
      <w:r w:rsidR="008B1BED">
        <w:t>ed</w:t>
      </w:r>
      <w:r>
        <w:t xml:space="preserve"> to Mad Mex and does not take into account any changes in demand or usage during the times reflected in Respondent’s Exhibits 1-3 (Tr.</w:t>
      </w:r>
      <w:r w:rsidR="00022DBE">
        <w:t>81-90).</w:t>
      </w:r>
    </w:p>
    <w:p w:rsidR="00022DBE" w:rsidRDefault="00022DBE" w:rsidP="00864518">
      <w:pPr>
        <w:spacing w:line="360" w:lineRule="auto"/>
      </w:pPr>
    </w:p>
    <w:p w:rsidR="00022DBE" w:rsidRDefault="00022DBE" w:rsidP="00864518">
      <w:pPr>
        <w:spacing w:line="360" w:lineRule="auto"/>
      </w:pPr>
      <w:r>
        <w:tab/>
      </w:r>
      <w:r>
        <w:tab/>
        <w:t>26.</w:t>
      </w:r>
      <w:r>
        <w:tab/>
        <w:t>William Pfrommer employed by Duquesne</w:t>
      </w:r>
      <w:r w:rsidR="0000765C">
        <w:t xml:space="preserve"> for 27 years, the last six of which</w:t>
      </w:r>
      <w:r>
        <w:t xml:space="preserve"> as the Manager of Rates and Tariff Services</w:t>
      </w:r>
      <w:r w:rsidR="0000765C">
        <w:t>,</w:t>
      </w:r>
      <w:r w:rsidR="00980FEB">
        <w:t xml:space="preserve"> testified that Rate GM is the tariff rate charged commercial industrial customers, up to a monthly meter demand of about 300 kilowatts.  Rate GS is a subset of Rate GS/GM, that is billed to customers with small usage, le</w:t>
      </w:r>
      <w:r w:rsidR="00326FD6">
        <w:t>ss</w:t>
      </w:r>
      <w:r w:rsidR="00980FEB">
        <w:t xml:space="preserve"> than 1000 kilowatt hours per month and typically do not have a billing demand (Tr. 92-94).</w:t>
      </w:r>
    </w:p>
    <w:p w:rsidR="00980FEB" w:rsidRDefault="00980FEB" w:rsidP="00864518">
      <w:pPr>
        <w:spacing w:line="360" w:lineRule="auto"/>
      </w:pPr>
    </w:p>
    <w:p w:rsidR="00980FEB" w:rsidRDefault="00980FEB" w:rsidP="00864518">
      <w:pPr>
        <w:spacing w:line="360" w:lineRule="auto"/>
      </w:pPr>
      <w:r>
        <w:tab/>
      </w:r>
      <w:r>
        <w:tab/>
        <w:t>27.</w:t>
      </w:r>
      <w:r>
        <w:tab/>
        <w:t>Approximately 22,000 customers are GS customers, which is about 40% of the customers in Rate GS/GM</w:t>
      </w:r>
      <w:r w:rsidR="00FC4485">
        <w:t xml:space="preserve"> (Tr. 94).</w:t>
      </w:r>
    </w:p>
    <w:p w:rsidR="00FC4485" w:rsidRDefault="00FC4485" w:rsidP="00864518">
      <w:pPr>
        <w:spacing w:line="360" w:lineRule="auto"/>
      </w:pPr>
      <w:r>
        <w:lastRenderedPageBreak/>
        <w:tab/>
      </w:r>
      <w:r>
        <w:tab/>
        <w:t>28.</w:t>
      </w:r>
      <w:r>
        <w:tab/>
        <w:t>Duquesne’s tariff changes, approved by the Commission in June of 2007 became effective January 1, 2008</w:t>
      </w:r>
      <w:r w:rsidR="00EE3256">
        <w:t>.  These rates will move supply charges closer to the market place and gradually phase out demand charges, so that Duquesne is recovering the costs in the energy or consumption part of the rates (Tr. 93, 95).</w:t>
      </w:r>
    </w:p>
    <w:p w:rsidR="000B0D33" w:rsidRDefault="000B0D33" w:rsidP="00864518">
      <w:pPr>
        <w:spacing w:line="360" w:lineRule="auto"/>
      </w:pPr>
    </w:p>
    <w:p w:rsidR="000B0D33" w:rsidRDefault="000B0D33" w:rsidP="00864518">
      <w:pPr>
        <w:spacing w:line="360" w:lineRule="auto"/>
      </w:pPr>
      <w:r>
        <w:tab/>
      </w:r>
      <w:r>
        <w:tab/>
        <w:t>29.</w:t>
      </w:r>
      <w:r>
        <w:tab/>
        <w:t>Mr. Pfrommer has no objections to the calculations submitted by Mad Mex, no</w:t>
      </w:r>
      <w:r w:rsidR="008B1BED">
        <w:t>r</w:t>
      </w:r>
      <w:r>
        <w:t xml:space="preserve"> does </w:t>
      </w:r>
      <w:r w:rsidR="008B1BED">
        <w:t xml:space="preserve">he </w:t>
      </w:r>
      <w:r>
        <w:t>have any objections to the calculations supporting the projected 8.9% average increase for the GS/GM rate class.  He believes the projected 8.9% average increase for the class was accurate at t</w:t>
      </w:r>
      <w:r w:rsidR="00B06F85">
        <w:t xml:space="preserve">he time the letter of December </w:t>
      </w:r>
      <w:r>
        <w:t>7, 2007 was sent to customers (Tr. 9</w:t>
      </w:r>
      <w:r w:rsidR="00D84F8A">
        <w:t>6</w:t>
      </w:r>
      <w:r>
        <w:t>-97).</w:t>
      </w:r>
    </w:p>
    <w:p w:rsidR="000B0D33" w:rsidRDefault="000B0D33" w:rsidP="00864518">
      <w:pPr>
        <w:spacing w:line="360" w:lineRule="auto"/>
      </w:pPr>
    </w:p>
    <w:p w:rsidR="000B0D33" w:rsidRDefault="000B0D33" w:rsidP="00864518">
      <w:pPr>
        <w:spacing w:line="360" w:lineRule="auto"/>
      </w:pPr>
      <w:r>
        <w:tab/>
      </w:r>
      <w:r>
        <w:tab/>
        <w:t>30.</w:t>
      </w:r>
      <w:r w:rsidR="00D84F8A">
        <w:tab/>
        <w:t xml:space="preserve">Mr. Pfrommer noted that the increase experienced by Mad Mex was greater than the class average.  According to Mr. Pfrommer that is the result of Mad Mex’s demand being </w:t>
      </w:r>
      <w:r w:rsidR="009B4276">
        <w:t>lower</w:t>
      </w:r>
      <w:r w:rsidR="00D84F8A">
        <w:t xml:space="preserve"> and the effect of the rates increasing the energy charges (Tr. 97-98).</w:t>
      </w:r>
    </w:p>
    <w:p w:rsidR="00D84F8A" w:rsidRDefault="00D84F8A" w:rsidP="00864518">
      <w:pPr>
        <w:spacing w:line="360" w:lineRule="auto"/>
      </w:pPr>
    </w:p>
    <w:p w:rsidR="00D84F8A" w:rsidRDefault="00D84F8A" w:rsidP="00864518">
      <w:pPr>
        <w:spacing w:line="360" w:lineRule="auto"/>
      </w:pPr>
      <w:r>
        <w:tab/>
      </w:r>
      <w:r>
        <w:tab/>
        <w:t>31.</w:t>
      </w:r>
      <w:r>
        <w:tab/>
      </w:r>
      <w:r w:rsidR="00B06F85">
        <w:t xml:space="preserve">The calculation of the projected 8.9% average class increase as stated in the December 7, 2007 letter was based on Duquesne’s Transmission Service Charges rates in effect on January 1, 2008.  The Transmission Service Charges </w:t>
      </w:r>
      <w:r w:rsidR="0090055A">
        <w:t>increased effective June 1, 2008 (Tr. 98-99</w:t>
      </w:r>
      <w:r w:rsidR="00966204">
        <w:t>; Resp. Ex. 5</w:t>
      </w:r>
      <w:r w:rsidR="0090055A">
        <w:t>).</w:t>
      </w:r>
    </w:p>
    <w:p w:rsidR="00AE7DD9" w:rsidRDefault="00AE7DD9" w:rsidP="00864518">
      <w:pPr>
        <w:spacing w:line="360" w:lineRule="auto"/>
      </w:pPr>
    </w:p>
    <w:p w:rsidR="00AE7DD9" w:rsidRDefault="00AE7DD9" w:rsidP="00864518">
      <w:pPr>
        <w:spacing w:line="360" w:lineRule="auto"/>
      </w:pPr>
      <w:r>
        <w:tab/>
      </w:r>
      <w:r>
        <w:tab/>
        <w:t>32.</w:t>
      </w:r>
      <w:r>
        <w:tab/>
        <w:t>The demand charges that became effective on January 1, 2008 were lower than they had been during 2007</w:t>
      </w:r>
      <w:r w:rsidR="00966204">
        <w:t>, and GS customers do not pay a demand charge.  This is part of the reason why the projected 8.9% average increase for the Rate GS/GM class could change drastically for individual customers in that class (T</w:t>
      </w:r>
      <w:r w:rsidR="00326FD6">
        <w:t>r</w:t>
      </w:r>
      <w:r w:rsidR="00966204">
        <w:t>. 103-104; Resp. Ex. 6).</w:t>
      </w:r>
    </w:p>
    <w:p w:rsidR="00966204" w:rsidRDefault="00966204" w:rsidP="00864518">
      <w:pPr>
        <w:spacing w:line="360" w:lineRule="auto"/>
      </w:pPr>
    </w:p>
    <w:p w:rsidR="00966204" w:rsidRDefault="00966204" w:rsidP="00864518">
      <w:pPr>
        <w:spacing w:line="360" w:lineRule="auto"/>
      </w:pPr>
      <w:r>
        <w:tab/>
      </w:r>
      <w:r>
        <w:tab/>
        <w:t>33.</w:t>
      </w:r>
      <w:r>
        <w:tab/>
        <w:t xml:space="preserve">Mad Mex decreased its demand in 2008 from </w:t>
      </w:r>
      <w:r w:rsidR="009B4276">
        <w:t>2007;</w:t>
      </w:r>
      <w:r>
        <w:t xml:space="preserve"> however, because the demand ch</w:t>
      </w:r>
      <w:r w:rsidR="00EA182F">
        <w:t>arges were lower in 2008 its monthly bills are less affected by its reduced demand.  In order for Mad Mex to reduce its monthly electric bills an option that can be considered is for it to reduce its electric consumption</w:t>
      </w:r>
      <w:r w:rsidR="00F571DA">
        <w:t>.  One of the goals of the tariff changes was to encourage energy conservation (Tr. 104-105).</w:t>
      </w:r>
    </w:p>
    <w:p w:rsidR="00F571DA" w:rsidRDefault="00F571DA" w:rsidP="00864518">
      <w:pPr>
        <w:spacing w:line="360" w:lineRule="auto"/>
      </w:pPr>
    </w:p>
    <w:p w:rsidR="00F571DA" w:rsidRDefault="00F571DA" w:rsidP="00864518">
      <w:pPr>
        <w:spacing w:line="360" w:lineRule="auto"/>
      </w:pPr>
      <w:r>
        <w:lastRenderedPageBreak/>
        <w:tab/>
      </w:r>
      <w:r>
        <w:tab/>
        <w:t>34.</w:t>
      </w:r>
      <w:r>
        <w:tab/>
        <w:t>The 8.9% projected increase for the customers in Rate Class GS/GM was calculated as an average of the increase of all customers in that Class, based on the rates that became effective January 1, 2008, using the billing data from all customers in the class</w:t>
      </w:r>
      <w:r w:rsidR="00097710">
        <w:t>.  It was calculated as the average increase for the Class based on the total amount of Class customers’ bills</w:t>
      </w:r>
      <w:r>
        <w:t xml:space="preserve"> (Tr. 106-107</w:t>
      </w:r>
      <w:r w:rsidR="00097710">
        <w:t>; 128-129</w:t>
      </w:r>
      <w:r>
        <w:t>).</w:t>
      </w:r>
    </w:p>
    <w:p w:rsidR="00097710" w:rsidRDefault="00097710" w:rsidP="00864518">
      <w:pPr>
        <w:spacing w:line="360" w:lineRule="auto"/>
      </w:pPr>
    </w:p>
    <w:p w:rsidR="00097710" w:rsidRDefault="00B016FE" w:rsidP="00864518">
      <w:pPr>
        <w:spacing w:line="360" w:lineRule="auto"/>
        <w:jc w:val="center"/>
      </w:pPr>
      <w:r>
        <w:rPr>
          <w:u w:val="single"/>
        </w:rPr>
        <w:t>DISCUSSION</w:t>
      </w:r>
    </w:p>
    <w:p w:rsidR="00B016FE" w:rsidRDefault="00B016FE" w:rsidP="00864518">
      <w:pPr>
        <w:spacing w:line="360" w:lineRule="auto"/>
      </w:pPr>
    </w:p>
    <w:p w:rsidR="00B016FE" w:rsidRPr="00F81039" w:rsidRDefault="00B016FE" w:rsidP="00864518">
      <w:pPr>
        <w:spacing w:line="360" w:lineRule="auto"/>
        <w:ind w:firstLine="1440"/>
        <w:rPr>
          <w:rFonts w:eastAsia="Calibri" w:cs="Times New Roman"/>
        </w:rPr>
      </w:pPr>
      <w:r w:rsidRPr="00F81039">
        <w:rPr>
          <w:rFonts w:eastAsia="Calibri" w:cs="Times New Roman"/>
        </w:rPr>
        <w:t xml:space="preserve">Section 701 of the Public Utility </w:t>
      </w:r>
      <w:r w:rsidR="00864518">
        <w:rPr>
          <w:rFonts w:eastAsia="Calibri" w:cs="Times New Roman"/>
        </w:rPr>
        <w:t>C</w:t>
      </w:r>
      <w:r w:rsidRPr="00F81039">
        <w:rPr>
          <w:rFonts w:eastAsia="Calibri" w:cs="Times New Roman"/>
        </w:rPr>
        <w:t xml:space="preserve">ode (Code), 66 Pa. C.S. §701 provides that any person may complain, in writing, about any act or thing done or omitted to be done by a public utility in violation, or claimed violation, of any law which the Commission has the jurisdiction to administer, or of any regulation or order of the Commission.  Section 332(a) of the Code, 66 </w:t>
      </w:r>
      <w:smartTag w:uri="urn:schemas-microsoft-com:office:smarttags" w:element="place">
        <w:smartTag w:uri="urn:schemas-microsoft-com:office:smarttags" w:element="State">
          <w:r w:rsidRPr="00F81039">
            <w:rPr>
              <w:rFonts w:eastAsia="Calibri" w:cs="Times New Roman"/>
            </w:rPr>
            <w:t>Pa.</w:t>
          </w:r>
        </w:smartTag>
      </w:smartTag>
      <w:r w:rsidRPr="00F81039">
        <w:rPr>
          <w:rFonts w:eastAsia="Calibri" w:cs="Times New Roman"/>
        </w:rPr>
        <w:t xml:space="preserve"> C.S. §332(a), provides that the party seeking affirmative relief from the Commi</w:t>
      </w:r>
      <w:r>
        <w:rPr>
          <w:rFonts w:eastAsia="Calibri" w:cs="Times New Roman"/>
        </w:rPr>
        <w:t>ssion has the burden of proof.</w:t>
      </w:r>
    </w:p>
    <w:p w:rsidR="00B016FE" w:rsidRPr="00F81039" w:rsidRDefault="00B016FE" w:rsidP="00864518">
      <w:pPr>
        <w:spacing w:line="360" w:lineRule="auto"/>
        <w:ind w:firstLine="1440"/>
        <w:rPr>
          <w:rFonts w:eastAsia="Calibri" w:cs="Times New Roman"/>
        </w:rPr>
      </w:pPr>
    </w:p>
    <w:p w:rsidR="00B016FE" w:rsidRPr="00F81039" w:rsidRDefault="00B016FE" w:rsidP="00864518">
      <w:pPr>
        <w:spacing w:line="360" w:lineRule="auto"/>
        <w:ind w:firstLine="1440"/>
        <w:rPr>
          <w:rFonts w:eastAsia="Calibri" w:cs="Times New Roman"/>
        </w:rPr>
      </w:pPr>
      <w:r w:rsidRPr="00F81039">
        <w:rPr>
          <w:rFonts w:eastAsia="Calibri" w:cs="Times New Roman"/>
        </w:rPr>
        <w:t>In alleging</w:t>
      </w:r>
      <w:r>
        <w:rPr>
          <w:rFonts w:eastAsia="Calibri" w:cs="Times New Roman"/>
        </w:rPr>
        <w:t xml:space="preserve"> a billing dispute</w:t>
      </w:r>
      <w:r w:rsidRPr="00F81039">
        <w:rPr>
          <w:rFonts w:eastAsia="Calibri" w:cs="Times New Roman"/>
        </w:rPr>
        <w:t xml:space="preserve">, and requesting </w:t>
      </w:r>
      <w:r>
        <w:rPr>
          <w:rFonts w:eastAsia="Calibri" w:cs="Times New Roman"/>
        </w:rPr>
        <w:t>a refund and rate adjustment</w:t>
      </w:r>
      <w:r w:rsidRPr="00F81039">
        <w:rPr>
          <w:rFonts w:eastAsia="Calibri" w:cs="Times New Roman"/>
        </w:rPr>
        <w:t>, it is clear that</w:t>
      </w:r>
      <w:r>
        <w:rPr>
          <w:rFonts w:eastAsia="Calibri" w:cs="Times New Roman"/>
        </w:rPr>
        <w:t xml:space="preserve"> Mr. Duke</w:t>
      </w:r>
      <w:r w:rsidRPr="00F81039">
        <w:rPr>
          <w:rFonts w:eastAsia="Calibri" w:cs="Times New Roman"/>
        </w:rPr>
        <w:t xml:space="preserve"> is the party seeking affirmative relief from the Commission, and, therefore, has the burden of proof.  This means that</w:t>
      </w:r>
      <w:r>
        <w:rPr>
          <w:rFonts w:eastAsia="Calibri" w:cs="Times New Roman"/>
        </w:rPr>
        <w:t xml:space="preserve"> he</w:t>
      </w:r>
      <w:r w:rsidRPr="00F81039">
        <w:rPr>
          <w:rFonts w:eastAsia="Calibri" w:cs="Times New Roman"/>
        </w:rPr>
        <w:t xml:space="preserve"> has the duty to establish a fact by a preponderance of the evidence, and must show that the utility is responsible or accountable for the problem described in the complaint.  </w:t>
      </w:r>
      <w:r w:rsidRPr="00F81039">
        <w:rPr>
          <w:rFonts w:eastAsia="Calibri" w:cs="Times New Roman"/>
          <w:i/>
        </w:rPr>
        <w:t>Se-Ling Hosiery, Inc. v. Margulies</w:t>
      </w:r>
      <w:r w:rsidRPr="00F81039">
        <w:rPr>
          <w:rFonts w:eastAsia="Calibri" w:cs="Times New Roman"/>
        </w:rPr>
        <w:t xml:space="preserve">, 364 </w:t>
      </w:r>
      <w:smartTag w:uri="urn:schemas-microsoft-com:office:smarttags" w:element="place">
        <w:smartTag w:uri="urn:schemas-microsoft-com:office:smarttags" w:element="State">
          <w:r w:rsidRPr="00F81039">
            <w:rPr>
              <w:rFonts w:eastAsia="Calibri" w:cs="Times New Roman"/>
            </w:rPr>
            <w:t>Pa.</w:t>
          </w:r>
        </w:smartTag>
      </w:smartTag>
      <w:r w:rsidRPr="00F81039">
        <w:rPr>
          <w:rFonts w:eastAsia="Calibri" w:cs="Times New Roman"/>
        </w:rPr>
        <w:t xml:space="preserve"> 45, 70 A.2d 854 (1950); </w:t>
      </w:r>
      <w:r w:rsidRPr="00F81039">
        <w:rPr>
          <w:rFonts w:eastAsia="Calibri" w:cs="Times New Roman"/>
          <w:i/>
        </w:rPr>
        <w:t>Feinstein v. Philadelphia Suburban Water Company</w:t>
      </w:r>
      <w:r w:rsidRPr="00F81039">
        <w:rPr>
          <w:rFonts w:eastAsia="Calibri" w:cs="Times New Roman"/>
        </w:rPr>
        <w:t xml:space="preserve">, 50 PA PUC 300 (1976).  Additionally, care must be exercised to insure that the decision of the Commission is supported by substantial evidence in the record.  More is required than a mere trace of evidence or a suspicion of the existence of a fact sought to be established.  </w:t>
      </w:r>
      <w:r w:rsidRPr="00F81039">
        <w:rPr>
          <w:rFonts w:eastAsia="Calibri" w:cs="Times New Roman"/>
          <w:u w:val="single"/>
        </w:rPr>
        <w:t>See, e.g.</w:t>
      </w:r>
      <w:r w:rsidRPr="00F81039">
        <w:rPr>
          <w:rFonts w:eastAsia="Calibri" w:cs="Times New Roman"/>
        </w:rPr>
        <w:t xml:space="preserve">, Section 704 of the Administrative Agency Law, 2 Pa. C.S. §704; </w:t>
      </w:r>
      <w:r w:rsidRPr="00F81039">
        <w:rPr>
          <w:rFonts w:eastAsia="Calibri" w:cs="Times New Roman"/>
          <w:i/>
        </w:rPr>
        <w:t>Norfolk &amp; Western Ry. Co. v. PA PUC</w:t>
      </w:r>
      <w:r w:rsidRPr="00F81039">
        <w:rPr>
          <w:rFonts w:eastAsia="Calibri" w:cs="Times New Roman"/>
        </w:rPr>
        <w:t xml:space="preserve">, 489 Pa. 109, 413 A.2d 1037 (1980); </w:t>
      </w:r>
      <w:r w:rsidRPr="00F81039">
        <w:rPr>
          <w:rFonts w:eastAsia="Calibri" w:cs="Times New Roman"/>
          <w:i/>
        </w:rPr>
        <w:t>Erie Resistor Corp. v. Unemployment Comp. Bd. of Review</w:t>
      </w:r>
      <w:r w:rsidRPr="00F81039">
        <w:rPr>
          <w:rFonts w:eastAsia="Calibri" w:cs="Times New Roman"/>
        </w:rPr>
        <w:t xml:space="preserve">, 194 Pa. Superior Ct. 278, 166 A.2d 96 (1961); and </w:t>
      </w:r>
      <w:r w:rsidRPr="00F81039">
        <w:rPr>
          <w:rFonts w:eastAsia="Calibri" w:cs="Times New Roman"/>
          <w:i/>
        </w:rPr>
        <w:t>Murphy v. Dept. of Public Welfare, White Haven Center</w:t>
      </w:r>
      <w:r w:rsidRPr="00F81039">
        <w:rPr>
          <w:rFonts w:eastAsia="Calibri" w:cs="Times New Roman"/>
        </w:rPr>
        <w:t>, 480 A.2d 382 (Pa. Cmwlth 1984).</w:t>
      </w:r>
    </w:p>
    <w:p w:rsidR="00B016FE" w:rsidRPr="00F81039" w:rsidRDefault="00B016FE" w:rsidP="00864518">
      <w:pPr>
        <w:spacing w:line="360" w:lineRule="auto"/>
        <w:ind w:firstLine="1440"/>
        <w:rPr>
          <w:rFonts w:eastAsia="Calibri" w:cs="Times New Roman"/>
        </w:rPr>
      </w:pPr>
    </w:p>
    <w:p w:rsidR="00B016FE" w:rsidRPr="00F81039" w:rsidRDefault="00B016FE" w:rsidP="00864518">
      <w:pPr>
        <w:spacing w:line="360" w:lineRule="auto"/>
        <w:ind w:firstLine="1440"/>
        <w:rPr>
          <w:rFonts w:eastAsia="Calibri" w:cs="Times New Roman"/>
        </w:rPr>
      </w:pPr>
      <w:r w:rsidRPr="00F81039">
        <w:rPr>
          <w:rFonts w:eastAsia="Calibri" w:cs="Times New Roman"/>
        </w:rPr>
        <w:t xml:space="preserve">Upon the presentation by a Complainant of evidence sufficient to initially satisfy the burden of proof, the burden of going forward with the evidence, sometimes called the burden </w:t>
      </w:r>
      <w:r w:rsidRPr="00F81039">
        <w:rPr>
          <w:rFonts w:eastAsia="Calibri" w:cs="Times New Roman"/>
        </w:rPr>
        <w:lastRenderedPageBreak/>
        <w:t xml:space="preserve">of persuasion, to rebut the evidence of the customer shifts to the Respondent.  If the evidence presented by the Respondent is of co-equal value or “weight”, the burden of proof has not been satisfied.  The Complainant now has to provide some additional evidence to rebut that of the Respondent.  </w:t>
      </w:r>
      <w:r w:rsidRPr="00F81039">
        <w:rPr>
          <w:rFonts w:eastAsia="Calibri" w:cs="Times New Roman"/>
          <w:i/>
        </w:rPr>
        <w:t>Morrissey v. PA Dept. of Highways</w:t>
      </w:r>
      <w:r w:rsidRPr="00F81039">
        <w:rPr>
          <w:rFonts w:eastAsia="Calibri" w:cs="Times New Roman"/>
        </w:rPr>
        <w:t xml:space="preserve">, 424 </w:t>
      </w:r>
      <w:smartTag w:uri="urn:schemas-microsoft-com:office:smarttags" w:element="place">
        <w:smartTag w:uri="urn:schemas-microsoft-com:office:smarttags" w:element="State">
          <w:r w:rsidRPr="00F81039">
            <w:rPr>
              <w:rFonts w:eastAsia="Calibri" w:cs="Times New Roman"/>
            </w:rPr>
            <w:t>Pa.</w:t>
          </w:r>
        </w:smartTag>
      </w:smartTag>
      <w:r w:rsidRPr="00F81039">
        <w:rPr>
          <w:rFonts w:eastAsia="Calibri" w:cs="Times New Roman"/>
        </w:rPr>
        <w:t xml:space="preserve"> 87, 225 A.2d 895 (1967), and </w:t>
      </w:r>
      <w:r w:rsidRPr="00F81039">
        <w:rPr>
          <w:rFonts w:eastAsia="Calibri" w:cs="Times New Roman"/>
          <w:i/>
        </w:rPr>
        <w:t>Burleson v. Pa. P.U.C.</w:t>
      </w:r>
      <w:r w:rsidRPr="00F81039">
        <w:rPr>
          <w:rFonts w:eastAsia="Calibri" w:cs="Times New Roman"/>
        </w:rPr>
        <w:t xml:space="preserve"> 66 Pa. Commonwealth Ct. 282, 443 A.2d 1373 (1982), </w:t>
      </w:r>
      <w:r w:rsidRPr="00F81039">
        <w:rPr>
          <w:rFonts w:eastAsia="Calibri" w:cs="Times New Roman"/>
          <w:u w:val="single"/>
        </w:rPr>
        <w:t>aff’d.</w:t>
      </w:r>
      <w:r w:rsidRPr="00F81039">
        <w:rPr>
          <w:rFonts w:eastAsia="Calibri" w:cs="Times New Roman"/>
        </w:rPr>
        <w:t xml:space="preserve"> 501 </w:t>
      </w:r>
      <w:smartTag w:uri="urn:schemas-microsoft-com:office:smarttags" w:element="place">
        <w:smartTag w:uri="urn:schemas-microsoft-com:office:smarttags" w:element="State">
          <w:r w:rsidRPr="00F81039">
            <w:rPr>
              <w:rFonts w:eastAsia="Calibri" w:cs="Times New Roman"/>
            </w:rPr>
            <w:t>Pa.</w:t>
          </w:r>
        </w:smartTag>
      </w:smartTag>
      <w:r w:rsidRPr="00F81039">
        <w:rPr>
          <w:rFonts w:eastAsia="Calibri" w:cs="Times New Roman"/>
        </w:rPr>
        <w:t xml:space="preserve"> 443, 461 A.2d 1234.  For example, if one driver claims that an accident occurred on a dry road on a sunny day, and the other driver claims that the road was wet and it was raining at the time of the accident, neither driver has satisfied the burden of proof.  Additional evidence concerning the condition of the road and weather must now be provided by one or the other.</w:t>
      </w:r>
    </w:p>
    <w:p w:rsidR="00B016FE" w:rsidRPr="00F81039" w:rsidRDefault="00B016FE" w:rsidP="00864518">
      <w:pPr>
        <w:spacing w:line="360" w:lineRule="auto"/>
        <w:ind w:firstLine="1440"/>
        <w:rPr>
          <w:rFonts w:eastAsia="Calibri" w:cs="Times New Roman"/>
        </w:rPr>
      </w:pPr>
    </w:p>
    <w:p w:rsidR="00B016FE" w:rsidRPr="00F81039" w:rsidRDefault="00B016FE" w:rsidP="00864518">
      <w:pPr>
        <w:spacing w:line="360" w:lineRule="auto"/>
        <w:ind w:firstLine="1440"/>
        <w:rPr>
          <w:rFonts w:eastAsia="Calibri" w:cs="Times New Roman"/>
        </w:rPr>
      </w:pPr>
      <w:r w:rsidRPr="00F81039">
        <w:rPr>
          <w:rFonts w:eastAsia="Calibri" w:cs="Times New Roman"/>
        </w:rPr>
        <w:t xml:space="preserve">While the burden of persuasion may shift back and forth during a proceeding, the burden of proof never shifts.  The burden of proof always remains on the party seeking affirmative relief from the Commission.  </w:t>
      </w:r>
      <w:r w:rsidRPr="00F81039">
        <w:rPr>
          <w:rFonts w:eastAsia="Calibri" w:cs="Times New Roman"/>
          <w:i/>
        </w:rPr>
        <w:t>Milkie v. PA PUC</w:t>
      </w:r>
      <w:r w:rsidRPr="00F81039">
        <w:rPr>
          <w:rFonts w:eastAsia="Calibri" w:cs="Times New Roman"/>
        </w:rPr>
        <w:t>, 768 A.2d 1217 (</w:t>
      </w:r>
      <w:smartTag w:uri="urn:schemas-microsoft-com:office:smarttags" w:element="place">
        <w:smartTag w:uri="urn:schemas-microsoft-com:office:smarttags" w:element="State">
          <w:r w:rsidRPr="00F81039">
            <w:rPr>
              <w:rFonts w:eastAsia="Calibri" w:cs="Times New Roman"/>
            </w:rPr>
            <w:t>Pa.</w:t>
          </w:r>
        </w:smartTag>
      </w:smartTag>
      <w:r w:rsidRPr="00F81039">
        <w:rPr>
          <w:rFonts w:eastAsia="Calibri" w:cs="Times New Roman"/>
        </w:rPr>
        <w:t xml:space="preserve"> Cmwlth. 2001);</w:t>
      </w:r>
      <w:r w:rsidRPr="00F81039">
        <w:rPr>
          <w:rFonts w:eastAsia="Calibri" w:cs="Times New Roman"/>
          <w:i/>
        </w:rPr>
        <w:t xml:space="preserve"> Waldron v. Philadelphia Electric Company</w:t>
      </w:r>
      <w:r w:rsidRPr="00F81039">
        <w:rPr>
          <w:rFonts w:eastAsia="Calibri" w:cs="Times New Roman"/>
        </w:rPr>
        <w:t xml:space="preserve">, 54 PA PUC 98 (1980), and </w:t>
      </w:r>
      <w:r w:rsidRPr="00F81039">
        <w:rPr>
          <w:rFonts w:eastAsia="Calibri" w:cs="Times New Roman"/>
          <w:i/>
        </w:rPr>
        <w:t>Replogle v. Philadelphia Electric Company</w:t>
      </w:r>
      <w:r w:rsidRPr="00F81039">
        <w:rPr>
          <w:rFonts w:eastAsia="Calibri" w:cs="Times New Roman"/>
        </w:rPr>
        <w:t>, 54 PA PUC 528 (1980).</w:t>
      </w:r>
    </w:p>
    <w:p w:rsidR="00B016FE" w:rsidRPr="00F81039" w:rsidRDefault="00B016FE" w:rsidP="00864518">
      <w:pPr>
        <w:spacing w:line="360" w:lineRule="auto"/>
        <w:ind w:firstLine="1440"/>
        <w:rPr>
          <w:rFonts w:eastAsia="Calibri" w:cs="Times New Roman"/>
        </w:rPr>
      </w:pPr>
    </w:p>
    <w:p w:rsidR="00B016FE" w:rsidRDefault="00D77D01" w:rsidP="00864518">
      <w:pPr>
        <w:spacing w:line="360" w:lineRule="auto"/>
        <w:rPr>
          <w:rFonts w:eastAsia="Calibri" w:cs="Times New Roman"/>
        </w:rPr>
      </w:pPr>
      <w:r>
        <w:rPr>
          <w:rFonts w:eastAsia="Calibri" w:cs="Times New Roman"/>
        </w:rPr>
        <w:tab/>
      </w:r>
      <w:r>
        <w:rPr>
          <w:rFonts w:eastAsia="Calibri" w:cs="Times New Roman"/>
        </w:rPr>
        <w:tab/>
        <w:t>In this proceeding, Mr. Duke has confused the word “rate” with the word “bill”, and it is important to note the difference.  Generally speaking, a utility’s rates are the charges for service approved by the Commission and contained in the tariff.  A customer’s bill is the application of the utility’s rates to the customer’s usage.</w:t>
      </w:r>
    </w:p>
    <w:p w:rsidR="00F35ECB" w:rsidRDefault="00F35ECB" w:rsidP="00864518">
      <w:pPr>
        <w:spacing w:line="360" w:lineRule="auto"/>
        <w:rPr>
          <w:rFonts w:eastAsia="Calibri" w:cs="Times New Roman"/>
        </w:rPr>
      </w:pPr>
    </w:p>
    <w:p w:rsidR="00F35ECB" w:rsidRPr="00F81039" w:rsidRDefault="00F35ECB" w:rsidP="00864518">
      <w:pPr>
        <w:spacing w:line="360" w:lineRule="auto"/>
        <w:rPr>
          <w:rFonts w:eastAsia="Calibri" w:cs="Times New Roman"/>
        </w:rPr>
      </w:pPr>
      <w:r>
        <w:rPr>
          <w:rFonts w:eastAsia="Calibri" w:cs="Times New Roman"/>
        </w:rPr>
        <w:tab/>
      </w:r>
      <w:r>
        <w:rPr>
          <w:rFonts w:eastAsia="Calibri" w:cs="Times New Roman"/>
        </w:rPr>
        <w:tab/>
        <w:t>There is no dispute about the fact that Mad Mex saw an increase in its monthly electric bills in 2008 from what it had been billed in 2007, even though it reduced its demand in 2008 from what it had been in 2007.  There is also no dispute that the increase in 2008 billings experienced by Mad Mex was larger than the projected class average increase of 8.9%</w:t>
      </w:r>
      <w:r w:rsidR="00EC351B">
        <w:rPr>
          <w:rFonts w:eastAsia="Calibri" w:cs="Times New Roman"/>
        </w:rPr>
        <w:t xml:space="preserve">.  </w:t>
      </w:r>
      <w:r w:rsidR="00EE6E5C">
        <w:rPr>
          <w:rFonts w:eastAsia="Calibri" w:cs="Times New Roman"/>
        </w:rPr>
        <w:t>As explained by Duquesne, t</w:t>
      </w:r>
      <w:r w:rsidR="00EC351B">
        <w:rPr>
          <w:rFonts w:eastAsia="Calibri" w:cs="Times New Roman"/>
        </w:rPr>
        <w:t>he impact of the January 1, 2008 tariff changes on the bills of Mad Mex is the two-fold result of reducing the monthly demand charges until such charges are eliminated January 1, 2010, and increasing monthly energy or consumption rates through the same period.</w:t>
      </w:r>
    </w:p>
    <w:p w:rsidR="00B016FE" w:rsidRDefault="00B016FE" w:rsidP="00864518">
      <w:pPr>
        <w:spacing w:line="360" w:lineRule="auto"/>
      </w:pPr>
    </w:p>
    <w:p w:rsidR="005A1108" w:rsidRDefault="005A1108" w:rsidP="00864518">
      <w:pPr>
        <w:spacing w:line="360" w:lineRule="auto"/>
      </w:pPr>
      <w:r>
        <w:lastRenderedPageBreak/>
        <w:tab/>
      </w:r>
      <w:r>
        <w:tab/>
        <w:t xml:space="preserve">The dispute in this case centers on the December </w:t>
      </w:r>
      <w:r w:rsidR="009B4276">
        <w:t>7, 2007</w:t>
      </w:r>
      <w:r>
        <w:t xml:space="preserve"> letter from Duquesne to members of Rate Class GS/GM informing the class members of the tariff changes becoming effective January 1, 2008.  This letter (Comp. Ex. 1) is as follows:</w:t>
      </w:r>
    </w:p>
    <w:p w:rsidR="005A1108" w:rsidRDefault="005A1108" w:rsidP="00D77D01">
      <w:pPr>
        <w:spacing w:line="360" w:lineRule="auto"/>
      </w:pPr>
    </w:p>
    <w:p w:rsidR="005A1108" w:rsidRDefault="005A1108" w:rsidP="00FA5954">
      <w:pPr>
        <w:spacing w:line="240" w:lineRule="auto"/>
        <w:ind w:left="4320" w:right="1440" w:firstLine="720"/>
        <w:jc w:val="both"/>
      </w:pPr>
      <w:r>
        <w:t>Dec 7, 2001</w:t>
      </w:r>
    </w:p>
    <w:p w:rsidR="005A1108" w:rsidRDefault="005A1108" w:rsidP="00FA5954">
      <w:pPr>
        <w:spacing w:line="240" w:lineRule="auto"/>
        <w:ind w:left="4320" w:right="1440" w:firstLine="720"/>
        <w:jc w:val="both"/>
      </w:pPr>
      <w:r>
        <w:t>0001-224-408-001</w:t>
      </w:r>
    </w:p>
    <w:p w:rsidR="005A1108" w:rsidRDefault="005A1108" w:rsidP="00FA5954">
      <w:pPr>
        <w:spacing w:line="240" w:lineRule="auto"/>
        <w:ind w:left="1440" w:right="1440"/>
        <w:jc w:val="both"/>
      </w:pPr>
    </w:p>
    <w:p w:rsidR="005A1108" w:rsidRDefault="005A1108" w:rsidP="00FA5954">
      <w:pPr>
        <w:spacing w:line="240" w:lineRule="auto"/>
        <w:ind w:left="1440" w:right="1440"/>
        <w:jc w:val="both"/>
      </w:pPr>
      <w:r>
        <w:t>Mad Mex Robinson Inc.</w:t>
      </w:r>
    </w:p>
    <w:p w:rsidR="005A1108" w:rsidRDefault="005A1108" w:rsidP="00FA5954">
      <w:pPr>
        <w:spacing w:line="240" w:lineRule="auto"/>
        <w:ind w:left="1440" w:right="1440"/>
        <w:jc w:val="both"/>
      </w:pPr>
      <w:r>
        <w:t>Whole Enchilada, Inc.</w:t>
      </w:r>
    </w:p>
    <w:p w:rsidR="005A1108" w:rsidRDefault="005A1108" w:rsidP="00FA5954">
      <w:pPr>
        <w:spacing w:line="240" w:lineRule="auto"/>
        <w:ind w:left="1440" w:right="1440"/>
        <w:jc w:val="both"/>
      </w:pPr>
      <w:r>
        <w:t>5740 Baum Blvd.</w:t>
      </w:r>
    </w:p>
    <w:p w:rsidR="005A1108" w:rsidRDefault="005A1108" w:rsidP="00FA5954">
      <w:pPr>
        <w:spacing w:line="240" w:lineRule="auto"/>
        <w:ind w:left="1440" w:right="1440"/>
        <w:jc w:val="both"/>
      </w:pPr>
      <w:r>
        <w:t>Pittsburgh, PA 15206-3775</w:t>
      </w:r>
    </w:p>
    <w:p w:rsidR="005A1108" w:rsidRDefault="005A1108" w:rsidP="00FA5954">
      <w:pPr>
        <w:spacing w:line="240" w:lineRule="auto"/>
        <w:ind w:left="1440" w:right="1440"/>
        <w:jc w:val="both"/>
      </w:pPr>
    </w:p>
    <w:p w:rsidR="005A1108" w:rsidRDefault="005A1108" w:rsidP="00FA5954">
      <w:pPr>
        <w:spacing w:line="240" w:lineRule="auto"/>
        <w:ind w:left="3600" w:right="1440" w:firstLine="720"/>
        <w:jc w:val="both"/>
      </w:pPr>
      <w:r>
        <w:t>Re:Robinson Plz. #2</w:t>
      </w:r>
    </w:p>
    <w:p w:rsidR="005A1108" w:rsidRDefault="005A1108" w:rsidP="00FA5954">
      <w:pPr>
        <w:spacing w:line="240" w:lineRule="auto"/>
        <w:ind w:left="3600" w:right="1440" w:firstLine="720"/>
        <w:jc w:val="both"/>
      </w:pPr>
      <w:r>
        <w:t>Pittsburgh PA 15205-1017</w:t>
      </w:r>
    </w:p>
    <w:p w:rsidR="005A1108" w:rsidRDefault="005A1108" w:rsidP="00FA5954">
      <w:pPr>
        <w:spacing w:line="240" w:lineRule="auto"/>
        <w:ind w:left="1440" w:right="1440"/>
        <w:jc w:val="both"/>
      </w:pPr>
    </w:p>
    <w:p w:rsidR="005A1108" w:rsidRDefault="005A1108" w:rsidP="00FA5954">
      <w:pPr>
        <w:spacing w:line="240" w:lineRule="auto"/>
        <w:ind w:left="1440" w:right="1440"/>
        <w:jc w:val="both"/>
      </w:pPr>
      <w:r>
        <w:t>Dear Customer,</w:t>
      </w:r>
    </w:p>
    <w:p w:rsidR="005A1108" w:rsidRDefault="005A1108" w:rsidP="00FA5954">
      <w:pPr>
        <w:spacing w:line="240" w:lineRule="auto"/>
        <w:ind w:left="1440" w:right="1440"/>
        <w:jc w:val="both"/>
      </w:pPr>
    </w:p>
    <w:p w:rsidR="005A1108" w:rsidRDefault="005A1108" w:rsidP="00FA5954">
      <w:pPr>
        <w:spacing w:line="240" w:lineRule="auto"/>
        <w:ind w:left="1440" w:right="1440"/>
        <w:jc w:val="both"/>
      </w:pPr>
      <w:r>
        <w:t>Under the terms of the settlement of our default-service energy supply plan filing, approved by the Pennsylvania Public Utility Commission in June, customers who buy their electricity from Duquesne Light</w:t>
      </w:r>
      <w:r w:rsidR="001E27E8">
        <w:t xml:space="preserve"> under Rate Schedule GS/GM will see an </w:t>
      </w:r>
      <w:r w:rsidR="001E27E8">
        <w:rPr>
          <w:b/>
        </w:rPr>
        <w:t>average</w:t>
      </w:r>
      <w:r w:rsidR="001E27E8">
        <w:t xml:space="preserve"> increase of approximately 8.9% in their total bill, beginning Jan. 1, 2008.</w:t>
      </w:r>
    </w:p>
    <w:p w:rsidR="001E27E8" w:rsidRDefault="001E27E8" w:rsidP="00FA5954">
      <w:pPr>
        <w:spacing w:line="240" w:lineRule="auto"/>
        <w:ind w:left="1440" w:right="1440"/>
        <w:jc w:val="both"/>
      </w:pPr>
    </w:p>
    <w:p w:rsidR="001E27E8" w:rsidRDefault="001E27E8" w:rsidP="00FA5954">
      <w:pPr>
        <w:spacing w:line="240" w:lineRule="auto"/>
        <w:ind w:left="1440" w:right="1440"/>
        <w:jc w:val="both"/>
      </w:pPr>
      <w:r>
        <w:t>The increase in price for default-service customers who have not selected an alternate generation supplier reflects changes in the electricity market.  The actual change in your bill will be determined by the specific usage patterns on your account, and may be greater or less than the average stated above.</w:t>
      </w:r>
    </w:p>
    <w:p w:rsidR="001E27E8" w:rsidRDefault="001E27E8" w:rsidP="00FA5954">
      <w:pPr>
        <w:spacing w:line="240" w:lineRule="auto"/>
        <w:ind w:left="1440" w:right="1440"/>
        <w:jc w:val="both"/>
      </w:pPr>
    </w:p>
    <w:p w:rsidR="001E27E8" w:rsidRDefault="001E27E8" w:rsidP="00FA5954">
      <w:pPr>
        <w:spacing w:line="240" w:lineRule="auto"/>
        <w:ind w:left="1440" w:right="1440"/>
        <w:jc w:val="both"/>
      </w:pPr>
      <w:r>
        <w:t xml:space="preserve">To better reflect current prices in the electricity </w:t>
      </w:r>
      <w:r w:rsidR="00BC6665">
        <w:t xml:space="preserve">market, supply charges will be adjusted every six months, beginning Jan. 1, 2009, for default-service customers with monthly demand </w:t>
      </w:r>
      <w:r w:rsidR="00BC6665">
        <w:rPr>
          <w:b/>
        </w:rPr>
        <w:t>greater</w:t>
      </w:r>
      <w:r w:rsidR="00BC6665">
        <w:t xml:space="preserve"> than 25 kilowatts.  As a result, electricity supply rates for these customers may increase or decrease depending on market prices at that time.</w:t>
      </w:r>
    </w:p>
    <w:p w:rsidR="00BC6665" w:rsidRDefault="00BC6665" w:rsidP="00FA5954">
      <w:pPr>
        <w:spacing w:line="240" w:lineRule="auto"/>
        <w:ind w:left="1440" w:right="1440"/>
        <w:jc w:val="both"/>
      </w:pPr>
    </w:p>
    <w:p w:rsidR="00BC6665" w:rsidRDefault="00BC6665" w:rsidP="00FA5954">
      <w:pPr>
        <w:spacing w:line="240" w:lineRule="auto"/>
        <w:ind w:left="1440" w:right="1440"/>
        <w:jc w:val="both"/>
      </w:pPr>
      <w:r>
        <w:t xml:space="preserve">Electric supply charges for Rate GS/GM default-service customers whose monthly demand </w:t>
      </w:r>
      <w:r>
        <w:rPr>
          <w:b/>
        </w:rPr>
        <w:t>stays below</w:t>
      </w:r>
      <w:r>
        <w:t xml:space="preserve"> 25 kilowatts will remain at the Jan. 1, 2008 level through Dec. 31, 2010.</w:t>
      </w:r>
    </w:p>
    <w:p w:rsidR="00BC6665" w:rsidRDefault="00BC6665" w:rsidP="00FA5954">
      <w:pPr>
        <w:spacing w:line="240" w:lineRule="auto"/>
        <w:ind w:left="1440" w:right="1440"/>
        <w:jc w:val="both"/>
      </w:pPr>
    </w:p>
    <w:p w:rsidR="00BC6665" w:rsidRDefault="00BC6665" w:rsidP="00FA5954">
      <w:pPr>
        <w:spacing w:line="240" w:lineRule="auto"/>
        <w:ind w:left="1440" w:right="1440"/>
        <w:jc w:val="both"/>
      </w:pPr>
      <w:r>
        <w:t xml:space="preserve">Under the provisions of the Electricity Generation Customer Choice and Competition Act, all Rate GS/GM customers also may purchase their energy from a licensed Electric Generation Supplier </w:t>
      </w:r>
      <w:r>
        <w:lastRenderedPageBreak/>
        <w:t xml:space="preserve">selling in our service territory.  As always, Duquesne Light would continue to </w:t>
      </w:r>
      <w:r w:rsidR="009B4276">
        <w:t>provide</w:t>
      </w:r>
      <w:r>
        <w:t xml:space="preserve"> safe and reliable delivery service.</w:t>
      </w:r>
    </w:p>
    <w:p w:rsidR="00BC6665" w:rsidRDefault="00BC6665" w:rsidP="00FA5954">
      <w:pPr>
        <w:spacing w:line="240" w:lineRule="auto"/>
        <w:ind w:left="1440" w:right="1440"/>
        <w:jc w:val="both"/>
      </w:pPr>
    </w:p>
    <w:p w:rsidR="00BC6665" w:rsidRDefault="00BC6665" w:rsidP="00FA5954">
      <w:pPr>
        <w:spacing w:line="240" w:lineRule="auto"/>
        <w:ind w:left="1440" w:right="1440"/>
        <w:jc w:val="both"/>
      </w:pPr>
      <w:r>
        <w:t>If you have any questions, please contact your Duquesne Light account manager, whose name and telephone number appear on your monthly bills.</w:t>
      </w:r>
    </w:p>
    <w:p w:rsidR="00BC6665" w:rsidRDefault="00BC6665" w:rsidP="00FA5954">
      <w:pPr>
        <w:spacing w:line="240" w:lineRule="auto"/>
        <w:ind w:left="1440" w:right="1440"/>
        <w:jc w:val="both"/>
      </w:pPr>
    </w:p>
    <w:p w:rsidR="00BC6665" w:rsidRDefault="00BC6665" w:rsidP="00FA5954">
      <w:pPr>
        <w:spacing w:line="240" w:lineRule="auto"/>
        <w:ind w:left="1440" w:right="1440"/>
        <w:jc w:val="both"/>
      </w:pPr>
      <w:r>
        <w:t>Sincerely yours,</w:t>
      </w:r>
    </w:p>
    <w:p w:rsidR="00BC6665" w:rsidRDefault="00BC6665" w:rsidP="00FA5954">
      <w:pPr>
        <w:spacing w:line="240" w:lineRule="auto"/>
        <w:ind w:left="1440" w:right="1440"/>
        <w:jc w:val="both"/>
      </w:pPr>
    </w:p>
    <w:p w:rsidR="00BC6665" w:rsidRDefault="00FA5954" w:rsidP="00FA5954">
      <w:pPr>
        <w:spacing w:line="240" w:lineRule="auto"/>
        <w:ind w:left="1440" w:right="1440"/>
        <w:jc w:val="both"/>
      </w:pPr>
      <w:r>
        <w:t>/s/</w:t>
      </w:r>
    </w:p>
    <w:p w:rsidR="00FA5954" w:rsidRDefault="00FA5954" w:rsidP="00FA5954">
      <w:pPr>
        <w:spacing w:line="240" w:lineRule="auto"/>
        <w:ind w:left="1440" w:right="1440"/>
        <w:jc w:val="both"/>
      </w:pPr>
      <w:r>
        <w:t>Nancy J.D. Krajovic</w:t>
      </w:r>
    </w:p>
    <w:p w:rsidR="00FA5954" w:rsidRDefault="00FA5954" w:rsidP="00FA5954">
      <w:pPr>
        <w:spacing w:line="240" w:lineRule="auto"/>
        <w:ind w:left="1440" w:right="1440"/>
        <w:jc w:val="both"/>
      </w:pPr>
      <w:r>
        <w:t>Manager, Commercial and Industrial Customers (Bolding in original).</w:t>
      </w:r>
    </w:p>
    <w:p w:rsidR="00FA5954" w:rsidRDefault="00FA5954" w:rsidP="00D77D01">
      <w:pPr>
        <w:spacing w:line="360" w:lineRule="auto"/>
      </w:pPr>
    </w:p>
    <w:p w:rsidR="00FA5954" w:rsidRDefault="00A36473" w:rsidP="00D77D01">
      <w:pPr>
        <w:spacing w:line="360" w:lineRule="auto"/>
      </w:pPr>
      <w:r>
        <w:tab/>
      </w:r>
      <w:r>
        <w:tab/>
        <w:t>Based on this letter, Mr. Duke testified that he expected to see an 8.9% increase in the electric bills for Mad Mex in 2008, and budgeted for the expected 8.9% increase.  He began receiving electric bills with increases that were approximately twice the projected 8.9% increase.  As a result he did not believe that Duquesne had been truthful about the impact of the ra</w:t>
      </w:r>
      <w:r w:rsidR="00570AB8">
        <w:t>te change on his electric bills (Tr. 36-38).  Mr. Duke did contact his Duquesne Customer Service Rep after receiving Complainant’s Exhibit 1, but did not ask the Rep to calculate the impact of the change on his business because he already knew that.  He also saw the sentence in this exhibit that</w:t>
      </w:r>
      <w:r w:rsidR="00AD6978">
        <w:t xml:space="preserve"> the actual change in his bill will be determined by his specific usage patterns and may be greater or less than the average, but did not ask his Customer Service Rep about that (Tr. 47-48).</w:t>
      </w:r>
    </w:p>
    <w:p w:rsidR="00B72184" w:rsidRDefault="00B72184" w:rsidP="00D77D01">
      <w:pPr>
        <w:spacing w:line="360" w:lineRule="auto"/>
      </w:pPr>
    </w:p>
    <w:p w:rsidR="00B72184" w:rsidRDefault="00B72184" w:rsidP="00D77D01">
      <w:pPr>
        <w:spacing w:line="360" w:lineRule="auto"/>
      </w:pPr>
      <w:r>
        <w:tab/>
      </w:r>
      <w:r>
        <w:tab/>
        <w:t>Duquesne’s letter of December 7, 2007, contains the following information, as pertinent to this case:</w:t>
      </w:r>
    </w:p>
    <w:p w:rsidR="00B72184" w:rsidRDefault="00B72184" w:rsidP="00D77D01">
      <w:pPr>
        <w:spacing w:line="360" w:lineRule="auto"/>
      </w:pPr>
    </w:p>
    <w:p w:rsidR="00B72184" w:rsidRDefault="00B72184" w:rsidP="00B72184">
      <w:pPr>
        <w:spacing w:line="240" w:lineRule="auto"/>
        <w:ind w:left="1440" w:right="1440"/>
        <w:jc w:val="both"/>
      </w:pPr>
      <w:r>
        <w:t>[C]</w:t>
      </w:r>
      <w:r w:rsidRPr="00B72184">
        <w:t xml:space="preserve">ustomers who buy their electricity from Duquesne Light under Rate Schedule GS/GM will see an </w:t>
      </w:r>
      <w:r w:rsidRPr="00916845">
        <w:t>average</w:t>
      </w:r>
      <w:r w:rsidRPr="00B72184">
        <w:t xml:space="preserve"> increase of approximately 8.9% in their total bill, beginning Jan. 1, 2008.</w:t>
      </w:r>
    </w:p>
    <w:p w:rsidR="00B72184" w:rsidRDefault="00B72184" w:rsidP="00B72184">
      <w:pPr>
        <w:spacing w:line="240" w:lineRule="auto"/>
        <w:ind w:left="1440" w:right="1440"/>
        <w:jc w:val="both"/>
      </w:pPr>
    </w:p>
    <w:p w:rsidR="00B72184" w:rsidRDefault="00B72184" w:rsidP="00B72184">
      <w:pPr>
        <w:spacing w:line="240" w:lineRule="auto"/>
        <w:ind w:left="1440" w:right="1440"/>
        <w:jc w:val="both"/>
      </w:pPr>
      <w:r>
        <w:tab/>
      </w:r>
      <w:r>
        <w:tab/>
        <w:t>*</w:t>
      </w:r>
      <w:r>
        <w:tab/>
      </w:r>
      <w:r>
        <w:tab/>
        <w:t>*</w:t>
      </w:r>
      <w:r>
        <w:tab/>
      </w:r>
      <w:r>
        <w:tab/>
        <w:t>*</w:t>
      </w:r>
    </w:p>
    <w:p w:rsidR="00B72184" w:rsidRDefault="00B72184" w:rsidP="00B72184">
      <w:pPr>
        <w:spacing w:line="240" w:lineRule="auto"/>
        <w:ind w:left="1440" w:right="1440"/>
        <w:jc w:val="both"/>
      </w:pPr>
    </w:p>
    <w:p w:rsidR="00B72184" w:rsidRDefault="00B72184" w:rsidP="00B72184">
      <w:pPr>
        <w:spacing w:line="240" w:lineRule="auto"/>
        <w:ind w:left="1440" w:right="1440"/>
        <w:jc w:val="both"/>
      </w:pPr>
      <w:r w:rsidRPr="00B72184">
        <w:t>The actual change in your bill will be determined by the specific usage patterns on your account, and may be greater or less than the average stated above.</w:t>
      </w:r>
    </w:p>
    <w:p w:rsidR="00B72184" w:rsidRDefault="00B72184" w:rsidP="00B72184">
      <w:pPr>
        <w:spacing w:line="240" w:lineRule="auto"/>
        <w:ind w:left="1440" w:right="1440"/>
        <w:jc w:val="both"/>
      </w:pPr>
    </w:p>
    <w:p w:rsidR="00B72184" w:rsidRDefault="00B72184" w:rsidP="00B72184">
      <w:pPr>
        <w:spacing w:line="240" w:lineRule="auto"/>
        <w:ind w:left="1440" w:right="1440"/>
        <w:jc w:val="both"/>
      </w:pPr>
      <w:r>
        <w:tab/>
      </w:r>
      <w:r>
        <w:tab/>
        <w:t>*</w:t>
      </w:r>
      <w:r>
        <w:tab/>
      </w:r>
      <w:r>
        <w:tab/>
        <w:t>*</w:t>
      </w:r>
      <w:r>
        <w:tab/>
      </w:r>
      <w:r>
        <w:tab/>
        <w:t>*</w:t>
      </w:r>
    </w:p>
    <w:p w:rsidR="00B72184" w:rsidRPr="00B72184" w:rsidRDefault="00B72184" w:rsidP="00B72184">
      <w:pPr>
        <w:spacing w:line="240" w:lineRule="auto"/>
        <w:ind w:left="1440" w:right="1440"/>
        <w:jc w:val="both"/>
      </w:pPr>
      <w:r w:rsidRPr="00B72184">
        <w:lastRenderedPageBreak/>
        <w:t>If you have any questions, please contact your Duquesne Light account manager, whose name and telephone number appear on your monthly bills.</w:t>
      </w:r>
    </w:p>
    <w:p w:rsidR="00B72184" w:rsidRDefault="00B72184" w:rsidP="00D77D01">
      <w:pPr>
        <w:spacing w:line="360" w:lineRule="auto"/>
      </w:pPr>
    </w:p>
    <w:p w:rsidR="00B72184" w:rsidRDefault="00916845" w:rsidP="00D77D01">
      <w:pPr>
        <w:spacing w:line="360" w:lineRule="auto"/>
      </w:pPr>
      <w:r>
        <w:tab/>
      </w:r>
      <w:r>
        <w:tab/>
        <w:t>Contrary to Mr. Duke’s position, there is nothing misleading about the letter of December 7, 2007.  Complainant produced no evidence that the average increase to the customers under Rate Schedule GS/GM exceeded 8.9%.  Further and although clearly informed that the impact on his bills may be greater or less than 8.9%, depending on his usage, and invited to present any question to his Customer Service Rep</w:t>
      </w:r>
      <w:r w:rsidR="00395169">
        <w:t>, Mr. Duke did not seek to inquire as to the actual impact the rate changes would have on the electric bills of Mad Mex.</w:t>
      </w:r>
      <w:r w:rsidR="00AB5F14">
        <w:t xml:space="preserve">  He had already made that determination for himself.</w:t>
      </w:r>
      <w:r w:rsidR="002A3840">
        <w:t xml:space="preserve">  Lastly, there is no claim in this case that Mad Mex had been billed for electricity which it did not use.</w:t>
      </w:r>
    </w:p>
    <w:p w:rsidR="00157912" w:rsidRDefault="00157912" w:rsidP="00D77D01">
      <w:pPr>
        <w:spacing w:line="360" w:lineRule="auto"/>
      </w:pPr>
    </w:p>
    <w:p w:rsidR="00157912" w:rsidRDefault="00157912" w:rsidP="00D77D01">
      <w:pPr>
        <w:spacing w:line="360" w:lineRule="auto"/>
      </w:pPr>
      <w:r>
        <w:tab/>
      </w:r>
      <w:r>
        <w:tab/>
        <w:t xml:space="preserve">With respect to his request for a refund and rate adjustment, no evidence was presented by Mr. Duke that the electric bills for Mad Mex </w:t>
      </w:r>
      <w:r w:rsidR="007553C7">
        <w:t>had been calculated incorrectly or had been calculated on tariff charges, other than Rate Schedule GS/GM.  Further, no evidence was presented tending to show that the rates approved by the Commission and contained in Rate Schedule were unjust, unlawful, and unreasonable.</w:t>
      </w:r>
    </w:p>
    <w:p w:rsidR="007553C7" w:rsidRDefault="007553C7" w:rsidP="00D77D01">
      <w:pPr>
        <w:spacing w:line="360" w:lineRule="auto"/>
      </w:pPr>
    </w:p>
    <w:p w:rsidR="007553C7" w:rsidRPr="007E0347" w:rsidRDefault="007553C7" w:rsidP="00D77D01">
      <w:pPr>
        <w:spacing w:line="360" w:lineRule="auto"/>
      </w:pPr>
      <w:r>
        <w:tab/>
      </w:r>
      <w:r>
        <w:tab/>
        <w:t>The fact that the</w:t>
      </w:r>
      <w:r w:rsidR="00E579FC">
        <w:t xml:space="preserve"> percentage</w:t>
      </w:r>
      <w:r>
        <w:t xml:space="preserve"> increase in the electric bills of Mad Mex exceeded the </w:t>
      </w:r>
      <w:r w:rsidR="00E579FC">
        <w:t xml:space="preserve">Class </w:t>
      </w:r>
      <w:r>
        <w:t xml:space="preserve">average 8.9% increase is not substantial evidence </w:t>
      </w:r>
      <w:r w:rsidR="00E579FC">
        <w:t>that the bills are in excess of the applicable tariff rates or that the tariff rates are unjust, unlawful, and unreasonable.</w:t>
      </w:r>
      <w:r w:rsidR="007E0347">
        <w:t xml:space="preserve">  </w:t>
      </w:r>
      <w:r w:rsidR="007E0347" w:rsidRPr="007E0347">
        <w:rPr>
          <w:i/>
        </w:rPr>
        <w:t>See e.g., Dionise v. Pennsylvania Power Company</w:t>
      </w:r>
      <w:r w:rsidR="007E0347">
        <w:t>, Docket No. F-2008-2038741, Initial Decision dated December 5, 2008, Order entered February 12, 2009.</w:t>
      </w:r>
    </w:p>
    <w:p w:rsidR="00E579FC" w:rsidRDefault="00E579FC" w:rsidP="00D77D01">
      <w:pPr>
        <w:spacing w:line="360" w:lineRule="auto"/>
      </w:pPr>
    </w:p>
    <w:p w:rsidR="00E579FC" w:rsidRDefault="00E579FC" w:rsidP="00E579FC">
      <w:pPr>
        <w:spacing w:line="360" w:lineRule="auto"/>
        <w:jc w:val="center"/>
      </w:pPr>
      <w:r>
        <w:rPr>
          <w:u w:val="single"/>
        </w:rPr>
        <w:t>CONCLUSIONS OF LAW</w:t>
      </w:r>
    </w:p>
    <w:p w:rsidR="00E579FC" w:rsidRDefault="00E579FC" w:rsidP="00E579FC">
      <w:pPr>
        <w:spacing w:line="360" w:lineRule="auto"/>
      </w:pPr>
    </w:p>
    <w:p w:rsidR="00E579FC" w:rsidRDefault="00E579FC" w:rsidP="00E579FC">
      <w:pPr>
        <w:spacing w:line="360" w:lineRule="auto"/>
      </w:pPr>
      <w:r>
        <w:tab/>
      </w:r>
      <w:r>
        <w:tab/>
        <w:t>1.</w:t>
      </w:r>
      <w:r>
        <w:tab/>
        <w:t>The parties to and subject matter of this billing dispute proceeding are properly before the Commission.</w:t>
      </w:r>
    </w:p>
    <w:p w:rsidR="00E579FC" w:rsidRDefault="00E579FC" w:rsidP="00E579FC">
      <w:pPr>
        <w:spacing w:line="360" w:lineRule="auto"/>
      </w:pPr>
    </w:p>
    <w:p w:rsidR="00E579FC" w:rsidRDefault="002A3840" w:rsidP="00E579FC">
      <w:pPr>
        <w:spacing w:line="360" w:lineRule="auto"/>
      </w:pPr>
      <w:r>
        <w:tab/>
      </w:r>
      <w:r w:rsidR="00E579FC">
        <w:tab/>
        <w:t>2.</w:t>
      </w:r>
      <w:r w:rsidR="00E579FC">
        <w:tab/>
        <w:t>Mr. Duke, as the party seeking affirmative relief from the Commission, has the burden of proof.</w:t>
      </w:r>
    </w:p>
    <w:p w:rsidR="00E579FC" w:rsidRDefault="00E579FC" w:rsidP="00E579FC">
      <w:pPr>
        <w:spacing w:line="360" w:lineRule="auto"/>
      </w:pPr>
    </w:p>
    <w:p w:rsidR="00E579FC" w:rsidRDefault="00E579FC" w:rsidP="00E579FC">
      <w:pPr>
        <w:spacing w:line="360" w:lineRule="auto"/>
      </w:pPr>
      <w:r>
        <w:tab/>
      </w:r>
      <w:r>
        <w:tab/>
        <w:t>3.</w:t>
      </w:r>
      <w:r>
        <w:tab/>
      </w:r>
      <w:r w:rsidR="002A3840">
        <w:t>Mr. Duke has failed to satisfy the burden of proof.</w:t>
      </w:r>
    </w:p>
    <w:p w:rsidR="002A3840" w:rsidRDefault="002A3840" w:rsidP="00E579FC">
      <w:pPr>
        <w:spacing w:line="360" w:lineRule="auto"/>
      </w:pPr>
    </w:p>
    <w:p w:rsidR="002A3840" w:rsidRDefault="002A3840" w:rsidP="00E579FC">
      <w:pPr>
        <w:spacing w:line="360" w:lineRule="auto"/>
      </w:pPr>
      <w:r>
        <w:tab/>
      </w:r>
      <w:r>
        <w:tab/>
        <w:t>4.</w:t>
      </w:r>
      <w:r>
        <w:tab/>
        <w:t>The complaint in this proceeding should be dismissed.</w:t>
      </w:r>
    </w:p>
    <w:p w:rsidR="002A3840" w:rsidRDefault="002A3840" w:rsidP="00E579FC">
      <w:pPr>
        <w:spacing w:line="360" w:lineRule="auto"/>
      </w:pPr>
    </w:p>
    <w:p w:rsidR="002E71E1" w:rsidRDefault="002E71E1" w:rsidP="002A3840">
      <w:pPr>
        <w:spacing w:line="360" w:lineRule="auto"/>
        <w:jc w:val="center"/>
        <w:rPr>
          <w:u w:val="single"/>
        </w:rPr>
      </w:pPr>
    </w:p>
    <w:p w:rsidR="002A3840" w:rsidRPr="002A3840" w:rsidRDefault="002A3840" w:rsidP="002A3840">
      <w:pPr>
        <w:spacing w:line="360" w:lineRule="auto"/>
        <w:jc w:val="center"/>
        <w:rPr>
          <w:b/>
        </w:rPr>
      </w:pPr>
      <w:r>
        <w:rPr>
          <w:u w:val="single"/>
        </w:rPr>
        <w:t>ORDER</w:t>
      </w:r>
    </w:p>
    <w:p w:rsidR="00B72184" w:rsidRDefault="00B72184" w:rsidP="00D77D01">
      <w:pPr>
        <w:spacing w:line="360" w:lineRule="auto"/>
      </w:pPr>
    </w:p>
    <w:p w:rsidR="002A3840" w:rsidRDefault="002A3840" w:rsidP="00D77D01">
      <w:pPr>
        <w:spacing w:line="360" w:lineRule="auto"/>
      </w:pPr>
      <w:r>
        <w:tab/>
      </w:r>
      <w:r>
        <w:tab/>
        <w:t>THEREFORE,</w:t>
      </w:r>
    </w:p>
    <w:p w:rsidR="002A3840" w:rsidRDefault="002A3840" w:rsidP="00D77D01">
      <w:pPr>
        <w:spacing w:line="360" w:lineRule="auto"/>
      </w:pPr>
    </w:p>
    <w:p w:rsidR="002A3840" w:rsidRDefault="002A3840" w:rsidP="00D77D01">
      <w:pPr>
        <w:spacing w:line="360" w:lineRule="auto"/>
      </w:pPr>
      <w:r>
        <w:tab/>
      </w:r>
      <w:r>
        <w:tab/>
        <w:t>IT IS ORDERED:</w:t>
      </w:r>
    </w:p>
    <w:p w:rsidR="002A3840" w:rsidRDefault="002A3840" w:rsidP="00D77D01">
      <w:pPr>
        <w:spacing w:line="360" w:lineRule="auto"/>
      </w:pPr>
    </w:p>
    <w:p w:rsidR="002A3840" w:rsidRDefault="002A3840" w:rsidP="00D77D01">
      <w:pPr>
        <w:spacing w:line="360" w:lineRule="auto"/>
      </w:pPr>
      <w:r>
        <w:tab/>
      </w:r>
      <w:r>
        <w:tab/>
        <w:t>That the complaint of Leonard W. Duke against Duquesne Light Company at Docket No. C-2008-2057957 is dismissed for the failure to satisfy the burden of proof.</w:t>
      </w:r>
    </w:p>
    <w:p w:rsidR="002A3840" w:rsidRPr="00833968" w:rsidRDefault="002A3840">
      <w:pPr>
        <w:rPr>
          <w:szCs w:val="24"/>
        </w:rPr>
      </w:pPr>
      <w:r>
        <w:t xml:space="preserve">Date:  </w:t>
      </w:r>
      <w:r>
        <w:rPr>
          <w:u w:val="single"/>
        </w:rPr>
        <w:t>July 1</w:t>
      </w:r>
      <w:r w:rsidR="002E71E1">
        <w:rPr>
          <w:u w:val="single"/>
        </w:rPr>
        <w:t>4</w:t>
      </w:r>
      <w:r>
        <w:rPr>
          <w:u w:val="single"/>
        </w:rPr>
        <w:t>, 2009</w:t>
      </w:r>
      <w:r>
        <w:tab/>
      </w:r>
      <w:r>
        <w:tab/>
      </w:r>
      <w:r>
        <w:tab/>
      </w:r>
      <w:r>
        <w:tab/>
      </w:r>
      <w:r>
        <w:tab/>
      </w:r>
      <w:r w:rsidR="00BD684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85pt;height:89.55pt">
            <v:imagedata r:id="rId7" o:title=""/>
          </v:shape>
        </w:pict>
      </w:r>
    </w:p>
    <w:p w:rsidR="00AB4A19" w:rsidRDefault="00AB4A19">
      <w:r>
        <w:br w:type="page"/>
      </w:r>
    </w:p>
    <w:p w:rsidR="002A3840" w:rsidRPr="00A23D3C" w:rsidRDefault="00A23D3C" w:rsidP="002A3840">
      <w:pPr>
        <w:spacing w:line="240" w:lineRule="auto"/>
        <w:rPr>
          <w:u w:val="single"/>
        </w:rPr>
      </w:pPr>
      <w:r w:rsidRPr="00A23D3C">
        <w:rPr>
          <w:u w:val="single"/>
        </w:rPr>
        <w:lastRenderedPageBreak/>
        <w:t>C-2008-2057957  LEONARD W. DUKE v. DUQUESNE LIGHT COMPANY</w:t>
      </w:r>
    </w:p>
    <w:p w:rsidR="00AB4A19" w:rsidRDefault="00AB4A19" w:rsidP="002A3840">
      <w:pPr>
        <w:spacing w:line="240" w:lineRule="auto"/>
      </w:pPr>
    </w:p>
    <w:p w:rsidR="00AB4A19" w:rsidRDefault="00AB4A19" w:rsidP="002A3840">
      <w:pPr>
        <w:spacing w:line="240" w:lineRule="auto"/>
      </w:pPr>
    </w:p>
    <w:p w:rsidR="00AB4A19" w:rsidRDefault="00A23D3C" w:rsidP="002A3840">
      <w:pPr>
        <w:spacing w:line="240" w:lineRule="auto"/>
      </w:pPr>
      <w:r>
        <w:t>MARGARET FRIED ESQUIRE</w:t>
      </w:r>
    </w:p>
    <w:p w:rsidR="00AB4A19" w:rsidRDefault="00A23D3C" w:rsidP="002A3840">
      <w:pPr>
        <w:spacing w:line="240" w:lineRule="auto"/>
      </w:pPr>
      <w:r>
        <w:t>FRIED &amp; DAVIS</w:t>
      </w:r>
    </w:p>
    <w:p w:rsidR="00AB4A19" w:rsidRDefault="00A23D3C" w:rsidP="002A3840">
      <w:pPr>
        <w:spacing w:line="240" w:lineRule="auto"/>
      </w:pPr>
      <w:r>
        <w:t>425 FIRST AVENUE</w:t>
      </w:r>
    </w:p>
    <w:p w:rsidR="00AB4A19" w:rsidRDefault="00A23D3C" w:rsidP="002A3840">
      <w:pPr>
        <w:spacing w:line="240" w:lineRule="auto"/>
      </w:pPr>
      <w:r>
        <w:t>PITTSBURGH PA 15219</w:t>
      </w:r>
    </w:p>
    <w:p w:rsidR="00AB4A19" w:rsidRDefault="00AB4A19" w:rsidP="002A3840">
      <w:pPr>
        <w:spacing w:line="240" w:lineRule="auto"/>
      </w:pPr>
    </w:p>
    <w:p w:rsidR="00AB4A19" w:rsidRDefault="00A23D3C" w:rsidP="002A3840">
      <w:pPr>
        <w:spacing w:line="240" w:lineRule="auto"/>
      </w:pPr>
      <w:r>
        <w:t>KRYSIA KUBIAK ESQUIRE</w:t>
      </w:r>
    </w:p>
    <w:p w:rsidR="00AB4A19" w:rsidRDefault="00A23D3C" w:rsidP="002A3840">
      <w:pPr>
        <w:spacing w:line="240" w:lineRule="auto"/>
      </w:pPr>
      <w:r>
        <w:t>DUQUESNE LIGHT COMPANY</w:t>
      </w:r>
    </w:p>
    <w:p w:rsidR="00AB4A19" w:rsidRDefault="00A23D3C" w:rsidP="002A3840">
      <w:pPr>
        <w:spacing w:line="240" w:lineRule="auto"/>
      </w:pPr>
      <w:r>
        <w:t>411 SEVENTH AVENUE 16-1</w:t>
      </w:r>
    </w:p>
    <w:p w:rsidR="00AB4A19" w:rsidRPr="002A3840" w:rsidRDefault="00A23D3C" w:rsidP="002A3840">
      <w:pPr>
        <w:spacing w:line="240" w:lineRule="auto"/>
      </w:pPr>
      <w:r>
        <w:t>PITTSBURGH PA 15219</w:t>
      </w:r>
    </w:p>
    <w:sectPr w:rsidR="00AB4A19" w:rsidRPr="002A3840" w:rsidSect="005C771E">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7A11" w:rsidRDefault="007F7A11" w:rsidP="005A2CCC">
      <w:pPr>
        <w:spacing w:line="240" w:lineRule="auto"/>
      </w:pPr>
      <w:r>
        <w:separator/>
      </w:r>
    </w:p>
  </w:endnote>
  <w:endnote w:type="continuationSeparator" w:id="1">
    <w:p w:rsidR="007F7A11" w:rsidRDefault="007F7A11" w:rsidP="005A2CC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6717051"/>
      <w:docPartObj>
        <w:docPartGallery w:val="Page Numbers (Bottom of Page)"/>
        <w:docPartUnique/>
      </w:docPartObj>
    </w:sdtPr>
    <w:sdtContent>
      <w:p w:rsidR="005C771E" w:rsidRDefault="00011D4B">
        <w:pPr>
          <w:pStyle w:val="Footer"/>
          <w:jc w:val="center"/>
        </w:pPr>
        <w:fldSimple w:instr=" PAGE   \* MERGEFORMAT ">
          <w:r w:rsidR="00BD684F">
            <w:rPr>
              <w:noProof/>
            </w:rPr>
            <w:t>13</w:t>
          </w:r>
        </w:fldSimple>
      </w:p>
    </w:sdtContent>
  </w:sdt>
  <w:p w:rsidR="002E71E1" w:rsidRDefault="002E71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7A11" w:rsidRDefault="007F7A11" w:rsidP="005A2CCC">
      <w:pPr>
        <w:spacing w:line="240" w:lineRule="auto"/>
      </w:pPr>
      <w:r>
        <w:separator/>
      </w:r>
    </w:p>
  </w:footnote>
  <w:footnote w:type="continuationSeparator" w:id="1">
    <w:p w:rsidR="007F7A11" w:rsidRDefault="007F7A11" w:rsidP="005A2CCC">
      <w:pPr>
        <w:spacing w:line="240" w:lineRule="auto"/>
      </w:pPr>
      <w:r>
        <w:continuationSeparator/>
      </w:r>
    </w:p>
  </w:footnote>
  <w:footnote w:id="2">
    <w:p w:rsidR="005A2CCC" w:rsidRDefault="005A2CCC" w:rsidP="002E71E1">
      <w:pPr>
        <w:pStyle w:val="FootnoteText"/>
        <w:ind w:firstLine="720"/>
      </w:pPr>
      <w:r>
        <w:rPr>
          <w:rStyle w:val="FootnoteReference"/>
        </w:rPr>
        <w:footnoteRef/>
      </w:r>
      <w:r>
        <w:t xml:space="preserve"> </w:t>
      </w:r>
      <w:r w:rsidR="002E71E1">
        <w:tab/>
      </w:r>
      <w:r>
        <w:t>The Complainant did not submit an Exhibit No. 13.</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0B671F"/>
    <w:rsid w:val="0000765C"/>
    <w:rsid w:val="00011D4B"/>
    <w:rsid w:val="00022DBE"/>
    <w:rsid w:val="00097710"/>
    <w:rsid w:val="000A4A56"/>
    <w:rsid w:val="000B0D33"/>
    <w:rsid w:val="000B671F"/>
    <w:rsid w:val="000C69C7"/>
    <w:rsid w:val="00157912"/>
    <w:rsid w:val="001E27E8"/>
    <w:rsid w:val="002A3840"/>
    <w:rsid w:val="002D71AF"/>
    <w:rsid w:val="002E228F"/>
    <w:rsid w:val="002E71E1"/>
    <w:rsid w:val="00301F64"/>
    <w:rsid w:val="00306638"/>
    <w:rsid w:val="00326FD6"/>
    <w:rsid w:val="00380B7B"/>
    <w:rsid w:val="00395169"/>
    <w:rsid w:val="003C0CBC"/>
    <w:rsid w:val="003E2F2C"/>
    <w:rsid w:val="005673F3"/>
    <w:rsid w:val="00570AB8"/>
    <w:rsid w:val="00570B6B"/>
    <w:rsid w:val="005A1108"/>
    <w:rsid w:val="005A2CCC"/>
    <w:rsid w:val="005C771E"/>
    <w:rsid w:val="005C7A9E"/>
    <w:rsid w:val="0062673C"/>
    <w:rsid w:val="00696DB6"/>
    <w:rsid w:val="006A43FA"/>
    <w:rsid w:val="0073348E"/>
    <w:rsid w:val="007553C7"/>
    <w:rsid w:val="007A34AB"/>
    <w:rsid w:val="007E0347"/>
    <w:rsid w:val="007F7A11"/>
    <w:rsid w:val="00800CE7"/>
    <w:rsid w:val="00816925"/>
    <w:rsid w:val="008559D1"/>
    <w:rsid w:val="00864518"/>
    <w:rsid w:val="008B1BED"/>
    <w:rsid w:val="008C00ED"/>
    <w:rsid w:val="0090055A"/>
    <w:rsid w:val="00916845"/>
    <w:rsid w:val="00964010"/>
    <w:rsid w:val="00966204"/>
    <w:rsid w:val="00980FEB"/>
    <w:rsid w:val="0098704E"/>
    <w:rsid w:val="009B4276"/>
    <w:rsid w:val="009C4807"/>
    <w:rsid w:val="00A07053"/>
    <w:rsid w:val="00A23D3C"/>
    <w:rsid w:val="00A36473"/>
    <w:rsid w:val="00A42858"/>
    <w:rsid w:val="00A82B7D"/>
    <w:rsid w:val="00AB4A19"/>
    <w:rsid w:val="00AB5F14"/>
    <w:rsid w:val="00AD6978"/>
    <w:rsid w:val="00AE7DD9"/>
    <w:rsid w:val="00B016FE"/>
    <w:rsid w:val="00B06F85"/>
    <w:rsid w:val="00B72184"/>
    <w:rsid w:val="00BC6665"/>
    <w:rsid w:val="00BD684F"/>
    <w:rsid w:val="00BE25DD"/>
    <w:rsid w:val="00C0643A"/>
    <w:rsid w:val="00C25A2D"/>
    <w:rsid w:val="00C262BD"/>
    <w:rsid w:val="00CA3FCF"/>
    <w:rsid w:val="00CA663E"/>
    <w:rsid w:val="00CE5B17"/>
    <w:rsid w:val="00D24D13"/>
    <w:rsid w:val="00D76663"/>
    <w:rsid w:val="00D77D01"/>
    <w:rsid w:val="00D84F8A"/>
    <w:rsid w:val="00DB6E61"/>
    <w:rsid w:val="00E558E3"/>
    <w:rsid w:val="00E579FC"/>
    <w:rsid w:val="00E62D1F"/>
    <w:rsid w:val="00E8557A"/>
    <w:rsid w:val="00EA182F"/>
    <w:rsid w:val="00EB222E"/>
    <w:rsid w:val="00EC351B"/>
    <w:rsid w:val="00EC68E2"/>
    <w:rsid w:val="00ED74C0"/>
    <w:rsid w:val="00EE3256"/>
    <w:rsid w:val="00EE6E5C"/>
    <w:rsid w:val="00F35ECB"/>
    <w:rsid w:val="00F571DA"/>
    <w:rsid w:val="00F96F06"/>
    <w:rsid w:val="00FA5645"/>
    <w:rsid w:val="00FA5954"/>
    <w:rsid w:val="00FC44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6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A2CCC"/>
    <w:pPr>
      <w:spacing w:line="240" w:lineRule="auto"/>
    </w:pPr>
    <w:rPr>
      <w:sz w:val="20"/>
      <w:szCs w:val="20"/>
    </w:rPr>
  </w:style>
  <w:style w:type="character" w:customStyle="1" w:styleId="FootnoteTextChar">
    <w:name w:val="Footnote Text Char"/>
    <w:basedOn w:val="DefaultParagraphFont"/>
    <w:link w:val="FootnoteText"/>
    <w:uiPriority w:val="99"/>
    <w:semiHidden/>
    <w:rsid w:val="005A2CCC"/>
    <w:rPr>
      <w:sz w:val="20"/>
      <w:szCs w:val="20"/>
    </w:rPr>
  </w:style>
  <w:style w:type="character" w:styleId="FootnoteReference">
    <w:name w:val="footnote reference"/>
    <w:basedOn w:val="DefaultParagraphFont"/>
    <w:uiPriority w:val="99"/>
    <w:semiHidden/>
    <w:unhideWhenUsed/>
    <w:rsid w:val="005A2CCC"/>
    <w:rPr>
      <w:vertAlign w:val="superscript"/>
    </w:rPr>
  </w:style>
  <w:style w:type="paragraph" w:styleId="Header">
    <w:name w:val="header"/>
    <w:basedOn w:val="Normal"/>
    <w:link w:val="HeaderChar"/>
    <w:uiPriority w:val="99"/>
    <w:semiHidden/>
    <w:unhideWhenUsed/>
    <w:rsid w:val="002E71E1"/>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E71E1"/>
  </w:style>
  <w:style w:type="paragraph" w:styleId="Footer">
    <w:name w:val="footer"/>
    <w:basedOn w:val="Normal"/>
    <w:link w:val="FooterChar"/>
    <w:uiPriority w:val="99"/>
    <w:unhideWhenUsed/>
    <w:rsid w:val="002E71E1"/>
    <w:pPr>
      <w:tabs>
        <w:tab w:val="center" w:pos="4680"/>
        <w:tab w:val="right" w:pos="9360"/>
      </w:tabs>
      <w:spacing w:line="240" w:lineRule="auto"/>
    </w:pPr>
  </w:style>
  <w:style w:type="character" w:customStyle="1" w:styleId="FooterChar">
    <w:name w:val="Footer Char"/>
    <w:basedOn w:val="DefaultParagraphFont"/>
    <w:link w:val="Footer"/>
    <w:uiPriority w:val="99"/>
    <w:rsid w:val="002E71E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475A2-1774-497F-97DC-AAC7B2BE4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3029</Words>
  <Characters>17267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20256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rmeehan</dc:creator>
  <cp:keywords/>
  <dc:description/>
  <cp:lastModifiedBy>shoffner</cp:lastModifiedBy>
  <cp:revision>2</cp:revision>
  <cp:lastPrinted>2009-07-14T14:29:00Z</cp:lastPrinted>
  <dcterms:created xsi:type="dcterms:W3CDTF">2009-08-04T15:25:00Z</dcterms:created>
  <dcterms:modified xsi:type="dcterms:W3CDTF">2009-08-04T15:25:00Z</dcterms:modified>
</cp:coreProperties>
</file>