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BAE" w:rsidRDefault="00437BAE" w:rsidP="00437BAE">
      <w:pPr>
        <w:jc w:val="center"/>
        <w:rPr>
          <w:b/>
        </w:rPr>
      </w:pPr>
      <w:r>
        <w:rPr>
          <w:b/>
        </w:rPr>
        <w:t>BEFORE THE</w:t>
      </w:r>
    </w:p>
    <w:p w:rsidR="00437BAE" w:rsidRDefault="00437BAE" w:rsidP="00437BAE">
      <w:pPr>
        <w:jc w:val="center"/>
      </w:pPr>
      <w:smartTag w:uri="urn:schemas-microsoft-com:office:smarttags" w:element="place">
        <w:smartTag w:uri="urn:schemas-microsoft-com:office:smarttags" w:element="State">
          <w:r>
            <w:rPr>
              <w:b/>
            </w:rPr>
            <w:t>PENNSYLVANIA</w:t>
          </w:r>
        </w:smartTag>
      </w:smartTag>
      <w:r>
        <w:rPr>
          <w:b/>
        </w:rPr>
        <w:t xml:space="preserve"> PUBLIC UTILITY COMMISSION</w:t>
      </w:r>
    </w:p>
    <w:p w:rsidR="00437BAE" w:rsidRDefault="00437BAE" w:rsidP="00437BAE">
      <w:pPr>
        <w:jc w:val="center"/>
      </w:pPr>
    </w:p>
    <w:p w:rsidR="00437BAE" w:rsidRDefault="00437BAE" w:rsidP="00437BAE">
      <w:pPr>
        <w:jc w:val="center"/>
      </w:pPr>
    </w:p>
    <w:p w:rsidR="00437BAE" w:rsidRDefault="00437BAE" w:rsidP="00437BAE">
      <w:pPr>
        <w:jc w:val="center"/>
      </w:pPr>
    </w:p>
    <w:p w:rsidR="00437BAE" w:rsidRDefault="001B43BA" w:rsidP="00437BAE">
      <w:smartTag w:uri="urn:schemas-microsoft-com:office:smarttags" w:element="place">
        <w:r>
          <w:t>Torino</w:t>
        </w:r>
      </w:smartTag>
      <w:r>
        <w:t xml:space="preserve"> Incorporated</w:t>
      </w:r>
      <w:r>
        <w:tab/>
      </w:r>
      <w:r>
        <w:tab/>
      </w:r>
      <w:r>
        <w:tab/>
      </w:r>
      <w:r>
        <w:tab/>
      </w:r>
      <w:r>
        <w:tab/>
        <w:t>:</w:t>
      </w:r>
    </w:p>
    <w:p w:rsidR="00437BAE" w:rsidRDefault="00437BAE" w:rsidP="00437BAE">
      <w:r>
        <w:tab/>
      </w:r>
      <w:r>
        <w:tab/>
      </w:r>
      <w:r>
        <w:tab/>
      </w:r>
      <w:r>
        <w:tab/>
      </w:r>
      <w:r>
        <w:tab/>
      </w:r>
      <w:r>
        <w:tab/>
      </w:r>
      <w:r>
        <w:tab/>
        <w:t>:</w:t>
      </w:r>
    </w:p>
    <w:p w:rsidR="00437BAE" w:rsidRDefault="00437BAE" w:rsidP="00437BAE">
      <w:r>
        <w:tab/>
        <w:t>v.</w:t>
      </w:r>
      <w:r>
        <w:tab/>
      </w:r>
      <w:r>
        <w:tab/>
      </w:r>
      <w:r>
        <w:tab/>
      </w:r>
      <w:r>
        <w:tab/>
      </w:r>
      <w:r>
        <w:tab/>
      </w:r>
      <w:r>
        <w:tab/>
        <w:t>:</w:t>
      </w:r>
      <w:r>
        <w:tab/>
      </w:r>
      <w:r>
        <w:tab/>
      </w:r>
      <w:r w:rsidR="001B43BA">
        <w:t>C-2008-2034595</w:t>
      </w:r>
    </w:p>
    <w:p w:rsidR="00437BAE" w:rsidRDefault="00437BAE" w:rsidP="00437BAE">
      <w:r>
        <w:tab/>
      </w:r>
      <w:r>
        <w:tab/>
      </w:r>
      <w:r>
        <w:tab/>
      </w:r>
      <w:r>
        <w:tab/>
      </w:r>
      <w:r>
        <w:tab/>
      </w:r>
      <w:r>
        <w:tab/>
      </w:r>
      <w:r>
        <w:tab/>
        <w:t>:</w:t>
      </w:r>
    </w:p>
    <w:p w:rsidR="00437BAE" w:rsidRDefault="00437BAE" w:rsidP="00437BAE">
      <w:r>
        <w:t>PECO Energy Company</w:t>
      </w:r>
      <w:r>
        <w:tab/>
      </w:r>
      <w:r>
        <w:tab/>
      </w:r>
      <w:r>
        <w:tab/>
      </w:r>
      <w:r>
        <w:tab/>
        <w:t>:</w:t>
      </w:r>
    </w:p>
    <w:p w:rsidR="00437BAE" w:rsidRDefault="00437BAE" w:rsidP="00437BAE"/>
    <w:p w:rsidR="00437BAE" w:rsidRDefault="00437BAE" w:rsidP="00437BAE"/>
    <w:p w:rsidR="00437BAE" w:rsidRDefault="00437BAE" w:rsidP="00437BAE"/>
    <w:p w:rsidR="00437BAE" w:rsidRDefault="00437BAE" w:rsidP="00437BAE">
      <w:pPr>
        <w:jc w:val="center"/>
      </w:pPr>
      <w:r>
        <w:rPr>
          <w:b/>
          <w:u w:val="single"/>
        </w:rPr>
        <w:t>INITIAL DECISION</w:t>
      </w:r>
    </w:p>
    <w:p w:rsidR="00437BAE" w:rsidRDefault="00437BAE" w:rsidP="00437BAE">
      <w:pPr>
        <w:jc w:val="center"/>
      </w:pPr>
    </w:p>
    <w:p w:rsidR="00437BAE" w:rsidRDefault="00437BAE" w:rsidP="00437BAE">
      <w:pPr>
        <w:jc w:val="center"/>
      </w:pPr>
    </w:p>
    <w:p w:rsidR="00437BAE" w:rsidRDefault="00437BAE" w:rsidP="00437BAE">
      <w:pPr>
        <w:jc w:val="center"/>
      </w:pPr>
      <w:r>
        <w:t>Before</w:t>
      </w:r>
    </w:p>
    <w:p w:rsidR="00437BAE" w:rsidRDefault="00437BAE" w:rsidP="00437BAE">
      <w:pPr>
        <w:jc w:val="center"/>
      </w:pPr>
      <w:r>
        <w:t>Ky Van Nguyen</w:t>
      </w:r>
    </w:p>
    <w:p w:rsidR="00437BAE" w:rsidRDefault="00437BAE" w:rsidP="00437BAE">
      <w:pPr>
        <w:jc w:val="center"/>
      </w:pPr>
      <w:r>
        <w:t xml:space="preserve">Administrative Law Judge </w:t>
      </w:r>
    </w:p>
    <w:p w:rsidR="00437BAE" w:rsidRDefault="00437BAE" w:rsidP="00437BAE">
      <w:pPr>
        <w:jc w:val="center"/>
      </w:pPr>
    </w:p>
    <w:p w:rsidR="00437BAE" w:rsidRDefault="00437BAE" w:rsidP="00437BAE">
      <w:pPr>
        <w:jc w:val="center"/>
      </w:pPr>
    </w:p>
    <w:p w:rsidR="00437BAE" w:rsidRDefault="00437BAE" w:rsidP="00437BAE">
      <w:pPr>
        <w:jc w:val="center"/>
      </w:pPr>
      <w:r>
        <w:rPr>
          <w:u w:val="single"/>
        </w:rPr>
        <w:t>HISTORY OF THE PROCEEDINGS</w:t>
      </w:r>
    </w:p>
    <w:p w:rsidR="00437BAE" w:rsidRDefault="00437BAE" w:rsidP="00437BAE">
      <w:pPr>
        <w:jc w:val="center"/>
      </w:pPr>
    </w:p>
    <w:p w:rsidR="00437BAE" w:rsidRDefault="00437BAE" w:rsidP="00437BAE">
      <w:pPr>
        <w:jc w:val="center"/>
      </w:pPr>
    </w:p>
    <w:p w:rsidR="00437BAE" w:rsidRDefault="00437BAE" w:rsidP="00437BAE">
      <w:pPr>
        <w:spacing w:line="360" w:lineRule="auto"/>
      </w:pPr>
      <w:r>
        <w:tab/>
      </w:r>
      <w:r>
        <w:tab/>
        <w:t xml:space="preserve">On </w:t>
      </w:r>
      <w:r w:rsidR="009C7A5E">
        <w:t>March 24, 2008, Torino Incorporated</w:t>
      </w:r>
      <w:r>
        <w:t xml:space="preserve"> (Complainant) filed a complaint with the Pennsylvania Public Utility Commission (Commission) against PECO Energy Company (Respondent).  In the complaint, the Complainant essentially alleged that the Respondent </w:t>
      </w:r>
      <w:r w:rsidR="009C7A5E">
        <w:t>overbilled it because it had a broken gas meter for many years</w:t>
      </w:r>
      <w:r>
        <w:t xml:space="preserve">.  The Complainant asked that the Commission investigate the Respondent’s billing practice and direct the Respondent to </w:t>
      </w:r>
      <w:r w:rsidR="009C7A5E">
        <w:t>refund to it the overpayment</w:t>
      </w:r>
      <w:r>
        <w:t>.</w:t>
      </w:r>
    </w:p>
    <w:p w:rsidR="00437BAE" w:rsidRDefault="00437BAE" w:rsidP="00437BAE">
      <w:pPr>
        <w:spacing w:line="360" w:lineRule="auto"/>
      </w:pPr>
    </w:p>
    <w:p w:rsidR="00437BAE" w:rsidRDefault="00437BAE" w:rsidP="00437BAE">
      <w:pPr>
        <w:spacing w:line="360" w:lineRule="auto"/>
      </w:pPr>
      <w:r>
        <w:tab/>
      </w:r>
      <w:r>
        <w:tab/>
        <w:t xml:space="preserve">On </w:t>
      </w:r>
      <w:r w:rsidR="00631714">
        <w:t>April 28, 2008</w:t>
      </w:r>
      <w:r>
        <w:t>, the Respondent filed an answer to the complaint.  The Respondent stated</w:t>
      </w:r>
      <w:r w:rsidR="00631714">
        <w:t>, among other things,</w:t>
      </w:r>
      <w:r>
        <w:t xml:space="preserve"> that </w:t>
      </w:r>
      <w:r w:rsidR="00631714">
        <w:t>in October 2005</w:t>
      </w:r>
      <w:r>
        <w:t xml:space="preserve">, the Complainant’s </w:t>
      </w:r>
      <w:r w:rsidR="00631714">
        <w:t>gas meter stopped transmitting readings</w:t>
      </w:r>
      <w:r>
        <w:t xml:space="preserve">, and that the Respondent </w:t>
      </w:r>
      <w:r w:rsidR="00631714">
        <w:t xml:space="preserve">had to bill it on estimated readings from that point forward.  It also stated that on September 6, 2006, </w:t>
      </w:r>
      <w:r w:rsidR="00886B69">
        <w:t>a meter technician gained access to the meter and found the meter was not registering usage, that it attempted repeatedly to gain access but unsuccessfully until May 9, 2007, at which time it replaced the meter, and estimated readings have since ceased.</w:t>
      </w:r>
    </w:p>
    <w:p w:rsidR="00437BAE" w:rsidRDefault="00437BAE" w:rsidP="00437BAE">
      <w:pPr>
        <w:spacing w:line="360" w:lineRule="auto"/>
      </w:pPr>
    </w:p>
    <w:p w:rsidR="00437BAE" w:rsidRDefault="00437BAE" w:rsidP="00437BAE">
      <w:pPr>
        <w:spacing w:line="360" w:lineRule="auto"/>
      </w:pPr>
      <w:r>
        <w:lastRenderedPageBreak/>
        <w:tab/>
      </w:r>
      <w:r>
        <w:tab/>
        <w:t xml:space="preserve">A hearing was held on </w:t>
      </w:r>
      <w:r w:rsidR="00886B69">
        <w:t>May 21, 2009</w:t>
      </w:r>
      <w:r>
        <w:t>.  The Complainant proceeded unrepresented</w:t>
      </w:r>
      <w:r w:rsidR="00886B69">
        <w:t>.  Mr. Frank Bosco, the Complainant’s owner, te</w:t>
      </w:r>
      <w:r>
        <w:t xml:space="preserve">stified on his own behalf.  The Respondent was represented by </w:t>
      </w:r>
      <w:r w:rsidR="00886B69">
        <w:t>Tishekia Williams</w:t>
      </w:r>
      <w:r>
        <w:t xml:space="preserve">, Esquire, who presented the testimony of </w:t>
      </w:r>
      <w:r w:rsidR="00886B69">
        <w:t>one</w:t>
      </w:r>
      <w:r>
        <w:t xml:space="preserve"> witness and introduced </w:t>
      </w:r>
      <w:r w:rsidR="00886B69">
        <w:t>two</w:t>
      </w:r>
      <w:r>
        <w:t xml:space="preserve"> exhibits which were admitted into the record.</w:t>
      </w:r>
    </w:p>
    <w:p w:rsidR="008B1DBE" w:rsidRDefault="008B1DBE" w:rsidP="00437BAE">
      <w:pPr>
        <w:spacing w:line="360" w:lineRule="auto"/>
      </w:pPr>
    </w:p>
    <w:p w:rsidR="008B1DBE" w:rsidRDefault="008B1DBE" w:rsidP="00437BAE">
      <w:pPr>
        <w:spacing w:line="360" w:lineRule="auto"/>
      </w:pPr>
      <w:r>
        <w:tab/>
      </w:r>
      <w:r>
        <w:tab/>
        <w:t>On May 29, 2009, I asked the Respondent to submit the Complainant’s History of Gas Usage in 2003 and 2004.  On June 10, 2009, the Respondent responded to this request.  The Complainant’s History of Gas Usage in 2003 and 2004 will be marked as PECO Exhibit 4 and will be admitted into the record.</w:t>
      </w:r>
    </w:p>
    <w:p w:rsidR="00437BAE" w:rsidRDefault="00437BAE" w:rsidP="00437BAE">
      <w:pPr>
        <w:spacing w:line="360" w:lineRule="auto"/>
      </w:pPr>
    </w:p>
    <w:p w:rsidR="00437BAE" w:rsidRDefault="00437BAE" w:rsidP="00437BAE">
      <w:pPr>
        <w:spacing w:line="360" w:lineRule="auto"/>
      </w:pPr>
      <w:r>
        <w:tab/>
      </w:r>
      <w:r>
        <w:tab/>
        <w:t xml:space="preserve">The record was closed on </w:t>
      </w:r>
      <w:r w:rsidR="008B1DBE">
        <w:t>June 10</w:t>
      </w:r>
      <w:r w:rsidR="00886B69">
        <w:t>, 2009</w:t>
      </w:r>
      <w:r>
        <w:t>.</w:t>
      </w:r>
    </w:p>
    <w:p w:rsidR="00437BAE" w:rsidRDefault="00437BAE" w:rsidP="00437BAE">
      <w:pPr>
        <w:spacing w:line="360" w:lineRule="auto"/>
      </w:pPr>
    </w:p>
    <w:p w:rsidR="00437BAE" w:rsidRDefault="00437BAE" w:rsidP="00437BAE">
      <w:pPr>
        <w:spacing w:line="360" w:lineRule="auto"/>
        <w:jc w:val="center"/>
      </w:pPr>
      <w:r>
        <w:rPr>
          <w:u w:val="single"/>
        </w:rPr>
        <w:t>FINDINGS OF FACT</w:t>
      </w:r>
    </w:p>
    <w:p w:rsidR="00437BAE" w:rsidRDefault="00437BAE" w:rsidP="00437BAE">
      <w:pPr>
        <w:spacing w:line="360" w:lineRule="auto"/>
        <w:jc w:val="center"/>
      </w:pPr>
    </w:p>
    <w:p w:rsidR="00437BAE" w:rsidRDefault="00437BAE" w:rsidP="00437BAE">
      <w:pPr>
        <w:spacing w:line="360" w:lineRule="auto"/>
      </w:pPr>
      <w:r>
        <w:tab/>
      </w:r>
      <w:r>
        <w:tab/>
        <w:t>1.</w:t>
      </w:r>
      <w:r>
        <w:tab/>
        <w:t xml:space="preserve">The Complainant is a business customer of the Respondent’s and takes service at </w:t>
      </w:r>
      <w:smartTag w:uri="urn:schemas-microsoft-com:office:smarttags" w:element="address">
        <w:smartTag w:uri="urn:schemas-microsoft-com:office:smarttags" w:element="Street">
          <w:r w:rsidR="004A389F">
            <w:t>239 E. County Line Ro</w:t>
          </w:r>
          <w:r>
            <w:t>ad</w:t>
          </w:r>
        </w:smartTag>
        <w:r>
          <w:t xml:space="preserve">, </w:t>
        </w:r>
        <w:smartTag w:uri="urn:schemas-microsoft-com:office:smarttags" w:element="City">
          <w:r>
            <w:t>Hatboro</w:t>
          </w:r>
        </w:smartTag>
        <w:r>
          <w:t xml:space="preserve">, </w:t>
        </w:r>
        <w:smartTag w:uri="urn:schemas-microsoft-com:office:smarttags" w:element="State">
          <w:r>
            <w:t>Pennsylvania</w:t>
          </w:r>
        </w:smartTag>
      </w:smartTag>
      <w:r>
        <w:t xml:space="preserve">.  The Complainant has sold pizzas at this address since </w:t>
      </w:r>
      <w:r w:rsidR="004A389F">
        <w:t>October 1997 (N.T. 4, 5, 19, 20).</w:t>
      </w:r>
    </w:p>
    <w:p w:rsidR="00437BAE" w:rsidRDefault="00437BAE" w:rsidP="00437BAE">
      <w:pPr>
        <w:spacing w:line="360" w:lineRule="auto"/>
      </w:pPr>
    </w:p>
    <w:p w:rsidR="00437BAE" w:rsidRDefault="00437BAE" w:rsidP="00437BAE">
      <w:pPr>
        <w:spacing w:line="360" w:lineRule="auto"/>
      </w:pPr>
      <w:r>
        <w:tab/>
      </w:r>
      <w:r>
        <w:tab/>
        <w:t>2.</w:t>
      </w:r>
      <w:r>
        <w:tab/>
        <w:t xml:space="preserve">The Complainant’s </w:t>
      </w:r>
      <w:r w:rsidR="004A389F">
        <w:t>gas</w:t>
      </w:r>
      <w:r>
        <w:t xml:space="preserve"> equipment at the shop consist</w:t>
      </w:r>
      <w:r w:rsidR="004A389F">
        <w:t>ed</w:t>
      </w:r>
      <w:r>
        <w:t xml:space="preserve"> of two </w:t>
      </w:r>
      <w:r w:rsidR="004A389F">
        <w:t xml:space="preserve">pizza ovens, a fryer, and a 36-inch grill.  Now, it has two pizza ovens, two fryers, and a 48-inch grill, all with 700,000 BTUs (N.T. 47-52).  </w:t>
      </w:r>
    </w:p>
    <w:p w:rsidR="00437BAE" w:rsidRDefault="00437BAE" w:rsidP="00437BAE">
      <w:pPr>
        <w:spacing w:line="360" w:lineRule="auto"/>
      </w:pPr>
    </w:p>
    <w:p w:rsidR="004A389F" w:rsidRDefault="00437BAE" w:rsidP="00437BAE">
      <w:pPr>
        <w:spacing w:line="360" w:lineRule="auto"/>
      </w:pPr>
      <w:r>
        <w:tab/>
      </w:r>
      <w:r>
        <w:tab/>
        <w:t>3.</w:t>
      </w:r>
      <w:r>
        <w:tab/>
      </w:r>
      <w:r w:rsidR="004A389F">
        <w:t>The Complainant’s business hours are as follows:</w:t>
      </w:r>
    </w:p>
    <w:p w:rsidR="004A389F" w:rsidRDefault="004A389F" w:rsidP="00437BAE">
      <w:pPr>
        <w:spacing w:line="360" w:lineRule="auto"/>
      </w:pPr>
    </w:p>
    <w:p w:rsidR="004A389F" w:rsidRDefault="004A389F" w:rsidP="00437BAE">
      <w:pPr>
        <w:spacing w:line="360" w:lineRule="auto"/>
      </w:pPr>
      <w:r>
        <w:tab/>
      </w:r>
      <w:r>
        <w:tab/>
      </w:r>
      <w:r>
        <w:tab/>
        <w:t>Monday through Thursday</w:t>
      </w:r>
      <w:r>
        <w:tab/>
        <w:t>:</w:t>
      </w:r>
      <w:r>
        <w:tab/>
        <w:t>10:00 a.m. to 10:00 p.m.</w:t>
      </w:r>
    </w:p>
    <w:p w:rsidR="004A389F" w:rsidRDefault="004A389F" w:rsidP="00437BAE">
      <w:pPr>
        <w:spacing w:line="360" w:lineRule="auto"/>
      </w:pPr>
      <w:r>
        <w:tab/>
      </w:r>
      <w:r>
        <w:tab/>
      </w:r>
      <w:r>
        <w:tab/>
      </w:r>
      <w:r w:rsidR="003024CE">
        <w:t>Friday and Saturday</w:t>
      </w:r>
      <w:r w:rsidR="003024CE">
        <w:tab/>
      </w:r>
      <w:r w:rsidR="003024CE">
        <w:tab/>
        <w:t>:</w:t>
      </w:r>
      <w:r w:rsidR="003024CE">
        <w:tab/>
        <w:t>10:00 a.m. to 11:00 p.m.</w:t>
      </w:r>
    </w:p>
    <w:p w:rsidR="003024CE" w:rsidRDefault="003024CE" w:rsidP="00437BAE">
      <w:pPr>
        <w:spacing w:line="360" w:lineRule="auto"/>
      </w:pPr>
      <w:r>
        <w:tab/>
      </w:r>
      <w:r>
        <w:tab/>
      </w:r>
      <w:r>
        <w:tab/>
        <w:t>Sunday</w:t>
      </w:r>
      <w:r>
        <w:tab/>
      </w:r>
      <w:r>
        <w:tab/>
      </w:r>
      <w:r>
        <w:tab/>
        <w:t>:</w:t>
      </w:r>
      <w:r>
        <w:tab/>
        <w:t>12:00 noon to 9:00 p.m.</w:t>
      </w:r>
    </w:p>
    <w:p w:rsidR="003024CE" w:rsidRDefault="003024CE" w:rsidP="00437BAE">
      <w:pPr>
        <w:spacing w:line="360" w:lineRule="auto"/>
      </w:pPr>
    </w:p>
    <w:p w:rsidR="003024CE" w:rsidRDefault="003024CE" w:rsidP="00437BAE">
      <w:pPr>
        <w:spacing w:line="360" w:lineRule="auto"/>
      </w:pPr>
      <w:r>
        <w:t>(N.T. 55).</w:t>
      </w:r>
    </w:p>
    <w:p w:rsidR="00437BAE" w:rsidRDefault="004A389F" w:rsidP="00437BAE">
      <w:pPr>
        <w:spacing w:line="360" w:lineRule="auto"/>
      </w:pPr>
      <w:r>
        <w:tab/>
      </w:r>
      <w:r>
        <w:tab/>
      </w:r>
    </w:p>
    <w:p w:rsidR="00437BAE" w:rsidRDefault="00437BAE" w:rsidP="00437BAE">
      <w:pPr>
        <w:spacing w:line="360" w:lineRule="auto"/>
      </w:pPr>
      <w:r>
        <w:lastRenderedPageBreak/>
        <w:tab/>
      </w:r>
      <w:r>
        <w:tab/>
        <w:t>4.</w:t>
      </w:r>
      <w:r>
        <w:tab/>
        <w:t xml:space="preserve">The Complainant </w:t>
      </w:r>
      <w:r w:rsidR="003024CE">
        <w:t>received estimated bills between October 2005 and May 9, 2007</w:t>
      </w:r>
      <w:r>
        <w:t xml:space="preserve"> </w:t>
      </w:r>
      <w:r w:rsidR="003024CE">
        <w:t>because the Complainant had a stopped gas meter</w:t>
      </w:r>
      <w:r w:rsidR="008B1DBE">
        <w:t>.  The Complainant’s meter was changed on May 9, 2007</w:t>
      </w:r>
      <w:r w:rsidR="003024CE">
        <w:t xml:space="preserve"> (N.T. 17, 26).</w:t>
      </w:r>
    </w:p>
    <w:p w:rsidR="00437BAE" w:rsidRDefault="00437BAE" w:rsidP="00437BAE">
      <w:pPr>
        <w:spacing w:line="360" w:lineRule="auto"/>
      </w:pPr>
    </w:p>
    <w:p w:rsidR="00437BAE" w:rsidRDefault="00437BAE" w:rsidP="00437BAE">
      <w:pPr>
        <w:spacing w:line="360" w:lineRule="auto"/>
      </w:pPr>
      <w:r>
        <w:tab/>
      </w:r>
      <w:r>
        <w:tab/>
        <w:t>5.</w:t>
      </w:r>
      <w:r>
        <w:tab/>
        <w:t xml:space="preserve">The Complainant’s </w:t>
      </w:r>
      <w:r w:rsidR="008448BC">
        <w:t xml:space="preserve">gas meter is located outside its business address (N.T. 47).   </w:t>
      </w:r>
      <w:r>
        <w:t xml:space="preserve"> </w:t>
      </w:r>
    </w:p>
    <w:p w:rsidR="00437BAE" w:rsidRDefault="00437BAE" w:rsidP="00437BAE">
      <w:pPr>
        <w:spacing w:line="360" w:lineRule="auto"/>
      </w:pPr>
    </w:p>
    <w:p w:rsidR="008B1DBE" w:rsidRDefault="008B1DBE" w:rsidP="008B1DBE">
      <w:pPr>
        <w:spacing w:line="360" w:lineRule="auto"/>
      </w:pPr>
      <w:r>
        <w:tab/>
      </w:r>
      <w:r>
        <w:tab/>
        <w:t>6.</w:t>
      </w:r>
      <w:r>
        <w:tab/>
        <w:t>A stopped gas meter is a meter which no longer registers consumption (N.T. 17).</w:t>
      </w:r>
    </w:p>
    <w:p w:rsidR="008B1DBE" w:rsidRDefault="008B1DBE" w:rsidP="008B1DBE">
      <w:pPr>
        <w:spacing w:line="360" w:lineRule="auto"/>
      </w:pPr>
    </w:p>
    <w:p w:rsidR="00437BAE" w:rsidRDefault="00437BAE" w:rsidP="00437BAE">
      <w:pPr>
        <w:spacing w:line="360" w:lineRule="auto"/>
      </w:pPr>
      <w:r>
        <w:tab/>
      </w:r>
      <w:r>
        <w:tab/>
      </w:r>
      <w:r w:rsidR="008B1DBE">
        <w:t>7</w:t>
      </w:r>
      <w:r>
        <w:t>.</w:t>
      </w:r>
      <w:r>
        <w:tab/>
        <w:t xml:space="preserve">The Complainant’s </w:t>
      </w:r>
      <w:r w:rsidR="008448BC">
        <w:t>history of consumption (Daily Average Usage (DAU)) for the years 2005, 2006 and 2007 is as follows:</w:t>
      </w:r>
    </w:p>
    <w:p w:rsidR="006832A0" w:rsidRDefault="006832A0" w:rsidP="00437BAE">
      <w:pPr>
        <w:spacing w:line="360" w:lineRule="auto"/>
      </w:pPr>
    </w:p>
    <w:tbl>
      <w:tblPr>
        <w:tblW w:w="8156" w:type="dxa"/>
        <w:tblInd w:w="1428" w:type="dxa"/>
        <w:tblLook w:val="01E0"/>
      </w:tblPr>
      <w:tblGrid>
        <w:gridCol w:w="236"/>
        <w:gridCol w:w="2040"/>
        <w:gridCol w:w="1800"/>
        <w:gridCol w:w="1680"/>
        <w:gridCol w:w="1560"/>
        <w:gridCol w:w="364"/>
        <w:gridCol w:w="240"/>
        <w:gridCol w:w="236"/>
      </w:tblGrid>
      <w:tr w:rsidR="006832A0" w:rsidRPr="007257F5" w:rsidTr="007257F5">
        <w:tc>
          <w:tcPr>
            <w:tcW w:w="236" w:type="dxa"/>
          </w:tcPr>
          <w:p w:rsidR="006832A0" w:rsidRPr="007257F5" w:rsidRDefault="006832A0" w:rsidP="007257F5">
            <w:pPr>
              <w:jc w:val="center"/>
              <w:rPr>
                <w:b/>
              </w:rPr>
            </w:pPr>
          </w:p>
        </w:tc>
        <w:tc>
          <w:tcPr>
            <w:tcW w:w="7444" w:type="dxa"/>
            <w:gridSpan w:val="5"/>
          </w:tcPr>
          <w:p w:rsidR="006832A0" w:rsidRPr="007257F5" w:rsidRDefault="007A3CFF" w:rsidP="007257F5">
            <w:pPr>
              <w:spacing w:line="360" w:lineRule="auto"/>
              <w:jc w:val="center"/>
              <w:rPr>
                <w:b/>
                <w:u w:val="single"/>
              </w:rPr>
            </w:pPr>
            <w:r w:rsidRPr="007257F5">
              <w:rPr>
                <w:b/>
              </w:rPr>
              <w:t xml:space="preserve">       </w:t>
            </w:r>
            <w:r w:rsidR="000369E7" w:rsidRPr="007257F5">
              <w:rPr>
                <w:b/>
                <w:u w:val="single"/>
              </w:rPr>
              <w:t>DAILY AVERAGE USAGE (DAU)</w:t>
            </w:r>
          </w:p>
        </w:tc>
        <w:tc>
          <w:tcPr>
            <w:tcW w:w="240" w:type="dxa"/>
          </w:tcPr>
          <w:p w:rsidR="006832A0" w:rsidRPr="007257F5" w:rsidRDefault="006832A0" w:rsidP="007257F5">
            <w:pPr>
              <w:jc w:val="center"/>
              <w:rPr>
                <w:b/>
              </w:rPr>
            </w:pPr>
          </w:p>
        </w:tc>
        <w:tc>
          <w:tcPr>
            <w:tcW w:w="236" w:type="dxa"/>
          </w:tcPr>
          <w:p w:rsidR="006832A0" w:rsidRPr="007257F5" w:rsidRDefault="006832A0" w:rsidP="007257F5">
            <w:pPr>
              <w:jc w:val="center"/>
              <w:rPr>
                <w:b/>
              </w:rPr>
            </w:pPr>
          </w:p>
        </w:tc>
      </w:tr>
      <w:tr w:rsidR="007A3CFF" w:rsidRPr="007257F5" w:rsidTr="007257F5">
        <w:trPr>
          <w:gridBefore w:val="1"/>
          <w:gridAfter w:val="3"/>
          <w:wAfter w:w="716" w:type="dxa"/>
        </w:trPr>
        <w:tc>
          <w:tcPr>
            <w:tcW w:w="2040" w:type="dxa"/>
          </w:tcPr>
          <w:p w:rsidR="006832A0" w:rsidRPr="007257F5" w:rsidRDefault="006832A0" w:rsidP="007257F5">
            <w:pPr>
              <w:jc w:val="center"/>
              <w:rPr>
                <w:b/>
              </w:rPr>
            </w:pPr>
          </w:p>
        </w:tc>
        <w:tc>
          <w:tcPr>
            <w:tcW w:w="1800" w:type="dxa"/>
          </w:tcPr>
          <w:p w:rsidR="000369E7" w:rsidRPr="007257F5" w:rsidRDefault="000369E7" w:rsidP="007257F5">
            <w:pPr>
              <w:jc w:val="center"/>
              <w:rPr>
                <w:b/>
              </w:rPr>
            </w:pPr>
          </w:p>
          <w:p w:rsidR="006832A0" w:rsidRPr="007257F5" w:rsidRDefault="006832A0" w:rsidP="007257F5">
            <w:pPr>
              <w:jc w:val="center"/>
              <w:rPr>
                <w:b/>
              </w:rPr>
            </w:pPr>
            <w:r w:rsidRPr="007257F5">
              <w:rPr>
                <w:b/>
              </w:rPr>
              <w:t>2005</w:t>
            </w:r>
          </w:p>
        </w:tc>
        <w:tc>
          <w:tcPr>
            <w:tcW w:w="1680" w:type="dxa"/>
          </w:tcPr>
          <w:p w:rsidR="000369E7" w:rsidRPr="007257F5" w:rsidRDefault="000369E7" w:rsidP="007257F5">
            <w:pPr>
              <w:jc w:val="center"/>
              <w:rPr>
                <w:b/>
              </w:rPr>
            </w:pPr>
          </w:p>
          <w:p w:rsidR="006832A0" w:rsidRPr="007257F5" w:rsidRDefault="006832A0" w:rsidP="007257F5">
            <w:pPr>
              <w:jc w:val="center"/>
              <w:rPr>
                <w:b/>
              </w:rPr>
            </w:pPr>
            <w:r w:rsidRPr="007257F5">
              <w:rPr>
                <w:b/>
              </w:rPr>
              <w:t>2006</w:t>
            </w:r>
          </w:p>
        </w:tc>
        <w:tc>
          <w:tcPr>
            <w:tcW w:w="1560" w:type="dxa"/>
          </w:tcPr>
          <w:p w:rsidR="000369E7" w:rsidRPr="007257F5" w:rsidRDefault="000369E7" w:rsidP="007257F5">
            <w:pPr>
              <w:jc w:val="center"/>
              <w:rPr>
                <w:b/>
              </w:rPr>
            </w:pPr>
          </w:p>
          <w:p w:rsidR="006832A0" w:rsidRPr="007257F5" w:rsidRDefault="006832A0" w:rsidP="007257F5">
            <w:pPr>
              <w:spacing w:line="360" w:lineRule="auto"/>
              <w:jc w:val="center"/>
              <w:rPr>
                <w:b/>
              </w:rPr>
            </w:pPr>
            <w:r w:rsidRPr="007257F5">
              <w:rPr>
                <w:b/>
              </w:rPr>
              <w:t>2007</w:t>
            </w:r>
          </w:p>
        </w:tc>
      </w:tr>
      <w:tr w:rsidR="006832A0" w:rsidTr="007257F5">
        <w:trPr>
          <w:gridBefore w:val="1"/>
          <w:gridAfter w:val="3"/>
          <w:wAfter w:w="716" w:type="dxa"/>
        </w:trPr>
        <w:tc>
          <w:tcPr>
            <w:tcW w:w="1680" w:type="dxa"/>
          </w:tcPr>
          <w:p w:rsidR="006832A0" w:rsidRDefault="000369E7" w:rsidP="004D60B3">
            <w:r>
              <w:t>January</w:t>
            </w:r>
          </w:p>
        </w:tc>
        <w:tc>
          <w:tcPr>
            <w:tcW w:w="1800" w:type="dxa"/>
          </w:tcPr>
          <w:p w:rsidR="006832A0" w:rsidRDefault="000369E7" w:rsidP="007257F5">
            <w:pPr>
              <w:jc w:val="center"/>
            </w:pPr>
            <w:r>
              <w:t>E  14.8</w:t>
            </w:r>
          </w:p>
        </w:tc>
        <w:tc>
          <w:tcPr>
            <w:tcW w:w="1680" w:type="dxa"/>
          </w:tcPr>
          <w:p w:rsidR="006832A0" w:rsidRDefault="000369E7" w:rsidP="007257F5">
            <w:pPr>
              <w:jc w:val="center"/>
            </w:pPr>
            <w:r>
              <w:t>E  11.3</w:t>
            </w:r>
          </w:p>
        </w:tc>
        <w:tc>
          <w:tcPr>
            <w:tcW w:w="1560" w:type="dxa"/>
          </w:tcPr>
          <w:p w:rsidR="006832A0" w:rsidRDefault="000369E7" w:rsidP="007257F5">
            <w:pPr>
              <w:jc w:val="center"/>
            </w:pPr>
            <w:r>
              <w:t>E  15.7</w:t>
            </w:r>
          </w:p>
        </w:tc>
      </w:tr>
      <w:tr w:rsidR="006832A0" w:rsidTr="007257F5">
        <w:trPr>
          <w:gridBefore w:val="1"/>
          <w:gridAfter w:val="3"/>
          <w:wAfter w:w="716" w:type="dxa"/>
        </w:trPr>
        <w:tc>
          <w:tcPr>
            <w:tcW w:w="1680" w:type="dxa"/>
          </w:tcPr>
          <w:p w:rsidR="006832A0" w:rsidRDefault="000369E7" w:rsidP="004D60B3">
            <w:r>
              <w:t>February</w:t>
            </w:r>
          </w:p>
        </w:tc>
        <w:tc>
          <w:tcPr>
            <w:tcW w:w="1800" w:type="dxa"/>
          </w:tcPr>
          <w:p w:rsidR="006832A0" w:rsidRDefault="000369E7" w:rsidP="007257F5">
            <w:pPr>
              <w:jc w:val="center"/>
            </w:pPr>
            <w:r>
              <w:t>E  14.0</w:t>
            </w:r>
          </w:p>
        </w:tc>
        <w:tc>
          <w:tcPr>
            <w:tcW w:w="1680" w:type="dxa"/>
          </w:tcPr>
          <w:p w:rsidR="006832A0" w:rsidRDefault="000369E7" w:rsidP="007257F5">
            <w:pPr>
              <w:jc w:val="center"/>
            </w:pPr>
            <w:r>
              <w:t>E  12.2</w:t>
            </w:r>
          </w:p>
        </w:tc>
        <w:tc>
          <w:tcPr>
            <w:tcW w:w="1560" w:type="dxa"/>
          </w:tcPr>
          <w:p w:rsidR="006832A0" w:rsidRDefault="000369E7" w:rsidP="007257F5">
            <w:pPr>
              <w:jc w:val="center"/>
            </w:pPr>
            <w:r>
              <w:t>E  18.9</w:t>
            </w:r>
          </w:p>
        </w:tc>
      </w:tr>
      <w:tr w:rsidR="006832A0" w:rsidTr="007257F5">
        <w:trPr>
          <w:gridBefore w:val="1"/>
          <w:gridAfter w:val="3"/>
          <w:wAfter w:w="716" w:type="dxa"/>
        </w:trPr>
        <w:tc>
          <w:tcPr>
            <w:tcW w:w="1680" w:type="dxa"/>
          </w:tcPr>
          <w:p w:rsidR="006832A0" w:rsidRDefault="000369E7" w:rsidP="004D60B3">
            <w:r>
              <w:t>March</w:t>
            </w:r>
          </w:p>
        </w:tc>
        <w:tc>
          <w:tcPr>
            <w:tcW w:w="1800" w:type="dxa"/>
          </w:tcPr>
          <w:p w:rsidR="006832A0" w:rsidRDefault="000369E7" w:rsidP="007257F5">
            <w:pPr>
              <w:jc w:val="center"/>
            </w:pPr>
            <w:r>
              <w:t>E  16.5</w:t>
            </w:r>
          </w:p>
        </w:tc>
        <w:tc>
          <w:tcPr>
            <w:tcW w:w="1680" w:type="dxa"/>
          </w:tcPr>
          <w:p w:rsidR="006832A0" w:rsidRDefault="000369E7" w:rsidP="007257F5">
            <w:pPr>
              <w:jc w:val="center"/>
            </w:pPr>
            <w:r>
              <w:t>E  13.3</w:t>
            </w:r>
          </w:p>
        </w:tc>
        <w:tc>
          <w:tcPr>
            <w:tcW w:w="1560" w:type="dxa"/>
          </w:tcPr>
          <w:p w:rsidR="006832A0" w:rsidRDefault="000369E7" w:rsidP="007257F5">
            <w:pPr>
              <w:jc w:val="center"/>
            </w:pPr>
            <w:r>
              <w:t>E  19.6</w:t>
            </w:r>
          </w:p>
        </w:tc>
      </w:tr>
      <w:tr w:rsidR="006832A0" w:rsidTr="007257F5">
        <w:trPr>
          <w:gridBefore w:val="1"/>
          <w:gridAfter w:val="3"/>
          <w:wAfter w:w="716" w:type="dxa"/>
        </w:trPr>
        <w:tc>
          <w:tcPr>
            <w:tcW w:w="1680" w:type="dxa"/>
          </w:tcPr>
          <w:p w:rsidR="006832A0" w:rsidRDefault="000369E7" w:rsidP="004D60B3">
            <w:r>
              <w:t>April</w:t>
            </w:r>
          </w:p>
        </w:tc>
        <w:tc>
          <w:tcPr>
            <w:tcW w:w="1800" w:type="dxa"/>
          </w:tcPr>
          <w:p w:rsidR="006832A0" w:rsidRDefault="000369E7" w:rsidP="007257F5">
            <w:pPr>
              <w:jc w:val="center"/>
            </w:pPr>
            <w:r>
              <w:t>E  10.6</w:t>
            </w:r>
          </w:p>
        </w:tc>
        <w:tc>
          <w:tcPr>
            <w:tcW w:w="1680" w:type="dxa"/>
          </w:tcPr>
          <w:p w:rsidR="006832A0" w:rsidRDefault="000369E7" w:rsidP="007257F5">
            <w:pPr>
              <w:jc w:val="center"/>
            </w:pPr>
            <w:r>
              <w:t>E    8.7</w:t>
            </w:r>
          </w:p>
        </w:tc>
        <w:tc>
          <w:tcPr>
            <w:tcW w:w="1560" w:type="dxa"/>
          </w:tcPr>
          <w:p w:rsidR="006832A0" w:rsidRDefault="000369E7" w:rsidP="007257F5">
            <w:pPr>
              <w:jc w:val="center"/>
            </w:pPr>
            <w:r>
              <w:t>E  20.2</w:t>
            </w:r>
          </w:p>
        </w:tc>
      </w:tr>
      <w:tr w:rsidR="006832A0" w:rsidTr="007257F5">
        <w:trPr>
          <w:gridBefore w:val="1"/>
          <w:gridAfter w:val="3"/>
          <w:wAfter w:w="716" w:type="dxa"/>
        </w:trPr>
        <w:tc>
          <w:tcPr>
            <w:tcW w:w="1680" w:type="dxa"/>
          </w:tcPr>
          <w:p w:rsidR="006832A0" w:rsidRDefault="000369E7" w:rsidP="004D60B3">
            <w:r>
              <w:t>May</w:t>
            </w:r>
          </w:p>
        </w:tc>
        <w:tc>
          <w:tcPr>
            <w:tcW w:w="1800" w:type="dxa"/>
          </w:tcPr>
          <w:p w:rsidR="006832A0" w:rsidRDefault="000369E7" w:rsidP="007257F5">
            <w:pPr>
              <w:jc w:val="center"/>
            </w:pPr>
            <w:r>
              <w:t>E  23.4</w:t>
            </w:r>
          </w:p>
        </w:tc>
        <w:tc>
          <w:tcPr>
            <w:tcW w:w="1680" w:type="dxa"/>
          </w:tcPr>
          <w:p w:rsidR="006832A0" w:rsidRDefault="000369E7" w:rsidP="007257F5">
            <w:pPr>
              <w:jc w:val="center"/>
            </w:pPr>
            <w:r>
              <w:t>E  16.8</w:t>
            </w:r>
          </w:p>
        </w:tc>
        <w:tc>
          <w:tcPr>
            <w:tcW w:w="1560" w:type="dxa"/>
          </w:tcPr>
          <w:p w:rsidR="006832A0" w:rsidRDefault="000369E7" w:rsidP="007257F5">
            <w:pPr>
              <w:jc w:val="center"/>
            </w:pPr>
            <w:r>
              <w:t>E    8.0</w:t>
            </w:r>
          </w:p>
        </w:tc>
      </w:tr>
      <w:tr w:rsidR="006832A0" w:rsidTr="007257F5">
        <w:trPr>
          <w:gridBefore w:val="1"/>
          <w:gridAfter w:val="3"/>
          <w:wAfter w:w="716" w:type="dxa"/>
        </w:trPr>
        <w:tc>
          <w:tcPr>
            <w:tcW w:w="1680" w:type="dxa"/>
          </w:tcPr>
          <w:p w:rsidR="006832A0" w:rsidRDefault="000369E7" w:rsidP="004D60B3">
            <w:r>
              <w:t>June</w:t>
            </w:r>
          </w:p>
        </w:tc>
        <w:tc>
          <w:tcPr>
            <w:tcW w:w="1800" w:type="dxa"/>
          </w:tcPr>
          <w:p w:rsidR="006832A0" w:rsidRDefault="000369E7" w:rsidP="007257F5">
            <w:pPr>
              <w:jc w:val="center"/>
            </w:pPr>
            <w:r>
              <w:t>E    0.0</w:t>
            </w:r>
          </w:p>
        </w:tc>
        <w:tc>
          <w:tcPr>
            <w:tcW w:w="1680" w:type="dxa"/>
          </w:tcPr>
          <w:p w:rsidR="006832A0" w:rsidRDefault="000369E7" w:rsidP="007257F5">
            <w:pPr>
              <w:jc w:val="center"/>
            </w:pPr>
            <w:r>
              <w:t>E    0.8</w:t>
            </w:r>
          </w:p>
        </w:tc>
        <w:tc>
          <w:tcPr>
            <w:tcW w:w="1560" w:type="dxa"/>
          </w:tcPr>
          <w:p w:rsidR="006832A0" w:rsidRDefault="000369E7" w:rsidP="007257F5">
            <w:pPr>
              <w:jc w:val="center"/>
            </w:pPr>
            <w:r>
              <w:t>A  15.3</w:t>
            </w:r>
          </w:p>
        </w:tc>
      </w:tr>
      <w:tr w:rsidR="006832A0" w:rsidTr="007257F5">
        <w:trPr>
          <w:gridBefore w:val="1"/>
          <w:gridAfter w:val="3"/>
          <w:wAfter w:w="716" w:type="dxa"/>
        </w:trPr>
        <w:tc>
          <w:tcPr>
            <w:tcW w:w="1680" w:type="dxa"/>
          </w:tcPr>
          <w:p w:rsidR="006832A0" w:rsidRDefault="000369E7" w:rsidP="004D60B3">
            <w:r>
              <w:t>July</w:t>
            </w:r>
          </w:p>
        </w:tc>
        <w:tc>
          <w:tcPr>
            <w:tcW w:w="1800" w:type="dxa"/>
          </w:tcPr>
          <w:p w:rsidR="006832A0" w:rsidRDefault="000369E7" w:rsidP="007257F5">
            <w:pPr>
              <w:jc w:val="center"/>
            </w:pPr>
            <w:r>
              <w:t>E  14.7</w:t>
            </w:r>
          </w:p>
        </w:tc>
        <w:tc>
          <w:tcPr>
            <w:tcW w:w="1680" w:type="dxa"/>
          </w:tcPr>
          <w:p w:rsidR="006832A0" w:rsidRDefault="000369E7" w:rsidP="007257F5">
            <w:pPr>
              <w:jc w:val="center"/>
            </w:pPr>
            <w:r>
              <w:t>E  14.3</w:t>
            </w:r>
          </w:p>
        </w:tc>
        <w:tc>
          <w:tcPr>
            <w:tcW w:w="1560" w:type="dxa"/>
          </w:tcPr>
          <w:p w:rsidR="006832A0" w:rsidRDefault="000369E7" w:rsidP="007257F5">
            <w:pPr>
              <w:jc w:val="center"/>
            </w:pPr>
            <w:r>
              <w:t>A  15.0</w:t>
            </w:r>
          </w:p>
        </w:tc>
      </w:tr>
      <w:tr w:rsidR="006832A0" w:rsidTr="007257F5">
        <w:trPr>
          <w:gridBefore w:val="1"/>
          <w:gridAfter w:val="3"/>
          <w:wAfter w:w="716" w:type="dxa"/>
        </w:trPr>
        <w:tc>
          <w:tcPr>
            <w:tcW w:w="1680" w:type="dxa"/>
          </w:tcPr>
          <w:p w:rsidR="006832A0" w:rsidRDefault="000369E7" w:rsidP="004D60B3">
            <w:r>
              <w:t>August</w:t>
            </w:r>
          </w:p>
        </w:tc>
        <w:tc>
          <w:tcPr>
            <w:tcW w:w="1800" w:type="dxa"/>
          </w:tcPr>
          <w:p w:rsidR="006832A0" w:rsidRDefault="000369E7" w:rsidP="007257F5">
            <w:pPr>
              <w:jc w:val="center"/>
            </w:pPr>
            <w:r>
              <w:t>E  10.1</w:t>
            </w:r>
          </w:p>
        </w:tc>
        <w:tc>
          <w:tcPr>
            <w:tcW w:w="1680" w:type="dxa"/>
          </w:tcPr>
          <w:p w:rsidR="006832A0" w:rsidRDefault="000369E7" w:rsidP="007257F5">
            <w:pPr>
              <w:jc w:val="center"/>
            </w:pPr>
            <w:r>
              <w:t>E    9.8</w:t>
            </w:r>
          </w:p>
        </w:tc>
        <w:tc>
          <w:tcPr>
            <w:tcW w:w="1560" w:type="dxa"/>
          </w:tcPr>
          <w:p w:rsidR="006832A0" w:rsidRDefault="000369E7" w:rsidP="007257F5">
            <w:pPr>
              <w:jc w:val="center"/>
            </w:pPr>
            <w:r>
              <w:t>A  15.0</w:t>
            </w:r>
          </w:p>
        </w:tc>
      </w:tr>
      <w:tr w:rsidR="006832A0" w:rsidTr="007257F5">
        <w:trPr>
          <w:gridBefore w:val="1"/>
          <w:gridAfter w:val="3"/>
          <w:wAfter w:w="716" w:type="dxa"/>
        </w:trPr>
        <w:tc>
          <w:tcPr>
            <w:tcW w:w="1680" w:type="dxa"/>
          </w:tcPr>
          <w:p w:rsidR="006832A0" w:rsidRDefault="000369E7" w:rsidP="004D60B3">
            <w:r>
              <w:t>September</w:t>
            </w:r>
          </w:p>
        </w:tc>
        <w:tc>
          <w:tcPr>
            <w:tcW w:w="1800" w:type="dxa"/>
          </w:tcPr>
          <w:p w:rsidR="006832A0" w:rsidRDefault="000369E7" w:rsidP="007257F5">
            <w:pPr>
              <w:jc w:val="center"/>
            </w:pPr>
            <w:r>
              <w:t>E    3.5</w:t>
            </w:r>
          </w:p>
        </w:tc>
        <w:tc>
          <w:tcPr>
            <w:tcW w:w="1680" w:type="dxa"/>
          </w:tcPr>
          <w:p w:rsidR="006832A0" w:rsidRDefault="000369E7" w:rsidP="007257F5">
            <w:pPr>
              <w:jc w:val="center"/>
            </w:pPr>
            <w:r>
              <w:t>E    4.8</w:t>
            </w:r>
          </w:p>
        </w:tc>
        <w:tc>
          <w:tcPr>
            <w:tcW w:w="1560" w:type="dxa"/>
          </w:tcPr>
          <w:p w:rsidR="006832A0" w:rsidRDefault="000369E7" w:rsidP="007257F5">
            <w:pPr>
              <w:jc w:val="center"/>
            </w:pPr>
            <w:r>
              <w:t>A  15.1</w:t>
            </w:r>
          </w:p>
        </w:tc>
      </w:tr>
      <w:tr w:rsidR="006832A0" w:rsidTr="007257F5">
        <w:trPr>
          <w:gridBefore w:val="1"/>
          <w:gridAfter w:val="3"/>
          <w:wAfter w:w="716" w:type="dxa"/>
        </w:trPr>
        <w:tc>
          <w:tcPr>
            <w:tcW w:w="1680" w:type="dxa"/>
          </w:tcPr>
          <w:p w:rsidR="006832A0" w:rsidRDefault="000369E7" w:rsidP="004D60B3">
            <w:r>
              <w:t>October</w:t>
            </w:r>
          </w:p>
        </w:tc>
        <w:tc>
          <w:tcPr>
            <w:tcW w:w="1800" w:type="dxa"/>
          </w:tcPr>
          <w:p w:rsidR="006832A0" w:rsidRDefault="000369E7" w:rsidP="007257F5">
            <w:pPr>
              <w:jc w:val="center"/>
            </w:pPr>
            <w:r>
              <w:t>E  11.6</w:t>
            </w:r>
          </w:p>
        </w:tc>
        <w:tc>
          <w:tcPr>
            <w:tcW w:w="1680" w:type="dxa"/>
          </w:tcPr>
          <w:p w:rsidR="006832A0" w:rsidRDefault="000369E7" w:rsidP="007257F5">
            <w:pPr>
              <w:jc w:val="center"/>
            </w:pPr>
            <w:r>
              <w:t>E  18.9</w:t>
            </w:r>
          </w:p>
        </w:tc>
        <w:tc>
          <w:tcPr>
            <w:tcW w:w="1560" w:type="dxa"/>
          </w:tcPr>
          <w:p w:rsidR="006832A0" w:rsidRDefault="000369E7" w:rsidP="007257F5">
            <w:pPr>
              <w:jc w:val="center"/>
            </w:pPr>
            <w:r>
              <w:t>A  15.6</w:t>
            </w:r>
          </w:p>
        </w:tc>
      </w:tr>
      <w:tr w:rsidR="006832A0" w:rsidTr="007257F5">
        <w:trPr>
          <w:gridBefore w:val="1"/>
          <w:gridAfter w:val="3"/>
          <w:wAfter w:w="716" w:type="dxa"/>
        </w:trPr>
        <w:tc>
          <w:tcPr>
            <w:tcW w:w="1680" w:type="dxa"/>
          </w:tcPr>
          <w:p w:rsidR="006832A0" w:rsidRDefault="000369E7" w:rsidP="004D60B3">
            <w:r>
              <w:t>November</w:t>
            </w:r>
          </w:p>
        </w:tc>
        <w:tc>
          <w:tcPr>
            <w:tcW w:w="1800" w:type="dxa"/>
          </w:tcPr>
          <w:p w:rsidR="006832A0" w:rsidRDefault="000369E7" w:rsidP="007257F5">
            <w:pPr>
              <w:jc w:val="center"/>
            </w:pPr>
            <w:r>
              <w:t>E  17.1</w:t>
            </w:r>
          </w:p>
        </w:tc>
        <w:tc>
          <w:tcPr>
            <w:tcW w:w="1680" w:type="dxa"/>
          </w:tcPr>
          <w:p w:rsidR="006832A0" w:rsidRDefault="000369E7" w:rsidP="007257F5">
            <w:pPr>
              <w:jc w:val="center"/>
            </w:pPr>
            <w:r>
              <w:t>E  14.0</w:t>
            </w:r>
          </w:p>
        </w:tc>
        <w:tc>
          <w:tcPr>
            <w:tcW w:w="1560" w:type="dxa"/>
          </w:tcPr>
          <w:p w:rsidR="006832A0" w:rsidRDefault="000369E7" w:rsidP="007257F5">
            <w:pPr>
              <w:jc w:val="center"/>
            </w:pPr>
            <w:r>
              <w:t>A  15.8</w:t>
            </w:r>
          </w:p>
        </w:tc>
      </w:tr>
      <w:tr w:rsidR="006832A0" w:rsidTr="007257F5">
        <w:trPr>
          <w:gridBefore w:val="1"/>
          <w:gridAfter w:val="3"/>
          <w:wAfter w:w="716" w:type="dxa"/>
        </w:trPr>
        <w:tc>
          <w:tcPr>
            <w:tcW w:w="1680" w:type="dxa"/>
          </w:tcPr>
          <w:p w:rsidR="006832A0" w:rsidRDefault="000369E7" w:rsidP="004D60B3">
            <w:r>
              <w:t>December</w:t>
            </w:r>
          </w:p>
        </w:tc>
        <w:tc>
          <w:tcPr>
            <w:tcW w:w="1800" w:type="dxa"/>
          </w:tcPr>
          <w:p w:rsidR="006832A0" w:rsidRDefault="000369E7" w:rsidP="007257F5">
            <w:pPr>
              <w:jc w:val="center"/>
            </w:pPr>
            <w:r>
              <w:t>E  14.6</w:t>
            </w:r>
          </w:p>
        </w:tc>
        <w:tc>
          <w:tcPr>
            <w:tcW w:w="1680" w:type="dxa"/>
          </w:tcPr>
          <w:p w:rsidR="006832A0" w:rsidRDefault="000369E7" w:rsidP="007257F5">
            <w:pPr>
              <w:jc w:val="center"/>
            </w:pPr>
            <w:r>
              <w:t>E  14.0</w:t>
            </w:r>
          </w:p>
        </w:tc>
        <w:tc>
          <w:tcPr>
            <w:tcW w:w="1560" w:type="dxa"/>
          </w:tcPr>
          <w:p w:rsidR="006832A0" w:rsidRDefault="000369E7" w:rsidP="007257F5">
            <w:pPr>
              <w:jc w:val="center"/>
            </w:pPr>
            <w:r>
              <w:t>A  28.2</w:t>
            </w:r>
          </w:p>
        </w:tc>
      </w:tr>
    </w:tbl>
    <w:p w:rsidR="006832A0" w:rsidRDefault="006832A0" w:rsidP="006832A0">
      <w:pPr>
        <w:spacing w:line="360" w:lineRule="auto"/>
        <w:jc w:val="center"/>
      </w:pPr>
    </w:p>
    <w:p w:rsidR="008448BC" w:rsidRDefault="004D60B3" w:rsidP="00437BAE">
      <w:pPr>
        <w:spacing w:line="360" w:lineRule="auto"/>
      </w:pPr>
      <w:r>
        <w:t>( PECO Exhibit 3).</w:t>
      </w:r>
    </w:p>
    <w:p w:rsidR="00266983" w:rsidRDefault="00266983" w:rsidP="00437BAE">
      <w:pPr>
        <w:spacing w:line="360" w:lineRule="auto"/>
      </w:pPr>
    </w:p>
    <w:p w:rsidR="00251809" w:rsidRDefault="00251809" w:rsidP="00437BAE">
      <w:pPr>
        <w:spacing w:line="360" w:lineRule="auto"/>
      </w:pPr>
      <w:r>
        <w:tab/>
      </w:r>
      <w:r>
        <w:tab/>
      </w:r>
      <w:r w:rsidR="008B1DBE">
        <w:t>8</w:t>
      </w:r>
      <w:r>
        <w:t>.</w:t>
      </w:r>
      <w:r>
        <w:tab/>
      </w:r>
      <w:r w:rsidR="00000050">
        <w:t>The Complainant’s history of consumption (Daily Average Usage (DAU)) for the years 2003 and 2004 is as follows:</w:t>
      </w:r>
    </w:p>
    <w:p w:rsidR="00000050" w:rsidRDefault="00000050" w:rsidP="00437BAE">
      <w:pPr>
        <w:spacing w:line="360" w:lineRule="auto"/>
      </w:pPr>
    </w:p>
    <w:p w:rsidR="00E611CA" w:rsidRDefault="00E611CA">
      <w:r>
        <w:br w:type="page"/>
      </w:r>
    </w:p>
    <w:tbl>
      <w:tblPr>
        <w:tblW w:w="5160" w:type="dxa"/>
        <w:tblInd w:w="2628" w:type="dxa"/>
        <w:tblLook w:val="01E0"/>
      </w:tblPr>
      <w:tblGrid>
        <w:gridCol w:w="1560"/>
        <w:gridCol w:w="1560"/>
        <w:gridCol w:w="1680"/>
        <w:gridCol w:w="360"/>
      </w:tblGrid>
      <w:tr w:rsidR="00000050" w:rsidRPr="007257F5" w:rsidTr="007257F5">
        <w:trPr>
          <w:gridAfter w:val="1"/>
          <w:wAfter w:w="360" w:type="dxa"/>
        </w:trPr>
        <w:tc>
          <w:tcPr>
            <w:tcW w:w="4800" w:type="dxa"/>
            <w:gridSpan w:val="3"/>
          </w:tcPr>
          <w:p w:rsidR="00000050" w:rsidRPr="007257F5" w:rsidRDefault="00C35F67" w:rsidP="007257F5">
            <w:pPr>
              <w:spacing w:line="360" w:lineRule="auto"/>
              <w:jc w:val="center"/>
              <w:rPr>
                <w:b/>
                <w:u w:val="single"/>
              </w:rPr>
            </w:pPr>
            <w:r w:rsidRPr="007257F5">
              <w:rPr>
                <w:b/>
              </w:rPr>
              <w:t xml:space="preserve">   </w:t>
            </w:r>
            <w:r w:rsidR="00000050" w:rsidRPr="007257F5">
              <w:rPr>
                <w:b/>
              </w:rPr>
              <w:t xml:space="preserve"> </w:t>
            </w:r>
            <w:r w:rsidR="00000050" w:rsidRPr="007257F5">
              <w:rPr>
                <w:b/>
                <w:u w:val="single"/>
              </w:rPr>
              <w:t>DAILY AVERAGE USAGE (DAU)</w:t>
            </w:r>
          </w:p>
        </w:tc>
      </w:tr>
      <w:tr w:rsidR="00000050" w:rsidRPr="007257F5" w:rsidTr="007257F5">
        <w:tc>
          <w:tcPr>
            <w:tcW w:w="1560" w:type="dxa"/>
          </w:tcPr>
          <w:p w:rsidR="00000050" w:rsidRPr="007257F5" w:rsidRDefault="00000050" w:rsidP="007257F5">
            <w:pPr>
              <w:jc w:val="center"/>
              <w:rPr>
                <w:b/>
              </w:rPr>
            </w:pPr>
          </w:p>
        </w:tc>
        <w:tc>
          <w:tcPr>
            <w:tcW w:w="1560" w:type="dxa"/>
          </w:tcPr>
          <w:p w:rsidR="00000050" w:rsidRPr="007257F5" w:rsidRDefault="00000050" w:rsidP="007257F5">
            <w:pPr>
              <w:jc w:val="center"/>
              <w:rPr>
                <w:b/>
              </w:rPr>
            </w:pPr>
            <w:r w:rsidRPr="007257F5">
              <w:rPr>
                <w:b/>
              </w:rPr>
              <w:t>2003</w:t>
            </w:r>
          </w:p>
        </w:tc>
        <w:tc>
          <w:tcPr>
            <w:tcW w:w="1680" w:type="dxa"/>
          </w:tcPr>
          <w:p w:rsidR="00000050" w:rsidRPr="007257F5" w:rsidRDefault="00000050" w:rsidP="007257F5">
            <w:pPr>
              <w:spacing w:line="360" w:lineRule="auto"/>
              <w:jc w:val="center"/>
              <w:rPr>
                <w:b/>
              </w:rPr>
            </w:pPr>
            <w:r w:rsidRPr="007257F5">
              <w:rPr>
                <w:b/>
              </w:rPr>
              <w:t>2004</w:t>
            </w:r>
          </w:p>
        </w:tc>
        <w:tc>
          <w:tcPr>
            <w:tcW w:w="360" w:type="dxa"/>
          </w:tcPr>
          <w:p w:rsidR="00000050" w:rsidRPr="007257F5" w:rsidRDefault="00000050" w:rsidP="007257F5">
            <w:pPr>
              <w:spacing w:line="360" w:lineRule="auto"/>
              <w:jc w:val="center"/>
              <w:rPr>
                <w:b/>
              </w:rPr>
            </w:pPr>
          </w:p>
        </w:tc>
      </w:tr>
      <w:tr w:rsidR="00000050" w:rsidTr="007257F5">
        <w:tc>
          <w:tcPr>
            <w:tcW w:w="1560" w:type="dxa"/>
          </w:tcPr>
          <w:p w:rsidR="00000050" w:rsidRDefault="00000050" w:rsidP="00A44F89">
            <w:r>
              <w:t>January</w:t>
            </w:r>
          </w:p>
        </w:tc>
        <w:tc>
          <w:tcPr>
            <w:tcW w:w="1560" w:type="dxa"/>
          </w:tcPr>
          <w:p w:rsidR="00000050" w:rsidRDefault="00C35F67" w:rsidP="007257F5">
            <w:pPr>
              <w:jc w:val="center"/>
            </w:pPr>
            <w:r>
              <w:t>A</w:t>
            </w:r>
            <w:r w:rsidR="00000050">
              <w:t xml:space="preserve">  </w:t>
            </w:r>
            <w:r>
              <w:t>28.0</w:t>
            </w:r>
          </w:p>
        </w:tc>
        <w:tc>
          <w:tcPr>
            <w:tcW w:w="1680" w:type="dxa"/>
          </w:tcPr>
          <w:p w:rsidR="00000050" w:rsidRDefault="00000050" w:rsidP="007257F5">
            <w:pPr>
              <w:jc w:val="center"/>
            </w:pPr>
            <w:r>
              <w:t xml:space="preserve">E  </w:t>
            </w:r>
            <w:r w:rsidR="00C35F67">
              <w:t>17</w:t>
            </w:r>
            <w:r>
              <w:t>.</w:t>
            </w:r>
            <w:r w:rsidR="00C35F67">
              <w:t>2</w:t>
            </w:r>
          </w:p>
        </w:tc>
        <w:tc>
          <w:tcPr>
            <w:tcW w:w="360" w:type="dxa"/>
          </w:tcPr>
          <w:p w:rsidR="00000050" w:rsidRDefault="00000050" w:rsidP="007257F5">
            <w:pPr>
              <w:jc w:val="center"/>
            </w:pPr>
          </w:p>
        </w:tc>
      </w:tr>
      <w:tr w:rsidR="00000050" w:rsidTr="007257F5">
        <w:tc>
          <w:tcPr>
            <w:tcW w:w="1560" w:type="dxa"/>
          </w:tcPr>
          <w:p w:rsidR="00000050" w:rsidRDefault="00000050" w:rsidP="00A44F89">
            <w:r>
              <w:t>February</w:t>
            </w:r>
          </w:p>
        </w:tc>
        <w:tc>
          <w:tcPr>
            <w:tcW w:w="1560" w:type="dxa"/>
          </w:tcPr>
          <w:p w:rsidR="00000050" w:rsidRDefault="00C35F67" w:rsidP="007257F5">
            <w:pPr>
              <w:jc w:val="center"/>
            </w:pPr>
            <w:r>
              <w:t xml:space="preserve">    22</w:t>
            </w:r>
            <w:r w:rsidR="00000050">
              <w:t>.</w:t>
            </w:r>
            <w:r>
              <w:t>2</w:t>
            </w:r>
          </w:p>
        </w:tc>
        <w:tc>
          <w:tcPr>
            <w:tcW w:w="1680" w:type="dxa"/>
          </w:tcPr>
          <w:p w:rsidR="00000050" w:rsidRDefault="00000050" w:rsidP="007257F5">
            <w:pPr>
              <w:jc w:val="center"/>
            </w:pPr>
            <w:r>
              <w:t>E  1</w:t>
            </w:r>
            <w:r w:rsidR="00C35F67">
              <w:t>5</w:t>
            </w:r>
            <w:r>
              <w:t>.</w:t>
            </w:r>
            <w:r w:rsidR="00C35F67">
              <w:t>3</w:t>
            </w:r>
          </w:p>
        </w:tc>
        <w:tc>
          <w:tcPr>
            <w:tcW w:w="360" w:type="dxa"/>
          </w:tcPr>
          <w:p w:rsidR="00000050" w:rsidRDefault="00000050" w:rsidP="007257F5">
            <w:pPr>
              <w:jc w:val="center"/>
            </w:pPr>
          </w:p>
        </w:tc>
      </w:tr>
      <w:tr w:rsidR="00000050" w:rsidTr="007257F5">
        <w:tc>
          <w:tcPr>
            <w:tcW w:w="1560" w:type="dxa"/>
          </w:tcPr>
          <w:p w:rsidR="00000050" w:rsidRDefault="00000050" w:rsidP="00A44F89">
            <w:r>
              <w:t>March</w:t>
            </w:r>
          </w:p>
        </w:tc>
        <w:tc>
          <w:tcPr>
            <w:tcW w:w="1560" w:type="dxa"/>
          </w:tcPr>
          <w:p w:rsidR="00000050" w:rsidRDefault="00C35F67" w:rsidP="007257F5">
            <w:pPr>
              <w:jc w:val="center"/>
            </w:pPr>
            <w:r>
              <w:t xml:space="preserve">  </w:t>
            </w:r>
            <w:r w:rsidR="00000050">
              <w:t xml:space="preserve">  </w:t>
            </w:r>
            <w:r>
              <w:t>20</w:t>
            </w:r>
            <w:r w:rsidR="00000050">
              <w:t>.</w:t>
            </w:r>
            <w:r>
              <w:t>4</w:t>
            </w:r>
          </w:p>
        </w:tc>
        <w:tc>
          <w:tcPr>
            <w:tcW w:w="1680" w:type="dxa"/>
          </w:tcPr>
          <w:p w:rsidR="00000050" w:rsidRDefault="00000050" w:rsidP="007257F5">
            <w:pPr>
              <w:jc w:val="center"/>
            </w:pPr>
            <w:r>
              <w:t>E  1</w:t>
            </w:r>
            <w:r w:rsidR="00C35F67">
              <w:t>2</w:t>
            </w:r>
            <w:r>
              <w:t>.</w:t>
            </w:r>
            <w:r w:rsidR="00C35F67">
              <w:t>8</w:t>
            </w:r>
          </w:p>
        </w:tc>
        <w:tc>
          <w:tcPr>
            <w:tcW w:w="360" w:type="dxa"/>
          </w:tcPr>
          <w:p w:rsidR="00000050" w:rsidRDefault="00000050" w:rsidP="007257F5">
            <w:pPr>
              <w:jc w:val="center"/>
            </w:pPr>
          </w:p>
        </w:tc>
      </w:tr>
      <w:tr w:rsidR="00000050" w:rsidTr="007257F5">
        <w:tc>
          <w:tcPr>
            <w:tcW w:w="1560" w:type="dxa"/>
          </w:tcPr>
          <w:p w:rsidR="00000050" w:rsidRDefault="00000050" w:rsidP="00A44F89">
            <w:r>
              <w:t>April</w:t>
            </w:r>
          </w:p>
        </w:tc>
        <w:tc>
          <w:tcPr>
            <w:tcW w:w="1560" w:type="dxa"/>
          </w:tcPr>
          <w:p w:rsidR="00000050" w:rsidRDefault="00C35F67" w:rsidP="007257F5">
            <w:pPr>
              <w:jc w:val="center"/>
            </w:pPr>
            <w:r>
              <w:t xml:space="preserve">  </w:t>
            </w:r>
            <w:r w:rsidR="00000050">
              <w:t xml:space="preserve">  </w:t>
            </w:r>
            <w:r>
              <w:t>17</w:t>
            </w:r>
            <w:r w:rsidR="00000050">
              <w:t>.</w:t>
            </w:r>
            <w:r>
              <w:t>6</w:t>
            </w:r>
          </w:p>
        </w:tc>
        <w:tc>
          <w:tcPr>
            <w:tcW w:w="1680" w:type="dxa"/>
          </w:tcPr>
          <w:p w:rsidR="00000050" w:rsidRDefault="00000050" w:rsidP="007257F5">
            <w:pPr>
              <w:jc w:val="center"/>
            </w:pPr>
            <w:r>
              <w:t xml:space="preserve">E  </w:t>
            </w:r>
            <w:r w:rsidR="00C35F67">
              <w:t>12</w:t>
            </w:r>
            <w:r>
              <w:t>.</w:t>
            </w:r>
            <w:r w:rsidR="00C35F67">
              <w:t>9</w:t>
            </w:r>
          </w:p>
        </w:tc>
        <w:tc>
          <w:tcPr>
            <w:tcW w:w="360" w:type="dxa"/>
          </w:tcPr>
          <w:p w:rsidR="00000050" w:rsidRDefault="00000050" w:rsidP="007257F5">
            <w:pPr>
              <w:jc w:val="center"/>
            </w:pPr>
          </w:p>
        </w:tc>
      </w:tr>
      <w:tr w:rsidR="00000050" w:rsidTr="007257F5">
        <w:tc>
          <w:tcPr>
            <w:tcW w:w="1560" w:type="dxa"/>
          </w:tcPr>
          <w:p w:rsidR="00000050" w:rsidRDefault="00000050" w:rsidP="00A44F89">
            <w:r>
              <w:t>May</w:t>
            </w:r>
          </w:p>
        </w:tc>
        <w:tc>
          <w:tcPr>
            <w:tcW w:w="1560" w:type="dxa"/>
          </w:tcPr>
          <w:p w:rsidR="00000050" w:rsidRDefault="00C35F67" w:rsidP="007257F5">
            <w:pPr>
              <w:jc w:val="center"/>
            </w:pPr>
            <w:r>
              <w:t xml:space="preserve">  </w:t>
            </w:r>
            <w:r w:rsidR="00000050">
              <w:t xml:space="preserve">  </w:t>
            </w:r>
            <w:r>
              <w:t>16</w:t>
            </w:r>
            <w:r w:rsidR="00000050">
              <w:t>.</w:t>
            </w:r>
            <w:r>
              <w:t>4</w:t>
            </w:r>
          </w:p>
        </w:tc>
        <w:tc>
          <w:tcPr>
            <w:tcW w:w="1680" w:type="dxa"/>
          </w:tcPr>
          <w:p w:rsidR="00000050" w:rsidRDefault="00000050" w:rsidP="007257F5">
            <w:pPr>
              <w:jc w:val="center"/>
            </w:pPr>
            <w:r>
              <w:t xml:space="preserve">E  </w:t>
            </w:r>
            <w:r w:rsidR="00C35F67">
              <w:t>16</w:t>
            </w:r>
            <w:r>
              <w:t>.</w:t>
            </w:r>
            <w:r w:rsidR="00C35F67">
              <w:t>3</w:t>
            </w:r>
          </w:p>
        </w:tc>
        <w:tc>
          <w:tcPr>
            <w:tcW w:w="360" w:type="dxa"/>
          </w:tcPr>
          <w:p w:rsidR="00000050" w:rsidRDefault="00000050" w:rsidP="007257F5">
            <w:pPr>
              <w:jc w:val="center"/>
            </w:pPr>
          </w:p>
        </w:tc>
      </w:tr>
      <w:tr w:rsidR="00000050" w:rsidTr="007257F5">
        <w:tc>
          <w:tcPr>
            <w:tcW w:w="1560" w:type="dxa"/>
          </w:tcPr>
          <w:p w:rsidR="00000050" w:rsidRDefault="00000050" w:rsidP="00A44F89">
            <w:r>
              <w:t>June</w:t>
            </w:r>
          </w:p>
        </w:tc>
        <w:tc>
          <w:tcPr>
            <w:tcW w:w="1560" w:type="dxa"/>
          </w:tcPr>
          <w:p w:rsidR="00000050" w:rsidRDefault="00C35F67" w:rsidP="007257F5">
            <w:pPr>
              <w:jc w:val="center"/>
            </w:pPr>
            <w:r>
              <w:t xml:space="preserve">  </w:t>
            </w:r>
            <w:r w:rsidR="00000050">
              <w:t xml:space="preserve">    0.0</w:t>
            </w:r>
          </w:p>
        </w:tc>
        <w:tc>
          <w:tcPr>
            <w:tcW w:w="1680" w:type="dxa"/>
          </w:tcPr>
          <w:p w:rsidR="00000050" w:rsidRDefault="00000050" w:rsidP="007257F5">
            <w:pPr>
              <w:jc w:val="center"/>
            </w:pPr>
            <w:r>
              <w:t>E    0.</w:t>
            </w:r>
            <w:r w:rsidR="00C35F67">
              <w:t>9</w:t>
            </w:r>
          </w:p>
        </w:tc>
        <w:tc>
          <w:tcPr>
            <w:tcW w:w="360" w:type="dxa"/>
          </w:tcPr>
          <w:p w:rsidR="00000050" w:rsidRDefault="00000050" w:rsidP="007257F5">
            <w:pPr>
              <w:jc w:val="center"/>
            </w:pPr>
          </w:p>
        </w:tc>
      </w:tr>
      <w:tr w:rsidR="00000050" w:rsidTr="007257F5">
        <w:tc>
          <w:tcPr>
            <w:tcW w:w="1560" w:type="dxa"/>
          </w:tcPr>
          <w:p w:rsidR="00000050" w:rsidRDefault="00000050" w:rsidP="00A44F89">
            <w:r>
              <w:t>July</w:t>
            </w:r>
          </w:p>
        </w:tc>
        <w:tc>
          <w:tcPr>
            <w:tcW w:w="1560" w:type="dxa"/>
          </w:tcPr>
          <w:p w:rsidR="00000050" w:rsidRDefault="00C35F67" w:rsidP="007257F5">
            <w:pPr>
              <w:jc w:val="center"/>
            </w:pPr>
            <w:r>
              <w:t xml:space="preserve">  </w:t>
            </w:r>
            <w:r w:rsidR="00000050">
              <w:t xml:space="preserve">  </w:t>
            </w:r>
            <w:r>
              <w:t xml:space="preserve">  0.0</w:t>
            </w:r>
          </w:p>
        </w:tc>
        <w:tc>
          <w:tcPr>
            <w:tcW w:w="1680" w:type="dxa"/>
          </w:tcPr>
          <w:p w:rsidR="00000050" w:rsidRDefault="00000050" w:rsidP="007257F5">
            <w:pPr>
              <w:jc w:val="center"/>
            </w:pPr>
            <w:r>
              <w:t>E  1</w:t>
            </w:r>
            <w:r w:rsidR="00C35F67">
              <w:t>5</w:t>
            </w:r>
            <w:r>
              <w:t>.</w:t>
            </w:r>
            <w:r w:rsidR="00C35F67">
              <w:t>8</w:t>
            </w:r>
          </w:p>
        </w:tc>
        <w:tc>
          <w:tcPr>
            <w:tcW w:w="360" w:type="dxa"/>
          </w:tcPr>
          <w:p w:rsidR="00000050" w:rsidRDefault="00000050" w:rsidP="007257F5">
            <w:pPr>
              <w:jc w:val="center"/>
            </w:pPr>
          </w:p>
        </w:tc>
      </w:tr>
      <w:tr w:rsidR="00000050" w:rsidTr="007257F5">
        <w:tc>
          <w:tcPr>
            <w:tcW w:w="1560" w:type="dxa"/>
          </w:tcPr>
          <w:p w:rsidR="00000050" w:rsidRDefault="00000050" w:rsidP="00A44F89">
            <w:r>
              <w:t>August</w:t>
            </w:r>
          </w:p>
        </w:tc>
        <w:tc>
          <w:tcPr>
            <w:tcW w:w="1560" w:type="dxa"/>
          </w:tcPr>
          <w:p w:rsidR="00000050" w:rsidRDefault="00C35F67" w:rsidP="007257F5">
            <w:pPr>
              <w:jc w:val="center"/>
            </w:pPr>
            <w:r>
              <w:t xml:space="preserve">  </w:t>
            </w:r>
            <w:r w:rsidR="00000050">
              <w:t xml:space="preserve">  </w:t>
            </w:r>
            <w:r>
              <w:t xml:space="preserve"> </w:t>
            </w:r>
            <w:r w:rsidR="00262DE9">
              <w:t xml:space="preserve"> 0.0</w:t>
            </w:r>
          </w:p>
        </w:tc>
        <w:tc>
          <w:tcPr>
            <w:tcW w:w="1680" w:type="dxa"/>
          </w:tcPr>
          <w:p w:rsidR="00000050" w:rsidRDefault="00000050" w:rsidP="007257F5">
            <w:pPr>
              <w:jc w:val="center"/>
            </w:pPr>
            <w:r>
              <w:t xml:space="preserve">E  </w:t>
            </w:r>
            <w:r w:rsidR="00C35F67">
              <w:t>11</w:t>
            </w:r>
            <w:r>
              <w:t>.</w:t>
            </w:r>
            <w:r w:rsidR="00C35F67">
              <w:t>2</w:t>
            </w:r>
          </w:p>
        </w:tc>
        <w:tc>
          <w:tcPr>
            <w:tcW w:w="360" w:type="dxa"/>
          </w:tcPr>
          <w:p w:rsidR="00000050" w:rsidRDefault="00000050" w:rsidP="007257F5">
            <w:pPr>
              <w:jc w:val="center"/>
            </w:pPr>
          </w:p>
        </w:tc>
      </w:tr>
      <w:tr w:rsidR="00000050" w:rsidTr="007257F5">
        <w:tc>
          <w:tcPr>
            <w:tcW w:w="1560" w:type="dxa"/>
          </w:tcPr>
          <w:p w:rsidR="00000050" w:rsidRDefault="00000050" w:rsidP="00A44F89">
            <w:r>
              <w:t>September</w:t>
            </w:r>
          </w:p>
        </w:tc>
        <w:tc>
          <w:tcPr>
            <w:tcW w:w="1560" w:type="dxa"/>
          </w:tcPr>
          <w:p w:rsidR="00000050" w:rsidRDefault="00C35F67" w:rsidP="007257F5">
            <w:pPr>
              <w:jc w:val="center"/>
            </w:pPr>
            <w:r>
              <w:t xml:space="preserve">  </w:t>
            </w:r>
            <w:r w:rsidR="00000050">
              <w:t xml:space="preserve">  </w:t>
            </w:r>
            <w:r w:rsidR="00262DE9">
              <w:t>14</w:t>
            </w:r>
            <w:r w:rsidR="00000050">
              <w:t>.</w:t>
            </w:r>
            <w:r w:rsidR="00262DE9">
              <w:t>7</w:t>
            </w:r>
          </w:p>
        </w:tc>
        <w:tc>
          <w:tcPr>
            <w:tcW w:w="1680" w:type="dxa"/>
          </w:tcPr>
          <w:p w:rsidR="00000050" w:rsidRDefault="00000050" w:rsidP="007257F5">
            <w:pPr>
              <w:jc w:val="center"/>
            </w:pPr>
            <w:r>
              <w:t xml:space="preserve">E  </w:t>
            </w:r>
            <w:r w:rsidR="00C35F67">
              <w:t>11</w:t>
            </w:r>
            <w:r>
              <w:t>.</w:t>
            </w:r>
            <w:r w:rsidR="00C35F67">
              <w:t>2</w:t>
            </w:r>
          </w:p>
        </w:tc>
        <w:tc>
          <w:tcPr>
            <w:tcW w:w="360" w:type="dxa"/>
          </w:tcPr>
          <w:p w:rsidR="00000050" w:rsidRDefault="00000050" w:rsidP="007257F5">
            <w:pPr>
              <w:jc w:val="center"/>
            </w:pPr>
          </w:p>
        </w:tc>
      </w:tr>
      <w:tr w:rsidR="00000050" w:rsidTr="007257F5">
        <w:tc>
          <w:tcPr>
            <w:tcW w:w="1560" w:type="dxa"/>
          </w:tcPr>
          <w:p w:rsidR="00000050" w:rsidRDefault="00000050" w:rsidP="00A44F89">
            <w:r>
              <w:t>October</w:t>
            </w:r>
          </w:p>
        </w:tc>
        <w:tc>
          <w:tcPr>
            <w:tcW w:w="1560" w:type="dxa"/>
          </w:tcPr>
          <w:p w:rsidR="00000050" w:rsidRDefault="00C35F67" w:rsidP="007257F5">
            <w:pPr>
              <w:jc w:val="center"/>
            </w:pPr>
            <w:r>
              <w:t xml:space="preserve">  </w:t>
            </w:r>
            <w:r w:rsidR="00000050">
              <w:t xml:space="preserve">  </w:t>
            </w:r>
            <w:r w:rsidR="00262DE9">
              <w:t>15</w:t>
            </w:r>
            <w:r w:rsidR="00000050">
              <w:t>.</w:t>
            </w:r>
            <w:r w:rsidR="00262DE9">
              <w:t>3</w:t>
            </w:r>
          </w:p>
        </w:tc>
        <w:tc>
          <w:tcPr>
            <w:tcW w:w="1680" w:type="dxa"/>
          </w:tcPr>
          <w:p w:rsidR="00000050" w:rsidRDefault="00000050" w:rsidP="007257F5">
            <w:pPr>
              <w:jc w:val="center"/>
            </w:pPr>
            <w:r>
              <w:t>E  1</w:t>
            </w:r>
            <w:r w:rsidR="00C35F67">
              <w:t>5</w:t>
            </w:r>
            <w:r>
              <w:t>.</w:t>
            </w:r>
            <w:r w:rsidR="00C35F67">
              <w:t>3</w:t>
            </w:r>
          </w:p>
        </w:tc>
        <w:tc>
          <w:tcPr>
            <w:tcW w:w="360" w:type="dxa"/>
          </w:tcPr>
          <w:p w:rsidR="00000050" w:rsidRDefault="00000050" w:rsidP="007257F5">
            <w:pPr>
              <w:jc w:val="center"/>
            </w:pPr>
          </w:p>
        </w:tc>
      </w:tr>
      <w:tr w:rsidR="00000050" w:rsidTr="007257F5">
        <w:tc>
          <w:tcPr>
            <w:tcW w:w="1560" w:type="dxa"/>
          </w:tcPr>
          <w:p w:rsidR="00000050" w:rsidRDefault="00000050" w:rsidP="00A44F89">
            <w:r>
              <w:t>November</w:t>
            </w:r>
          </w:p>
        </w:tc>
        <w:tc>
          <w:tcPr>
            <w:tcW w:w="1560" w:type="dxa"/>
          </w:tcPr>
          <w:p w:rsidR="00000050" w:rsidRDefault="00C35F67" w:rsidP="007257F5">
            <w:pPr>
              <w:jc w:val="center"/>
            </w:pPr>
            <w:r>
              <w:t xml:space="preserve">  </w:t>
            </w:r>
            <w:r w:rsidR="00000050">
              <w:t xml:space="preserve">  </w:t>
            </w:r>
            <w:r w:rsidR="00262DE9">
              <w:t>15</w:t>
            </w:r>
            <w:r w:rsidR="00000050">
              <w:t>.</w:t>
            </w:r>
            <w:r w:rsidR="00262DE9">
              <w:t>9</w:t>
            </w:r>
          </w:p>
        </w:tc>
        <w:tc>
          <w:tcPr>
            <w:tcW w:w="1680" w:type="dxa"/>
          </w:tcPr>
          <w:p w:rsidR="00000050" w:rsidRDefault="00000050" w:rsidP="007257F5">
            <w:pPr>
              <w:jc w:val="center"/>
            </w:pPr>
            <w:r>
              <w:t>E  1</w:t>
            </w:r>
            <w:r w:rsidR="00C35F67">
              <w:t>7</w:t>
            </w:r>
            <w:r>
              <w:t>.0</w:t>
            </w:r>
          </w:p>
        </w:tc>
        <w:tc>
          <w:tcPr>
            <w:tcW w:w="360" w:type="dxa"/>
          </w:tcPr>
          <w:p w:rsidR="00000050" w:rsidRDefault="00000050" w:rsidP="007257F5">
            <w:pPr>
              <w:jc w:val="center"/>
            </w:pPr>
          </w:p>
        </w:tc>
      </w:tr>
      <w:tr w:rsidR="00000050" w:rsidTr="007257F5">
        <w:tc>
          <w:tcPr>
            <w:tcW w:w="1560" w:type="dxa"/>
          </w:tcPr>
          <w:p w:rsidR="00000050" w:rsidRDefault="00000050" w:rsidP="00A44F89">
            <w:r>
              <w:t>December</w:t>
            </w:r>
          </w:p>
        </w:tc>
        <w:tc>
          <w:tcPr>
            <w:tcW w:w="1560" w:type="dxa"/>
          </w:tcPr>
          <w:p w:rsidR="00000050" w:rsidRDefault="00000050" w:rsidP="007257F5">
            <w:pPr>
              <w:jc w:val="center"/>
            </w:pPr>
            <w:r>
              <w:t>E  14.</w:t>
            </w:r>
            <w:r w:rsidR="00262DE9">
              <w:t>4</w:t>
            </w:r>
          </w:p>
        </w:tc>
        <w:tc>
          <w:tcPr>
            <w:tcW w:w="1680" w:type="dxa"/>
          </w:tcPr>
          <w:p w:rsidR="00000050" w:rsidRDefault="00000050" w:rsidP="007257F5">
            <w:pPr>
              <w:jc w:val="center"/>
            </w:pPr>
            <w:r>
              <w:t>E  1</w:t>
            </w:r>
            <w:r w:rsidR="00C35F67">
              <w:t>5</w:t>
            </w:r>
            <w:r>
              <w:t>.</w:t>
            </w:r>
            <w:r w:rsidR="00C35F67">
              <w:t>3</w:t>
            </w:r>
          </w:p>
        </w:tc>
        <w:tc>
          <w:tcPr>
            <w:tcW w:w="360" w:type="dxa"/>
          </w:tcPr>
          <w:p w:rsidR="00000050" w:rsidRDefault="00000050" w:rsidP="007257F5">
            <w:pPr>
              <w:jc w:val="center"/>
            </w:pPr>
          </w:p>
        </w:tc>
      </w:tr>
    </w:tbl>
    <w:p w:rsidR="00000050" w:rsidRDefault="00000050" w:rsidP="00437BAE">
      <w:pPr>
        <w:spacing w:line="360" w:lineRule="auto"/>
      </w:pPr>
    </w:p>
    <w:p w:rsidR="008448BC" w:rsidRDefault="00077876" w:rsidP="00437BAE">
      <w:pPr>
        <w:spacing w:line="360" w:lineRule="auto"/>
      </w:pPr>
      <w:r>
        <w:t>(PECO Exhibit</w:t>
      </w:r>
      <w:r w:rsidR="008B1DBE">
        <w:t xml:space="preserve"> 4</w:t>
      </w:r>
      <w:r w:rsidR="00262DE9">
        <w:t>)</w:t>
      </w:r>
      <w:r>
        <w:t>.</w:t>
      </w:r>
    </w:p>
    <w:p w:rsidR="008448BC" w:rsidRDefault="008448BC" w:rsidP="00437BAE">
      <w:pPr>
        <w:spacing w:line="360" w:lineRule="auto"/>
      </w:pPr>
    </w:p>
    <w:p w:rsidR="00437BAE" w:rsidRDefault="00437BAE" w:rsidP="00437BAE">
      <w:pPr>
        <w:spacing w:line="360" w:lineRule="auto"/>
        <w:jc w:val="center"/>
      </w:pPr>
      <w:r>
        <w:rPr>
          <w:u w:val="single"/>
        </w:rPr>
        <w:t>DISCUSSION</w:t>
      </w:r>
    </w:p>
    <w:p w:rsidR="00437BAE" w:rsidRDefault="00437BAE" w:rsidP="00437BAE">
      <w:pPr>
        <w:spacing w:line="360" w:lineRule="auto"/>
        <w:jc w:val="center"/>
      </w:pPr>
    </w:p>
    <w:p w:rsidR="00437BAE" w:rsidRPr="007B06ED" w:rsidRDefault="00437BAE" w:rsidP="00437BAE">
      <w:pPr>
        <w:spacing w:line="360" w:lineRule="auto"/>
      </w:pPr>
      <w:r>
        <w:tab/>
      </w:r>
      <w:r>
        <w:tab/>
        <w:t xml:space="preserve">Section 332(a) of the Public Utility Code, 66 </w:t>
      </w:r>
      <w:smartTag w:uri="urn:schemas-microsoft-com:office:smarttags" w:element="place">
        <w:smartTag w:uri="urn:schemas-microsoft-com:office:smarttags" w:element="State">
          <w:r>
            <w:t>Pa.</w:t>
          </w:r>
        </w:smartTag>
      </w:smartTag>
      <w:r>
        <w:t xml:space="preserve"> C.S. </w:t>
      </w:r>
      <w:r w:rsidRPr="0026601A">
        <w:t>§</w:t>
      </w:r>
      <w:r>
        <w:t>332(a),</w:t>
      </w:r>
      <w:r>
        <w:rPr>
          <w:rStyle w:val="FootnoteReference"/>
        </w:rPr>
        <w:footnoteReference w:id="2"/>
      </w:r>
      <w:r>
        <w:t xml:space="preserve"> provides that the party seeking relief from the Commission has the “burden of proof.”  “Burden of proof” is a duty to establish a fact by a “preponderance of the evidence.”  The term “preponderance of the evidence” means that one party has presented evidence which is more convincing, by even the smallest amount, than the evidence presented by the other party.  </w:t>
      </w:r>
      <w:r>
        <w:rPr>
          <w:u w:val="single"/>
        </w:rPr>
        <w:t>Se-Ling Hosiery v. Margulies</w:t>
      </w:r>
      <w:r>
        <w:t xml:space="preserve">, 364 </w:t>
      </w:r>
      <w:smartTag w:uri="urn:schemas-microsoft-com:office:smarttags" w:element="place">
        <w:smartTag w:uri="urn:schemas-microsoft-com:office:smarttags" w:element="State">
          <w:r>
            <w:t>Pa.</w:t>
          </w:r>
        </w:smartTag>
      </w:smartTag>
      <w:r>
        <w:t xml:space="preserve"> 54, 70 A.2d 854 (1950).  In other words, “preponderance” is not dependent on the number of witnesses testifying on either side but rather on the credibility of the testimony in the light of all the evidence in a case.  </w:t>
      </w:r>
      <w:r>
        <w:rPr>
          <w:u w:val="single"/>
        </w:rPr>
        <w:t>Burch v. Reading Co.</w:t>
      </w:r>
      <w:r>
        <w:t>, 240 F.2d 574 (3d Cir. 1957) cert. denied, 353 U.S. 965 (1957).</w:t>
      </w:r>
      <w:r w:rsidR="007B06ED">
        <w:t xml:space="preserve">  The Pennsylvania Supreme Court has characterized</w:t>
      </w:r>
      <w:r w:rsidR="008B1DBE">
        <w:t xml:space="preserve"> a preponderance of the evidence as</w:t>
      </w:r>
      <w:r w:rsidR="007B06ED">
        <w:t xml:space="preserve"> tantamount to a “more likely than not” inquiry.  </w:t>
      </w:r>
      <w:r w:rsidR="007B06ED">
        <w:rPr>
          <w:u w:val="single"/>
        </w:rPr>
        <w:t>Commonwealth v. $6,425 Seized From Esquilin</w:t>
      </w:r>
      <w:r w:rsidR="007B06ED">
        <w:t xml:space="preserve">, 583 </w:t>
      </w:r>
      <w:smartTag w:uri="urn:schemas-microsoft-com:office:smarttags" w:element="place">
        <w:smartTag w:uri="urn:schemas-microsoft-com:office:smarttags" w:element="State">
          <w:r w:rsidR="007B06ED">
            <w:t>Pa.</w:t>
          </w:r>
        </w:smartTag>
      </w:smartTag>
      <w:r w:rsidR="007B06ED">
        <w:t xml:space="preserve"> 544, 555, 880 A.2d 523, 529 (2005).</w:t>
      </w:r>
    </w:p>
    <w:p w:rsidR="00437BAE" w:rsidRDefault="00437BAE" w:rsidP="00437BAE">
      <w:pPr>
        <w:spacing w:line="360" w:lineRule="auto"/>
      </w:pPr>
    </w:p>
    <w:p w:rsidR="00A37D2C" w:rsidRDefault="00437BAE" w:rsidP="00A37D2C">
      <w:pPr>
        <w:spacing w:line="360" w:lineRule="auto"/>
      </w:pPr>
      <w:r>
        <w:lastRenderedPageBreak/>
        <w:tab/>
      </w:r>
      <w:r>
        <w:tab/>
      </w:r>
      <w:r w:rsidR="00A37D2C" w:rsidRPr="002D6041">
        <w:t>Under these principles the Complainant</w:t>
      </w:r>
      <w:r w:rsidR="00A37D2C">
        <w:t>’s owner</w:t>
      </w:r>
      <w:r w:rsidR="00A37D2C" w:rsidRPr="002D6041">
        <w:t xml:space="preserve">, as the party seeking relief, has the burden of proof.  In this case, the </w:t>
      </w:r>
      <w:r w:rsidR="00A37D2C">
        <w:t>owner</w:t>
      </w:r>
      <w:r w:rsidR="00A37D2C" w:rsidRPr="002D6041">
        <w:t xml:space="preserve"> has the burden of proving by a preponderance of the evidence that the Respondent has overbilled h</w:t>
      </w:r>
      <w:r w:rsidR="00A37D2C">
        <w:t>im</w:t>
      </w:r>
      <w:r w:rsidR="00A37D2C" w:rsidRPr="002D6041">
        <w:t xml:space="preserve">, and </w:t>
      </w:r>
      <w:r w:rsidR="00A37D2C">
        <w:t xml:space="preserve">that it </w:t>
      </w:r>
      <w:r w:rsidR="00A37D2C" w:rsidRPr="002D6041">
        <w:t xml:space="preserve">has acted unreasonably in </w:t>
      </w:r>
      <w:r w:rsidR="008B1DBE">
        <w:t xml:space="preserve">delaying the change of </w:t>
      </w:r>
      <w:r w:rsidR="00A37D2C">
        <w:t>his meter in 41 months after it stopped displaying actual readings.</w:t>
      </w:r>
      <w:r w:rsidR="00A37D2C" w:rsidRPr="002D6041">
        <w:t xml:space="preserve">  </w:t>
      </w:r>
    </w:p>
    <w:p w:rsidR="00A37D2C" w:rsidRDefault="00A37D2C" w:rsidP="00A37D2C">
      <w:pPr>
        <w:spacing w:line="360" w:lineRule="auto"/>
      </w:pPr>
    </w:p>
    <w:p w:rsidR="00A37D2C" w:rsidRPr="000E14EA" w:rsidRDefault="00A37D2C" w:rsidP="00A37D2C">
      <w:pPr>
        <w:spacing w:line="360" w:lineRule="auto"/>
        <w:rPr>
          <w:u w:val="single"/>
        </w:rPr>
      </w:pPr>
      <w:r>
        <w:rPr>
          <w:u w:val="single"/>
        </w:rPr>
        <w:t>The Complainant’s high bills</w:t>
      </w:r>
    </w:p>
    <w:p w:rsidR="00A37D2C" w:rsidRPr="002D6041" w:rsidRDefault="00A37D2C" w:rsidP="00A37D2C">
      <w:pPr>
        <w:spacing w:line="360" w:lineRule="auto"/>
      </w:pPr>
    </w:p>
    <w:p w:rsidR="00A37D2C" w:rsidRPr="002D6041" w:rsidRDefault="00A37D2C" w:rsidP="00A37D2C">
      <w:pPr>
        <w:spacing w:line="360" w:lineRule="auto"/>
      </w:pPr>
      <w:r w:rsidRPr="002D6041">
        <w:tab/>
      </w:r>
      <w:r w:rsidRPr="002D6041">
        <w:tab/>
        <w:t>The Complainant</w:t>
      </w:r>
      <w:r w:rsidR="00943855">
        <w:t>’s owner</w:t>
      </w:r>
      <w:r w:rsidRPr="002D6041">
        <w:t xml:space="preserve"> complained that h</w:t>
      </w:r>
      <w:r w:rsidR="00943855">
        <w:t>is</w:t>
      </w:r>
      <w:r w:rsidRPr="002D6041">
        <w:t xml:space="preserve"> bills at h</w:t>
      </w:r>
      <w:r w:rsidR="00943855">
        <w:t>is</w:t>
      </w:r>
      <w:r w:rsidRPr="002D6041">
        <w:t xml:space="preserve"> business address, </w:t>
      </w:r>
      <w:smartTag w:uri="urn:schemas-microsoft-com:office:smarttags" w:element="Street">
        <w:smartTag w:uri="urn:schemas-microsoft-com:office:smarttags" w:element="address">
          <w:r w:rsidR="00A00554">
            <w:t>339 E. County Line Road</w:t>
          </w:r>
        </w:smartTag>
      </w:smartTag>
      <w:r w:rsidRPr="002D6041">
        <w:t xml:space="preserve">, were too high.  </w:t>
      </w:r>
    </w:p>
    <w:p w:rsidR="00A37D2C" w:rsidRPr="002D6041" w:rsidRDefault="00A37D2C" w:rsidP="00A37D2C">
      <w:pPr>
        <w:spacing w:line="360" w:lineRule="auto"/>
      </w:pPr>
    </w:p>
    <w:p w:rsidR="00A37D2C" w:rsidRPr="002D6041" w:rsidRDefault="00A37D2C" w:rsidP="00A37D2C">
      <w:pPr>
        <w:spacing w:line="360" w:lineRule="auto"/>
      </w:pPr>
      <w:r w:rsidRPr="002D6041">
        <w:tab/>
      </w:r>
      <w:r w:rsidRPr="002D6041">
        <w:tab/>
        <w:t xml:space="preserve">In a high bill complaint, a complainant must show by a preponderance of the evidence (1) that the disputed bills are abnormally high when compared to prior usage patterns, and (2) that the pattern of usage has not changed.  </w:t>
      </w:r>
      <w:r w:rsidRPr="002D6041">
        <w:rPr>
          <w:u w:val="single"/>
        </w:rPr>
        <w:t>Waldron v. Philadelphia Electric Company</w:t>
      </w:r>
      <w:r w:rsidRPr="002D6041">
        <w:t xml:space="preserve">, 54 </w:t>
      </w:r>
      <w:smartTag w:uri="urn:schemas-microsoft-com:office:smarttags" w:element="place">
        <w:smartTag w:uri="urn:schemas-microsoft-com:office:smarttags" w:element="State">
          <w:r w:rsidRPr="002D6041">
            <w:t>Pa.</w:t>
          </w:r>
        </w:smartTag>
      </w:smartTag>
      <w:r w:rsidRPr="002D6041">
        <w:t xml:space="preserve"> PUC 98 (1980).  If the utility fails to rebut this evidence, the complainant would prevail.</w:t>
      </w:r>
    </w:p>
    <w:p w:rsidR="00A37D2C" w:rsidRPr="002D6041" w:rsidRDefault="00A37D2C" w:rsidP="00A37D2C">
      <w:pPr>
        <w:spacing w:line="360" w:lineRule="auto"/>
      </w:pPr>
    </w:p>
    <w:p w:rsidR="00A37D2C" w:rsidRPr="002D6041" w:rsidRDefault="00A37D2C" w:rsidP="00A37D2C">
      <w:pPr>
        <w:spacing w:line="360" w:lineRule="auto"/>
      </w:pPr>
      <w:r w:rsidRPr="002D6041">
        <w:tab/>
      </w:r>
      <w:r w:rsidRPr="002D6041">
        <w:tab/>
        <w:t xml:space="preserve">Also, in </w:t>
      </w:r>
      <w:r w:rsidRPr="002D6041">
        <w:rPr>
          <w:u w:val="single"/>
        </w:rPr>
        <w:t>Replogle v. Pennsylvania Electric Company</w:t>
      </w:r>
      <w:r w:rsidRPr="002D6041">
        <w:t xml:space="preserve">, 54 Pa. PUC 528 (1980), the Commission has further stated that the results of the meter test are important, but standing alone, they may be insufficient rebuttal testimony.  However, if in addition to the meter test results, the utility places into the record testimony to rebut the complainant’s prima facie case, such as an inventory or analysis of the appliances in the home, or an attempt to ascertain the cause of the high bill (the presence of a foreign load or a wire condition), the burden of going forward shifts to the complainant to prove that the meter in question is defective.  If the complainant is unable to marshal direct proof that </w:t>
      </w:r>
      <w:r w:rsidR="00A00554">
        <w:t>t</w:t>
      </w:r>
      <w:r w:rsidRPr="002D6041">
        <w:t xml:space="preserve">he meter has malfunctioned, </w:t>
      </w:r>
      <w:r w:rsidR="00A00554">
        <w:t>the complainant</w:t>
      </w:r>
      <w:r w:rsidRPr="002D6041">
        <w:t xml:space="preserve"> can prove </w:t>
      </w:r>
      <w:r w:rsidR="00A00554">
        <w:t>t</w:t>
      </w:r>
      <w:r w:rsidRPr="002D6041">
        <w:t xml:space="preserve">he case by circumstantial evidence that the metered use has exceeded the actual use.  </w:t>
      </w:r>
      <w:r w:rsidRPr="002D6041">
        <w:rPr>
          <w:u w:val="single"/>
        </w:rPr>
        <w:t xml:space="preserve">Milkie v. </w:t>
      </w:r>
      <w:smartTag w:uri="urn:schemas-microsoft-com:office:smarttags" w:element="place">
        <w:smartTag w:uri="urn:schemas-microsoft-com:office:smarttags" w:element="State">
          <w:r w:rsidRPr="002D6041">
            <w:rPr>
              <w:u w:val="single"/>
            </w:rPr>
            <w:t>Pa.</w:t>
          </w:r>
        </w:smartTag>
      </w:smartTag>
      <w:r w:rsidRPr="002D6041">
        <w:rPr>
          <w:u w:val="single"/>
        </w:rPr>
        <w:t xml:space="preserve"> PUC</w:t>
      </w:r>
      <w:r w:rsidRPr="002D6041">
        <w:t>, 768 A.2d 1217 (</w:t>
      </w:r>
      <w:smartTag w:uri="urn:schemas-microsoft-com:office:smarttags" w:element="Street">
        <w:smartTag w:uri="urn:schemas-microsoft-com:office:smarttags" w:element="address">
          <w:r w:rsidRPr="002D6041">
            <w:t>Pa. Cm</w:t>
          </w:r>
          <w:r w:rsidR="00A00554">
            <w:t>wl</w:t>
          </w:r>
          <w:r w:rsidRPr="002D6041">
            <w:t>th Ct.</w:t>
          </w:r>
        </w:smartTag>
      </w:smartTag>
      <w:r w:rsidRPr="002D6041">
        <w:t xml:space="preserve"> 2001).</w:t>
      </w:r>
    </w:p>
    <w:p w:rsidR="00A37D2C" w:rsidRPr="002D6041" w:rsidRDefault="00A37D2C" w:rsidP="00A37D2C">
      <w:pPr>
        <w:spacing w:line="360" w:lineRule="auto"/>
      </w:pPr>
    </w:p>
    <w:p w:rsidR="00A37D2C" w:rsidRPr="002D6041" w:rsidRDefault="00A37D2C" w:rsidP="00A37D2C">
      <w:pPr>
        <w:spacing w:line="360" w:lineRule="auto"/>
      </w:pPr>
      <w:r w:rsidRPr="002D6041">
        <w:tab/>
      </w:r>
      <w:r w:rsidRPr="002D6041">
        <w:tab/>
      </w:r>
      <w:r w:rsidR="00C305D3">
        <w:t>T</w:t>
      </w:r>
      <w:r w:rsidR="009D2018">
        <w:t>h</w:t>
      </w:r>
      <w:r w:rsidRPr="002D6041">
        <w:t xml:space="preserve">e </w:t>
      </w:r>
      <w:r w:rsidRPr="002D6041">
        <w:rPr>
          <w:u w:val="single"/>
        </w:rPr>
        <w:t>Waldron</w:t>
      </w:r>
      <w:r w:rsidRPr="002D6041">
        <w:t xml:space="preserve"> test </w:t>
      </w:r>
      <w:r w:rsidR="009D2018">
        <w:t>above is not applicable here</w:t>
      </w:r>
      <w:r w:rsidR="00C305D3">
        <w:t>.  T</w:t>
      </w:r>
      <w:r w:rsidR="009D2018">
        <w:t>he Complainant’s pattern of usage has always changed because of the nature of the Complainant’s business:  the change in the number of customers increases or decreases</w:t>
      </w:r>
      <w:r w:rsidR="008B1DBE">
        <w:t xml:space="preserve"> the food consumption by customers, and as a result,</w:t>
      </w:r>
      <w:r w:rsidR="009D2018">
        <w:t xml:space="preserve"> the use of gas</w:t>
      </w:r>
      <w:r w:rsidR="008B1DBE">
        <w:t xml:space="preserve"> by the Complainant</w:t>
      </w:r>
      <w:r w:rsidR="009D2018">
        <w:t xml:space="preserve">.  This frequent change makes it impossible to establish a reliable sample of gas consumption at the Complainant’s business.  Therefore, the Complainant </w:t>
      </w:r>
      <w:r w:rsidR="009D2018">
        <w:lastRenderedPageBreak/>
        <w:t xml:space="preserve">must show that the Complainant’s meter is defective or malfunctional or that the meter has exceeded the actual use.  </w:t>
      </w:r>
    </w:p>
    <w:p w:rsidR="00A37D2C" w:rsidRPr="002D6041" w:rsidRDefault="00A37D2C" w:rsidP="00A37D2C">
      <w:pPr>
        <w:spacing w:line="360" w:lineRule="auto"/>
      </w:pPr>
    </w:p>
    <w:p w:rsidR="00A37D2C" w:rsidRDefault="00A37D2C" w:rsidP="00A37D2C">
      <w:pPr>
        <w:spacing w:line="360" w:lineRule="auto"/>
      </w:pPr>
      <w:r w:rsidRPr="002D6041">
        <w:tab/>
      </w:r>
      <w:r w:rsidRPr="002D6041">
        <w:tab/>
      </w:r>
      <w:r w:rsidR="009D2018">
        <w:t>The Respondent’s answer to the Complainant’s complaint indicates that the gas meter at its property stopped transmitting in October 2005, and that the Complainant was billed on estimated readings from that point forward until May 2007 when the Respondent was finally granted access to the meter</w:t>
      </w:r>
      <w:r w:rsidR="008B1DBE">
        <w:t xml:space="preserve"> (Answer to complaint at 3)</w:t>
      </w:r>
      <w:r w:rsidR="009D2018">
        <w:t>.</w:t>
      </w:r>
    </w:p>
    <w:p w:rsidR="009D2018" w:rsidRDefault="009D2018" w:rsidP="00A37D2C">
      <w:pPr>
        <w:spacing w:line="360" w:lineRule="auto"/>
      </w:pPr>
    </w:p>
    <w:p w:rsidR="009D2018" w:rsidRDefault="009D2018" w:rsidP="00A37D2C">
      <w:pPr>
        <w:spacing w:line="360" w:lineRule="auto"/>
      </w:pPr>
      <w:r>
        <w:tab/>
      </w:r>
      <w:r>
        <w:tab/>
        <w:t xml:space="preserve">At the hearing, the Respondent testified that the meter’s readings at the Complainant’s business address did not move, and that it had to bill the Complainant </w:t>
      </w:r>
      <w:r w:rsidR="007A3208">
        <w:t>estimated</w:t>
      </w:r>
      <w:r>
        <w:t xml:space="preserve"> bills between October 2005 and May 2007 when it had access to the meter</w:t>
      </w:r>
      <w:r w:rsidR="008B1DBE">
        <w:t xml:space="preserve"> (N.T. 27, 37)</w:t>
      </w:r>
      <w:r>
        <w:t>.</w:t>
      </w:r>
    </w:p>
    <w:p w:rsidR="009D2018" w:rsidRDefault="009D2018" w:rsidP="00A37D2C">
      <w:pPr>
        <w:spacing w:line="360" w:lineRule="auto"/>
      </w:pPr>
    </w:p>
    <w:p w:rsidR="009D2018" w:rsidRDefault="00F653C4" w:rsidP="00A37D2C">
      <w:pPr>
        <w:spacing w:line="360" w:lineRule="auto"/>
      </w:pPr>
      <w:r>
        <w:tab/>
      </w:r>
      <w:r>
        <w:tab/>
      </w:r>
      <w:r w:rsidR="00C305D3">
        <w:t>T</w:t>
      </w:r>
      <w:r>
        <w:t>he answer and the testimony above contradict the Respondent’s exhibit, PECO Exhibit 4.  Th</w:t>
      </w:r>
      <w:r w:rsidR="008B1DBE">
        <w:t>is</w:t>
      </w:r>
      <w:r>
        <w:t xml:space="preserve"> exhibit shows that the Complainant’s bills were estimated long before October 2005 and that the estimated bills dates </w:t>
      </w:r>
      <w:r w:rsidR="008B1DBE">
        <w:t xml:space="preserve">back </w:t>
      </w:r>
      <w:r>
        <w:t>as far as December 2003.  Further, the Complainant’s meter is located outside the business address.</w:t>
      </w:r>
      <w:r w:rsidR="008B1DBE">
        <w:t xml:space="preserve">  When asked to respond to the Complainant’s owner statement that the Complainant’s meter is outside the business address, the Respondent’s custodian of record testified that she would need to pull the field report (N.T. 48).</w:t>
      </w:r>
      <w:r>
        <w:t xml:space="preserve">  I was wondering why the Respondent needed anyone to grant access to </w:t>
      </w:r>
      <w:r w:rsidR="008B1DBE">
        <w:t xml:space="preserve">change </w:t>
      </w:r>
      <w:r>
        <w:t>the meter</w:t>
      </w:r>
      <w:r w:rsidR="008B1DBE">
        <w:t xml:space="preserve"> when it is in the open where, in the Complainant’s owner’s language, everyone “can wa</w:t>
      </w:r>
      <w:r w:rsidR="00C305D3">
        <w:t>lk up to the meter and touch it.</w:t>
      </w:r>
      <w:r w:rsidR="008B1DBE">
        <w:t>”</w:t>
      </w:r>
      <w:r>
        <w:t xml:space="preserve">  For these reasons, I do not make any findings of facts based on the Respondent’s testimony.</w:t>
      </w:r>
    </w:p>
    <w:p w:rsidR="00F653C4" w:rsidRDefault="00F653C4" w:rsidP="00A37D2C">
      <w:pPr>
        <w:spacing w:line="360" w:lineRule="auto"/>
      </w:pPr>
    </w:p>
    <w:p w:rsidR="00F653C4" w:rsidRDefault="00F653C4" w:rsidP="00A37D2C">
      <w:pPr>
        <w:spacing w:line="360" w:lineRule="auto"/>
      </w:pPr>
      <w:r>
        <w:tab/>
      </w:r>
      <w:r>
        <w:tab/>
      </w:r>
      <w:r w:rsidR="006757F2">
        <w:t>The Complainant’s owner testified that he operates a pizza shop at 339 E. County Line Road, Hatboro, that he had a stopped meter (he characterized it as a broken meter), and that he was billed on estimated bills as early as 2004.  PECO Exhibit 4 shows he was billed on estimated bills between December 2003 and May 2007 (41 months).</w:t>
      </w:r>
    </w:p>
    <w:p w:rsidR="006757F2" w:rsidRDefault="006757F2" w:rsidP="00A37D2C">
      <w:pPr>
        <w:spacing w:line="360" w:lineRule="auto"/>
      </w:pPr>
    </w:p>
    <w:p w:rsidR="006757F2" w:rsidRPr="002D6041" w:rsidRDefault="006757F2" w:rsidP="00A37D2C">
      <w:pPr>
        <w:spacing w:line="360" w:lineRule="auto"/>
      </w:pPr>
      <w:r>
        <w:tab/>
      </w:r>
      <w:r>
        <w:tab/>
        <w:t xml:space="preserve">From the nature of the Respondent’s testimony and lengthy delay to address the Complainant’s stopped meter, I am inclined to find for the Complainant.  But the Complainant’s owner did not offer any proof that he was overbilled; nor did he produce any competent evidence </w:t>
      </w:r>
      <w:r>
        <w:lastRenderedPageBreak/>
        <w:t>on the issue of actual, potential, or metered uses.  He merely asserted that all his bills in 2005, 2006, and 2007 were too high.</w:t>
      </w:r>
    </w:p>
    <w:p w:rsidR="00A37D2C" w:rsidRPr="002D6041" w:rsidRDefault="00A37D2C" w:rsidP="00A37D2C">
      <w:pPr>
        <w:spacing w:line="360" w:lineRule="auto"/>
      </w:pPr>
    </w:p>
    <w:p w:rsidR="00A37D2C" w:rsidRPr="002D6041" w:rsidRDefault="00A37D2C" w:rsidP="00A37D2C">
      <w:pPr>
        <w:spacing w:line="360" w:lineRule="auto"/>
      </w:pPr>
      <w:r w:rsidRPr="002D6041">
        <w:tab/>
      </w:r>
      <w:r w:rsidRPr="002D6041">
        <w:tab/>
        <w:t xml:space="preserve">No matter how honest and strong </w:t>
      </w:r>
      <w:r w:rsidR="006757F2">
        <w:t>his</w:t>
      </w:r>
      <w:r w:rsidRPr="002D6041">
        <w:t xml:space="preserve"> assertions are, they cannot form a basis for a finding in </w:t>
      </w:r>
      <w:r w:rsidR="006757F2">
        <w:t>his</w:t>
      </w:r>
      <w:r w:rsidRPr="002D6041">
        <w:t xml:space="preserve"> favor.  Mere bald assertions, personal opinions or perceptions do not constitute evidence to bolster a claim.  </w:t>
      </w:r>
      <w:smartTag w:uri="urn:schemas-microsoft-com:office:smarttags" w:element="State">
        <w:r w:rsidRPr="002D6041">
          <w:rPr>
            <w:u w:val="single"/>
          </w:rPr>
          <w:t>Pennsylvania</w:t>
        </w:r>
      </w:smartTag>
      <w:r w:rsidRPr="002D6041">
        <w:rPr>
          <w:u w:val="single"/>
        </w:rPr>
        <w:t xml:space="preserve"> Bureau of Corrections v. City of </w:t>
      </w:r>
      <w:smartTag w:uri="urn:schemas-microsoft-com:office:smarttags" w:element="City">
        <w:r w:rsidRPr="002D6041">
          <w:rPr>
            <w:u w:val="single"/>
          </w:rPr>
          <w:t>Pittsburgh</w:t>
        </w:r>
      </w:smartTag>
      <w:r w:rsidRPr="002D6041">
        <w:t xml:space="preserve">, 516 </w:t>
      </w:r>
      <w:smartTag w:uri="urn:schemas-microsoft-com:office:smarttags" w:element="place">
        <w:smartTag w:uri="urn:schemas-microsoft-com:office:smarttags" w:element="State">
          <w:r w:rsidRPr="002D6041">
            <w:t>Pa.</w:t>
          </w:r>
        </w:smartTag>
      </w:smartTag>
      <w:r w:rsidRPr="002D6041">
        <w:t xml:space="preserve"> 75, 532 A.2d 12 (1987).   </w:t>
      </w:r>
    </w:p>
    <w:p w:rsidR="00A37D2C" w:rsidRPr="002D6041" w:rsidRDefault="00A37D2C" w:rsidP="00A37D2C">
      <w:pPr>
        <w:spacing w:line="360" w:lineRule="auto"/>
      </w:pPr>
    </w:p>
    <w:p w:rsidR="00A37D2C" w:rsidRPr="0087121C" w:rsidRDefault="002626F7" w:rsidP="00A37D2C">
      <w:pPr>
        <w:spacing w:line="360" w:lineRule="auto"/>
        <w:rPr>
          <w:u w:val="single"/>
        </w:rPr>
      </w:pPr>
      <w:r>
        <w:rPr>
          <w:u w:val="single"/>
        </w:rPr>
        <w:t>Civil Penalty</w:t>
      </w:r>
    </w:p>
    <w:p w:rsidR="00A37D2C" w:rsidRPr="002D6041" w:rsidRDefault="00A37D2C" w:rsidP="00A37D2C">
      <w:pPr>
        <w:spacing w:line="360" w:lineRule="auto"/>
      </w:pPr>
    </w:p>
    <w:p w:rsidR="002626F7" w:rsidRDefault="00A37D2C" w:rsidP="00A37D2C">
      <w:pPr>
        <w:spacing w:line="360" w:lineRule="auto"/>
      </w:pPr>
      <w:r>
        <w:tab/>
      </w:r>
      <w:r>
        <w:tab/>
        <w:t>The Respondent</w:t>
      </w:r>
      <w:r w:rsidR="002626F7">
        <w:t>’s answer and the testimony indicates that in October 2005, the Respondent learned that the Complainant’s meter stopped reading, and that from that point forward the Respondent billed the Complainant on estimated bills until May 2007 when the Respondent was granted access to the meter and actually changed it.</w:t>
      </w:r>
    </w:p>
    <w:p w:rsidR="002626F7" w:rsidRDefault="002626F7" w:rsidP="00A37D2C">
      <w:pPr>
        <w:spacing w:line="360" w:lineRule="auto"/>
      </w:pPr>
    </w:p>
    <w:p w:rsidR="00A37D2C" w:rsidRDefault="002626F7" w:rsidP="00A37D2C">
      <w:pPr>
        <w:spacing w:line="360" w:lineRule="auto"/>
      </w:pPr>
      <w:r>
        <w:tab/>
      </w:r>
      <w:r>
        <w:tab/>
        <w:t>But the record indicates that the meter is located, not inside but, outside the business address, and that the Complainant received estimated bills as far back as, not October 2005, but December 2003.</w:t>
      </w:r>
    </w:p>
    <w:p w:rsidR="00A37D2C" w:rsidRDefault="00A37D2C" w:rsidP="00A37D2C">
      <w:pPr>
        <w:spacing w:line="360" w:lineRule="auto"/>
      </w:pPr>
    </w:p>
    <w:p w:rsidR="00A37D2C" w:rsidRDefault="00A37D2C" w:rsidP="00A37D2C">
      <w:pPr>
        <w:spacing w:line="360" w:lineRule="auto"/>
      </w:pPr>
      <w:r>
        <w:tab/>
      </w:r>
      <w:r>
        <w:tab/>
      </w:r>
      <w:r w:rsidR="002626F7">
        <w:t>Estimates are permitted when utility personnel are unable to gain access to obtain an actual meter reading whether a customer is a residential or a commercial customer.  But in this</w:t>
      </w:r>
      <w:r w:rsidR="008B1DBE">
        <w:t xml:space="preserve"> case</w:t>
      </w:r>
      <w:r w:rsidR="002626F7">
        <w:t xml:space="preserve">, the meter is located outside the Complainant’s business address.  There is no visual impediment to the Respondent’s effort to change the meter if it wants to.  From the time the Respondent learned that the Complainant’s meter was malfunctional (December 2003) to the time it actually changed it (May 2007), forty-one months </w:t>
      </w:r>
      <w:r w:rsidR="005366CF">
        <w:t>had passed.  It is an exceedingly unreasonably period of time to change a meter for a customer.  And the Respondent should be punished for dilatory behavior.</w:t>
      </w:r>
    </w:p>
    <w:p w:rsidR="00A37D2C" w:rsidRDefault="00A37D2C" w:rsidP="00A37D2C">
      <w:pPr>
        <w:spacing w:line="360" w:lineRule="auto"/>
      </w:pPr>
    </w:p>
    <w:p w:rsidR="005B732F" w:rsidRDefault="005B732F" w:rsidP="005B732F">
      <w:pPr>
        <w:spacing w:line="360" w:lineRule="auto"/>
      </w:pPr>
      <w:r>
        <w:tab/>
      </w:r>
      <w:r>
        <w:tab/>
        <w:t xml:space="preserve">Section 3301 of the Public Utility Code, 66 </w:t>
      </w:r>
      <w:smartTag w:uri="urn:schemas-microsoft-com:office:smarttags" w:element="place">
        <w:smartTag w:uri="urn:schemas-microsoft-com:office:smarttags" w:element="State">
          <w:r>
            <w:t>Pa.</w:t>
          </w:r>
        </w:smartTag>
      </w:smartTag>
      <w:r>
        <w:t xml:space="preserve"> Code §3301, authorizes the Commission to impose a maximum civil penalty of $1,000.00 a day for violations of the Code, </w:t>
      </w:r>
      <w:r>
        <w:lastRenderedPageBreak/>
        <w:t xml:space="preserve">regulations and orders.  Section 3301 is silent on the factors and standards that should be considered in determining an appropriate penalty.  </w:t>
      </w:r>
    </w:p>
    <w:p w:rsidR="005B732F" w:rsidRDefault="005B732F" w:rsidP="005B732F">
      <w:pPr>
        <w:spacing w:line="360" w:lineRule="auto"/>
      </w:pPr>
    </w:p>
    <w:p w:rsidR="005B732F" w:rsidRDefault="005B732F" w:rsidP="005B732F">
      <w:pPr>
        <w:spacing w:line="360" w:lineRule="auto"/>
      </w:pPr>
      <w:r>
        <w:tab/>
      </w:r>
      <w:r>
        <w:tab/>
        <w:t xml:space="preserve">The Commission has established guidelines in </w:t>
      </w:r>
      <w:r>
        <w:rPr>
          <w:u w:val="single"/>
        </w:rPr>
        <w:t>Rosi v. Bell-Atlantic Pennsylvania, Inc. and Sprint Communications Company, L.P.</w:t>
      </w:r>
      <w:r>
        <w:t>, Docket No. C-0099409 (</w:t>
      </w:r>
      <w:smartTag w:uri="urn:schemas-microsoft-com:office:smarttags" w:element="place">
        <w:smartTag w:uri="urn:schemas-microsoft-com:office:smarttags" w:element="State">
          <w:r>
            <w:t>Pa.</w:t>
          </w:r>
        </w:smartTag>
      </w:smartTag>
      <w:r>
        <w:t xml:space="preserve"> PUC March 16, 2000), for determining the amount of civil penalty to be assessed in slamming cases, and in </w:t>
      </w:r>
      <w:r>
        <w:rPr>
          <w:u w:val="single"/>
        </w:rPr>
        <w:t>Public Utility Commission v. NCIC Operator Services</w:t>
      </w:r>
      <w:r>
        <w:t xml:space="preserve">, Docket No. M-00001440 (Pa. PUC December 21, 2000), in all types of violations.  Later, on December 22, 2007, the Commission amended its regulations at 52 </w:t>
      </w:r>
      <w:smartTag w:uri="urn:schemas-microsoft-com:office:smarttags" w:element="place">
        <w:smartTag w:uri="urn:schemas-microsoft-com:office:smarttags" w:element="State">
          <w:r>
            <w:t>Pa.</w:t>
          </w:r>
        </w:smartTag>
      </w:smartTag>
      <w:r>
        <w:t xml:space="preserve"> Code Chapter 69 by adding a statement of policy in Section 69.1201 relating to Litigated and Settled Proceedings Involving Violations of the Public Utility Code and Commission Regulation.  </w:t>
      </w:r>
    </w:p>
    <w:p w:rsidR="005B732F" w:rsidRDefault="005B732F" w:rsidP="005B732F">
      <w:pPr>
        <w:spacing w:line="360" w:lineRule="auto"/>
      </w:pPr>
    </w:p>
    <w:p w:rsidR="005B732F" w:rsidRDefault="005B732F" w:rsidP="005B732F">
      <w:pPr>
        <w:spacing w:line="360" w:lineRule="auto"/>
      </w:pPr>
      <w:r>
        <w:tab/>
      </w:r>
      <w:r>
        <w:tab/>
        <w:t xml:space="preserve">The Commonwealth Court of Pennsylvania has tacitly acknowledged the </w:t>
      </w:r>
      <w:r w:rsidR="00487AEF">
        <w:rPr>
          <w:u w:val="single"/>
        </w:rPr>
        <w:t>Ro</w:t>
      </w:r>
      <w:r>
        <w:rPr>
          <w:u w:val="single"/>
        </w:rPr>
        <w:t>si</w:t>
      </w:r>
      <w:r>
        <w:t xml:space="preserve"> standards in </w:t>
      </w:r>
      <w:r>
        <w:rPr>
          <w:u w:val="single"/>
        </w:rPr>
        <w:t xml:space="preserve">Donald Fix, t/a Don Farr Moving Company v. </w:t>
      </w:r>
      <w:smartTag w:uri="urn:schemas-microsoft-com:office:smarttags" w:element="State">
        <w:smartTag w:uri="urn:schemas-microsoft-com:office:smarttags" w:element="place">
          <w:r>
            <w:rPr>
              <w:u w:val="single"/>
            </w:rPr>
            <w:t>Pa.</w:t>
          </w:r>
        </w:smartTag>
      </w:smartTag>
      <w:r>
        <w:rPr>
          <w:u w:val="single"/>
        </w:rPr>
        <w:t xml:space="preserve"> PUC</w:t>
      </w:r>
      <w:r>
        <w:t xml:space="preserve">, 1516 D.C. 2008 (Pa. Cmwlth. May 22, 2009) (unpublished).  </w:t>
      </w:r>
    </w:p>
    <w:p w:rsidR="005B732F" w:rsidRDefault="005B732F" w:rsidP="005B732F">
      <w:pPr>
        <w:spacing w:line="360" w:lineRule="auto"/>
      </w:pPr>
    </w:p>
    <w:p w:rsidR="005B732F" w:rsidRDefault="005B732F" w:rsidP="005B732F">
      <w:pPr>
        <w:spacing w:line="360" w:lineRule="auto"/>
      </w:pPr>
      <w:r>
        <w:tab/>
      </w:r>
      <w:r>
        <w:tab/>
        <w:t>Section 69.1201 provides as follows:</w:t>
      </w:r>
    </w:p>
    <w:p w:rsidR="005B732F" w:rsidRDefault="005B732F" w:rsidP="005B732F">
      <w:pPr>
        <w:spacing w:line="360" w:lineRule="auto"/>
      </w:pPr>
    </w:p>
    <w:p w:rsidR="005B732F" w:rsidRDefault="005B732F" w:rsidP="005B732F">
      <w:pPr>
        <w:ind w:left="1440" w:right="1440"/>
      </w:pPr>
      <w:r>
        <w:t xml:space="preserve">  (1)  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   </w:t>
      </w:r>
    </w:p>
    <w:p w:rsidR="005B732F" w:rsidRDefault="005B732F" w:rsidP="005B732F">
      <w:pPr>
        <w:ind w:left="2160" w:right="1440" w:hanging="720"/>
      </w:pPr>
    </w:p>
    <w:p w:rsidR="005B732F" w:rsidRDefault="005B732F" w:rsidP="005B732F">
      <w:pPr>
        <w:ind w:left="1440" w:right="1440"/>
      </w:pPr>
      <w:r>
        <w:t xml:space="preserve">  (2)  Whether the resulting consequences of the conduct at issue were of a serious nature.  When consequences of a serious nature are involved, such as personal injury or property damage, the consequences may warrant a higher penalty.</w:t>
      </w:r>
    </w:p>
    <w:p w:rsidR="005B732F" w:rsidRDefault="005B732F" w:rsidP="005B732F">
      <w:pPr>
        <w:ind w:left="1440" w:right="1440"/>
      </w:pPr>
    </w:p>
    <w:p w:rsidR="005B732F" w:rsidRDefault="005B732F" w:rsidP="005B732F">
      <w:pPr>
        <w:ind w:left="1440" w:right="1440"/>
      </w:pPr>
      <w:r>
        <w:t xml:space="preserve">  (3)  Whether the conduct at issue was deemed intentional or negligent.  This factor may only be considered in evaluating litigated cases.  When conduct has been deemed intentional, the conduct may result in a higher penalty.</w:t>
      </w:r>
    </w:p>
    <w:p w:rsidR="005B732F" w:rsidRDefault="005B732F" w:rsidP="005B732F">
      <w:pPr>
        <w:ind w:left="1440" w:right="1440"/>
      </w:pPr>
    </w:p>
    <w:p w:rsidR="005B732F" w:rsidRDefault="005B732F" w:rsidP="005B732F">
      <w:pPr>
        <w:ind w:left="1440" w:right="1440"/>
      </w:pPr>
      <w:r>
        <w:t xml:space="preserve">  (4)  Whether the regulated entity made efforts to modify internal practices and procedures to address the conduct at issue and prevent similar conduct in the future.  These modifications may </w:t>
      </w:r>
      <w:r>
        <w:lastRenderedPageBreak/>
        <w:t>include activities such as training and improving the company techniques and supervision.  The amount of time it took the utility to correct the conduct once it was discovered and the involvement of top-level management in correcting the conduct may be considered.</w:t>
      </w:r>
    </w:p>
    <w:p w:rsidR="005B732F" w:rsidRDefault="005B732F" w:rsidP="005B732F">
      <w:pPr>
        <w:ind w:left="1440" w:right="1440"/>
      </w:pPr>
    </w:p>
    <w:p w:rsidR="005B732F" w:rsidRDefault="005B732F" w:rsidP="005B732F">
      <w:pPr>
        <w:ind w:left="1440" w:right="1440"/>
      </w:pPr>
      <w:r>
        <w:t xml:space="preserve">  (5)  The number of customers affected and the duration of the violation.</w:t>
      </w:r>
    </w:p>
    <w:p w:rsidR="005B732F" w:rsidRDefault="005B732F" w:rsidP="005B732F">
      <w:pPr>
        <w:ind w:left="1440" w:right="1440"/>
      </w:pPr>
    </w:p>
    <w:p w:rsidR="005B732F" w:rsidRDefault="005B732F" w:rsidP="005B732F">
      <w:pPr>
        <w:ind w:left="1440" w:right="1440"/>
      </w:pPr>
      <w:r>
        <w:t xml:space="preserve">  (6)  The compliance history of the regulated entity which committed the violation.  An isolated incident from an otherwise compliant utility may result in a lower penalty, whereas frequent, recurrent violations by a utility may result in a higher penalty.</w:t>
      </w:r>
    </w:p>
    <w:p w:rsidR="005B732F" w:rsidRDefault="005B732F" w:rsidP="005B732F">
      <w:pPr>
        <w:ind w:left="1440" w:right="1440"/>
      </w:pPr>
    </w:p>
    <w:p w:rsidR="005B732F" w:rsidRDefault="005B732F" w:rsidP="005B732F">
      <w:pPr>
        <w:ind w:left="1440" w:right="1440"/>
      </w:pPr>
      <w:r>
        <w:t xml:space="preserve">  (7)  Whether the regulated entity cooperated with the Commission’s investigation.  Facts establishing bad faith, active concealment of violations, or attempts to interfere with Commission investigations may result in a higher penalty.</w:t>
      </w:r>
    </w:p>
    <w:p w:rsidR="005B732F" w:rsidRDefault="005B732F" w:rsidP="005B732F">
      <w:pPr>
        <w:ind w:left="1440" w:right="1440"/>
      </w:pPr>
    </w:p>
    <w:p w:rsidR="005B732F" w:rsidRDefault="005B732F" w:rsidP="005B732F">
      <w:pPr>
        <w:ind w:left="1440" w:right="1440"/>
      </w:pPr>
      <w:r>
        <w:t xml:space="preserve">  (8)  The amount of the civil penalty or fine necessary to deter future violations.  The size of the utility may be considered to determine an appropriate penalty amount.</w:t>
      </w:r>
    </w:p>
    <w:p w:rsidR="005B732F" w:rsidRDefault="005B732F" w:rsidP="005B732F">
      <w:pPr>
        <w:ind w:left="1440" w:right="1440"/>
      </w:pPr>
    </w:p>
    <w:p w:rsidR="005B732F" w:rsidRDefault="005B732F" w:rsidP="005B732F">
      <w:pPr>
        <w:ind w:left="1440" w:right="1440"/>
      </w:pPr>
      <w:r>
        <w:t xml:space="preserve">  (9)  Past Commission decisions in similar situations.</w:t>
      </w:r>
    </w:p>
    <w:p w:rsidR="005B732F" w:rsidRDefault="005B732F" w:rsidP="005B732F">
      <w:pPr>
        <w:ind w:left="1440" w:right="1440"/>
      </w:pPr>
    </w:p>
    <w:p w:rsidR="005B732F" w:rsidRDefault="005B732F" w:rsidP="005B732F">
      <w:pPr>
        <w:ind w:left="1440" w:right="1440"/>
      </w:pPr>
      <w:r>
        <w:t>(10)  Other relevant factors.</w:t>
      </w:r>
    </w:p>
    <w:p w:rsidR="005B732F" w:rsidRDefault="005B732F" w:rsidP="005B732F">
      <w:pPr>
        <w:ind w:left="2160" w:right="1440" w:hanging="720"/>
      </w:pPr>
    </w:p>
    <w:p w:rsidR="005B732F" w:rsidRDefault="005B732F" w:rsidP="005B732F"/>
    <w:p w:rsidR="005B732F" w:rsidRDefault="005B732F" w:rsidP="005B732F">
      <w:pPr>
        <w:spacing w:line="360" w:lineRule="auto"/>
      </w:pPr>
      <w:r>
        <w:tab/>
      </w:r>
      <w:r>
        <w:tab/>
        <w:t>Applying the above factors and standards to this case, I find:</w:t>
      </w:r>
    </w:p>
    <w:p w:rsidR="005B732F" w:rsidRDefault="005B732F" w:rsidP="005B732F">
      <w:pPr>
        <w:spacing w:line="360" w:lineRule="auto"/>
      </w:pPr>
    </w:p>
    <w:p w:rsidR="005B732F" w:rsidRDefault="005B732F" w:rsidP="005B732F">
      <w:pPr>
        <w:spacing w:line="360" w:lineRule="auto"/>
      </w:pPr>
      <w:r>
        <w:tab/>
      </w:r>
      <w:r>
        <w:tab/>
        <w:t xml:space="preserve">(1)  The </w:t>
      </w:r>
      <w:r w:rsidR="008B1DBE">
        <w:t>Respondent’s delay</w:t>
      </w:r>
      <w:r>
        <w:t xml:space="preserve"> and (2) the resulting consequences of the </w:t>
      </w:r>
      <w:r w:rsidR="008B1DBE">
        <w:t>delay</w:t>
      </w:r>
      <w:r>
        <w:t xml:space="preserve"> were not of a serious nature.  The </w:t>
      </w:r>
      <w:r w:rsidR="008B1DBE">
        <w:t>delay</w:t>
      </w:r>
      <w:r>
        <w:t xml:space="preserve"> did not involve willful fraud or misrepresentation.  Nor did its consequences involve personal injury or property damage.  The Complainant still ha</w:t>
      </w:r>
      <w:r w:rsidR="008B1DBE">
        <w:t>d</w:t>
      </w:r>
      <w:r>
        <w:t xml:space="preserve"> </w:t>
      </w:r>
      <w:r w:rsidR="008B1DBE">
        <w:t>gas</w:t>
      </w:r>
      <w:r>
        <w:t xml:space="preserve"> service during the </w:t>
      </w:r>
      <w:r w:rsidR="008B1DBE">
        <w:t>delay.</w:t>
      </w:r>
    </w:p>
    <w:p w:rsidR="005B732F" w:rsidRDefault="005B732F" w:rsidP="005B732F">
      <w:pPr>
        <w:spacing w:line="360" w:lineRule="auto"/>
      </w:pPr>
    </w:p>
    <w:p w:rsidR="005B732F" w:rsidRDefault="005B732F" w:rsidP="005B732F">
      <w:pPr>
        <w:spacing w:line="360" w:lineRule="auto"/>
      </w:pPr>
      <w:r>
        <w:tab/>
      </w:r>
      <w:r>
        <w:tab/>
        <w:t xml:space="preserve">(3)  The </w:t>
      </w:r>
      <w:r w:rsidR="008B1DBE">
        <w:t>delay</w:t>
      </w:r>
      <w:r>
        <w:t xml:space="preserve"> is deemed negligent.  </w:t>
      </w:r>
      <w:r w:rsidR="008B1DBE">
        <w:t xml:space="preserve">I do not believe that the Respondent intentionally delayed the change of the Complainant’s meter.  </w:t>
      </w:r>
      <w:r>
        <w:t xml:space="preserve">Therefore, the penalty ranges from zero to $500 a day.  </w:t>
      </w:r>
    </w:p>
    <w:p w:rsidR="005B732F" w:rsidRDefault="005B732F" w:rsidP="005B732F">
      <w:pPr>
        <w:spacing w:line="360" w:lineRule="auto"/>
      </w:pPr>
    </w:p>
    <w:p w:rsidR="005B732F" w:rsidRDefault="005B732F" w:rsidP="005B732F">
      <w:pPr>
        <w:spacing w:line="360" w:lineRule="auto"/>
      </w:pPr>
      <w:r>
        <w:lastRenderedPageBreak/>
        <w:tab/>
      </w:r>
      <w:r>
        <w:tab/>
        <w:t xml:space="preserve">(4)  I cannot address whether the Respondent has initiated internal practices and procedures to prevent future </w:t>
      </w:r>
      <w:r w:rsidR="008B1DBE">
        <w:t>delay</w:t>
      </w:r>
      <w:r>
        <w:t xml:space="preserve"> because I do not have such a record.</w:t>
      </w:r>
    </w:p>
    <w:p w:rsidR="005B732F" w:rsidRDefault="005B732F" w:rsidP="005B732F">
      <w:pPr>
        <w:spacing w:line="360" w:lineRule="auto"/>
      </w:pPr>
    </w:p>
    <w:p w:rsidR="005B732F" w:rsidRDefault="005B732F" w:rsidP="005B732F">
      <w:pPr>
        <w:spacing w:line="360" w:lineRule="auto"/>
      </w:pPr>
      <w:r>
        <w:tab/>
      </w:r>
      <w:r>
        <w:tab/>
        <w:t xml:space="preserve">(5)  No other customers were affected by the Respondent’s conduct; but the duration of the </w:t>
      </w:r>
      <w:r w:rsidR="00C96BFC">
        <w:t>change</w:t>
      </w:r>
      <w:r>
        <w:t xml:space="preserve"> of the Complainant</w:t>
      </w:r>
      <w:r w:rsidR="00C96BFC">
        <w:t>’s meter</w:t>
      </w:r>
      <w:r>
        <w:t xml:space="preserve"> was lengthy.  </w:t>
      </w:r>
    </w:p>
    <w:p w:rsidR="005B732F" w:rsidRDefault="005B732F" w:rsidP="005B732F">
      <w:pPr>
        <w:spacing w:line="360" w:lineRule="auto"/>
      </w:pPr>
    </w:p>
    <w:p w:rsidR="005B732F" w:rsidRDefault="005B732F" w:rsidP="005B732F">
      <w:pPr>
        <w:spacing w:line="360" w:lineRule="auto"/>
      </w:pPr>
      <w:r>
        <w:tab/>
      </w:r>
      <w:r>
        <w:tab/>
        <w:t>(6)  I cannot address the Respondent’s compliance history because I do not have such a record.</w:t>
      </w:r>
    </w:p>
    <w:p w:rsidR="005B732F" w:rsidRDefault="005B732F" w:rsidP="005B732F">
      <w:pPr>
        <w:spacing w:line="360" w:lineRule="auto"/>
      </w:pPr>
    </w:p>
    <w:p w:rsidR="005B732F" w:rsidRDefault="005B732F" w:rsidP="005B732F">
      <w:pPr>
        <w:spacing w:line="360" w:lineRule="auto"/>
      </w:pPr>
      <w:r>
        <w:tab/>
      </w:r>
      <w:r>
        <w:tab/>
        <w:t xml:space="preserve">(7)  The </w:t>
      </w:r>
      <w:r w:rsidR="008B1DBE">
        <w:t>Respondent did not attempt to conceal the delay or interfere with the Commission’s investigation</w:t>
      </w:r>
      <w:r>
        <w:t>.</w:t>
      </w:r>
      <w:r w:rsidR="008B1DBE">
        <w:t xml:space="preserve">  It cooperated with the Commission.  The Respondent promptly responded to my request for the Complainant’s History of Gas Usage in 2003 and 2004, two days before the deadline.</w:t>
      </w:r>
    </w:p>
    <w:p w:rsidR="005B732F" w:rsidRDefault="005B732F" w:rsidP="005B732F">
      <w:pPr>
        <w:spacing w:line="360" w:lineRule="auto"/>
      </w:pPr>
    </w:p>
    <w:p w:rsidR="005B732F" w:rsidRDefault="005B732F" w:rsidP="005B732F">
      <w:pPr>
        <w:spacing w:line="360" w:lineRule="auto"/>
      </w:pPr>
      <w:r>
        <w:tab/>
      </w:r>
      <w:r>
        <w:tab/>
        <w:t xml:space="preserve">(8)  The penalty will deter future violations.  </w:t>
      </w:r>
    </w:p>
    <w:p w:rsidR="005B732F" w:rsidRDefault="005B732F" w:rsidP="005B732F">
      <w:pPr>
        <w:spacing w:line="360" w:lineRule="auto"/>
      </w:pPr>
    </w:p>
    <w:p w:rsidR="005B732F" w:rsidRDefault="005B732F" w:rsidP="005B732F">
      <w:pPr>
        <w:spacing w:line="360" w:lineRule="auto"/>
      </w:pPr>
      <w:r>
        <w:tab/>
      </w:r>
      <w:r>
        <w:tab/>
        <w:t>(9)  The penalty is consistent with the Commission’s precedent.</w:t>
      </w:r>
    </w:p>
    <w:p w:rsidR="005B732F" w:rsidRDefault="005B732F" w:rsidP="005B732F">
      <w:pPr>
        <w:spacing w:line="360" w:lineRule="auto"/>
      </w:pPr>
    </w:p>
    <w:p w:rsidR="005B732F" w:rsidRDefault="005B732F" w:rsidP="005B732F">
      <w:pPr>
        <w:spacing w:line="360" w:lineRule="auto"/>
      </w:pPr>
      <w:r>
        <w:tab/>
      </w:r>
      <w:r>
        <w:tab/>
        <w:t>(10)  Other factors are not necessarily discussed here.</w:t>
      </w:r>
    </w:p>
    <w:p w:rsidR="005B732F" w:rsidRDefault="005B732F" w:rsidP="005B732F">
      <w:pPr>
        <w:spacing w:line="360" w:lineRule="auto"/>
      </w:pPr>
    </w:p>
    <w:p w:rsidR="005B732F" w:rsidRDefault="005B732F" w:rsidP="005B732F">
      <w:pPr>
        <w:spacing w:line="360" w:lineRule="auto"/>
      </w:pPr>
      <w:r>
        <w:tab/>
      </w:r>
      <w:r>
        <w:tab/>
        <w:t xml:space="preserve">Under these factors and guidelines, a civil penalty of $100 a month for each month of </w:t>
      </w:r>
      <w:r w:rsidR="008B1DBE">
        <w:t>delay</w:t>
      </w:r>
      <w:r w:rsidR="00C96BFC">
        <w:t xml:space="preserve"> (41 months</w:t>
      </w:r>
      <w:r w:rsidR="008B1DBE">
        <w:t>’</w:t>
      </w:r>
      <w:r w:rsidR="00C96BFC">
        <w:t xml:space="preserve"> </w:t>
      </w:r>
      <w:r w:rsidR="008B1DBE">
        <w:t>delay</w:t>
      </w:r>
      <w:r w:rsidR="00C96BFC">
        <w:t xml:space="preserve">) </w:t>
      </w:r>
      <w:r>
        <w:t xml:space="preserve">from the time the </w:t>
      </w:r>
      <w:r w:rsidR="00C96BFC">
        <w:t xml:space="preserve">Respondent learned about the Complainant’s malfunctional meter (December 2003) to the time it actually changed it (May 2007) I will </w:t>
      </w:r>
      <w:r>
        <w:t>impose a penalty of $</w:t>
      </w:r>
      <w:r w:rsidR="00C96BFC">
        <w:t>4</w:t>
      </w:r>
      <w:r>
        <w:t>,</w:t>
      </w:r>
      <w:r w:rsidR="00C96BFC">
        <w:t>1</w:t>
      </w:r>
      <w:r>
        <w:t xml:space="preserve">00 ($100 x </w:t>
      </w:r>
      <w:r w:rsidR="00C96BFC">
        <w:t>41</w:t>
      </w:r>
      <w:r>
        <w:t>) on the Respondent.</w:t>
      </w:r>
    </w:p>
    <w:p w:rsidR="005B732F" w:rsidRDefault="005B732F" w:rsidP="005B732F">
      <w:pPr>
        <w:spacing w:line="360" w:lineRule="auto"/>
      </w:pPr>
    </w:p>
    <w:p w:rsidR="005B732F" w:rsidRDefault="005B732F" w:rsidP="005B732F">
      <w:pPr>
        <w:spacing w:line="360" w:lineRule="auto"/>
        <w:jc w:val="center"/>
      </w:pPr>
      <w:r>
        <w:rPr>
          <w:u w:val="single"/>
        </w:rPr>
        <w:t>CONCLUSIONS OF LAW</w:t>
      </w:r>
    </w:p>
    <w:p w:rsidR="005B732F" w:rsidRDefault="005B732F" w:rsidP="005B732F">
      <w:pPr>
        <w:spacing w:line="360" w:lineRule="auto"/>
      </w:pPr>
    </w:p>
    <w:p w:rsidR="005B732F" w:rsidRDefault="005B732F" w:rsidP="005B732F">
      <w:pPr>
        <w:spacing w:line="360" w:lineRule="auto"/>
      </w:pPr>
      <w:r>
        <w:tab/>
      </w:r>
      <w:r>
        <w:tab/>
        <w:t>1.</w:t>
      </w:r>
      <w:r>
        <w:tab/>
        <w:t xml:space="preserve">The Commission has jurisdiction over the parties and the subject matter of this proceeding. </w:t>
      </w:r>
    </w:p>
    <w:p w:rsidR="005B732F" w:rsidRDefault="005B732F" w:rsidP="005B732F">
      <w:pPr>
        <w:spacing w:line="360" w:lineRule="auto"/>
      </w:pPr>
    </w:p>
    <w:p w:rsidR="005B732F" w:rsidRDefault="005B732F" w:rsidP="005B732F">
      <w:pPr>
        <w:spacing w:line="360" w:lineRule="auto"/>
      </w:pPr>
      <w:r>
        <w:tab/>
      </w:r>
      <w:r>
        <w:tab/>
        <w:t>2.</w:t>
      </w:r>
      <w:r>
        <w:tab/>
        <w:t xml:space="preserve">The Complainant has </w:t>
      </w:r>
      <w:r w:rsidR="003B7655">
        <w:t>failed to carry his</w:t>
      </w:r>
      <w:r>
        <w:t xml:space="preserve"> burden of proof.</w:t>
      </w:r>
    </w:p>
    <w:p w:rsidR="005B732F" w:rsidRDefault="005B732F" w:rsidP="005B732F">
      <w:pPr>
        <w:spacing w:line="360" w:lineRule="auto"/>
      </w:pPr>
    </w:p>
    <w:p w:rsidR="005B732F" w:rsidRDefault="005B732F" w:rsidP="005B732F">
      <w:pPr>
        <w:spacing w:line="360" w:lineRule="auto"/>
        <w:jc w:val="center"/>
      </w:pPr>
      <w:r>
        <w:rPr>
          <w:u w:val="single"/>
        </w:rPr>
        <w:t>ORDER</w:t>
      </w:r>
    </w:p>
    <w:p w:rsidR="005B732F" w:rsidRDefault="005B732F" w:rsidP="005B732F">
      <w:pPr>
        <w:spacing w:line="360" w:lineRule="auto"/>
      </w:pPr>
    </w:p>
    <w:p w:rsidR="005B732F" w:rsidRDefault="005B732F" w:rsidP="005B732F">
      <w:pPr>
        <w:spacing w:line="360" w:lineRule="auto"/>
      </w:pPr>
      <w:r>
        <w:tab/>
      </w:r>
      <w:r>
        <w:tab/>
        <w:t>THEREFORE,</w:t>
      </w:r>
    </w:p>
    <w:p w:rsidR="005B732F" w:rsidRDefault="005B732F" w:rsidP="005B732F">
      <w:pPr>
        <w:spacing w:line="360" w:lineRule="auto"/>
      </w:pPr>
    </w:p>
    <w:p w:rsidR="005B732F" w:rsidRDefault="005B732F" w:rsidP="005B732F">
      <w:pPr>
        <w:spacing w:line="360" w:lineRule="auto"/>
      </w:pPr>
      <w:r>
        <w:tab/>
      </w:r>
      <w:r>
        <w:tab/>
        <w:t>IT IS ORDERED:</w:t>
      </w:r>
    </w:p>
    <w:p w:rsidR="005B732F" w:rsidRDefault="005B732F" w:rsidP="005B732F">
      <w:pPr>
        <w:spacing w:line="360" w:lineRule="auto"/>
      </w:pPr>
    </w:p>
    <w:p w:rsidR="005B732F" w:rsidRDefault="005B732F" w:rsidP="005B732F">
      <w:pPr>
        <w:spacing w:line="360" w:lineRule="auto"/>
      </w:pPr>
      <w:r>
        <w:t xml:space="preserve"> </w:t>
      </w:r>
      <w:r>
        <w:tab/>
      </w:r>
      <w:r>
        <w:tab/>
        <w:t>1.</w:t>
      </w:r>
      <w:r>
        <w:tab/>
        <w:t xml:space="preserve">That the complaint of </w:t>
      </w:r>
      <w:r w:rsidR="003B7655">
        <w:t>Torino Incorporated</w:t>
      </w:r>
      <w:r>
        <w:t xml:space="preserve"> against PECO Energy Company at Docket No. C-200</w:t>
      </w:r>
      <w:r w:rsidR="003B7655">
        <w:t>8-2034595</w:t>
      </w:r>
      <w:r>
        <w:t xml:space="preserve"> is sustained</w:t>
      </w:r>
      <w:r w:rsidR="008B1DBE">
        <w:t xml:space="preserve"> in part</w:t>
      </w:r>
      <w:r>
        <w:t>.</w:t>
      </w:r>
    </w:p>
    <w:p w:rsidR="005B732F" w:rsidRDefault="005B732F" w:rsidP="005B732F">
      <w:pPr>
        <w:spacing w:line="360" w:lineRule="auto"/>
      </w:pPr>
    </w:p>
    <w:p w:rsidR="005B732F" w:rsidRDefault="005B732F" w:rsidP="005B732F">
      <w:pPr>
        <w:spacing w:line="360" w:lineRule="auto"/>
      </w:pPr>
      <w:r>
        <w:tab/>
      </w:r>
      <w:r>
        <w:tab/>
        <w:t>2.</w:t>
      </w:r>
      <w:r>
        <w:tab/>
        <w:t xml:space="preserve">That the Respondent shall pay a civil penalty of </w:t>
      </w:r>
      <w:r w:rsidR="000458BA">
        <w:t>four</w:t>
      </w:r>
      <w:r>
        <w:t xml:space="preserve"> thousand </w:t>
      </w:r>
      <w:r w:rsidR="000458BA">
        <w:t xml:space="preserve">one hundred </w:t>
      </w:r>
      <w:r>
        <w:t>dollars ($</w:t>
      </w:r>
      <w:r w:rsidR="000458BA">
        <w:t>4</w:t>
      </w:r>
      <w:r>
        <w:t>,</w:t>
      </w:r>
      <w:r w:rsidR="000458BA">
        <w:t>1</w:t>
      </w:r>
      <w:r>
        <w:t>00) as provided for in Sections 2404 and 3301 of the Public Utility Code, 66 Pa. C.S. §§2404 and 3301, by certified check or money order within twenty (20) days after service of the Commission’s Order, to:</w:t>
      </w:r>
    </w:p>
    <w:p w:rsidR="005B732F" w:rsidRDefault="005B732F" w:rsidP="005B732F">
      <w:pPr>
        <w:spacing w:line="360" w:lineRule="auto"/>
      </w:pPr>
    </w:p>
    <w:p w:rsidR="005B732F" w:rsidRDefault="005B732F" w:rsidP="005B732F">
      <w:r>
        <w:tab/>
      </w:r>
      <w:r>
        <w:tab/>
      </w:r>
      <w:r>
        <w:tab/>
      </w:r>
      <w:smartTag w:uri="urn:schemas-microsoft-com:office:smarttags" w:element="place">
        <w:smartTag w:uri="urn:schemas-microsoft-com:office:smarttags" w:element="State">
          <w:r>
            <w:t>Pennsylvania</w:t>
          </w:r>
        </w:smartTag>
      </w:smartTag>
      <w:r>
        <w:t xml:space="preserve"> Public Utility Commission</w:t>
      </w:r>
    </w:p>
    <w:p w:rsidR="005B732F" w:rsidRDefault="005B732F" w:rsidP="005B732F">
      <w:r>
        <w:tab/>
      </w:r>
      <w:r>
        <w:tab/>
      </w:r>
      <w:r>
        <w:tab/>
      </w:r>
      <w:smartTag w:uri="urn:schemas-microsoft-com:office:smarttags" w:element="address">
        <w:smartTag w:uri="urn:schemas-microsoft-com:office:smarttags" w:element="Street">
          <w:r>
            <w:t>P.O. Box</w:t>
          </w:r>
        </w:smartTag>
        <w:r>
          <w:t xml:space="preserve"> 3265</w:t>
        </w:r>
      </w:smartTag>
    </w:p>
    <w:p w:rsidR="005B732F" w:rsidRDefault="005B732F" w:rsidP="005B732F">
      <w:r>
        <w:tab/>
      </w:r>
      <w:r>
        <w:tab/>
      </w:r>
      <w:r>
        <w:tab/>
      </w:r>
      <w:smartTag w:uri="urn:schemas-microsoft-com:office:smarttags" w:element="place">
        <w:smartTag w:uri="urn:schemas-microsoft-com:office:smarttags" w:element="City">
          <w:r>
            <w:t>Harrisburg</w:t>
          </w:r>
        </w:smartTag>
        <w:r>
          <w:t xml:space="preserve">, </w:t>
        </w:r>
        <w:smartTag w:uri="urn:schemas-microsoft-com:office:smarttags" w:element="State">
          <w:r>
            <w:t>PA</w:t>
          </w:r>
        </w:smartTag>
        <w:r>
          <w:t xml:space="preserve"> </w:t>
        </w:r>
        <w:smartTag w:uri="urn:schemas-microsoft-com:office:smarttags" w:element="PostalCode">
          <w:r>
            <w:t>17105-3265</w:t>
          </w:r>
        </w:smartTag>
      </w:smartTag>
    </w:p>
    <w:p w:rsidR="005B732F" w:rsidRDefault="005B732F" w:rsidP="005B732F"/>
    <w:p w:rsidR="005B732F" w:rsidRDefault="005B732F" w:rsidP="005B732F">
      <w:pPr>
        <w:spacing w:line="360" w:lineRule="auto"/>
      </w:pPr>
      <w:r>
        <w:tab/>
      </w:r>
      <w:r>
        <w:tab/>
        <w:t>5.</w:t>
      </w:r>
      <w:r>
        <w:tab/>
        <w:t xml:space="preserve">That the Respondent cease and desist from further violations of the Public Utility Code, 66 </w:t>
      </w:r>
      <w:smartTag w:uri="urn:schemas-microsoft-com:office:smarttags" w:element="place">
        <w:smartTag w:uri="urn:schemas-microsoft-com:office:smarttags" w:element="State">
          <w:r>
            <w:t>Pa.</w:t>
          </w:r>
        </w:smartTag>
      </w:smartTag>
      <w:r>
        <w:t xml:space="preserve"> C.S. §1501.</w:t>
      </w:r>
    </w:p>
    <w:p w:rsidR="005B732F" w:rsidRDefault="005B732F" w:rsidP="005B732F">
      <w:pPr>
        <w:spacing w:line="360" w:lineRule="auto"/>
      </w:pPr>
    </w:p>
    <w:p w:rsidR="005B732F" w:rsidRDefault="005B732F" w:rsidP="005B732F">
      <w:pPr>
        <w:spacing w:line="360" w:lineRule="auto"/>
      </w:pPr>
    </w:p>
    <w:p w:rsidR="005B732F" w:rsidRDefault="005B732F" w:rsidP="005B732F">
      <w:pPr>
        <w:spacing w:line="360" w:lineRule="auto"/>
      </w:pPr>
    </w:p>
    <w:p w:rsidR="005B732F" w:rsidRDefault="005B732F" w:rsidP="005B732F">
      <w:r>
        <w:t>Date:</w:t>
      </w:r>
      <w:r>
        <w:tab/>
        <w:t xml:space="preserve">  </w:t>
      </w:r>
      <w:r>
        <w:rPr>
          <w:u w:val="single"/>
        </w:rPr>
        <w:t>     </w:t>
      </w:r>
      <w:r w:rsidR="000458BA">
        <w:rPr>
          <w:u w:val="single"/>
        </w:rPr>
        <w:t xml:space="preserve">    </w:t>
      </w:r>
      <w:r w:rsidR="00E611CA">
        <w:rPr>
          <w:u w:val="single"/>
        </w:rPr>
        <w:t>June 23, 2009</w:t>
      </w:r>
      <w:r w:rsidR="000458BA">
        <w:rPr>
          <w:u w:val="single"/>
        </w:rPr>
        <w:t xml:space="preserve">         </w:t>
      </w:r>
      <w:r>
        <w:rPr>
          <w:u w:val="single"/>
        </w:rPr>
        <w:t>     </w:t>
      </w:r>
      <w:r>
        <w:tab/>
      </w:r>
      <w:r>
        <w:tab/>
      </w:r>
      <w:r>
        <w:tab/>
        <w:t xml:space="preserve">_________________________________ </w:t>
      </w:r>
    </w:p>
    <w:p w:rsidR="005B732F" w:rsidRDefault="005B732F" w:rsidP="005B732F">
      <w:r>
        <w:tab/>
      </w:r>
      <w:r>
        <w:tab/>
      </w:r>
      <w:r>
        <w:tab/>
      </w:r>
      <w:r>
        <w:tab/>
      </w:r>
      <w:r>
        <w:tab/>
      </w:r>
      <w:r>
        <w:tab/>
      </w:r>
      <w:r>
        <w:tab/>
        <w:t>Ky Van Nguyen</w:t>
      </w:r>
    </w:p>
    <w:p w:rsidR="005B732F" w:rsidRDefault="005B732F" w:rsidP="005B732F">
      <w:r>
        <w:tab/>
      </w:r>
      <w:r>
        <w:tab/>
      </w:r>
      <w:r>
        <w:tab/>
      </w:r>
      <w:r>
        <w:tab/>
      </w:r>
      <w:r>
        <w:tab/>
      </w:r>
      <w:r>
        <w:tab/>
      </w:r>
      <w:r>
        <w:tab/>
        <w:t>Administrative Law Judge</w:t>
      </w:r>
    </w:p>
    <w:p w:rsidR="005B732F" w:rsidRDefault="005B732F" w:rsidP="005B732F">
      <w:pPr>
        <w:spacing w:line="360" w:lineRule="auto"/>
      </w:pPr>
    </w:p>
    <w:p w:rsidR="005B732F" w:rsidRDefault="005B732F" w:rsidP="00A37D2C">
      <w:pPr>
        <w:spacing w:line="360" w:lineRule="auto"/>
        <w:rPr>
          <w:u w:val="single"/>
        </w:rPr>
      </w:pPr>
    </w:p>
    <w:sectPr w:rsidR="005B732F" w:rsidSect="007B06ED">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2B9A" w:rsidRDefault="00B22B9A">
      <w:r>
        <w:separator/>
      </w:r>
    </w:p>
  </w:endnote>
  <w:endnote w:type="continuationSeparator" w:id="1">
    <w:p w:rsidR="00B22B9A" w:rsidRDefault="00B22B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876" w:rsidRDefault="00077876" w:rsidP="003659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77876" w:rsidRDefault="000778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876" w:rsidRDefault="00077876" w:rsidP="003659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075B">
      <w:rPr>
        <w:rStyle w:val="PageNumber"/>
        <w:noProof/>
      </w:rPr>
      <w:t>11</w:t>
    </w:r>
    <w:r>
      <w:rPr>
        <w:rStyle w:val="PageNumber"/>
      </w:rPr>
      <w:fldChar w:fldCharType="end"/>
    </w:r>
  </w:p>
  <w:p w:rsidR="00077876" w:rsidRDefault="000778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2B9A" w:rsidRDefault="00B22B9A">
      <w:r>
        <w:separator/>
      </w:r>
    </w:p>
  </w:footnote>
  <w:footnote w:type="continuationSeparator" w:id="1">
    <w:p w:rsidR="00B22B9A" w:rsidRDefault="00B22B9A">
      <w:r>
        <w:continuationSeparator/>
      </w:r>
    </w:p>
  </w:footnote>
  <w:footnote w:id="2">
    <w:p w:rsidR="00077876" w:rsidRDefault="00077876" w:rsidP="00437BAE">
      <w:pPr>
        <w:pStyle w:val="FootnoteText"/>
      </w:pPr>
      <w:r>
        <w:rPr>
          <w:rStyle w:val="FootnoteReference"/>
        </w:rPr>
        <w:footnoteRef/>
      </w:r>
      <w:r>
        <w:t xml:space="preserve"> </w:t>
      </w:r>
      <w:r>
        <w:tab/>
        <w:t>Section 332(a) of the Public Utility Code provides:</w:t>
      </w:r>
    </w:p>
    <w:p w:rsidR="00077876" w:rsidRDefault="00077876" w:rsidP="00437BAE">
      <w:pPr>
        <w:pStyle w:val="FootnoteText"/>
      </w:pPr>
    </w:p>
    <w:p w:rsidR="00077876" w:rsidRPr="00330C0B" w:rsidRDefault="00077876" w:rsidP="00437BAE">
      <w:pPr>
        <w:pStyle w:val="FootnoteText"/>
        <w:ind w:left="1440" w:right="720"/>
      </w:pPr>
      <w:r>
        <w:t xml:space="preserve">  (a)  </w:t>
      </w:r>
      <w:r>
        <w:rPr>
          <w:u w:val="single"/>
        </w:rPr>
        <w:t>Burden of Proof.</w:t>
      </w:r>
      <w:r>
        <w:t xml:space="preserve"> – Except as may be otherwise provided in section 315 (relating to burden of proof) or other provisions of this part or other relevant statute, the proponent of a rule or order has the burden of proof.</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75492F"/>
    <w:rsid w:val="00000050"/>
    <w:rsid w:val="00015646"/>
    <w:rsid w:val="00025298"/>
    <w:rsid w:val="00035187"/>
    <w:rsid w:val="000369E7"/>
    <w:rsid w:val="000458BA"/>
    <w:rsid w:val="00057307"/>
    <w:rsid w:val="00065968"/>
    <w:rsid w:val="00071933"/>
    <w:rsid w:val="00073D09"/>
    <w:rsid w:val="00077876"/>
    <w:rsid w:val="00085172"/>
    <w:rsid w:val="00085A0D"/>
    <w:rsid w:val="00092619"/>
    <w:rsid w:val="000A1F60"/>
    <w:rsid w:val="000F03D5"/>
    <w:rsid w:val="00100130"/>
    <w:rsid w:val="001055D1"/>
    <w:rsid w:val="001207A9"/>
    <w:rsid w:val="00130AB2"/>
    <w:rsid w:val="00197D85"/>
    <w:rsid w:val="001B43BA"/>
    <w:rsid w:val="001C4031"/>
    <w:rsid w:val="001D7808"/>
    <w:rsid w:val="001E00A3"/>
    <w:rsid w:val="002050AA"/>
    <w:rsid w:val="00237595"/>
    <w:rsid w:val="00251809"/>
    <w:rsid w:val="0026075B"/>
    <w:rsid w:val="002626F7"/>
    <w:rsid w:val="00262DE9"/>
    <w:rsid w:val="00266983"/>
    <w:rsid w:val="00270936"/>
    <w:rsid w:val="00285C27"/>
    <w:rsid w:val="002977D1"/>
    <w:rsid w:val="002B7D6B"/>
    <w:rsid w:val="002C2F0E"/>
    <w:rsid w:val="002D46D8"/>
    <w:rsid w:val="002F3E5C"/>
    <w:rsid w:val="003024CE"/>
    <w:rsid w:val="00330C0B"/>
    <w:rsid w:val="003357D9"/>
    <w:rsid w:val="003504D4"/>
    <w:rsid w:val="00362EC7"/>
    <w:rsid w:val="00365970"/>
    <w:rsid w:val="00376F69"/>
    <w:rsid w:val="00386152"/>
    <w:rsid w:val="00397F19"/>
    <w:rsid w:val="003B0E9E"/>
    <w:rsid w:val="003B7655"/>
    <w:rsid w:val="003B7671"/>
    <w:rsid w:val="003D4862"/>
    <w:rsid w:val="003E68E4"/>
    <w:rsid w:val="003F1DB8"/>
    <w:rsid w:val="0041163E"/>
    <w:rsid w:val="00412811"/>
    <w:rsid w:val="00424B11"/>
    <w:rsid w:val="004327D1"/>
    <w:rsid w:val="00437BAE"/>
    <w:rsid w:val="0046034C"/>
    <w:rsid w:val="00487AEF"/>
    <w:rsid w:val="00491603"/>
    <w:rsid w:val="004A389F"/>
    <w:rsid w:val="004A60BC"/>
    <w:rsid w:val="004B00F5"/>
    <w:rsid w:val="004D60B3"/>
    <w:rsid w:val="00500603"/>
    <w:rsid w:val="005366CF"/>
    <w:rsid w:val="00552471"/>
    <w:rsid w:val="00563A7E"/>
    <w:rsid w:val="00592C24"/>
    <w:rsid w:val="005A287B"/>
    <w:rsid w:val="005A5292"/>
    <w:rsid w:val="005B732F"/>
    <w:rsid w:val="005E4500"/>
    <w:rsid w:val="005E45F9"/>
    <w:rsid w:val="005F2F03"/>
    <w:rsid w:val="0060329F"/>
    <w:rsid w:val="00620AB4"/>
    <w:rsid w:val="00631714"/>
    <w:rsid w:val="006757F2"/>
    <w:rsid w:val="006832A0"/>
    <w:rsid w:val="00684218"/>
    <w:rsid w:val="00687CA4"/>
    <w:rsid w:val="006A7944"/>
    <w:rsid w:val="006C5667"/>
    <w:rsid w:val="006D476B"/>
    <w:rsid w:val="006D74CE"/>
    <w:rsid w:val="006F3362"/>
    <w:rsid w:val="00701842"/>
    <w:rsid w:val="007257F5"/>
    <w:rsid w:val="0075492F"/>
    <w:rsid w:val="0075770E"/>
    <w:rsid w:val="00760CB9"/>
    <w:rsid w:val="00784088"/>
    <w:rsid w:val="007A3208"/>
    <w:rsid w:val="007A3CFF"/>
    <w:rsid w:val="007B06ED"/>
    <w:rsid w:val="007B34AD"/>
    <w:rsid w:val="008006F9"/>
    <w:rsid w:val="0082356A"/>
    <w:rsid w:val="00824D88"/>
    <w:rsid w:val="0084408E"/>
    <w:rsid w:val="008448BC"/>
    <w:rsid w:val="00856A16"/>
    <w:rsid w:val="00870BC7"/>
    <w:rsid w:val="00886B69"/>
    <w:rsid w:val="008A3726"/>
    <w:rsid w:val="008B1DBE"/>
    <w:rsid w:val="008C3EE7"/>
    <w:rsid w:val="008E21F0"/>
    <w:rsid w:val="008E73AA"/>
    <w:rsid w:val="0090300A"/>
    <w:rsid w:val="00907D87"/>
    <w:rsid w:val="00916AA9"/>
    <w:rsid w:val="00943855"/>
    <w:rsid w:val="00946CAE"/>
    <w:rsid w:val="0096464D"/>
    <w:rsid w:val="009C7A5E"/>
    <w:rsid w:val="009D2018"/>
    <w:rsid w:val="009E70A4"/>
    <w:rsid w:val="00A00554"/>
    <w:rsid w:val="00A0189E"/>
    <w:rsid w:val="00A31BCA"/>
    <w:rsid w:val="00A37D2C"/>
    <w:rsid w:val="00A44F89"/>
    <w:rsid w:val="00A6664A"/>
    <w:rsid w:val="00A6725A"/>
    <w:rsid w:val="00A821D1"/>
    <w:rsid w:val="00AA0992"/>
    <w:rsid w:val="00AC54EC"/>
    <w:rsid w:val="00B159C2"/>
    <w:rsid w:val="00B1710E"/>
    <w:rsid w:val="00B22B9A"/>
    <w:rsid w:val="00B26800"/>
    <w:rsid w:val="00B52572"/>
    <w:rsid w:val="00B63541"/>
    <w:rsid w:val="00B71EDF"/>
    <w:rsid w:val="00B91C53"/>
    <w:rsid w:val="00BA41C3"/>
    <w:rsid w:val="00BA7858"/>
    <w:rsid w:val="00BC5F73"/>
    <w:rsid w:val="00BE4DAB"/>
    <w:rsid w:val="00C01403"/>
    <w:rsid w:val="00C06D66"/>
    <w:rsid w:val="00C17E12"/>
    <w:rsid w:val="00C305D3"/>
    <w:rsid w:val="00C35F67"/>
    <w:rsid w:val="00C8041E"/>
    <w:rsid w:val="00C82B6C"/>
    <w:rsid w:val="00C838E1"/>
    <w:rsid w:val="00C96BFC"/>
    <w:rsid w:val="00CB3300"/>
    <w:rsid w:val="00CC04B0"/>
    <w:rsid w:val="00D050DE"/>
    <w:rsid w:val="00D206C3"/>
    <w:rsid w:val="00D22E71"/>
    <w:rsid w:val="00D570C1"/>
    <w:rsid w:val="00D84E4D"/>
    <w:rsid w:val="00DB4BE3"/>
    <w:rsid w:val="00DE0D18"/>
    <w:rsid w:val="00E21383"/>
    <w:rsid w:val="00E23014"/>
    <w:rsid w:val="00E45AFF"/>
    <w:rsid w:val="00E55A87"/>
    <w:rsid w:val="00E611CA"/>
    <w:rsid w:val="00EB6B1E"/>
    <w:rsid w:val="00EC4898"/>
    <w:rsid w:val="00EE6C7F"/>
    <w:rsid w:val="00F12FAE"/>
    <w:rsid w:val="00F22A4F"/>
    <w:rsid w:val="00F653C4"/>
    <w:rsid w:val="00F84DD7"/>
    <w:rsid w:val="00FC5897"/>
    <w:rsid w:val="00FD4FA0"/>
    <w:rsid w:val="00FF13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5492F"/>
    <w:pPr>
      <w:tabs>
        <w:tab w:val="center" w:pos="4320"/>
        <w:tab w:val="right" w:pos="8640"/>
      </w:tabs>
    </w:pPr>
  </w:style>
  <w:style w:type="character" w:styleId="PageNumber">
    <w:name w:val="page number"/>
    <w:basedOn w:val="DefaultParagraphFont"/>
    <w:rsid w:val="0075492F"/>
  </w:style>
  <w:style w:type="table" w:styleId="TableGrid">
    <w:name w:val="Table Grid"/>
    <w:basedOn w:val="TableNormal"/>
    <w:rsid w:val="00D050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330C0B"/>
    <w:rPr>
      <w:sz w:val="20"/>
      <w:szCs w:val="20"/>
    </w:rPr>
  </w:style>
  <w:style w:type="character" w:styleId="FootnoteReference">
    <w:name w:val="footnote reference"/>
    <w:basedOn w:val="DefaultParagraphFont"/>
    <w:semiHidden/>
    <w:rsid w:val="00330C0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F0F50-46DC-4B0D-9AAC-A2F9EE7DB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2564</Words>
  <Characters>14617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17147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MIS</dc:creator>
  <cp:keywords/>
  <dc:description/>
  <cp:lastModifiedBy>shoffner</cp:lastModifiedBy>
  <cp:revision>2</cp:revision>
  <cp:lastPrinted>2009-06-23T12:32:00Z</cp:lastPrinted>
  <dcterms:created xsi:type="dcterms:W3CDTF">2009-07-30T15:53:00Z</dcterms:created>
  <dcterms:modified xsi:type="dcterms:W3CDTF">2009-07-30T15:53:00Z</dcterms:modified>
</cp:coreProperties>
</file>