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0A5" w:rsidRPr="006741F2" w:rsidRDefault="00E000A5" w:rsidP="00235C7F">
      <w:pPr>
        <w:tabs>
          <w:tab w:val="center" w:pos="4680"/>
        </w:tabs>
        <w:suppressAutoHyphens/>
        <w:spacing w:line="240" w:lineRule="auto"/>
        <w:ind w:firstLine="0"/>
        <w:jc w:val="center"/>
        <w:rPr>
          <w:b/>
        </w:rPr>
      </w:pPr>
      <w:r w:rsidRPr="006741F2">
        <w:rPr>
          <w:b/>
        </w:rPr>
        <w:t>PENNSYLVANIA</w:t>
      </w:r>
    </w:p>
    <w:p w:rsidR="00E000A5" w:rsidRPr="006741F2" w:rsidRDefault="00E000A5" w:rsidP="00E000A5">
      <w:pPr>
        <w:tabs>
          <w:tab w:val="center" w:pos="4680"/>
        </w:tabs>
        <w:suppressAutoHyphens/>
        <w:spacing w:line="240" w:lineRule="auto"/>
        <w:ind w:firstLine="0"/>
        <w:jc w:val="center"/>
      </w:pPr>
      <w:r w:rsidRPr="006741F2">
        <w:rPr>
          <w:b/>
        </w:rPr>
        <w:t>PUBLIC UTILITY COMMISSION</w:t>
      </w:r>
    </w:p>
    <w:p w:rsidR="00E000A5" w:rsidRPr="006741F2" w:rsidRDefault="00E000A5" w:rsidP="00E000A5">
      <w:pPr>
        <w:tabs>
          <w:tab w:val="center" w:pos="4680"/>
        </w:tabs>
        <w:suppressAutoHyphens/>
        <w:spacing w:line="240" w:lineRule="auto"/>
        <w:ind w:firstLine="0"/>
        <w:jc w:val="center"/>
      </w:pPr>
      <w:r w:rsidRPr="006741F2">
        <w:rPr>
          <w:b/>
        </w:rPr>
        <w:t>Harrisburg, PA 17105-3265</w:t>
      </w:r>
    </w:p>
    <w:p w:rsidR="00E000A5" w:rsidRPr="006741F2" w:rsidRDefault="00E000A5" w:rsidP="00E000A5">
      <w:pPr>
        <w:tabs>
          <w:tab w:val="left" w:pos="-720"/>
        </w:tabs>
        <w:suppressAutoHyphens/>
        <w:spacing w:line="240" w:lineRule="auto"/>
      </w:pPr>
    </w:p>
    <w:p w:rsidR="00E000A5" w:rsidRPr="006741F2" w:rsidRDefault="00E000A5" w:rsidP="00E000A5">
      <w:pPr>
        <w:tabs>
          <w:tab w:val="left" w:pos="-720"/>
        </w:tabs>
        <w:suppressAutoHyphens/>
        <w:spacing w:line="240" w:lineRule="auto"/>
      </w:pPr>
    </w:p>
    <w:p w:rsidR="00E000A5" w:rsidRPr="006741F2" w:rsidRDefault="00E000A5" w:rsidP="00E000A5">
      <w:pPr>
        <w:tabs>
          <w:tab w:val="left" w:pos="-720"/>
        </w:tabs>
        <w:suppressAutoHyphens/>
        <w:spacing w:line="240" w:lineRule="auto"/>
        <w:jc w:val="right"/>
      </w:pPr>
      <w:r w:rsidRPr="006741F2">
        <w:t>Public Meeting held July 23, 2009</w:t>
      </w:r>
    </w:p>
    <w:p w:rsidR="00E000A5" w:rsidRPr="006741F2" w:rsidRDefault="00E000A5" w:rsidP="00E000A5">
      <w:pPr>
        <w:tabs>
          <w:tab w:val="left" w:pos="-720"/>
        </w:tabs>
        <w:suppressAutoHyphens/>
        <w:spacing w:line="240" w:lineRule="auto"/>
      </w:pPr>
    </w:p>
    <w:p w:rsidR="00E000A5" w:rsidRPr="006741F2" w:rsidRDefault="00E000A5" w:rsidP="00E000A5">
      <w:pPr>
        <w:tabs>
          <w:tab w:val="left" w:pos="-720"/>
        </w:tabs>
        <w:suppressAutoHyphens/>
        <w:spacing w:line="240" w:lineRule="auto"/>
        <w:ind w:firstLine="0"/>
      </w:pPr>
      <w:r w:rsidRPr="006741F2">
        <w:t>Commissioners Present:</w:t>
      </w:r>
    </w:p>
    <w:p w:rsidR="00E000A5" w:rsidRPr="006741F2" w:rsidRDefault="00E000A5" w:rsidP="00E000A5">
      <w:pPr>
        <w:tabs>
          <w:tab w:val="left" w:pos="-720"/>
        </w:tabs>
        <w:suppressAutoHyphens/>
        <w:spacing w:line="240" w:lineRule="auto"/>
        <w:ind w:firstLine="0"/>
      </w:pPr>
    </w:p>
    <w:p w:rsidR="000704C3" w:rsidRPr="006741F2" w:rsidRDefault="000704C3" w:rsidP="00E000A5">
      <w:pPr>
        <w:tabs>
          <w:tab w:val="left" w:pos="-720"/>
        </w:tabs>
        <w:suppressAutoHyphens/>
        <w:spacing w:line="240" w:lineRule="auto"/>
        <w:ind w:firstLine="0"/>
      </w:pPr>
    </w:p>
    <w:p w:rsidR="00E000A5" w:rsidRPr="006741F2" w:rsidRDefault="00E000A5" w:rsidP="00E000A5">
      <w:pPr>
        <w:tabs>
          <w:tab w:val="left" w:pos="-720"/>
          <w:tab w:val="left" w:pos="0"/>
        </w:tabs>
        <w:suppressAutoHyphens/>
        <w:spacing w:line="240" w:lineRule="auto"/>
        <w:ind w:firstLine="0"/>
      </w:pPr>
      <w:r w:rsidRPr="006741F2">
        <w:tab/>
        <w:t>James H. Cawley, Chairman</w:t>
      </w:r>
    </w:p>
    <w:p w:rsidR="00E000A5" w:rsidRPr="006741F2" w:rsidRDefault="00E000A5" w:rsidP="00E000A5">
      <w:pPr>
        <w:tabs>
          <w:tab w:val="left" w:pos="-720"/>
          <w:tab w:val="left" w:pos="0"/>
        </w:tabs>
        <w:suppressAutoHyphens/>
        <w:spacing w:line="240" w:lineRule="auto"/>
        <w:ind w:firstLine="0"/>
      </w:pPr>
      <w:r w:rsidRPr="006741F2">
        <w:tab/>
        <w:t>Tyrone J. Christy, Vice Chairman</w:t>
      </w:r>
    </w:p>
    <w:p w:rsidR="00E000A5" w:rsidRPr="006741F2" w:rsidRDefault="00E000A5" w:rsidP="00E000A5">
      <w:pPr>
        <w:tabs>
          <w:tab w:val="left" w:pos="-720"/>
          <w:tab w:val="left" w:pos="0"/>
        </w:tabs>
        <w:suppressAutoHyphens/>
        <w:spacing w:line="240" w:lineRule="auto"/>
        <w:ind w:firstLine="0"/>
      </w:pPr>
      <w:r w:rsidRPr="006741F2">
        <w:tab/>
        <w:t>Kim Pizzingrilli</w:t>
      </w:r>
    </w:p>
    <w:p w:rsidR="00E000A5" w:rsidRPr="006741F2" w:rsidRDefault="00E000A5" w:rsidP="00E000A5">
      <w:pPr>
        <w:tabs>
          <w:tab w:val="left" w:pos="-720"/>
          <w:tab w:val="left" w:pos="0"/>
        </w:tabs>
        <w:suppressAutoHyphens/>
        <w:spacing w:line="240" w:lineRule="auto"/>
        <w:ind w:firstLine="0"/>
      </w:pPr>
      <w:r w:rsidRPr="006741F2">
        <w:tab/>
        <w:t>Wayne Gardner</w:t>
      </w:r>
    </w:p>
    <w:p w:rsidR="00E000A5" w:rsidRPr="006741F2" w:rsidRDefault="00E000A5" w:rsidP="00E000A5">
      <w:pPr>
        <w:tabs>
          <w:tab w:val="left" w:pos="-720"/>
          <w:tab w:val="left" w:pos="0"/>
        </w:tabs>
        <w:suppressAutoHyphens/>
        <w:spacing w:line="240" w:lineRule="auto"/>
        <w:ind w:firstLine="0"/>
      </w:pPr>
      <w:r w:rsidRPr="006741F2">
        <w:tab/>
        <w:t>Robert F. Powelson</w:t>
      </w:r>
    </w:p>
    <w:p w:rsidR="00E000A5" w:rsidRPr="006741F2" w:rsidRDefault="00E000A5" w:rsidP="00E000A5">
      <w:pPr>
        <w:tabs>
          <w:tab w:val="left" w:pos="-720"/>
          <w:tab w:val="left" w:pos="0"/>
        </w:tabs>
        <w:suppressAutoHyphens/>
        <w:spacing w:line="240" w:lineRule="auto"/>
        <w:ind w:firstLine="0"/>
      </w:pPr>
    </w:p>
    <w:p w:rsidR="000704C3" w:rsidRPr="006741F2" w:rsidRDefault="000704C3" w:rsidP="00E000A5">
      <w:pPr>
        <w:tabs>
          <w:tab w:val="left" w:pos="-720"/>
          <w:tab w:val="left" w:pos="0"/>
        </w:tabs>
        <w:suppressAutoHyphens/>
        <w:spacing w:line="240" w:lineRule="auto"/>
        <w:ind w:firstLine="0"/>
      </w:pPr>
    </w:p>
    <w:p w:rsidR="00E000A5" w:rsidRPr="006741F2" w:rsidRDefault="00E000A5" w:rsidP="00E000A5">
      <w:pPr>
        <w:spacing w:line="240" w:lineRule="auto"/>
        <w:ind w:firstLine="0"/>
      </w:pPr>
      <w:r w:rsidRPr="006741F2">
        <w:t>Petition of PPL Electric Utilities Corporation</w:t>
      </w:r>
      <w:r w:rsidR="000704C3" w:rsidRPr="006741F2">
        <w:tab/>
      </w:r>
      <w:r w:rsidR="000704C3" w:rsidRPr="006741F2">
        <w:tab/>
      </w:r>
      <w:r w:rsidR="000704C3" w:rsidRPr="006741F2">
        <w:tab/>
        <w:t>P</w:t>
      </w:r>
      <w:r w:rsidRPr="006741F2">
        <w:t>-200</w:t>
      </w:r>
      <w:r w:rsidR="000704C3" w:rsidRPr="006741F2">
        <w:t>9-2091280</w:t>
      </w:r>
    </w:p>
    <w:p w:rsidR="00CE23AA" w:rsidRPr="006741F2" w:rsidRDefault="00E000A5" w:rsidP="00E000A5">
      <w:pPr>
        <w:ind w:firstLine="0"/>
      </w:pPr>
      <w:r w:rsidRPr="006741F2">
        <w:t xml:space="preserve">For </w:t>
      </w:r>
      <w:r w:rsidR="000704C3" w:rsidRPr="006741F2">
        <w:t>A</w:t>
      </w:r>
      <w:r w:rsidRPr="006741F2">
        <w:t>pproval of a Rate Mitigation Plan</w:t>
      </w:r>
    </w:p>
    <w:p w:rsidR="006741F2" w:rsidRPr="006741F2" w:rsidRDefault="006741F2" w:rsidP="00E000A5">
      <w:pPr>
        <w:ind w:firstLine="0"/>
      </w:pPr>
    </w:p>
    <w:p w:rsidR="006741F2" w:rsidRPr="006741F2" w:rsidRDefault="006741F2" w:rsidP="00E000A5">
      <w:pPr>
        <w:ind w:firstLine="0"/>
      </w:pPr>
    </w:p>
    <w:p w:rsidR="000704C3" w:rsidRPr="006741F2" w:rsidRDefault="000704C3" w:rsidP="000704C3">
      <w:pPr>
        <w:tabs>
          <w:tab w:val="left" w:pos="-720"/>
        </w:tabs>
        <w:suppressAutoHyphens/>
        <w:spacing w:line="240" w:lineRule="auto"/>
        <w:ind w:firstLine="0"/>
      </w:pPr>
    </w:p>
    <w:p w:rsidR="000704C3" w:rsidRPr="006741F2" w:rsidRDefault="000704C3" w:rsidP="000704C3">
      <w:pPr>
        <w:tabs>
          <w:tab w:val="center" w:pos="4680"/>
        </w:tabs>
        <w:suppressAutoHyphens/>
        <w:spacing w:line="240" w:lineRule="auto"/>
        <w:ind w:firstLine="0"/>
        <w:jc w:val="center"/>
        <w:rPr>
          <w:b/>
        </w:rPr>
      </w:pPr>
      <w:r w:rsidRPr="006741F2">
        <w:rPr>
          <w:b/>
        </w:rPr>
        <w:t>OPINION AND ORDER</w:t>
      </w:r>
    </w:p>
    <w:p w:rsidR="000704C3" w:rsidRPr="006741F2" w:rsidRDefault="000704C3" w:rsidP="000704C3">
      <w:pPr>
        <w:tabs>
          <w:tab w:val="left" w:pos="-720"/>
        </w:tabs>
        <w:suppressAutoHyphens/>
        <w:rPr>
          <w:b/>
        </w:rPr>
      </w:pPr>
    </w:p>
    <w:p w:rsidR="000704C3" w:rsidRPr="006741F2" w:rsidRDefault="000704C3" w:rsidP="000704C3">
      <w:pPr>
        <w:tabs>
          <w:tab w:val="left" w:pos="-720"/>
        </w:tabs>
        <w:suppressAutoHyphens/>
        <w:ind w:firstLine="0"/>
      </w:pPr>
      <w:r w:rsidRPr="006741F2">
        <w:rPr>
          <w:b/>
        </w:rPr>
        <w:t>BY THE COMMISSION:</w:t>
      </w:r>
    </w:p>
    <w:p w:rsidR="000704C3" w:rsidRPr="006741F2" w:rsidRDefault="000704C3" w:rsidP="000704C3">
      <w:pPr>
        <w:autoSpaceDE w:val="0"/>
        <w:autoSpaceDN w:val="0"/>
        <w:adjustRightInd w:val="0"/>
        <w:ind w:firstLine="0"/>
      </w:pPr>
    </w:p>
    <w:p w:rsidR="00653CB2" w:rsidRPr="006741F2" w:rsidRDefault="00235C7F" w:rsidP="00235C7F">
      <w:pPr>
        <w:widowControl w:val="0"/>
        <w:tabs>
          <w:tab w:val="left" w:pos="-720"/>
        </w:tabs>
        <w:ind w:firstLine="0"/>
      </w:pPr>
      <w:r w:rsidRPr="006741F2">
        <w:rPr>
          <w:rFonts w:ascii="Times-Roman" w:hAnsi="Times-Roman" w:cs="Times-Roman"/>
        </w:rPr>
        <w:tab/>
      </w:r>
      <w:r w:rsidRPr="006741F2">
        <w:rPr>
          <w:rFonts w:ascii="Times-Roman" w:hAnsi="Times-Roman" w:cs="Times-Roman"/>
        </w:rPr>
        <w:tab/>
      </w:r>
      <w:r w:rsidR="000704C3" w:rsidRPr="006741F2">
        <w:rPr>
          <w:rFonts w:ascii="Times-Roman" w:hAnsi="Times-Roman" w:cs="Times-Roman"/>
        </w:rPr>
        <w:t xml:space="preserve">Before the </w:t>
      </w:r>
      <w:r w:rsidR="005A27DC" w:rsidRPr="006741F2">
        <w:rPr>
          <w:spacing w:val="-3"/>
        </w:rPr>
        <w:t>Pennsylvania Public Utility Commission (Commission)</w:t>
      </w:r>
      <w:r w:rsidR="000704C3" w:rsidRPr="006741F2">
        <w:rPr>
          <w:rFonts w:ascii="Times-Roman" w:hAnsi="Times-Roman" w:cs="Times-Roman"/>
        </w:rPr>
        <w:t xml:space="preserve"> for consideration and disposition is Administrative Law Judge (ALJ) David A. Salapa’s Recommended Decision, issued </w:t>
      </w:r>
      <w:r w:rsidR="000C5056" w:rsidRPr="006741F2">
        <w:rPr>
          <w:rFonts w:ascii="Times-Roman" w:hAnsi="Times-Roman" w:cs="Times-Roman"/>
        </w:rPr>
        <w:t>June 26, 2009</w:t>
      </w:r>
      <w:r w:rsidR="000704C3" w:rsidRPr="006741F2">
        <w:rPr>
          <w:rFonts w:ascii="Times-Roman" w:hAnsi="Times-Roman" w:cs="Times-Roman"/>
        </w:rPr>
        <w:t xml:space="preserve">, in this proceeding.  The Recommended Decision </w:t>
      </w:r>
      <w:r w:rsidR="00695A87" w:rsidRPr="006741F2">
        <w:rPr>
          <w:rFonts w:ascii="Times-Roman" w:hAnsi="Times-Roman" w:cs="Times-Roman"/>
        </w:rPr>
        <w:t xml:space="preserve">approves a settlement </w:t>
      </w:r>
      <w:r w:rsidR="00695A87" w:rsidRPr="006741F2">
        <w:t xml:space="preserve">pursuant to which PPL Electric Utilities Corporation (PPL) will establish a voluntary rate mitigation plan (RMP) that will allow residential and small commercial and industrial customers to defer a portion of the rate increase that they will experience after PPL’s rate caps expire at the end of this year.  None of the Parties filed Exceptions to the Recommended Decision. </w:t>
      </w:r>
      <w:r w:rsidR="00653CB2" w:rsidRPr="006741F2">
        <w:t xml:space="preserve"> For the reasons set forth below, </w:t>
      </w:r>
      <w:r w:rsidR="00AD523B" w:rsidRPr="006741F2">
        <w:t xml:space="preserve">however, </w:t>
      </w:r>
      <w:r w:rsidR="00653CB2" w:rsidRPr="006741F2">
        <w:t>we modify the ALJ’s Recommended Decision.</w:t>
      </w:r>
    </w:p>
    <w:p w:rsidR="00AD523B" w:rsidRPr="006741F2" w:rsidRDefault="00AD523B" w:rsidP="00235C7F">
      <w:pPr>
        <w:widowControl w:val="0"/>
        <w:tabs>
          <w:tab w:val="left" w:pos="-720"/>
        </w:tabs>
        <w:ind w:firstLine="0"/>
      </w:pPr>
    </w:p>
    <w:p w:rsidR="00AD523B" w:rsidRPr="006741F2" w:rsidRDefault="00AD523B" w:rsidP="00235C7F">
      <w:pPr>
        <w:widowControl w:val="0"/>
        <w:tabs>
          <w:tab w:val="left" w:pos="-720"/>
        </w:tabs>
        <w:ind w:firstLine="0"/>
      </w:pPr>
    </w:p>
    <w:p w:rsidR="006741F2" w:rsidRPr="006741F2" w:rsidRDefault="006741F2" w:rsidP="00695A87">
      <w:pPr>
        <w:ind w:firstLine="0"/>
        <w:jc w:val="center"/>
        <w:rPr>
          <w:b/>
          <w:u w:val="single"/>
        </w:rPr>
      </w:pPr>
    </w:p>
    <w:p w:rsidR="00695A87" w:rsidRPr="006741F2" w:rsidRDefault="00695A87" w:rsidP="00695A87">
      <w:pPr>
        <w:ind w:firstLine="0"/>
        <w:jc w:val="center"/>
        <w:rPr>
          <w:b/>
          <w:u w:val="single"/>
        </w:rPr>
      </w:pPr>
      <w:r w:rsidRPr="006741F2">
        <w:rPr>
          <w:b/>
          <w:u w:val="single"/>
        </w:rPr>
        <w:lastRenderedPageBreak/>
        <w:t>History of the Proceeding</w:t>
      </w:r>
    </w:p>
    <w:p w:rsidR="00695A87" w:rsidRPr="006741F2" w:rsidRDefault="00695A87" w:rsidP="00695A87">
      <w:pPr>
        <w:ind w:firstLine="0"/>
        <w:jc w:val="center"/>
        <w:rPr>
          <w:b/>
          <w:u w:val="single"/>
        </w:rPr>
      </w:pPr>
    </w:p>
    <w:p w:rsidR="005A27DC" w:rsidRPr="006741F2" w:rsidRDefault="005A27DC" w:rsidP="005A27DC">
      <w:pPr>
        <w:pStyle w:val="ParaTab1"/>
        <w:tabs>
          <w:tab w:val="clear" w:pos="-720"/>
        </w:tabs>
        <w:spacing w:line="360" w:lineRule="auto"/>
        <w:ind w:firstLine="0"/>
        <w:rPr>
          <w:rFonts w:ascii="Times New Roman" w:hAnsi="Times New Roman" w:cs="Times New Roman"/>
          <w:spacing w:val="-3"/>
        </w:rPr>
      </w:pPr>
      <w:r w:rsidRPr="006741F2">
        <w:rPr>
          <w:rFonts w:ascii="Times New Roman" w:hAnsi="Times New Roman" w:cs="Times New Roman"/>
          <w:spacing w:val="-3"/>
        </w:rPr>
        <w:tab/>
      </w:r>
      <w:r w:rsidRPr="006741F2">
        <w:rPr>
          <w:rFonts w:ascii="Times New Roman" w:hAnsi="Times New Roman" w:cs="Times New Roman"/>
          <w:spacing w:val="-3"/>
        </w:rPr>
        <w:tab/>
        <w:t xml:space="preserve">On February 19, 2008, PPL filed a </w:t>
      </w:r>
      <w:r w:rsidR="004E2710" w:rsidRPr="006741F2">
        <w:rPr>
          <w:rFonts w:ascii="Times New Roman" w:hAnsi="Times New Roman" w:cs="Times New Roman"/>
          <w:spacing w:val="-3"/>
        </w:rPr>
        <w:t>P</w:t>
      </w:r>
      <w:r w:rsidRPr="006741F2">
        <w:rPr>
          <w:rFonts w:ascii="Times New Roman" w:hAnsi="Times New Roman" w:cs="Times New Roman"/>
          <w:spacing w:val="-3"/>
        </w:rPr>
        <w:t>etition with the Pennsylvania Public Utility Commission (Commission) requesting that the Commission approve PPL’s plan to offer its customers a</w:t>
      </w:r>
      <w:r w:rsidR="00126C54" w:rsidRPr="006741F2">
        <w:rPr>
          <w:rFonts w:ascii="Times New Roman" w:hAnsi="Times New Roman" w:cs="Times New Roman"/>
          <w:spacing w:val="-3"/>
        </w:rPr>
        <w:t>n RMP</w:t>
      </w:r>
      <w:r w:rsidRPr="006741F2">
        <w:rPr>
          <w:rFonts w:ascii="Times New Roman" w:hAnsi="Times New Roman" w:cs="Times New Roman"/>
          <w:spacing w:val="-3"/>
        </w:rPr>
        <w:t xml:space="preserve">.  PPL served copies of its </w:t>
      </w:r>
      <w:r w:rsidR="004E2710" w:rsidRPr="006741F2">
        <w:rPr>
          <w:rFonts w:ascii="Times New Roman" w:hAnsi="Times New Roman" w:cs="Times New Roman"/>
          <w:spacing w:val="-3"/>
        </w:rPr>
        <w:t>P</w:t>
      </w:r>
      <w:r w:rsidRPr="006741F2">
        <w:rPr>
          <w:rFonts w:ascii="Times New Roman" w:hAnsi="Times New Roman" w:cs="Times New Roman"/>
          <w:spacing w:val="-3"/>
        </w:rPr>
        <w:t>etition on the Commission’s Office of Trial Staff (OTS), the Office of Consumer Advocate (OCA) and the Office of Small Business Advocate (OSBA) as well as parties to PPL’s 2007 Rate Stabilization Plan (RSP) proceeding and its Provider of Last Resort Competitive Bridge Plan (CBP) proceeding.</w:t>
      </w:r>
    </w:p>
    <w:p w:rsidR="005A27DC" w:rsidRPr="006741F2" w:rsidRDefault="005A27DC" w:rsidP="005A27DC">
      <w:pPr>
        <w:pStyle w:val="ParaTab1"/>
        <w:tabs>
          <w:tab w:val="clear" w:pos="-720"/>
        </w:tabs>
        <w:spacing w:line="360" w:lineRule="auto"/>
        <w:rPr>
          <w:rFonts w:ascii="Times New Roman" w:hAnsi="Times New Roman" w:cs="Times New Roman"/>
          <w:spacing w:val="-3"/>
        </w:rPr>
      </w:pPr>
    </w:p>
    <w:p w:rsidR="005A27DC" w:rsidRPr="006741F2" w:rsidRDefault="005A27DC" w:rsidP="005A27DC">
      <w:pPr>
        <w:pStyle w:val="Header"/>
        <w:tabs>
          <w:tab w:val="clear" w:pos="4320"/>
          <w:tab w:val="clear" w:pos="8640"/>
        </w:tabs>
        <w:spacing w:line="360" w:lineRule="auto"/>
        <w:ind w:firstLine="1440"/>
        <w:rPr>
          <w:rFonts w:ascii="Times New Roman" w:hAnsi="Times New Roman"/>
        </w:rPr>
      </w:pPr>
      <w:r w:rsidRPr="006741F2">
        <w:rPr>
          <w:rFonts w:ascii="Times New Roman" w:hAnsi="Times New Roman"/>
        </w:rPr>
        <w:t xml:space="preserve">PPL’s </w:t>
      </w:r>
      <w:r w:rsidR="004E2710" w:rsidRPr="006741F2">
        <w:rPr>
          <w:rFonts w:ascii="Times New Roman" w:hAnsi="Times New Roman"/>
        </w:rPr>
        <w:t>P</w:t>
      </w:r>
      <w:r w:rsidRPr="006741F2">
        <w:rPr>
          <w:rFonts w:ascii="Times New Roman" w:hAnsi="Times New Roman"/>
        </w:rPr>
        <w:t>etition propose</w:t>
      </w:r>
      <w:r w:rsidR="0048407E" w:rsidRPr="006741F2">
        <w:rPr>
          <w:rFonts w:ascii="Times New Roman" w:hAnsi="Times New Roman"/>
        </w:rPr>
        <w:t>d</w:t>
      </w:r>
      <w:r w:rsidRPr="006741F2">
        <w:rPr>
          <w:rFonts w:ascii="Times New Roman" w:hAnsi="Times New Roman"/>
        </w:rPr>
        <w:t xml:space="preserve"> offering its customers a voluntary program under which customers can elect to defer a portion of PPL’s January 1, 2010 forecasted rate increase.  PPL propose</w:t>
      </w:r>
      <w:r w:rsidR="0048407E" w:rsidRPr="006741F2">
        <w:rPr>
          <w:rFonts w:ascii="Times New Roman" w:hAnsi="Times New Roman"/>
        </w:rPr>
        <w:t>d</w:t>
      </w:r>
      <w:r w:rsidRPr="006741F2">
        <w:rPr>
          <w:rFonts w:ascii="Times New Roman" w:hAnsi="Times New Roman"/>
        </w:rPr>
        <w:t xml:space="preserve"> to recover the deferred amounts plus carrying ch</w:t>
      </w:r>
      <w:r w:rsidR="00126C54" w:rsidRPr="006741F2">
        <w:rPr>
          <w:rFonts w:ascii="Times New Roman" w:hAnsi="Times New Roman"/>
        </w:rPr>
        <w:t>arges by the end of 2012.  The P</w:t>
      </w:r>
      <w:r w:rsidRPr="006741F2">
        <w:rPr>
          <w:rFonts w:ascii="Times New Roman" w:hAnsi="Times New Roman"/>
        </w:rPr>
        <w:t>etition allege</w:t>
      </w:r>
      <w:r w:rsidR="0048407E" w:rsidRPr="006741F2">
        <w:rPr>
          <w:rFonts w:ascii="Times New Roman" w:hAnsi="Times New Roman"/>
        </w:rPr>
        <w:t>d</w:t>
      </w:r>
      <w:r w:rsidRPr="006741F2">
        <w:rPr>
          <w:rFonts w:ascii="Times New Roman" w:hAnsi="Times New Roman"/>
        </w:rPr>
        <w:t xml:space="preserve"> that most of PPL’s residential and small commercial and industrial customers will be eligible to participate in the RMP.  </w:t>
      </w:r>
    </w:p>
    <w:p w:rsidR="005A27DC" w:rsidRPr="006741F2" w:rsidRDefault="005A27DC" w:rsidP="005A27DC">
      <w:pPr>
        <w:pStyle w:val="Header"/>
        <w:tabs>
          <w:tab w:val="clear" w:pos="4320"/>
          <w:tab w:val="clear" w:pos="8640"/>
        </w:tabs>
        <w:spacing w:line="360" w:lineRule="auto"/>
        <w:ind w:firstLine="1440"/>
        <w:rPr>
          <w:rFonts w:ascii="Times New Roman" w:hAnsi="Times New Roman"/>
        </w:rPr>
      </w:pPr>
    </w:p>
    <w:p w:rsidR="005A27DC" w:rsidRPr="006741F2" w:rsidRDefault="005A27DC" w:rsidP="005A27DC">
      <w:pPr>
        <w:pStyle w:val="Header"/>
        <w:tabs>
          <w:tab w:val="clear" w:pos="4320"/>
          <w:tab w:val="clear" w:pos="8640"/>
        </w:tabs>
        <w:spacing w:line="360" w:lineRule="auto"/>
        <w:ind w:firstLine="1440"/>
        <w:rPr>
          <w:rFonts w:ascii="Times New Roman" w:hAnsi="Times New Roman"/>
        </w:rPr>
      </w:pPr>
      <w:r w:rsidRPr="006741F2">
        <w:rPr>
          <w:rFonts w:ascii="Times New Roman" w:hAnsi="Times New Roman"/>
        </w:rPr>
        <w:t xml:space="preserve">The </w:t>
      </w:r>
      <w:r w:rsidR="00126C54" w:rsidRPr="006741F2">
        <w:rPr>
          <w:rFonts w:ascii="Times New Roman" w:hAnsi="Times New Roman"/>
        </w:rPr>
        <w:t>P</w:t>
      </w:r>
      <w:r w:rsidRPr="006741F2">
        <w:rPr>
          <w:rFonts w:ascii="Times New Roman" w:hAnsi="Times New Roman"/>
        </w:rPr>
        <w:t xml:space="preserve">etition </w:t>
      </w:r>
      <w:r w:rsidR="00782A7D" w:rsidRPr="006741F2">
        <w:rPr>
          <w:rFonts w:ascii="Times New Roman" w:hAnsi="Times New Roman"/>
        </w:rPr>
        <w:t>addressed</w:t>
      </w:r>
      <w:r w:rsidR="008C4AE5" w:rsidRPr="006741F2">
        <w:rPr>
          <w:rFonts w:ascii="Times New Roman" w:hAnsi="Times New Roman"/>
        </w:rPr>
        <w:t xml:space="preserve">, </w:t>
      </w:r>
      <w:r w:rsidR="008C4AE5" w:rsidRPr="006741F2">
        <w:rPr>
          <w:rFonts w:ascii="Times New Roman" w:hAnsi="Times New Roman"/>
          <w:i/>
        </w:rPr>
        <w:t>inter alia</w:t>
      </w:r>
      <w:r w:rsidR="007574BA" w:rsidRPr="006741F2">
        <w:rPr>
          <w:rFonts w:ascii="Times New Roman" w:hAnsi="Times New Roman"/>
        </w:rPr>
        <w:t xml:space="preserve">: (1) </w:t>
      </w:r>
      <w:r w:rsidR="00782A7D" w:rsidRPr="006741F2">
        <w:rPr>
          <w:rFonts w:ascii="Times New Roman" w:hAnsi="Times New Roman"/>
        </w:rPr>
        <w:t xml:space="preserve">the </w:t>
      </w:r>
      <w:r w:rsidRPr="006741F2">
        <w:rPr>
          <w:rFonts w:ascii="Times New Roman" w:hAnsi="Times New Roman"/>
        </w:rPr>
        <w:t>term o</w:t>
      </w:r>
      <w:r w:rsidR="00782A7D" w:rsidRPr="006741F2">
        <w:rPr>
          <w:rFonts w:ascii="Times New Roman" w:hAnsi="Times New Roman"/>
        </w:rPr>
        <w:t>f the RMP</w:t>
      </w:r>
      <w:r w:rsidR="007574BA" w:rsidRPr="006741F2">
        <w:rPr>
          <w:rFonts w:ascii="Times New Roman" w:hAnsi="Times New Roman"/>
        </w:rPr>
        <w:t>; (2)</w:t>
      </w:r>
      <w:r w:rsidR="00782A7D" w:rsidRPr="006741F2">
        <w:rPr>
          <w:rFonts w:ascii="Times New Roman" w:hAnsi="Times New Roman"/>
        </w:rPr>
        <w:t xml:space="preserve"> the division of </w:t>
      </w:r>
      <w:r w:rsidRPr="006741F2">
        <w:rPr>
          <w:rFonts w:ascii="Times New Roman" w:hAnsi="Times New Roman"/>
        </w:rPr>
        <w:t>customers into str</w:t>
      </w:r>
      <w:r w:rsidR="008C4AE5" w:rsidRPr="006741F2">
        <w:rPr>
          <w:rFonts w:ascii="Times New Roman" w:hAnsi="Times New Roman"/>
        </w:rPr>
        <w:t>ata based on their usage levels</w:t>
      </w:r>
      <w:r w:rsidR="007574BA" w:rsidRPr="006741F2">
        <w:rPr>
          <w:rFonts w:ascii="Times New Roman" w:hAnsi="Times New Roman"/>
        </w:rPr>
        <w:t>; (3)</w:t>
      </w:r>
      <w:r w:rsidR="008C4AE5" w:rsidRPr="006741F2">
        <w:rPr>
          <w:rFonts w:ascii="Times New Roman" w:hAnsi="Times New Roman"/>
        </w:rPr>
        <w:t xml:space="preserve"> the </w:t>
      </w:r>
      <w:r w:rsidRPr="006741F2">
        <w:rPr>
          <w:rFonts w:ascii="Times New Roman" w:hAnsi="Times New Roman"/>
        </w:rPr>
        <w:t xml:space="preserve">fixed monthly dollar credit </w:t>
      </w:r>
      <w:r w:rsidR="008C4AE5" w:rsidRPr="006741F2">
        <w:rPr>
          <w:rFonts w:ascii="Times New Roman" w:hAnsi="Times New Roman"/>
        </w:rPr>
        <w:t xml:space="preserve">assigned to RMP customers that was </w:t>
      </w:r>
      <w:r w:rsidRPr="006741F2">
        <w:rPr>
          <w:rFonts w:ascii="Times New Roman" w:hAnsi="Times New Roman"/>
        </w:rPr>
        <w:t xml:space="preserve">designed to limit the </w:t>
      </w:r>
      <w:r w:rsidR="008C4AE5" w:rsidRPr="006741F2">
        <w:rPr>
          <w:rFonts w:ascii="Times New Roman" w:hAnsi="Times New Roman"/>
        </w:rPr>
        <w:t xml:space="preserve">size of the </w:t>
      </w:r>
      <w:r w:rsidRPr="006741F2">
        <w:rPr>
          <w:rFonts w:ascii="Times New Roman" w:hAnsi="Times New Roman"/>
        </w:rPr>
        <w:t xml:space="preserve">2010 </w:t>
      </w:r>
      <w:r w:rsidR="008C4AE5" w:rsidRPr="006741F2">
        <w:rPr>
          <w:rFonts w:ascii="Times New Roman" w:hAnsi="Times New Roman"/>
        </w:rPr>
        <w:t xml:space="preserve">and 2011 </w:t>
      </w:r>
      <w:r w:rsidRPr="006741F2">
        <w:rPr>
          <w:rFonts w:ascii="Times New Roman" w:hAnsi="Times New Roman"/>
        </w:rPr>
        <w:t>total bill increase for each strata based on the current estimated 2010 generation rate increase</w:t>
      </w:r>
      <w:r w:rsidR="007574BA" w:rsidRPr="006741F2">
        <w:rPr>
          <w:rFonts w:ascii="Times New Roman" w:hAnsi="Times New Roman"/>
        </w:rPr>
        <w:t>; and (4) the implementation of a</w:t>
      </w:r>
      <w:r w:rsidRPr="006741F2">
        <w:rPr>
          <w:rFonts w:ascii="Times New Roman" w:hAnsi="Times New Roman"/>
        </w:rPr>
        <w:t xml:space="preserve">ny remaining rate increase on January 1, 2012.  </w:t>
      </w:r>
      <w:r w:rsidR="007574BA" w:rsidRPr="006741F2">
        <w:rPr>
          <w:rFonts w:ascii="Times New Roman" w:hAnsi="Times New Roman"/>
        </w:rPr>
        <w:t>PPL proposed that a</w:t>
      </w:r>
      <w:r w:rsidRPr="006741F2">
        <w:rPr>
          <w:rFonts w:ascii="Times New Roman" w:hAnsi="Times New Roman"/>
        </w:rPr>
        <w:t xml:space="preserve">ll the amounts deferred </w:t>
      </w:r>
      <w:r w:rsidR="007574BA" w:rsidRPr="006741F2">
        <w:rPr>
          <w:rFonts w:ascii="Times New Roman" w:hAnsi="Times New Roman"/>
        </w:rPr>
        <w:t xml:space="preserve">as a result of the RMP </w:t>
      </w:r>
      <w:r w:rsidRPr="006741F2">
        <w:rPr>
          <w:rFonts w:ascii="Times New Roman" w:hAnsi="Times New Roman"/>
        </w:rPr>
        <w:t>plus carrying costs w</w:t>
      </w:r>
      <w:r w:rsidR="004E2710" w:rsidRPr="006741F2">
        <w:rPr>
          <w:rFonts w:ascii="Times New Roman" w:hAnsi="Times New Roman"/>
        </w:rPr>
        <w:t>ould</w:t>
      </w:r>
      <w:r w:rsidRPr="006741F2">
        <w:rPr>
          <w:rFonts w:ascii="Times New Roman" w:hAnsi="Times New Roman"/>
        </w:rPr>
        <w:t xml:space="preserve"> be recovered though a fixed monthly RMP charge.  The RMP credits and charges will be recovered through a non-bypassable rider.  The </w:t>
      </w:r>
      <w:r w:rsidR="004E2710" w:rsidRPr="006741F2">
        <w:rPr>
          <w:rFonts w:ascii="Times New Roman" w:hAnsi="Times New Roman"/>
        </w:rPr>
        <w:t>P</w:t>
      </w:r>
      <w:r w:rsidRPr="006741F2">
        <w:rPr>
          <w:rFonts w:ascii="Times New Roman" w:hAnsi="Times New Roman"/>
        </w:rPr>
        <w:t>etition request</w:t>
      </w:r>
      <w:r w:rsidR="004E2710" w:rsidRPr="006741F2">
        <w:rPr>
          <w:rFonts w:ascii="Times New Roman" w:hAnsi="Times New Roman"/>
        </w:rPr>
        <w:t>ed</w:t>
      </w:r>
      <w:r w:rsidRPr="006741F2">
        <w:rPr>
          <w:rFonts w:ascii="Times New Roman" w:hAnsi="Times New Roman"/>
        </w:rPr>
        <w:t xml:space="preserve"> that the Commission approve the RMP as set forth in its </w:t>
      </w:r>
      <w:r w:rsidR="000B4705" w:rsidRPr="006741F2">
        <w:rPr>
          <w:rFonts w:ascii="Times New Roman" w:hAnsi="Times New Roman"/>
        </w:rPr>
        <w:t>P</w:t>
      </w:r>
      <w:r w:rsidRPr="006741F2">
        <w:rPr>
          <w:rFonts w:ascii="Times New Roman" w:hAnsi="Times New Roman"/>
        </w:rPr>
        <w:t>etition and request</w:t>
      </w:r>
      <w:r w:rsidR="000B4705" w:rsidRPr="006741F2">
        <w:rPr>
          <w:rFonts w:ascii="Times New Roman" w:hAnsi="Times New Roman"/>
        </w:rPr>
        <w:t>ed</w:t>
      </w:r>
      <w:r w:rsidRPr="006741F2">
        <w:rPr>
          <w:rFonts w:ascii="Times New Roman" w:hAnsi="Times New Roman"/>
        </w:rPr>
        <w:t xml:space="preserve"> that the Commission find that the RMP Rider is just and reasonable and permit it to become effective on April 17, 2009.  </w:t>
      </w:r>
      <w:r w:rsidRPr="006741F2">
        <w:rPr>
          <w:rFonts w:ascii="Times New Roman" w:hAnsi="Times New Roman" w:cs="Times New Roman"/>
        </w:rPr>
        <w:t xml:space="preserve">Notice of PPL’s </w:t>
      </w:r>
      <w:r w:rsidR="000B4705" w:rsidRPr="006741F2">
        <w:rPr>
          <w:rFonts w:ascii="Times New Roman" w:hAnsi="Times New Roman" w:cs="Times New Roman"/>
        </w:rPr>
        <w:t>P</w:t>
      </w:r>
      <w:r w:rsidRPr="006741F2">
        <w:rPr>
          <w:rFonts w:ascii="Times New Roman" w:hAnsi="Times New Roman" w:cs="Times New Roman"/>
        </w:rPr>
        <w:t xml:space="preserve">etition was published in the </w:t>
      </w:r>
      <w:r w:rsidRPr="006741F2">
        <w:rPr>
          <w:rFonts w:ascii="Times New Roman" w:hAnsi="Times New Roman" w:cs="Times New Roman"/>
          <w:i/>
        </w:rPr>
        <w:t xml:space="preserve">Pennsylvania Bulletin </w:t>
      </w:r>
      <w:r w:rsidRPr="006741F2">
        <w:rPr>
          <w:rFonts w:ascii="Times New Roman" w:hAnsi="Times New Roman" w:cs="Times New Roman"/>
        </w:rPr>
        <w:t>on March 7, 2009, at 39 Pa.B. 1283</w:t>
      </w:r>
      <w:r w:rsidR="000B4705" w:rsidRPr="006741F2">
        <w:rPr>
          <w:rFonts w:ascii="Times New Roman" w:hAnsi="Times New Roman" w:cs="Times New Roman"/>
        </w:rPr>
        <w:t>,</w:t>
      </w:r>
      <w:r w:rsidRPr="006741F2">
        <w:rPr>
          <w:rFonts w:ascii="Times New Roman" w:hAnsi="Times New Roman" w:cs="Times New Roman"/>
        </w:rPr>
        <w:t xml:space="preserve"> specifying a deadline of March 11, 2009</w:t>
      </w:r>
      <w:r w:rsidR="00AD523B" w:rsidRPr="006741F2">
        <w:rPr>
          <w:rFonts w:ascii="Times New Roman" w:hAnsi="Times New Roman" w:cs="Times New Roman"/>
        </w:rPr>
        <w:t>,</w:t>
      </w:r>
      <w:r w:rsidRPr="006741F2">
        <w:rPr>
          <w:rFonts w:ascii="Times New Roman" w:hAnsi="Times New Roman" w:cs="Times New Roman"/>
        </w:rPr>
        <w:t xml:space="preserve"> for the filing of </w:t>
      </w:r>
      <w:r w:rsidR="000B4705" w:rsidRPr="006741F2">
        <w:rPr>
          <w:rFonts w:ascii="Times New Roman" w:hAnsi="Times New Roman" w:cs="Times New Roman"/>
        </w:rPr>
        <w:t>A</w:t>
      </w:r>
      <w:r w:rsidRPr="006741F2">
        <w:rPr>
          <w:rFonts w:ascii="Times New Roman" w:hAnsi="Times New Roman" w:cs="Times New Roman"/>
        </w:rPr>
        <w:t>nswers.</w:t>
      </w:r>
    </w:p>
    <w:p w:rsidR="005A27DC" w:rsidRPr="006741F2" w:rsidRDefault="005A27DC" w:rsidP="005A27DC">
      <w:pPr>
        <w:pStyle w:val="Header"/>
        <w:tabs>
          <w:tab w:val="clear" w:pos="4320"/>
          <w:tab w:val="clear" w:pos="8640"/>
        </w:tabs>
        <w:spacing w:line="360" w:lineRule="auto"/>
        <w:ind w:firstLine="1440"/>
        <w:rPr>
          <w:rFonts w:ascii="Times New Roman" w:hAnsi="Times New Roman"/>
        </w:rPr>
      </w:pPr>
    </w:p>
    <w:p w:rsidR="005A27DC" w:rsidRPr="006741F2" w:rsidRDefault="005A27DC" w:rsidP="005A27DC">
      <w:pPr>
        <w:pStyle w:val="BodyText"/>
        <w:tabs>
          <w:tab w:val="left" w:pos="0"/>
        </w:tabs>
        <w:spacing w:after="0" w:line="360" w:lineRule="auto"/>
        <w:ind w:firstLine="720"/>
        <w:rPr>
          <w:rFonts w:ascii="Times New Roman" w:hAnsi="Times New Roman"/>
          <w:color w:val="000000"/>
          <w:kern w:val="1"/>
        </w:rPr>
      </w:pPr>
      <w:r w:rsidRPr="006741F2">
        <w:rPr>
          <w:rFonts w:ascii="Times New Roman" w:hAnsi="Times New Roman"/>
          <w:color w:val="000000"/>
        </w:rPr>
        <w:tab/>
        <w:t xml:space="preserve">On March 11, 2009, </w:t>
      </w:r>
      <w:r w:rsidR="00126C54" w:rsidRPr="006741F2">
        <w:rPr>
          <w:rFonts w:ascii="Times New Roman" w:hAnsi="Times New Roman"/>
          <w:color w:val="000000"/>
        </w:rPr>
        <w:t xml:space="preserve">the </w:t>
      </w:r>
      <w:r w:rsidRPr="006741F2">
        <w:rPr>
          <w:rFonts w:ascii="Times New Roman" w:hAnsi="Times New Roman"/>
          <w:color w:val="000000"/>
          <w:kern w:val="1"/>
        </w:rPr>
        <w:t xml:space="preserve">OCA and the OSBA each filed </w:t>
      </w:r>
      <w:r w:rsidR="000B4705" w:rsidRPr="006741F2">
        <w:rPr>
          <w:rFonts w:ascii="Times New Roman" w:hAnsi="Times New Roman"/>
          <w:color w:val="000000"/>
          <w:kern w:val="1"/>
        </w:rPr>
        <w:t>A</w:t>
      </w:r>
      <w:r w:rsidRPr="006741F2">
        <w:rPr>
          <w:rFonts w:ascii="Times New Roman" w:hAnsi="Times New Roman"/>
          <w:color w:val="000000"/>
          <w:kern w:val="1"/>
        </w:rPr>
        <w:t xml:space="preserve">nswers to PPL’s </w:t>
      </w:r>
      <w:r w:rsidR="000B4705" w:rsidRPr="006741F2">
        <w:rPr>
          <w:rFonts w:ascii="Times New Roman" w:hAnsi="Times New Roman"/>
          <w:color w:val="000000"/>
          <w:kern w:val="1"/>
        </w:rPr>
        <w:t>P</w:t>
      </w:r>
      <w:r w:rsidRPr="006741F2">
        <w:rPr>
          <w:rFonts w:ascii="Times New Roman" w:hAnsi="Times New Roman"/>
          <w:color w:val="000000"/>
          <w:kern w:val="1"/>
        </w:rPr>
        <w:t xml:space="preserve">etition as well as notices of intervention and public statements.  </w:t>
      </w:r>
      <w:r w:rsidR="00126C54" w:rsidRPr="006741F2">
        <w:rPr>
          <w:rFonts w:ascii="Times New Roman" w:hAnsi="Times New Roman"/>
          <w:color w:val="000000"/>
          <w:kern w:val="1"/>
        </w:rPr>
        <w:t xml:space="preserve">The </w:t>
      </w:r>
      <w:r w:rsidRPr="006741F2">
        <w:rPr>
          <w:rFonts w:ascii="Times New Roman" w:hAnsi="Times New Roman"/>
          <w:color w:val="000000"/>
          <w:kern w:val="1"/>
        </w:rPr>
        <w:t xml:space="preserve">OCA’s </w:t>
      </w:r>
      <w:r w:rsidR="0048407E" w:rsidRPr="006741F2">
        <w:rPr>
          <w:rFonts w:ascii="Times New Roman" w:hAnsi="Times New Roman"/>
          <w:color w:val="000000"/>
          <w:kern w:val="1"/>
        </w:rPr>
        <w:t>A</w:t>
      </w:r>
      <w:r w:rsidRPr="006741F2">
        <w:rPr>
          <w:rFonts w:ascii="Times New Roman" w:hAnsi="Times New Roman"/>
          <w:color w:val="000000"/>
          <w:kern w:val="1"/>
        </w:rPr>
        <w:t>nswer state</w:t>
      </w:r>
      <w:r w:rsidR="0048407E" w:rsidRPr="006741F2">
        <w:rPr>
          <w:rFonts w:ascii="Times New Roman" w:hAnsi="Times New Roman"/>
          <w:color w:val="000000"/>
          <w:kern w:val="1"/>
        </w:rPr>
        <w:t>d</w:t>
      </w:r>
      <w:r w:rsidRPr="006741F2">
        <w:rPr>
          <w:rFonts w:ascii="Times New Roman" w:hAnsi="Times New Roman"/>
          <w:color w:val="000000"/>
          <w:kern w:val="1"/>
        </w:rPr>
        <w:t xml:space="preserve"> that it generally supports PPL’s </w:t>
      </w:r>
      <w:r w:rsidR="000B4705" w:rsidRPr="006741F2">
        <w:rPr>
          <w:rFonts w:ascii="Times New Roman" w:hAnsi="Times New Roman"/>
          <w:color w:val="000000"/>
          <w:kern w:val="1"/>
        </w:rPr>
        <w:t>P</w:t>
      </w:r>
      <w:r w:rsidRPr="006741F2">
        <w:rPr>
          <w:rFonts w:ascii="Times New Roman" w:hAnsi="Times New Roman"/>
          <w:color w:val="000000"/>
          <w:kern w:val="1"/>
        </w:rPr>
        <w:t xml:space="preserve">etition but that the Commission should address certain issues before </w:t>
      </w:r>
      <w:r w:rsidRPr="006741F2">
        <w:rPr>
          <w:rFonts w:ascii="Times New Roman" w:hAnsi="Times New Roman"/>
          <w:color w:val="000000"/>
          <w:kern w:val="1"/>
        </w:rPr>
        <w:lastRenderedPageBreak/>
        <w:t xml:space="preserve">approving the </w:t>
      </w:r>
      <w:r w:rsidR="00126C54" w:rsidRPr="006741F2">
        <w:rPr>
          <w:rFonts w:ascii="Times New Roman" w:hAnsi="Times New Roman"/>
          <w:color w:val="000000"/>
          <w:kern w:val="1"/>
        </w:rPr>
        <w:t>P</w:t>
      </w:r>
      <w:r w:rsidRPr="006741F2">
        <w:rPr>
          <w:rFonts w:ascii="Times New Roman" w:hAnsi="Times New Roman"/>
          <w:color w:val="000000"/>
          <w:kern w:val="1"/>
        </w:rPr>
        <w:t xml:space="preserve">etition. </w:t>
      </w:r>
      <w:r w:rsidR="0048407E" w:rsidRPr="006741F2">
        <w:rPr>
          <w:rFonts w:ascii="Times New Roman" w:hAnsi="Times New Roman"/>
          <w:color w:val="000000"/>
          <w:kern w:val="1"/>
        </w:rPr>
        <w:t xml:space="preserve"> </w:t>
      </w:r>
      <w:r w:rsidR="00126C54" w:rsidRPr="006741F2">
        <w:rPr>
          <w:rFonts w:ascii="Times New Roman" w:hAnsi="Times New Roman"/>
          <w:color w:val="000000"/>
          <w:kern w:val="1"/>
        </w:rPr>
        <w:t xml:space="preserve">The </w:t>
      </w:r>
      <w:r w:rsidRPr="006741F2">
        <w:rPr>
          <w:rFonts w:ascii="Times New Roman" w:hAnsi="Times New Roman"/>
          <w:color w:val="000000"/>
          <w:kern w:val="1"/>
        </w:rPr>
        <w:t>OSBA’s answer allege</w:t>
      </w:r>
      <w:r w:rsidR="0048407E" w:rsidRPr="006741F2">
        <w:rPr>
          <w:rFonts w:ascii="Times New Roman" w:hAnsi="Times New Roman"/>
          <w:color w:val="000000"/>
          <w:kern w:val="1"/>
        </w:rPr>
        <w:t xml:space="preserve">d, </w:t>
      </w:r>
      <w:r w:rsidR="0048407E" w:rsidRPr="006741F2">
        <w:rPr>
          <w:rFonts w:ascii="Times New Roman" w:hAnsi="Times New Roman"/>
          <w:i/>
          <w:color w:val="000000"/>
          <w:kern w:val="1"/>
        </w:rPr>
        <w:t>inter alia</w:t>
      </w:r>
      <w:r w:rsidR="0048407E" w:rsidRPr="006741F2">
        <w:rPr>
          <w:rFonts w:ascii="Times New Roman" w:hAnsi="Times New Roman"/>
          <w:color w:val="000000"/>
          <w:kern w:val="1"/>
        </w:rPr>
        <w:t>,</w:t>
      </w:r>
      <w:r w:rsidRPr="006741F2">
        <w:rPr>
          <w:rFonts w:ascii="Times New Roman" w:hAnsi="Times New Roman"/>
          <w:color w:val="000000"/>
          <w:kern w:val="1"/>
        </w:rPr>
        <w:t xml:space="preserve"> that PPL’s proposed RMP is legally insufficient pursuant to 52 Pa. Code §69.1811</w:t>
      </w:r>
      <w:r w:rsidR="004F2112" w:rsidRPr="006741F2">
        <w:rPr>
          <w:rFonts w:ascii="Times New Roman" w:hAnsi="Times New Roman"/>
          <w:color w:val="000000"/>
          <w:kern w:val="1"/>
        </w:rPr>
        <w:t>.</w:t>
      </w:r>
    </w:p>
    <w:p w:rsidR="005A27DC" w:rsidRPr="006741F2" w:rsidRDefault="005A27DC" w:rsidP="005A27DC">
      <w:pPr>
        <w:pStyle w:val="BodyText"/>
        <w:tabs>
          <w:tab w:val="left" w:pos="0"/>
        </w:tabs>
        <w:spacing w:after="0" w:line="360" w:lineRule="auto"/>
        <w:ind w:firstLine="1440"/>
        <w:rPr>
          <w:rFonts w:ascii="Times New Roman" w:hAnsi="Times New Roman"/>
          <w:color w:val="000000"/>
          <w:kern w:val="1"/>
        </w:rPr>
      </w:pPr>
    </w:p>
    <w:p w:rsidR="005A27DC" w:rsidRPr="006741F2" w:rsidRDefault="005A27DC" w:rsidP="005A27DC">
      <w:pPr>
        <w:pStyle w:val="BodyText"/>
        <w:tabs>
          <w:tab w:val="left" w:pos="0"/>
        </w:tabs>
        <w:spacing w:after="0" w:line="360" w:lineRule="auto"/>
        <w:ind w:firstLine="720"/>
        <w:rPr>
          <w:rFonts w:ascii="Times New Roman" w:hAnsi="Times New Roman"/>
          <w:color w:val="000000"/>
          <w:kern w:val="1"/>
        </w:rPr>
      </w:pPr>
      <w:r w:rsidRPr="006741F2">
        <w:rPr>
          <w:rFonts w:ascii="Times New Roman" w:hAnsi="Times New Roman"/>
          <w:color w:val="000000"/>
          <w:kern w:val="1"/>
        </w:rPr>
        <w:tab/>
        <w:t xml:space="preserve">Also on March 11, 2009, the PP&amp;L Industrial Customer Alliance (PPLICA), the Retail Energy Supply Association (RESA), Direct Energy Services, LLC, (Direct Energy), the Richards Energy Group, Inc. </w:t>
      </w:r>
      <w:r w:rsidRPr="006741F2">
        <w:rPr>
          <w:rFonts w:ascii="Times New Roman" w:hAnsi="Times New Roman"/>
        </w:rPr>
        <w:t>and the Richards Energy Affinity Program (collectively Richards)</w:t>
      </w:r>
      <w:r w:rsidRPr="006741F2">
        <w:rPr>
          <w:rFonts w:ascii="Times New Roman" w:hAnsi="Times New Roman"/>
          <w:color w:val="000000"/>
          <w:kern w:val="1"/>
        </w:rPr>
        <w:t xml:space="preserve">, Constellation New Energy, Inc. and Constellation Energy Commodities Group, Inc. (collectively Constellation) filed petitions to intervene in this proceeding.  On March 30, 2009, </w:t>
      </w:r>
      <w:r w:rsidRPr="006741F2">
        <w:rPr>
          <w:rFonts w:ascii="Times New Roman" w:hAnsi="Times New Roman"/>
        </w:rPr>
        <w:t xml:space="preserve">Citizens for Pennsylvania’s Future (Penn Future) filed a petition to intervene in this proceeding.  </w:t>
      </w:r>
      <w:r w:rsidR="00C22F0B" w:rsidRPr="006741F2">
        <w:rPr>
          <w:rFonts w:ascii="Times New Roman" w:hAnsi="Times New Roman"/>
        </w:rPr>
        <w:t>On April 3, 2009, the ALJ issued an order granting the petitions to intervene filed by PPLICA, RESA, Direct Energy, Richards, Constellation and Penn Future.</w:t>
      </w:r>
    </w:p>
    <w:p w:rsidR="005A27DC" w:rsidRPr="006741F2" w:rsidRDefault="005A27DC" w:rsidP="005A27DC">
      <w:pPr>
        <w:pStyle w:val="BodyText"/>
        <w:tabs>
          <w:tab w:val="left" w:pos="0"/>
        </w:tabs>
        <w:spacing w:after="0" w:line="360" w:lineRule="auto"/>
        <w:ind w:firstLine="1440"/>
        <w:rPr>
          <w:rFonts w:ascii="Times New Roman" w:hAnsi="Times New Roman"/>
        </w:rPr>
      </w:pPr>
    </w:p>
    <w:p w:rsidR="005A27DC" w:rsidRPr="006741F2" w:rsidRDefault="005A27DC" w:rsidP="00C22F0B">
      <w:pPr>
        <w:pStyle w:val="BodyText"/>
        <w:tabs>
          <w:tab w:val="left" w:pos="0"/>
        </w:tabs>
        <w:spacing w:after="0" w:line="360" w:lineRule="auto"/>
        <w:ind w:firstLine="720"/>
        <w:rPr>
          <w:rFonts w:ascii="Times New Roman" w:hAnsi="Times New Roman"/>
        </w:rPr>
      </w:pPr>
      <w:r w:rsidRPr="006741F2">
        <w:rPr>
          <w:rFonts w:ascii="Times New Roman" w:hAnsi="Times New Roman"/>
        </w:rPr>
        <w:tab/>
        <w:t xml:space="preserve">On May 14, 2009, the </w:t>
      </w:r>
      <w:r w:rsidR="00C22F0B" w:rsidRPr="006741F2">
        <w:rPr>
          <w:rFonts w:ascii="Times New Roman" w:hAnsi="Times New Roman"/>
        </w:rPr>
        <w:t>P</w:t>
      </w:r>
      <w:r w:rsidRPr="006741F2">
        <w:rPr>
          <w:rFonts w:ascii="Times New Roman" w:hAnsi="Times New Roman"/>
        </w:rPr>
        <w:t xml:space="preserve">arties </w:t>
      </w:r>
      <w:r w:rsidR="00C22F0B" w:rsidRPr="006741F2">
        <w:rPr>
          <w:rFonts w:ascii="Times New Roman" w:hAnsi="Times New Roman"/>
        </w:rPr>
        <w:t xml:space="preserve">communicated to the ALJ that they </w:t>
      </w:r>
      <w:r w:rsidRPr="006741F2">
        <w:rPr>
          <w:rFonts w:ascii="Times New Roman" w:hAnsi="Times New Roman" w:cs="Arial"/>
          <w:color w:val="000000"/>
        </w:rPr>
        <w:t>had reached an agreement in principle settling all the issues in this proceeding</w:t>
      </w:r>
      <w:r w:rsidR="00C22F0B" w:rsidRPr="006741F2">
        <w:rPr>
          <w:rFonts w:ascii="Times New Roman" w:hAnsi="Times New Roman" w:cs="Arial"/>
          <w:color w:val="000000"/>
        </w:rPr>
        <w:t xml:space="preserve">.  </w:t>
      </w:r>
      <w:r w:rsidRPr="006741F2">
        <w:rPr>
          <w:rFonts w:ascii="Times New Roman" w:hAnsi="Times New Roman"/>
        </w:rPr>
        <w:t>On June 12, 2009</w:t>
      </w:r>
      <w:r w:rsidR="00C22F0B" w:rsidRPr="006741F2">
        <w:rPr>
          <w:rFonts w:ascii="Times New Roman" w:hAnsi="Times New Roman"/>
        </w:rPr>
        <w:t>, PPL filed a J</w:t>
      </w:r>
      <w:r w:rsidRPr="006741F2">
        <w:rPr>
          <w:rFonts w:ascii="Times New Roman" w:hAnsi="Times New Roman"/>
        </w:rPr>
        <w:t xml:space="preserve">oint </w:t>
      </w:r>
      <w:r w:rsidR="00C22F0B" w:rsidRPr="006741F2">
        <w:rPr>
          <w:rFonts w:ascii="Times New Roman" w:hAnsi="Times New Roman"/>
        </w:rPr>
        <w:t>P</w:t>
      </w:r>
      <w:r w:rsidRPr="006741F2">
        <w:rPr>
          <w:rFonts w:ascii="Times New Roman" w:hAnsi="Times New Roman"/>
        </w:rPr>
        <w:t xml:space="preserve">etition for </w:t>
      </w:r>
      <w:r w:rsidR="00C22F0B" w:rsidRPr="006741F2">
        <w:rPr>
          <w:rFonts w:ascii="Times New Roman" w:hAnsi="Times New Roman"/>
        </w:rPr>
        <w:t>S</w:t>
      </w:r>
      <w:r w:rsidRPr="006741F2">
        <w:rPr>
          <w:rFonts w:ascii="Times New Roman" w:hAnsi="Times New Roman"/>
        </w:rPr>
        <w:t xml:space="preserve">ettlement </w:t>
      </w:r>
      <w:r w:rsidR="00C22F0B" w:rsidRPr="006741F2">
        <w:rPr>
          <w:rFonts w:ascii="Times New Roman" w:hAnsi="Times New Roman"/>
        </w:rPr>
        <w:t xml:space="preserve">(Settlement) </w:t>
      </w:r>
      <w:r w:rsidRPr="006741F2">
        <w:rPr>
          <w:rFonts w:ascii="Times New Roman" w:hAnsi="Times New Roman"/>
        </w:rPr>
        <w:t xml:space="preserve">signed by counsel for PPL, OTS, OCA, OSBA, RESA, Direct Energy, Richards, Penn Future and Constellation.  Attached to the </w:t>
      </w:r>
      <w:r w:rsidR="00C22F0B" w:rsidRPr="006741F2">
        <w:rPr>
          <w:rFonts w:ascii="Times New Roman" w:hAnsi="Times New Roman"/>
        </w:rPr>
        <w:t>S</w:t>
      </w:r>
      <w:r w:rsidRPr="006741F2">
        <w:rPr>
          <w:rFonts w:ascii="Times New Roman" w:hAnsi="Times New Roman"/>
        </w:rPr>
        <w:t>ettlement as Appendix A are the pro forma tariff sheets implementing the RMP Rider</w:t>
      </w:r>
      <w:r w:rsidRPr="006741F2">
        <w:rPr>
          <w:rFonts w:ascii="Times New Roman" w:hAnsi="Times New Roman" w:cs="Times New Roman"/>
          <w:spacing w:val="-3"/>
        </w:rPr>
        <w:t>.</w:t>
      </w:r>
      <w:r w:rsidRPr="006741F2">
        <w:rPr>
          <w:rFonts w:ascii="Times New Roman" w:hAnsi="Times New Roman"/>
        </w:rPr>
        <w:t xml:space="preserve">  Attached to the </w:t>
      </w:r>
      <w:r w:rsidR="00C22F0B" w:rsidRPr="006741F2">
        <w:rPr>
          <w:rFonts w:ascii="Times New Roman" w:hAnsi="Times New Roman"/>
        </w:rPr>
        <w:t>Settlement</w:t>
      </w:r>
      <w:r w:rsidRPr="006741F2">
        <w:rPr>
          <w:rFonts w:ascii="Times New Roman" w:hAnsi="Times New Roman"/>
        </w:rPr>
        <w:t xml:space="preserve"> as Appendices B through I are statements in support of the joint petition for settlement from PPL, OTS, OCA, OSBA, Richards, RESA, Direct Energy, Penn Future and Constellation.  Attached to the </w:t>
      </w:r>
      <w:r w:rsidR="00C22F0B" w:rsidRPr="006741F2">
        <w:rPr>
          <w:rFonts w:ascii="Times New Roman" w:hAnsi="Times New Roman"/>
        </w:rPr>
        <w:t>Settlement</w:t>
      </w:r>
      <w:r w:rsidRPr="006741F2">
        <w:rPr>
          <w:rFonts w:ascii="Times New Roman" w:hAnsi="Times New Roman"/>
        </w:rPr>
        <w:t xml:space="preserve"> as Appendix J is a letter of non-opposition to the </w:t>
      </w:r>
      <w:r w:rsidR="000B4705" w:rsidRPr="006741F2">
        <w:rPr>
          <w:rFonts w:ascii="Times New Roman" w:hAnsi="Times New Roman"/>
        </w:rPr>
        <w:t>S</w:t>
      </w:r>
      <w:r w:rsidRPr="006741F2">
        <w:rPr>
          <w:rFonts w:ascii="Times New Roman" w:hAnsi="Times New Roman"/>
        </w:rPr>
        <w:t xml:space="preserve">ettlement from PPLICA.  </w:t>
      </w:r>
    </w:p>
    <w:p w:rsidR="005A27DC" w:rsidRPr="006741F2" w:rsidRDefault="005A27DC" w:rsidP="005A27DC"/>
    <w:p w:rsidR="005A27DC" w:rsidRPr="006741F2" w:rsidRDefault="005A27DC" w:rsidP="005A27DC">
      <w:r w:rsidRPr="006741F2">
        <w:t>The record in this proceeding closed on June 12, 2009</w:t>
      </w:r>
      <w:r w:rsidR="00725E51" w:rsidRPr="006741F2">
        <w:t>.</w:t>
      </w:r>
      <w:r w:rsidRPr="006741F2">
        <w:t xml:space="preserve">  </w:t>
      </w:r>
      <w:r w:rsidR="001E01C7" w:rsidRPr="006741F2">
        <w:t>On June 26, 2009, the ALJ issued a Recommended Decisi</w:t>
      </w:r>
      <w:r w:rsidR="006E6867" w:rsidRPr="006741F2">
        <w:t>on wherein he found the Settlement to be in the public interest</w:t>
      </w:r>
      <w:r w:rsidR="00F27111" w:rsidRPr="006741F2">
        <w:t xml:space="preserve"> and recommended its approval by the Commission. </w:t>
      </w:r>
      <w:r w:rsidR="006E6867" w:rsidRPr="006741F2">
        <w:t xml:space="preserve"> No Exceptions to the </w:t>
      </w:r>
      <w:r w:rsidR="000B4705" w:rsidRPr="006741F2">
        <w:t>R</w:t>
      </w:r>
      <w:r w:rsidR="006E6867" w:rsidRPr="006741F2">
        <w:t xml:space="preserve">ecommended </w:t>
      </w:r>
      <w:r w:rsidR="000B4705" w:rsidRPr="006741F2">
        <w:t>D</w:t>
      </w:r>
      <w:r w:rsidR="006E6867" w:rsidRPr="006741F2">
        <w:t xml:space="preserve">ecision were filed.  </w:t>
      </w:r>
    </w:p>
    <w:p w:rsidR="00695A87" w:rsidRPr="006741F2" w:rsidRDefault="00695A87" w:rsidP="006E6867">
      <w:pPr>
        <w:ind w:firstLine="0"/>
        <w:jc w:val="center"/>
        <w:rPr>
          <w:b/>
          <w:u w:val="single"/>
        </w:rPr>
      </w:pPr>
    </w:p>
    <w:p w:rsidR="006741F2" w:rsidRPr="006741F2" w:rsidRDefault="006741F2" w:rsidP="006E6867">
      <w:pPr>
        <w:ind w:firstLine="0"/>
        <w:jc w:val="center"/>
        <w:rPr>
          <w:b/>
          <w:u w:val="single"/>
        </w:rPr>
      </w:pPr>
    </w:p>
    <w:p w:rsidR="00695A87" w:rsidRPr="006741F2" w:rsidRDefault="006E6867" w:rsidP="006E6867">
      <w:pPr>
        <w:ind w:firstLine="0"/>
        <w:jc w:val="center"/>
        <w:rPr>
          <w:b/>
          <w:u w:val="single"/>
        </w:rPr>
      </w:pPr>
      <w:r w:rsidRPr="006741F2">
        <w:rPr>
          <w:b/>
          <w:u w:val="single"/>
        </w:rPr>
        <w:t>Discussion</w:t>
      </w:r>
    </w:p>
    <w:p w:rsidR="006E6867" w:rsidRPr="006741F2" w:rsidRDefault="006E6867" w:rsidP="00695A87">
      <w:pPr>
        <w:ind w:firstLine="0"/>
      </w:pPr>
    </w:p>
    <w:p w:rsidR="00D77391" w:rsidRPr="006741F2" w:rsidRDefault="00D77391" w:rsidP="00D77391">
      <w:pPr>
        <w:tabs>
          <w:tab w:val="left" w:pos="-720"/>
        </w:tabs>
        <w:rPr>
          <w:rFonts w:ascii="Times New (W1)" w:hAnsi="Times New (W1)"/>
        </w:rPr>
      </w:pPr>
      <w:r w:rsidRPr="006741F2">
        <w:rPr>
          <w:rFonts w:ascii="Times New (W1)" w:hAnsi="Times New (W1)"/>
        </w:rPr>
        <w:t xml:space="preserve">The Parties have filed a Settlement in accordance with the Commission’s Regulations at Section 5.232.  Considering that the matter has been certified for a decision, </w:t>
      </w:r>
      <w:r w:rsidRPr="006741F2">
        <w:rPr>
          <w:rFonts w:ascii="Times New (W1)" w:hAnsi="Times New (W1)"/>
        </w:rPr>
        <w:lastRenderedPageBreak/>
        <w:t>pursuant to 52 Pa. Code § 5.531, we will review the Settlement as required by 52 Pa. Code § 5.232(g).</w:t>
      </w:r>
    </w:p>
    <w:p w:rsidR="00D77391" w:rsidRPr="006741F2" w:rsidRDefault="00D77391" w:rsidP="00D77391">
      <w:pPr>
        <w:tabs>
          <w:tab w:val="left" w:pos="-720"/>
        </w:tabs>
      </w:pPr>
    </w:p>
    <w:p w:rsidR="00D77391" w:rsidRPr="006741F2" w:rsidRDefault="00D77391" w:rsidP="00D77391">
      <w:pPr>
        <w:pStyle w:val="BodyText"/>
        <w:spacing w:line="360" w:lineRule="auto"/>
        <w:ind w:firstLine="1440"/>
        <w:rPr>
          <w:rFonts w:ascii="Times New Roman" w:hAnsi="Times New Roman" w:cs="Times New Roman"/>
          <w:color w:val="000000"/>
          <w:u w:color="000000"/>
        </w:rPr>
      </w:pPr>
      <w:r w:rsidRPr="006741F2">
        <w:rPr>
          <w:rFonts w:ascii="Times New Roman" w:hAnsi="Times New Roman" w:cs="Times New Roman"/>
        </w:rPr>
        <w:t xml:space="preserve">Pursuant to the Commission’s Regulation at 52 Pa. Code § 5.231, it is the Commission’s policy to promote settlements.  However, the Commission must review </w:t>
      </w:r>
      <w:r w:rsidR="00E94F01" w:rsidRPr="006741F2">
        <w:rPr>
          <w:rFonts w:ascii="Times New Roman" w:hAnsi="Times New Roman" w:cs="Times New Roman"/>
        </w:rPr>
        <w:t xml:space="preserve">a </w:t>
      </w:r>
      <w:r w:rsidRPr="006741F2">
        <w:rPr>
          <w:rFonts w:ascii="Times New Roman" w:hAnsi="Times New Roman" w:cs="Times New Roman"/>
        </w:rPr>
        <w:t xml:space="preserve">proposed settlement to determine whether the terms are in the public interest.  </w:t>
      </w:r>
      <w:r w:rsidRPr="006741F2">
        <w:rPr>
          <w:rFonts w:ascii="Times New Roman" w:hAnsi="Times New Roman" w:cs="Times New Roman"/>
          <w:i/>
        </w:rPr>
        <w:t>Pa. PUC v. Philadelphia Gas Works</w:t>
      </w:r>
      <w:r w:rsidRPr="006741F2">
        <w:rPr>
          <w:rFonts w:ascii="Times New Roman" w:hAnsi="Times New Roman" w:cs="Times New Roman"/>
        </w:rPr>
        <w:t>, M-00031768 (January 7, 2004).  After reviewing the terms of the Settlement, we are satisfied that approval of th</w:t>
      </w:r>
      <w:r w:rsidR="00126C54" w:rsidRPr="006741F2">
        <w:rPr>
          <w:rFonts w:ascii="Times New Roman" w:hAnsi="Times New Roman" w:cs="Times New Roman"/>
        </w:rPr>
        <w:t>e</w:t>
      </w:r>
      <w:r w:rsidRPr="006741F2">
        <w:rPr>
          <w:rFonts w:ascii="Times New Roman" w:hAnsi="Times New Roman" w:cs="Times New Roman"/>
        </w:rPr>
        <w:t xml:space="preserve"> Settlement is in the public interest and is consistent with the terms of the Code and the Commission’s Regulations.  </w:t>
      </w:r>
    </w:p>
    <w:p w:rsidR="00D77391" w:rsidRPr="006741F2" w:rsidRDefault="00D77391" w:rsidP="00D77391">
      <w:pPr>
        <w:tabs>
          <w:tab w:val="left" w:pos="-720"/>
        </w:tabs>
        <w:jc w:val="both"/>
        <w:rPr>
          <w:rFonts w:ascii="Times New (W1)" w:hAnsi="Times New (W1)"/>
        </w:rPr>
      </w:pPr>
    </w:p>
    <w:p w:rsidR="00395EE3" w:rsidRPr="006741F2" w:rsidRDefault="002F2429" w:rsidP="00896D90">
      <w:pPr>
        <w:ind w:firstLine="0"/>
      </w:pPr>
      <w:r w:rsidRPr="006741F2">
        <w:rPr>
          <w:b/>
        </w:rPr>
        <w:tab/>
      </w:r>
      <w:r w:rsidRPr="006741F2">
        <w:rPr>
          <w:b/>
        </w:rPr>
        <w:tab/>
      </w:r>
      <w:r w:rsidRPr="006741F2">
        <w:t xml:space="preserve">The ALJ </w:t>
      </w:r>
      <w:r w:rsidR="00117F84" w:rsidRPr="006741F2">
        <w:t>provided a succinct summary of the</w:t>
      </w:r>
      <w:r w:rsidRPr="006741F2">
        <w:t xml:space="preserve"> events leading up to the filing of </w:t>
      </w:r>
      <w:r w:rsidR="00117F84" w:rsidRPr="006741F2">
        <w:t xml:space="preserve">PPL’s </w:t>
      </w:r>
      <w:r w:rsidRPr="006741F2">
        <w:t xml:space="preserve">RMP </w:t>
      </w:r>
      <w:r w:rsidR="00892542" w:rsidRPr="006741F2">
        <w:t>on pages six and seven of the</w:t>
      </w:r>
      <w:r w:rsidRPr="006741F2">
        <w:t xml:space="preserve"> Recommended Decision</w:t>
      </w:r>
      <w:r w:rsidR="00892542" w:rsidRPr="006741F2">
        <w:t>.  The process</w:t>
      </w:r>
      <w:r w:rsidR="00AD523B" w:rsidRPr="006741F2">
        <w:t>,</w:t>
      </w:r>
      <w:r w:rsidR="00892542" w:rsidRPr="006741F2">
        <w:t xml:space="preserve"> which began with t</w:t>
      </w:r>
      <w:r w:rsidRPr="006741F2">
        <w:t xml:space="preserve">he Electric Generation Customer Choice and Competition Act (Customer Choice Act) </w:t>
      </w:r>
      <w:r w:rsidR="00892542" w:rsidRPr="006741F2">
        <w:t>on</w:t>
      </w:r>
      <w:r w:rsidRPr="006741F2">
        <w:t xml:space="preserve"> January 1, 1997</w:t>
      </w:r>
      <w:r w:rsidR="00892542" w:rsidRPr="006741F2">
        <w:t xml:space="preserve">, is </w:t>
      </w:r>
      <w:r w:rsidR="00395EE3" w:rsidRPr="006741F2">
        <w:t>achieving its intended purpose</w:t>
      </w:r>
      <w:r w:rsidR="00892542" w:rsidRPr="006741F2">
        <w:t xml:space="preserve"> </w:t>
      </w:r>
      <w:r w:rsidR="00835121" w:rsidRPr="006741F2">
        <w:t>for PPL when its</w:t>
      </w:r>
      <w:r w:rsidR="00892542" w:rsidRPr="006741F2">
        <w:t xml:space="preserve"> generation rate cap </w:t>
      </w:r>
      <w:r w:rsidR="00835121" w:rsidRPr="006741F2">
        <w:t>expires in 2010</w:t>
      </w:r>
      <w:r w:rsidR="00892542" w:rsidRPr="006741F2">
        <w:t xml:space="preserve">. </w:t>
      </w:r>
      <w:r w:rsidR="00835121" w:rsidRPr="006741F2">
        <w:t xml:space="preserve"> </w:t>
      </w:r>
    </w:p>
    <w:p w:rsidR="00395EE3" w:rsidRPr="006741F2" w:rsidRDefault="00395EE3" w:rsidP="00896D90">
      <w:pPr>
        <w:ind w:firstLine="0"/>
      </w:pPr>
    </w:p>
    <w:p w:rsidR="00896D90" w:rsidRPr="006741F2" w:rsidRDefault="00395EE3" w:rsidP="00896D90">
      <w:pPr>
        <w:ind w:firstLine="0"/>
        <w:rPr>
          <w:rFonts w:cs="Arial"/>
        </w:rPr>
      </w:pPr>
      <w:r w:rsidRPr="006741F2">
        <w:tab/>
      </w:r>
      <w:r w:rsidRPr="006741F2">
        <w:tab/>
      </w:r>
      <w:r w:rsidR="00835121" w:rsidRPr="006741F2">
        <w:rPr>
          <w:rFonts w:cs="Arial"/>
        </w:rPr>
        <w:t xml:space="preserve">In order to address the increase in generation rates in 2010, PPL </w:t>
      </w:r>
      <w:r w:rsidR="00896D90" w:rsidRPr="006741F2">
        <w:rPr>
          <w:rFonts w:cs="Arial"/>
        </w:rPr>
        <w:t xml:space="preserve">first </w:t>
      </w:r>
      <w:r w:rsidR="00835121" w:rsidRPr="006741F2">
        <w:rPr>
          <w:rFonts w:cs="Arial"/>
        </w:rPr>
        <w:t xml:space="preserve">developed the Rate Stabilization Plan (RSP).  Under the RSP, PPL’s customers can choose to make additional payments on their electric bills through December 2009 and receive corresponding credits on their bills from January 2010 through December 2011.  </w:t>
      </w:r>
    </w:p>
    <w:p w:rsidR="00835121" w:rsidRPr="006741F2" w:rsidRDefault="00835121" w:rsidP="00896D90">
      <w:pPr>
        <w:ind w:firstLine="0"/>
        <w:rPr>
          <w:rFonts w:cs="Arial"/>
        </w:rPr>
      </w:pPr>
      <w:r w:rsidRPr="006741F2">
        <w:rPr>
          <w:rFonts w:cs="Arial"/>
        </w:rPr>
        <w:t xml:space="preserve">In order to provide its customers with an additional option for mitigating the effects of the rate cap expiration in 2010, PPL developed the </w:t>
      </w:r>
      <w:r w:rsidR="00EB7736" w:rsidRPr="006741F2">
        <w:rPr>
          <w:rFonts w:cs="Arial"/>
        </w:rPr>
        <w:t>proposed R</w:t>
      </w:r>
      <w:r w:rsidRPr="006741F2">
        <w:rPr>
          <w:rFonts w:cs="Arial"/>
        </w:rPr>
        <w:t>MP, which is designed to phase in the effects of rate cap expiration over a period of up to three years and provide customers with an opportunity to mitigate the anticipated one-time increase in their electric bills.</w:t>
      </w:r>
      <w:r w:rsidR="00AD523B" w:rsidRPr="006741F2">
        <w:rPr>
          <w:rFonts w:cs="Arial"/>
        </w:rPr>
        <w:t xml:space="preserve">  R.</w:t>
      </w:r>
      <w:r w:rsidR="00395EE3" w:rsidRPr="006741F2">
        <w:rPr>
          <w:rFonts w:cs="Arial"/>
        </w:rPr>
        <w:t xml:space="preserve">D. at </w:t>
      </w:r>
      <w:r w:rsidR="00DF146C" w:rsidRPr="006741F2">
        <w:rPr>
          <w:rFonts w:cs="Arial"/>
        </w:rPr>
        <w:t>7</w:t>
      </w:r>
      <w:r w:rsidR="00395EE3" w:rsidRPr="006741F2">
        <w:rPr>
          <w:rFonts w:cs="Arial"/>
        </w:rPr>
        <w:t>.</w:t>
      </w:r>
      <w:r w:rsidR="00C33541" w:rsidRPr="006741F2">
        <w:rPr>
          <w:rFonts w:cs="Arial"/>
        </w:rPr>
        <w:t xml:space="preserve">  The RMP is an optional program that will be available to customers </w:t>
      </w:r>
      <w:r w:rsidR="007D0470" w:rsidRPr="006741F2">
        <w:rPr>
          <w:rFonts w:cs="Arial"/>
        </w:rPr>
        <w:t>who</w:t>
      </w:r>
      <w:r w:rsidR="00C33541" w:rsidRPr="006741F2">
        <w:rPr>
          <w:rFonts w:cs="Arial"/>
        </w:rPr>
        <w:t xml:space="preserve"> do not have an existing arrearage.  </w:t>
      </w:r>
      <w:r w:rsidR="00DF146C" w:rsidRPr="006741F2">
        <w:rPr>
          <w:rFonts w:cs="Arial"/>
        </w:rPr>
        <w:t>R.</w:t>
      </w:r>
      <w:r w:rsidR="00AD523B" w:rsidRPr="006741F2">
        <w:rPr>
          <w:rFonts w:cs="Arial"/>
        </w:rPr>
        <w:t xml:space="preserve"> </w:t>
      </w:r>
      <w:r w:rsidR="00DF146C" w:rsidRPr="006741F2">
        <w:rPr>
          <w:rFonts w:cs="Arial"/>
        </w:rPr>
        <w:t>D. at 9.</w:t>
      </w:r>
    </w:p>
    <w:p w:rsidR="00CF5DFA" w:rsidRPr="006741F2" w:rsidRDefault="00CF5DFA" w:rsidP="00CF5DFA">
      <w:pPr>
        <w:rPr>
          <w:rFonts w:cs="Arial"/>
        </w:rPr>
      </w:pPr>
    </w:p>
    <w:p w:rsidR="00312C7E" w:rsidRPr="006741F2" w:rsidRDefault="00312C7E" w:rsidP="00EB5663">
      <w:pPr>
        <w:pStyle w:val="TxBrp3"/>
        <w:rPr>
          <w:sz w:val="24"/>
          <w:szCs w:val="24"/>
        </w:rPr>
      </w:pPr>
      <w:r w:rsidRPr="006741F2">
        <w:rPr>
          <w:sz w:val="24"/>
          <w:szCs w:val="24"/>
        </w:rPr>
        <w:t>T</w:t>
      </w:r>
      <w:r w:rsidR="00CF5DFA" w:rsidRPr="006741F2">
        <w:rPr>
          <w:sz w:val="24"/>
          <w:szCs w:val="24"/>
        </w:rPr>
        <w:t>he ALJ summarized the terms of the Settlement</w:t>
      </w:r>
      <w:r w:rsidRPr="006741F2">
        <w:rPr>
          <w:sz w:val="24"/>
          <w:szCs w:val="24"/>
        </w:rPr>
        <w:t xml:space="preserve"> in detail on pages eight through eleven of the Recommended Decision.  </w:t>
      </w:r>
      <w:r w:rsidRPr="006741F2">
        <w:rPr>
          <w:spacing w:val="-3"/>
          <w:sz w:val="24"/>
          <w:szCs w:val="24"/>
        </w:rPr>
        <w:t xml:space="preserve">The Settlement states that </w:t>
      </w:r>
      <w:r w:rsidRPr="006741F2">
        <w:rPr>
          <w:sz w:val="24"/>
          <w:szCs w:val="24"/>
        </w:rPr>
        <w:t xml:space="preserve">PPL, OTS, OCA, OSBA, RESA, Direct Energy, Richards, Penn Future and Constellation </w:t>
      </w:r>
      <w:r w:rsidRPr="006741F2">
        <w:rPr>
          <w:spacing w:val="-3"/>
          <w:sz w:val="24"/>
          <w:szCs w:val="24"/>
        </w:rPr>
        <w:t>(</w:t>
      </w:r>
      <w:r w:rsidR="00722169" w:rsidRPr="006741F2">
        <w:rPr>
          <w:spacing w:val="-3"/>
          <w:sz w:val="24"/>
          <w:szCs w:val="24"/>
        </w:rPr>
        <w:t xml:space="preserve">collectively, </w:t>
      </w:r>
      <w:r w:rsidRPr="006741F2">
        <w:rPr>
          <w:spacing w:val="-3"/>
          <w:sz w:val="24"/>
          <w:szCs w:val="24"/>
        </w:rPr>
        <w:t xml:space="preserve">Joint Petitioners) agree that the </w:t>
      </w:r>
      <w:r w:rsidR="00722169" w:rsidRPr="006741F2">
        <w:rPr>
          <w:spacing w:val="-3"/>
          <w:sz w:val="24"/>
          <w:szCs w:val="24"/>
        </w:rPr>
        <w:t>S</w:t>
      </w:r>
      <w:r w:rsidRPr="006741F2">
        <w:rPr>
          <w:spacing w:val="-3"/>
          <w:sz w:val="24"/>
          <w:szCs w:val="24"/>
        </w:rPr>
        <w:t xml:space="preserve">ettlement resolves all the issues in this proceeding.  The </w:t>
      </w:r>
      <w:r w:rsidR="00722169" w:rsidRPr="006741F2">
        <w:rPr>
          <w:spacing w:val="-3"/>
          <w:sz w:val="24"/>
          <w:szCs w:val="24"/>
        </w:rPr>
        <w:t>S</w:t>
      </w:r>
      <w:r w:rsidRPr="006741F2">
        <w:rPr>
          <w:spacing w:val="-3"/>
          <w:sz w:val="24"/>
          <w:szCs w:val="24"/>
        </w:rPr>
        <w:t xml:space="preserve">ettlement alleges that none </w:t>
      </w:r>
      <w:r w:rsidRPr="006741F2">
        <w:rPr>
          <w:spacing w:val="-3"/>
          <w:sz w:val="24"/>
          <w:szCs w:val="24"/>
        </w:rPr>
        <w:lastRenderedPageBreak/>
        <w:t xml:space="preserve">of the other </w:t>
      </w:r>
      <w:r w:rsidR="00722169" w:rsidRPr="006741F2">
        <w:rPr>
          <w:spacing w:val="-3"/>
          <w:sz w:val="24"/>
          <w:szCs w:val="24"/>
        </w:rPr>
        <w:t>P</w:t>
      </w:r>
      <w:r w:rsidRPr="006741F2">
        <w:rPr>
          <w:spacing w:val="-3"/>
          <w:sz w:val="24"/>
          <w:szCs w:val="24"/>
        </w:rPr>
        <w:t xml:space="preserve">arties or interveners objects to the </w:t>
      </w:r>
      <w:r w:rsidR="00722169" w:rsidRPr="006741F2">
        <w:rPr>
          <w:spacing w:val="-3"/>
          <w:sz w:val="24"/>
          <w:szCs w:val="24"/>
        </w:rPr>
        <w:t>S</w:t>
      </w:r>
      <w:r w:rsidRPr="006741F2">
        <w:rPr>
          <w:spacing w:val="-3"/>
          <w:sz w:val="24"/>
          <w:szCs w:val="24"/>
        </w:rPr>
        <w:t xml:space="preserve">ettlement.  In addition, the Joint Petitioners assert that PPLICA does not oppose the </w:t>
      </w:r>
      <w:r w:rsidR="00722169" w:rsidRPr="006741F2">
        <w:rPr>
          <w:spacing w:val="-3"/>
          <w:sz w:val="24"/>
          <w:szCs w:val="24"/>
        </w:rPr>
        <w:t>Settlement.</w:t>
      </w:r>
      <w:r w:rsidRPr="006741F2">
        <w:rPr>
          <w:spacing w:val="-3"/>
          <w:sz w:val="24"/>
          <w:szCs w:val="24"/>
        </w:rPr>
        <w:t xml:space="preserve"> (Settlement </w:t>
      </w:r>
      <w:r w:rsidR="00DF146C" w:rsidRPr="006741F2">
        <w:rPr>
          <w:spacing w:val="-3"/>
          <w:sz w:val="24"/>
          <w:szCs w:val="24"/>
        </w:rPr>
        <w:t xml:space="preserve"> </w:t>
      </w:r>
      <w:r w:rsidRPr="006741F2">
        <w:rPr>
          <w:spacing w:val="-3"/>
          <w:sz w:val="24"/>
          <w:szCs w:val="24"/>
        </w:rPr>
        <w:t xml:space="preserve">Petition </w:t>
      </w:r>
      <w:r w:rsidR="00722169" w:rsidRPr="006741F2">
        <w:rPr>
          <w:spacing w:val="-3"/>
          <w:sz w:val="24"/>
          <w:szCs w:val="24"/>
        </w:rPr>
        <w:t>at</w:t>
      </w:r>
      <w:r w:rsidRPr="006741F2">
        <w:rPr>
          <w:spacing w:val="-3"/>
          <w:sz w:val="24"/>
          <w:szCs w:val="24"/>
        </w:rPr>
        <w:t xml:space="preserve"> 1)</w:t>
      </w:r>
      <w:r w:rsidR="00722169" w:rsidRPr="006741F2">
        <w:rPr>
          <w:spacing w:val="-3"/>
          <w:sz w:val="24"/>
          <w:szCs w:val="24"/>
        </w:rPr>
        <w:t>.</w:t>
      </w:r>
      <w:r w:rsidRPr="006741F2">
        <w:rPr>
          <w:spacing w:val="-3"/>
          <w:sz w:val="24"/>
          <w:szCs w:val="24"/>
        </w:rPr>
        <w:t xml:space="preserve">  </w:t>
      </w:r>
      <w:r w:rsidR="00722169" w:rsidRPr="006741F2">
        <w:rPr>
          <w:spacing w:val="-3"/>
          <w:sz w:val="24"/>
          <w:szCs w:val="24"/>
        </w:rPr>
        <w:t>The ALJ stated that, a</w:t>
      </w:r>
      <w:r w:rsidRPr="006741F2">
        <w:rPr>
          <w:sz w:val="24"/>
          <w:szCs w:val="24"/>
        </w:rPr>
        <w:t xml:space="preserve">s of the date of </w:t>
      </w:r>
      <w:r w:rsidR="00722169" w:rsidRPr="006741F2">
        <w:rPr>
          <w:sz w:val="24"/>
          <w:szCs w:val="24"/>
        </w:rPr>
        <w:t>his</w:t>
      </w:r>
      <w:r w:rsidRPr="006741F2">
        <w:rPr>
          <w:sz w:val="24"/>
          <w:szCs w:val="24"/>
        </w:rPr>
        <w:t xml:space="preserve"> </w:t>
      </w:r>
      <w:r w:rsidR="00722169" w:rsidRPr="006741F2">
        <w:rPr>
          <w:sz w:val="24"/>
          <w:szCs w:val="24"/>
        </w:rPr>
        <w:t>R</w:t>
      </w:r>
      <w:r w:rsidRPr="006741F2">
        <w:rPr>
          <w:sz w:val="24"/>
          <w:szCs w:val="24"/>
        </w:rPr>
        <w:t xml:space="preserve">ecommended </w:t>
      </w:r>
      <w:r w:rsidR="00722169" w:rsidRPr="006741F2">
        <w:rPr>
          <w:sz w:val="24"/>
          <w:szCs w:val="24"/>
        </w:rPr>
        <w:t>D</w:t>
      </w:r>
      <w:r w:rsidRPr="006741F2">
        <w:rPr>
          <w:sz w:val="24"/>
          <w:szCs w:val="24"/>
        </w:rPr>
        <w:t>ecision</w:t>
      </w:r>
      <w:r w:rsidRPr="006741F2">
        <w:rPr>
          <w:spacing w:val="-3"/>
          <w:sz w:val="24"/>
          <w:szCs w:val="24"/>
        </w:rPr>
        <w:t xml:space="preserve">, </w:t>
      </w:r>
      <w:r w:rsidR="00722169" w:rsidRPr="006741F2">
        <w:rPr>
          <w:spacing w:val="-3"/>
          <w:sz w:val="24"/>
          <w:szCs w:val="24"/>
        </w:rPr>
        <w:t>he had</w:t>
      </w:r>
      <w:r w:rsidRPr="006741F2">
        <w:rPr>
          <w:spacing w:val="-3"/>
          <w:sz w:val="24"/>
          <w:szCs w:val="24"/>
        </w:rPr>
        <w:t xml:space="preserve"> not received </w:t>
      </w:r>
      <w:r w:rsidRPr="006741F2">
        <w:rPr>
          <w:sz w:val="24"/>
          <w:szCs w:val="24"/>
        </w:rPr>
        <w:t>any written comments</w:t>
      </w:r>
      <w:r w:rsidR="00722169" w:rsidRPr="006741F2">
        <w:rPr>
          <w:sz w:val="24"/>
          <w:szCs w:val="24"/>
        </w:rPr>
        <w:t xml:space="preserve"> or objections from any of the P</w:t>
      </w:r>
      <w:r w:rsidRPr="006741F2">
        <w:rPr>
          <w:sz w:val="24"/>
          <w:szCs w:val="24"/>
        </w:rPr>
        <w:t xml:space="preserve">arties or interveners opposing the </w:t>
      </w:r>
      <w:r w:rsidR="00722169" w:rsidRPr="006741F2">
        <w:rPr>
          <w:sz w:val="24"/>
          <w:szCs w:val="24"/>
        </w:rPr>
        <w:t>S</w:t>
      </w:r>
      <w:r w:rsidRPr="006741F2">
        <w:rPr>
          <w:sz w:val="24"/>
          <w:szCs w:val="24"/>
        </w:rPr>
        <w:t xml:space="preserve">ettlement. </w:t>
      </w:r>
      <w:r w:rsidR="00AD523B" w:rsidRPr="006741F2">
        <w:rPr>
          <w:sz w:val="24"/>
          <w:szCs w:val="24"/>
        </w:rPr>
        <w:t xml:space="preserve"> R.</w:t>
      </w:r>
      <w:r w:rsidR="00722169" w:rsidRPr="006741F2">
        <w:rPr>
          <w:sz w:val="24"/>
          <w:szCs w:val="24"/>
        </w:rPr>
        <w:t>D. at 8.</w:t>
      </w:r>
    </w:p>
    <w:p w:rsidR="00CF5DFA" w:rsidRPr="006741F2" w:rsidRDefault="00CF5DFA" w:rsidP="00CF5DFA"/>
    <w:p w:rsidR="00A204CC" w:rsidRPr="006741F2" w:rsidRDefault="001E3AB5" w:rsidP="00EB5663">
      <w:pPr>
        <w:pStyle w:val="TxBrp3"/>
        <w:rPr>
          <w:sz w:val="24"/>
          <w:szCs w:val="24"/>
        </w:rPr>
      </w:pPr>
      <w:r w:rsidRPr="006741F2">
        <w:rPr>
          <w:sz w:val="24"/>
          <w:szCs w:val="24"/>
        </w:rPr>
        <w:t>Under the Settlement, t</w:t>
      </w:r>
      <w:r w:rsidR="00A204CC" w:rsidRPr="006741F2">
        <w:rPr>
          <w:sz w:val="24"/>
          <w:szCs w:val="24"/>
        </w:rPr>
        <w:t xml:space="preserve">he RMP is designed to phase in the estimated 2010 generation rate increase through a series of non-bypassable credits and charges.  The credits and charges are designed to limit the increase in total charges, on an average for each rate class stratum to no more than 25% in 2010 and an additional 25% in 2011 based on PPL’s current estimate of the generation rate increase.  </w:t>
      </w:r>
      <w:r w:rsidR="00AD523B" w:rsidRPr="006741F2">
        <w:rPr>
          <w:sz w:val="24"/>
          <w:szCs w:val="24"/>
        </w:rPr>
        <w:t xml:space="preserve">R.D. </w:t>
      </w:r>
      <w:r w:rsidRPr="006741F2">
        <w:rPr>
          <w:sz w:val="24"/>
          <w:szCs w:val="24"/>
        </w:rPr>
        <w:t>at 8.</w:t>
      </w:r>
    </w:p>
    <w:p w:rsidR="0000097B" w:rsidRPr="006741F2" w:rsidRDefault="0000097B" w:rsidP="00EB5663">
      <w:pPr>
        <w:pStyle w:val="TxBrp3"/>
        <w:rPr>
          <w:sz w:val="24"/>
          <w:szCs w:val="24"/>
        </w:rPr>
      </w:pPr>
    </w:p>
    <w:p w:rsidR="0000097B" w:rsidRPr="006741F2" w:rsidRDefault="0000097B" w:rsidP="00EB5663">
      <w:pPr>
        <w:pStyle w:val="TxBrp3"/>
        <w:rPr>
          <w:sz w:val="24"/>
          <w:szCs w:val="24"/>
        </w:rPr>
      </w:pPr>
      <w:r w:rsidRPr="006741F2">
        <w:rPr>
          <w:sz w:val="24"/>
          <w:szCs w:val="24"/>
        </w:rPr>
        <w:t>Under the Settlement, the RMP is a non-bypassable charge or credit that will be applied to the bills of all customers who participate in the RMP and will be separately listed as a line item on their bill. Customers will be able to participate in the RMP if they now purchase, or in the future chose to purchase, generation supply from an electric generation supplier.  The Parties assert that the RMP will not adversely affect competition because the charges and credits will not affect the price to compare for shopping purposes.  R.D. at 9.</w:t>
      </w:r>
    </w:p>
    <w:p w:rsidR="00312C7E" w:rsidRPr="006741F2" w:rsidRDefault="00312C7E" w:rsidP="00CF5DFA"/>
    <w:p w:rsidR="00A204CC" w:rsidRPr="006741F2" w:rsidRDefault="0000097B" w:rsidP="00EB5663">
      <w:pPr>
        <w:pStyle w:val="TxBrp3"/>
        <w:rPr>
          <w:sz w:val="24"/>
          <w:szCs w:val="24"/>
        </w:rPr>
      </w:pPr>
      <w:r w:rsidRPr="006741F2">
        <w:rPr>
          <w:sz w:val="24"/>
          <w:szCs w:val="24"/>
        </w:rPr>
        <w:t xml:space="preserve">The Settlement provides that </w:t>
      </w:r>
      <w:r w:rsidR="00A204CC" w:rsidRPr="006741F2">
        <w:rPr>
          <w:sz w:val="24"/>
          <w:szCs w:val="24"/>
        </w:rPr>
        <w:t xml:space="preserve">PPL will recover amounts deferred under the RMP through additional charges in the RMP Rider.  All unrecovered costs plus carrying charges of 6% will be capitalized as a regulatory asset and recovered from customers enrolled in the RMP by no later than December 31, 2012.  The recovery period will vary by rate schedule strata.  PPL designed the RMP Rider to recover the deferred amounts plus accumulated interest as quickly as possible in order to minimize the amount of carrying costs that participating customers will have to pay.  </w:t>
      </w:r>
      <w:r w:rsidR="001E3AB5" w:rsidRPr="006741F2">
        <w:rPr>
          <w:sz w:val="24"/>
          <w:szCs w:val="24"/>
        </w:rPr>
        <w:t>R.D. at 9.</w:t>
      </w:r>
      <w:r w:rsidR="00A204CC" w:rsidRPr="006741F2">
        <w:rPr>
          <w:sz w:val="24"/>
          <w:szCs w:val="24"/>
        </w:rPr>
        <w:t xml:space="preserve">  </w:t>
      </w:r>
    </w:p>
    <w:p w:rsidR="00A204CC" w:rsidRPr="006741F2" w:rsidRDefault="00A204CC" w:rsidP="00CF5DFA"/>
    <w:p w:rsidR="00B11B42" w:rsidRPr="006741F2" w:rsidRDefault="00DF146C" w:rsidP="00B11B42">
      <w:r w:rsidRPr="006741F2">
        <w:t>The Settlement also specifies that PPL will send a bill inse</w:t>
      </w:r>
      <w:r w:rsidR="00A202EB" w:rsidRPr="006741F2">
        <w:t>r</w:t>
      </w:r>
      <w:r w:rsidRPr="006741F2">
        <w:t>t to all customers setting forth</w:t>
      </w:r>
      <w:r w:rsidR="00A202EB" w:rsidRPr="006741F2">
        <w:t xml:space="preserve"> the</w:t>
      </w:r>
      <w:r w:rsidRPr="006741F2">
        <w:t xml:space="preserve"> eligibility requirements for the RMP</w:t>
      </w:r>
      <w:r w:rsidR="00A202EB" w:rsidRPr="006741F2">
        <w:t xml:space="preserve">. </w:t>
      </w:r>
      <w:r w:rsidR="00F66196" w:rsidRPr="006741F2">
        <w:t xml:space="preserve">As an additional requirement, we direct that </w:t>
      </w:r>
      <w:r w:rsidR="00B11B42" w:rsidRPr="006741F2">
        <w:t xml:space="preserve">PPL submit drafts of the bill inserts and customer education materials related to the </w:t>
      </w:r>
      <w:r w:rsidR="00F66196" w:rsidRPr="006741F2">
        <w:t>RMP</w:t>
      </w:r>
      <w:r w:rsidR="00B11B42" w:rsidRPr="006741F2">
        <w:t xml:space="preserve"> to the Commission for approval prior to issuance to the public.  Per the Final Order at Docket M</w:t>
      </w:r>
      <w:r w:rsidR="00B11B42" w:rsidRPr="006741F2">
        <w:noBreakHyphen/>
        <w:t xml:space="preserve">2008-2032279, drafts should be provided to the Commission’s Office of Communications, the </w:t>
      </w:r>
      <w:r w:rsidR="00B11B42" w:rsidRPr="006741F2">
        <w:lastRenderedPageBreak/>
        <w:t xml:space="preserve">OCA, and the OSBA in sufficient time prior to the material finalization to coordinate review and potential input. The </w:t>
      </w:r>
      <w:r w:rsidR="00823BB6" w:rsidRPr="006741F2">
        <w:t>OCA</w:t>
      </w:r>
      <w:r w:rsidR="00B11B42" w:rsidRPr="006741F2">
        <w:rPr>
          <w:rFonts w:cs="Calibri"/>
        </w:rPr>
        <w:t xml:space="preserve"> and the </w:t>
      </w:r>
      <w:r w:rsidR="00823BB6" w:rsidRPr="006741F2">
        <w:rPr>
          <w:rFonts w:cs="Calibri"/>
        </w:rPr>
        <w:t>OSBA</w:t>
      </w:r>
      <w:r w:rsidR="00B11B42" w:rsidRPr="006741F2">
        <w:rPr>
          <w:rFonts w:cs="Calibri"/>
        </w:rPr>
        <w:t xml:space="preserve"> are directed to supply any comments to the Office of Communications and PPL within one week of receipt of the materials from </w:t>
      </w:r>
      <w:r w:rsidR="00823BB6" w:rsidRPr="006741F2">
        <w:rPr>
          <w:rFonts w:cs="Calibri"/>
        </w:rPr>
        <w:t xml:space="preserve">PPL.  </w:t>
      </w:r>
      <w:r w:rsidR="00B11B42" w:rsidRPr="006741F2">
        <w:rPr>
          <w:rFonts w:cs="Calibri"/>
        </w:rPr>
        <w:t xml:space="preserve">After the compilation of the comments by the Office of Communications, the Commission may provide specific recommendations to the </w:t>
      </w:r>
      <w:r w:rsidR="00823BB6" w:rsidRPr="006741F2">
        <w:rPr>
          <w:rFonts w:cs="Calibri"/>
        </w:rPr>
        <w:t>PPL</w:t>
      </w:r>
      <w:r w:rsidR="00B11B42" w:rsidRPr="006741F2">
        <w:rPr>
          <w:rFonts w:cs="Calibri"/>
        </w:rPr>
        <w:t xml:space="preserve"> in a reasonable and timely manner.</w:t>
      </w:r>
    </w:p>
    <w:p w:rsidR="00312C7E" w:rsidRPr="006741F2" w:rsidRDefault="00312C7E" w:rsidP="00CF5DFA"/>
    <w:p w:rsidR="00CF5DFA" w:rsidRPr="006741F2" w:rsidRDefault="00060B50" w:rsidP="00CF5DFA">
      <w:pPr>
        <w:ind w:firstLine="720"/>
      </w:pPr>
      <w:r w:rsidRPr="006741F2">
        <w:tab/>
        <w:t>We</w:t>
      </w:r>
      <w:r w:rsidR="00CF5DFA" w:rsidRPr="006741F2">
        <w:t xml:space="preserve"> support the establishment of the RMP, which provides PPL’s customers with another tool to manage the higher costs for electricity that they will experience when rate caps expire.  There is, however, an issue that was not addressed by the Parties to this proceeding that </w:t>
      </w:r>
      <w:r w:rsidRPr="006741F2">
        <w:t>we</w:t>
      </w:r>
      <w:r w:rsidR="00CF5DFA" w:rsidRPr="006741F2">
        <w:t xml:space="preserve"> believe warrants further consideration.  </w:t>
      </w:r>
      <w:r w:rsidRPr="006741F2">
        <w:t>We</w:t>
      </w:r>
      <w:r w:rsidR="00CF5DFA" w:rsidRPr="006741F2">
        <w:t xml:space="preserve"> believe it is likely that uncollectible expenses may increase to some extent as a result of customers deferring current costs for future payment, particularly in these difficult economic times.  </w:t>
      </w:r>
      <w:r w:rsidRPr="006741F2">
        <w:t>We conclude,</w:t>
      </w:r>
      <w:r w:rsidR="00CF5DFA" w:rsidRPr="006741F2">
        <w:t xml:space="preserve"> therefore</w:t>
      </w:r>
      <w:r w:rsidRPr="006741F2">
        <w:t>,</w:t>
      </w:r>
      <w:r w:rsidR="00CF5DFA" w:rsidRPr="006741F2">
        <w:t xml:space="preserve"> that we should track uncollectible expenses associated with the costs that customers elect to defer under the RMP.  If these expenses are significant, the Commission will be able to address the appropriateness of their </w:t>
      </w:r>
      <w:r w:rsidR="004C13D5" w:rsidRPr="006741F2">
        <w:t>recovery in a future proceeding.  I</w:t>
      </w:r>
      <w:r w:rsidR="00CF5DFA" w:rsidRPr="006741F2">
        <w:t xml:space="preserve">f recovery is found to be appropriate, </w:t>
      </w:r>
      <w:r w:rsidR="004C13D5" w:rsidRPr="006741F2">
        <w:t xml:space="preserve">the Commission shall address </w:t>
      </w:r>
      <w:r w:rsidR="00CF5DFA" w:rsidRPr="006741F2">
        <w:t xml:space="preserve">whether all customers should be required to pay for </w:t>
      </w:r>
      <w:r w:rsidR="004C13D5" w:rsidRPr="006741F2">
        <w:t xml:space="preserve">the </w:t>
      </w:r>
      <w:r w:rsidR="00CF5DFA" w:rsidRPr="006741F2">
        <w:t>increased expense associated with deferred payments under the RMP.</w:t>
      </w:r>
    </w:p>
    <w:p w:rsidR="00CF5DFA" w:rsidRPr="006741F2" w:rsidRDefault="00CF5DFA" w:rsidP="00CF5DFA">
      <w:pPr>
        <w:ind w:firstLine="720"/>
      </w:pPr>
    </w:p>
    <w:p w:rsidR="00DE5101" w:rsidRPr="006741F2" w:rsidRDefault="00060B50" w:rsidP="00CF5DFA">
      <w:pPr>
        <w:ind w:firstLine="720"/>
      </w:pPr>
      <w:r w:rsidRPr="006741F2">
        <w:tab/>
        <w:t>We</w:t>
      </w:r>
      <w:r w:rsidR="00CF5DFA" w:rsidRPr="006741F2">
        <w:t xml:space="preserve"> also note that the Settlement is silent regarding the issue of the incremental costs that PPL will incur for administration of the RMP.  PPL should also carefully track these costs.  Our approval of the instant Settlement should not be construed as approval of rate recovery f</w:t>
      </w:r>
      <w:r w:rsidR="00DE5101" w:rsidRPr="006741F2">
        <w:t>or RMP administrative expense.</w:t>
      </w:r>
    </w:p>
    <w:p w:rsidR="004C13D5" w:rsidRPr="006741F2" w:rsidRDefault="004C13D5" w:rsidP="00CF5DFA">
      <w:pPr>
        <w:ind w:firstLine="720"/>
      </w:pPr>
    </w:p>
    <w:p w:rsidR="006741F2" w:rsidRPr="006741F2" w:rsidRDefault="006741F2" w:rsidP="004C13D5">
      <w:pPr>
        <w:ind w:firstLine="0"/>
        <w:jc w:val="center"/>
        <w:rPr>
          <w:b/>
          <w:u w:val="single"/>
        </w:rPr>
      </w:pPr>
    </w:p>
    <w:p w:rsidR="006741F2" w:rsidRPr="006741F2" w:rsidRDefault="006741F2" w:rsidP="004C13D5">
      <w:pPr>
        <w:ind w:firstLine="0"/>
        <w:jc w:val="center"/>
        <w:rPr>
          <w:b/>
          <w:u w:val="single"/>
        </w:rPr>
      </w:pPr>
    </w:p>
    <w:p w:rsidR="006741F2" w:rsidRPr="006741F2" w:rsidRDefault="006741F2" w:rsidP="004C13D5">
      <w:pPr>
        <w:ind w:firstLine="0"/>
        <w:jc w:val="center"/>
        <w:rPr>
          <w:b/>
          <w:u w:val="single"/>
        </w:rPr>
      </w:pPr>
    </w:p>
    <w:p w:rsidR="004C13D5" w:rsidRPr="006741F2" w:rsidRDefault="004C13D5" w:rsidP="004C13D5">
      <w:pPr>
        <w:ind w:firstLine="0"/>
        <w:jc w:val="center"/>
      </w:pPr>
      <w:r w:rsidRPr="006741F2">
        <w:rPr>
          <w:b/>
          <w:u w:val="single"/>
        </w:rPr>
        <w:t>Conclusion</w:t>
      </w:r>
    </w:p>
    <w:p w:rsidR="004C13D5" w:rsidRPr="006741F2" w:rsidRDefault="004C13D5" w:rsidP="004C13D5">
      <w:pPr>
        <w:ind w:firstLine="0"/>
      </w:pPr>
    </w:p>
    <w:p w:rsidR="00CF5DFA" w:rsidRPr="006741F2" w:rsidRDefault="00B24E95" w:rsidP="00B24E95">
      <w:pPr>
        <w:ind w:firstLine="0"/>
      </w:pPr>
      <w:r w:rsidRPr="006741F2">
        <w:tab/>
      </w:r>
      <w:r w:rsidRPr="006741F2">
        <w:tab/>
        <w:t xml:space="preserve">Upon review of the record in this case, the Settlement and the Statements in Support of the Settlement, we find the Settlement resolving the issues </w:t>
      </w:r>
      <w:r w:rsidR="000634CA" w:rsidRPr="006741F2">
        <w:t>in this proceeding</w:t>
      </w:r>
      <w:r w:rsidR="003026A8" w:rsidRPr="006741F2">
        <w:t xml:space="preserve"> to be in the public interest with the modifications discussed herein.</w:t>
      </w:r>
      <w:r w:rsidRPr="006741F2">
        <w:t xml:space="preserve">  Accordingly, we shall modify</w:t>
      </w:r>
      <w:r w:rsidR="00823BB6" w:rsidRPr="006741F2">
        <w:t xml:space="preserve"> the </w:t>
      </w:r>
      <w:r w:rsidR="00823BB6" w:rsidRPr="006741F2">
        <w:lastRenderedPageBreak/>
        <w:t>ALJ’s R</w:t>
      </w:r>
      <w:r w:rsidRPr="006741F2">
        <w:t>ecommende</w:t>
      </w:r>
      <w:r w:rsidR="00823BB6" w:rsidRPr="006741F2">
        <w:t>d</w:t>
      </w:r>
      <w:r w:rsidRPr="006741F2">
        <w:t xml:space="preserve"> Decision as discussed in this Opinion and Order and approve the Settlement;</w:t>
      </w:r>
      <w:r w:rsidR="00CF5DFA" w:rsidRPr="006741F2">
        <w:t xml:space="preserve"> </w:t>
      </w:r>
      <w:r w:rsidR="00A202EB" w:rsidRPr="006741F2">
        <w:rPr>
          <w:b/>
        </w:rPr>
        <w:t>THEREFORE</w:t>
      </w:r>
      <w:r w:rsidR="00CF5DFA" w:rsidRPr="006741F2">
        <w:rPr>
          <w:b/>
        </w:rPr>
        <w:t>:</w:t>
      </w:r>
    </w:p>
    <w:p w:rsidR="00A202EB" w:rsidRPr="006741F2" w:rsidRDefault="00A202EB" w:rsidP="00CF5DFA"/>
    <w:p w:rsidR="00A202EB" w:rsidRPr="006741F2" w:rsidRDefault="00A202EB" w:rsidP="00A202EB">
      <w:pPr>
        <w:ind w:firstLine="0"/>
        <w:rPr>
          <w:b/>
        </w:rPr>
      </w:pPr>
      <w:r w:rsidRPr="006741F2">
        <w:rPr>
          <w:b/>
        </w:rPr>
        <w:t>IT IS ORDERED:</w:t>
      </w:r>
    </w:p>
    <w:p w:rsidR="00884A32" w:rsidRPr="006741F2" w:rsidRDefault="00884A32" w:rsidP="00A202EB">
      <w:pPr>
        <w:ind w:firstLine="0"/>
        <w:rPr>
          <w:b/>
        </w:rPr>
      </w:pPr>
    </w:p>
    <w:p w:rsidR="00367F9E" w:rsidRPr="006741F2" w:rsidRDefault="00884A32" w:rsidP="00367F9E">
      <w:pPr>
        <w:ind w:firstLine="720"/>
      </w:pPr>
      <w:r w:rsidRPr="006741F2">
        <w:rPr>
          <w:b/>
        </w:rPr>
        <w:tab/>
      </w:r>
      <w:r w:rsidR="00367F9E" w:rsidRPr="006741F2">
        <w:t>1</w:t>
      </w:r>
      <w:r w:rsidRPr="006741F2">
        <w:t>.</w:t>
      </w:r>
      <w:r w:rsidRPr="006741F2">
        <w:tab/>
        <w:t xml:space="preserve">That the Recommended Decision of </w:t>
      </w:r>
      <w:r w:rsidR="00367F9E" w:rsidRPr="006741F2">
        <w:t>Administrative Law Judge David A. Salapa is modified consistent with this Opinion and Order.</w:t>
      </w:r>
    </w:p>
    <w:p w:rsidR="00DE5101" w:rsidRPr="006741F2" w:rsidRDefault="00DE5101" w:rsidP="00367F9E">
      <w:pPr>
        <w:ind w:firstLine="720"/>
      </w:pPr>
    </w:p>
    <w:p w:rsidR="00DE5101" w:rsidRPr="006741F2" w:rsidRDefault="00DE5101" w:rsidP="00DE5101">
      <w:pPr>
        <w:suppressAutoHyphens/>
        <w:rPr>
          <w:spacing w:val="-3"/>
        </w:rPr>
      </w:pPr>
      <w:r w:rsidRPr="006741F2">
        <w:t>2.</w:t>
      </w:r>
      <w:r w:rsidRPr="006741F2">
        <w:tab/>
        <w:t xml:space="preserve">That the Joint Petition </w:t>
      </w:r>
      <w:r w:rsidR="00DE04D8" w:rsidRPr="006741F2">
        <w:t xml:space="preserve">for </w:t>
      </w:r>
      <w:r w:rsidR="000634CA" w:rsidRPr="006741F2">
        <w:t>Settlement</w:t>
      </w:r>
      <w:r w:rsidR="00DE04D8" w:rsidRPr="006741F2">
        <w:t xml:space="preserve"> </w:t>
      </w:r>
      <w:r w:rsidR="003026A8" w:rsidRPr="006741F2">
        <w:t>among</w:t>
      </w:r>
      <w:r w:rsidRPr="006741F2">
        <w:t xml:space="preserve"> PPL Electric Utilities Corporation, the Commission’s Office of Trial Staff, the Office of Consumer Advocate, the Office of Small Business Advocate, Retail Energy Supply Association, </w:t>
      </w:r>
      <w:r w:rsidRPr="006741F2">
        <w:rPr>
          <w:color w:val="000000"/>
          <w:kern w:val="1"/>
        </w:rPr>
        <w:t xml:space="preserve">Direct Energy Services, LLC, </w:t>
      </w:r>
      <w:r w:rsidRPr="006741F2">
        <w:t>Richards Energy Group, Citizens for Pennsylvania’s Future and Constellation Energy Group, Inc. filed on June 12, 2009 in the above-captioned case is hereby approved and adopted.</w:t>
      </w:r>
    </w:p>
    <w:p w:rsidR="00DE5101" w:rsidRPr="006741F2" w:rsidRDefault="00DE5101" w:rsidP="00DE5101">
      <w:pPr>
        <w:suppressAutoHyphens/>
        <w:rPr>
          <w:spacing w:val="-3"/>
        </w:rPr>
      </w:pPr>
    </w:p>
    <w:p w:rsidR="00DE5101" w:rsidRPr="006741F2" w:rsidRDefault="00DE5101" w:rsidP="00DE5101">
      <w:pPr>
        <w:suppressAutoHyphens/>
        <w:rPr>
          <w:spacing w:val="-3"/>
        </w:rPr>
      </w:pPr>
      <w:r w:rsidRPr="006741F2">
        <w:rPr>
          <w:spacing w:val="-3"/>
        </w:rPr>
        <w:t>3.</w:t>
      </w:r>
      <w:r w:rsidRPr="006741F2">
        <w:rPr>
          <w:spacing w:val="-3"/>
        </w:rPr>
        <w:tab/>
        <w:t>That PPL Electric Utilities Corporation</w:t>
      </w:r>
      <w:r w:rsidRPr="006741F2">
        <w:t xml:space="preserve"> </w:t>
      </w:r>
      <w:r w:rsidRPr="006741F2">
        <w:rPr>
          <w:spacing w:val="-3"/>
        </w:rPr>
        <w:t xml:space="preserve">shall file a tariff supplement as set forth in </w:t>
      </w:r>
      <w:r w:rsidRPr="006741F2">
        <w:rPr>
          <w:rFonts w:cs="Arial"/>
        </w:rPr>
        <w:t xml:space="preserve">the proposed revision </w:t>
      </w:r>
      <w:r w:rsidR="000634CA" w:rsidRPr="006741F2">
        <w:rPr>
          <w:spacing w:val="-3"/>
        </w:rPr>
        <w:t>attached to the Joint P</w:t>
      </w:r>
      <w:r w:rsidRPr="006741F2">
        <w:rPr>
          <w:spacing w:val="-3"/>
        </w:rPr>
        <w:t xml:space="preserve">etition for </w:t>
      </w:r>
      <w:r w:rsidR="000634CA" w:rsidRPr="006741F2">
        <w:rPr>
          <w:spacing w:val="-3"/>
        </w:rPr>
        <w:t>S</w:t>
      </w:r>
      <w:r w:rsidRPr="006741F2">
        <w:rPr>
          <w:spacing w:val="-3"/>
        </w:rPr>
        <w:t>ettlement as Appendix A to become effective on one day’s notice after entry of th</w:t>
      </w:r>
      <w:r w:rsidR="00725C41" w:rsidRPr="006741F2">
        <w:rPr>
          <w:spacing w:val="-3"/>
        </w:rPr>
        <w:t>is Opinion and Order</w:t>
      </w:r>
      <w:r w:rsidRPr="006741F2">
        <w:rPr>
          <w:spacing w:val="-3"/>
        </w:rPr>
        <w:t>.</w:t>
      </w:r>
    </w:p>
    <w:p w:rsidR="00E52123" w:rsidRPr="006741F2" w:rsidRDefault="00E52123" w:rsidP="00CF5DFA"/>
    <w:p w:rsidR="00CF5DFA" w:rsidRPr="006741F2" w:rsidRDefault="00725C41" w:rsidP="00CF5DFA">
      <w:r w:rsidRPr="006741F2">
        <w:t>4</w:t>
      </w:r>
      <w:r w:rsidR="00CF5DFA" w:rsidRPr="006741F2">
        <w:t>.</w:t>
      </w:r>
      <w:r w:rsidR="00CF5DFA" w:rsidRPr="006741F2">
        <w:tab/>
      </w:r>
      <w:r w:rsidR="00A202EB" w:rsidRPr="006741F2">
        <w:t xml:space="preserve">That </w:t>
      </w:r>
      <w:r w:rsidR="00CF5DFA" w:rsidRPr="006741F2">
        <w:t xml:space="preserve">PPL Electric Utilities Corporation </w:t>
      </w:r>
      <w:r w:rsidR="00884A32" w:rsidRPr="006741F2">
        <w:t xml:space="preserve">shall </w:t>
      </w:r>
      <w:r w:rsidR="00CF5DFA" w:rsidRPr="006741F2">
        <w:t>file a report annually with the Commission, beginning April 1, 2011</w:t>
      </w:r>
      <w:r w:rsidR="00884A32" w:rsidRPr="006741F2">
        <w:t>,</w:t>
      </w:r>
      <w:r w:rsidR="00CF5DFA" w:rsidRPr="006741F2">
        <w:t xml:space="preserve"> for the prior calendar year, </w:t>
      </w:r>
      <w:r w:rsidR="00CD4730" w:rsidRPr="006741F2">
        <w:t xml:space="preserve">detailing </w:t>
      </w:r>
      <w:r w:rsidR="00CF5DFA" w:rsidRPr="006741F2">
        <w:t xml:space="preserve">the number of customers participating in the RMP by rate class, the amount of the deferred payments, the deferred amount that has been repaid, and the deferred amount that has not been repaid.  </w:t>
      </w:r>
    </w:p>
    <w:p w:rsidR="00CF5DFA" w:rsidRPr="006741F2" w:rsidRDefault="00CF5DFA" w:rsidP="00CF5DFA"/>
    <w:p w:rsidR="00725C41" w:rsidRPr="006741F2" w:rsidRDefault="00725C41" w:rsidP="00CF5DFA">
      <w:r w:rsidRPr="006741F2">
        <w:t>5</w:t>
      </w:r>
      <w:r w:rsidR="00CF5DFA" w:rsidRPr="006741F2">
        <w:t>.</w:t>
      </w:r>
      <w:r w:rsidR="00CF5DFA" w:rsidRPr="006741F2">
        <w:tab/>
      </w:r>
      <w:r w:rsidR="00DE5101" w:rsidRPr="006741F2">
        <w:t xml:space="preserve">That </w:t>
      </w:r>
      <w:r w:rsidR="00CF5DFA" w:rsidRPr="006741F2">
        <w:t xml:space="preserve">PPL Electric Utilities Corporation </w:t>
      </w:r>
      <w:r w:rsidR="00DE5101" w:rsidRPr="006741F2">
        <w:t xml:space="preserve">shall </w:t>
      </w:r>
      <w:r w:rsidR="00CF5DFA" w:rsidRPr="006741F2">
        <w:t>submit the bill insert and customer education materials relat</w:t>
      </w:r>
      <w:r w:rsidR="001E2723" w:rsidRPr="006741F2">
        <w:t>ed to the R</w:t>
      </w:r>
      <w:r w:rsidRPr="006741F2">
        <w:t xml:space="preserve">ate </w:t>
      </w:r>
      <w:r w:rsidR="001E2723" w:rsidRPr="006741F2">
        <w:t>M</w:t>
      </w:r>
      <w:r w:rsidRPr="006741F2">
        <w:t xml:space="preserve">itigation </w:t>
      </w:r>
      <w:r w:rsidR="001E2723" w:rsidRPr="006741F2">
        <w:t>P</w:t>
      </w:r>
      <w:r w:rsidRPr="006741F2">
        <w:t xml:space="preserve">lan </w:t>
      </w:r>
      <w:r w:rsidR="001E2723" w:rsidRPr="006741F2">
        <w:t xml:space="preserve">to the Commission’s Office of Communications, the Office of Consumer Advocate and the Office of Small Business Advocate </w:t>
      </w:r>
      <w:r w:rsidR="00CF5DFA" w:rsidRPr="006741F2">
        <w:t xml:space="preserve">for approval prior to issuance to the public.  </w:t>
      </w:r>
    </w:p>
    <w:p w:rsidR="00B0609B" w:rsidRPr="006741F2" w:rsidRDefault="00B0609B" w:rsidP="00CF5DFA"/>
    <w:p w:rsidR="00725C41" w:rsidRPr="006741F2" w:rsidRDefault="00725C41" w:rsidP="00725C41">
      <w:pPr>
        <w:tabs>
          <w:tab w:val="left" w:pos="-720"/>
        </w:tabs>
        <w:suppressAutoHyphens/>
        <w:rPr>
          <w:spacing w:val="-3"/>
        </w:rPr>
      </w:pPr>
      <w:r w:rsidRPr="006741F2">
        <w:rPr>
          <w:spacing w:val="-3"/>
        </w:rPr>
        <w:t>6.</w:t>
      </w:r>
      <w:r w:rsidRPr="006741F2">
        <w:rPr>
          <w:spacing w:val="-3"/>
        </w:rPr>
        <w:tab/>
        <w:t>That the Petition of PPL Electric Utilities Corporation for Approval of a Rate Mitigation Plan at Docket P-2009-2091280 shall be terminated and marked closed.</w:t>
      </w:r>
    </w:p>
    <w:p w:rsidR="00725C41" w:rsidRPr="006741F2" w:rsidRDefault="00725C41" w:rsidP="00CF5DFA"/>
    <w:p w:rsidR="001E2723" w:rsidRPr="006741F2" w:rsidRDefault="00361D5F" w:rsidP="001E2723">
      <w:r>
        <w:rPr>
          <w:noProof/>
        </w:rPr>
        <w:lastRenderedPageBreak/>
        <w:drawing>
          <wp:anchor distT="0" distB="0" distL="114300" distR="114300" simplePos="0" relativeHeight="251658240" behindDoc="1" locked="0" layoutInCell="1" allowOverlap="1">
            <wp:simplePos x="0" y="0"/>
            <wp:positionH relativeFrom="column">
              <wp:posOffset>3219450</wp:posOffset>
            </wp:positionH>
            <wp:positionV relativeFrom="paragraph">
              <wp:posOffset>66675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1750" cy="1295400"/>
                    </a:xfrm>
                    <a:prstGeom prst="rect">
                      <a:avLst/>
                    </a:prstGeom>
                    <a:noFill/>
                    <a:ln w="9525">
                      <a:noFill/>
                      <a:miter lim="800000"/>
                      <a:headEnd/>
                      <a:tailEnd/>
                    </a:ln>
                  </pic:spPr>
                </pic:pic>
              </a:graphicData>
            </a:graphic>
          </wp:anchor>
        </w:drawing>
      </w:r>
      <w:r w:rsidR="00CF5DFA" w:rsidRPr="006741F2">
        <w:tab/>
      </w:r>
      <w:r w:rsidR="00CF5DFA" w:rsidRPr="006741F2">
        <w:tab/>
        <w:t xml:space="preserve"> </w:t>
      </w:r>
    </w:p>
    <w:p w:rsidR="00B0609B" w:rsidRPr="006741F2" w:rsidRDefault="001E2723" w:rsidP="00B0609B">
      <w:pPr>
        <w:rPr>
          <w:b/>
        </w:rPr>
      </w:pPr>
      <w:r w:rsidRPr="006741F2">
        <w:tab/>
      </w:r>
      <w:r w:rsidRPr="006741F2">
        <w:tab/>
      </w:r>
      <w:r w:rsidR="00CF5DFA" w:rsidRPr="006741F2">
        <w:tab/>
      </w:r>
      <w:r w:rsidR="00CF5DFA" w:rsidRPr="006741F2">
        <w:tab/>
      </w:r>
      <w:r w:rsidR="00CF5DFA" w:rsidRPr="006741F2">
        <w:tab/>
      </w:r>
      <w:r w:rsidR="00725C41" w:rsidRPr="006741F2">
        <w:tab/>
      </w:r>
      <w:r w:rsidR="00CF5DFA" w:rsidRPr="006741F2">
        <w:rPr>
          <w:b/>
        </w:rPr>
        <w:t>BY THE COMMISSION</w:t>
      </w:r>
    </w:p>
    <w:p w:rsidR="00B0609B" w:rsidRPr="006741F2" w:rsidRDefault="00B0609B" w:rsidP="00B0609B">
      <w:pPr>
        <w:rPr>
          <w:b/>
        </w:rPr>
      </w:pPr>
    </w:p>
    <w:p w:rsidR="00B0609B" w:rsidRPr="006741F2" w:rsidRDefault="00B0609B" w:rsidP="00B0609B">
      <w:pPr>
        <w:rPr>
          <w:b/>
        </w:rPr>
      </w:pPr>
    </w:p>
    <w:p w:rsidR="00CF5DFA" w:rsidRPr="006741F2" w:rsidRDefault="00B0609B" w:rsidP="00BA098F">
      <w:r w:rsidRPr="006741F2">
        <w:rPr>
          <w:b/>
        </w:rPr>
        <w:tab/>
      </w:r>
      <w:r w:rsidRPr="006741F2">
        <w:tab/>
      </w:r>
      <w:r w:rsidRPr="006741F2">
        <w:tab/>
      </w:r>
      <w:r w:rsidRPr="006741F2">
        <w:tab/>
      </w:r>
      <w:r w:rsidRPr="006741F2">
        <w:tab/>
      </w:r>
      <w:r w:rsidRPr="006741F2">
        <w:tab/>
        <w:t>James J. McNulty, Secretary</w:t>
      </w:r>
      <w:r w:rsidRPr="006741F2">
        <w:tab/>
      </w:r>
      <w:r w:rsidRPr="006741F2">
        <w:tab/>
      </w:r>
      <w:r w:rsidR="00CF5DFA" w:rsidRPr="006741F2">
        <w:t>(SEAL)</w:t>
      </w:r>
    </w:p>
    <w:p w:rsidR="00BA098F" w:rsidRPr="006741F2" w:rsidRDefault="00BA098F" w:rsidP="00725C41">
      <w:pPr>
        <w:keepNext/>
        <w:keepLines/>
        <w:ind w:firstLine="0"/>
      </w:pPr>
    </w:p>
    <w:p w:rsidR="00CF5DFA" w:rsidRPr="006741F2" w:rsidRDefault="00CF5DFA" w:rsidP="00725C41">
      <w:pPr>
        <w:keepNext/>
        <w:keepLines/>
        <w:ind w:firstLine="0"/>
      </w:pPr>
      <w:r w:rsidRPr="006741F2">
        <w:t>ORDER ADOPTED:  June 25, 2009</w:t>
      </w:r>
    </w:p>
    <w:p w:rsidR="00CF5DFA" w:rsidRPr="006741F2" w:rsidRDefault="00CF5DFA" w:rsidP="00725C41">
      <w:pPr>
        <w:keepNext/>
        <w:keepLines/>
        <w:ind w:firstLine="0"/>
      </w:pPr>
      <w:r w:rsidRPr="006741F2">
        <w:t xml:space="preserve">ORDER ENTERED:  </w:t>
      </w:r>
      <w:r w:rsidR="006741F2" w:rsidRPr="00361D5F">
        <w:rPr>
          <w:b/>
        </w:rPr>
        <w:t>August 13, 2009</w:t>
      </w:r>
    </w:p>
    <w:p w:rsidR="00CF5DFA" w:rsidRPr="006741F2" w:rsidRDefault="00CF5DFA" w:rsidP="00CF5DFA"/>
    <w:p w:rsidR="00CF5DFA" w:rsidRPr="006741F2" w:rsidRDefault="00CF5DFA" w:rsidP="00CF5DFA"/>
    <w:p w:rsidR="00653CB2" w:rsidRPr="006741F2" w:rsidRDefault="00892542" w:rsidP="00695A87">
      <w:pPr>
        <w:ind w:firstLine="0"/>
      </w:pPr>
      <w:r w:rsidRPr="006741F2">
        <w:tab/>
      </w:r>
      <w:r w:rsidRPr="006741F2">
        <w:tab/>
      </w:r>
    </w:p>
    <w:sectPr w:rsidR="00653CB2" w:rsidRPr="006741F2" w:rsidSect="00720A54">
      <w:footerReference w:type="defaul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AC7" w:rsidRDefault="001D0AC7" w:rsidP="00235C7F">
      <w:pPr>
        <w:spacing w:line="240" w:lineRule="auto"/>
      </w:pPr>
      <w:r>
        <w:separator/>
      </w:r>
    </w:p>
  </w:endnote>
  <w:endnote w:type="continuationSeparator" w:id="1">
    <w:p w:rsidR="001D0AC7" w:rsidRDefault="001D0AC7" w:rsidP="00235C7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roman"/>
    <w:notTrueType/>
    <w:pitch w:val="default"/>
    <w:sig w:usb0="00000003" w:usb1="00000000" w:usb2="00000000" w:usb3="00000000" w:csb0="00000001" w:csb1="00000000"/>
  </w:font>
  <w:font w:name="Times New (W1)">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328564"/>
      <w:docPartObj>
        <w:docPartGallery w:val="Page Numbers (Bottom of Page)"/>
        <w:docPartUnique/>
      </w:docPartObj>
    </w:sdtPr>
    <w:sdtContent>
      <w:p w:rsidR="00B24E95" w:rsidRDefault="00FA5EDF">
        <w:pPr>
          <w:pStyle w:val="Footer"/>
          <w:jc w:val="center"/>
        </w:pPr>
        <w:fldSimple w:instr=" PAGE   \* MERGEFORMAT ">
          <w:r w:rsidR="00361D5F">
            <w:rPr>
              <w:noProof/>
            </w:rPr>
            <w:t>8</w:t>
          </w:r>
        </w:fldSimple>
      </w:p>
    </w:sdtContent>
  </w:sdt>
  <w:p w:rsidR="00B24E95" w:rsidRDefault="00B24E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E95" w:rsidRDefault="00B24E95">
    <w:pPr>
      <w:pStyle w:val="Footer"/>
      <w:jc w:val="center"/>
    </w:pPr>
  </w:p>
  <w:p w:rsidR="00B24E95" w:rsidRDefault="00B24E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AC7" w:rsidRDefault="001D0AC7" w:rsidP="00235C7F">
      <w:pPr>
        <w:spacing w:line="240" w:lineRule="auto"/>
      </w:pPr>
      <w:r>
        <w:separator/>
      </w:r>
    </w:p>
  </w:footnote>
  <w:footnote w:type="continuationSeparator" w:id="1">
    <w:p w:rsidR="001D0AC7" w:rsidRDefault="001D0AC7" w:rsidP="00235C7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093153"/>
    <w:multiLevelType w:val="hybridMultilevel"/>
    <w:tmpl w:val="CF92CAA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6386"/>
  </w:hdrShapeDefaults>
  <w:footnotePr>
    <w:footnote w:id="0"/>
    <w:footnote w:id="1"/>
  </w:footnotePr>
  <w:endnotePr>
    <w:endnote w:id="0"/>
    <w:endnote w:id="1"/>
  </w:endnotePr>
  <w:compat/>
  <w:rsids>
    <w:rsidRoot w:val="00E000A5"/>
    <w:rsid w:val="000004FF"/>
    <w:rsid w:val="0000097B"/>
    <w:rsid w:val="00002F2A"/>
    <w:rsid w:val="000074DC"/>
    <w:rsid w:val="0001099D"/>
    <w:rsid w:val="00015A01"/>
    <w:rsid w:val="00016CE0"/>
    <w:rsid w:val="0002021C"/>
    <w:rsid w:val="00020E43"/>
    <w:rsid w:val="00024987"/>
    <w:rsid w:val="0002744F"/>
    <w:rsid w:val="000310BE"/>
    <w:rsid w:val="00031E93"/>
    <w:rsid w:val="000378DC"/>
    <w:rsid w:val="00053CED"/>
    <w:rsid w:val="00057057"/>
    <w:rsid w:val="00060B50"/>
    <w:rsid w:val="000610F9"/>
    <w:rsid w:val="00061850"/>
    <w:rsid w:val="0006199E"/>
    <w:rsid w:val="000629CD"/>
    <w:rsid w:val="000634CA"/>
    <w:rsid w:val="00065DB6"/>
    <w:rsid w:val="000673D1"/>
    <w:rsid w:val="000704C3"/>
    <w:rsid w:val="0008328F"/>
    <w:rsid w:val="0008445E"/>
    <w:rsid w:val="00085FFB"/>
    <w:rsid w:val="00086D0B"/>
    <w:rsid w:val="00087D18"/>
    <w:rsid w:val="00092ABD"/>
    <w:rsid w:val="0009781B"/>
    <w:rsid w:val="000A2F11"/>
    <w:rsid w:val="000A35F4"/>
    <w:rsid w:val="000A7F96"/>
    <w:rsid w:val="000B2B80"/>
    <w:rsid w:val="000B3FB4"/>
    <w:rsid w:val="000B4705"/>
    <w:rsid w:val="000C5056"/>
    <w:rsid w:val="000C742F"/>
    <w:rsid w:val="000E4BED"/>
    <w:rsid w:val="000F2540"/>
    <w:rsid w:val="000F2C72"/>
    <w:rsid w:val="000F4144"/>
    <w:rsid w:val="000F6D5A"/>
    <w:rsid w:val="0010013C"/>
    <w:rsid w:val="001006F0"/>
    <w:rsid w:val="00101745"/>
    <w:rsid w:val="00105084"/>
    <w:rsid w:val="00105193"/>
    <w:rsid w:val="00106537"/>
    <w:rsid w:val="00114D80"/>
    <w:rsid w:val="00117F84"/>
    <w:rsid w:val="00124A50"/>
    <w:rsid w:val="0012697D"/>
    <w:rsid w:val="00126C54"/>
    <w:rsid w:val="00131B43"/>
    <w:rsid w:val="00132429"/>
    <w:rsid w:val="00133878"/>
    <w:rsid w:val="0014205C"/>
    <w:rsid w:val="00150989"/>
    <w:rsid w:val="0015662E"/>
    <w:rsid w:val="001572C5"/>
    <w:rsid w:val="0016005F"/>
    <w:rsid w:val="001606BC"/>
    <w:rsid w:val="00163AA3"/>
    <w:rsid w:val="00164715"/>
    <w:rsid w:val="00176A7F"/>
    <w:rsid w:val="00177A43"/>
    <w:rsid w:val="001827DB"/>
    <w:rsid w:val="00185B5E"/>
    <w:rsid w:val="00186887"/>
    <w:rsid w:val="001953AE"/>
    <w:rsid w:val="00197F3D"/>
    <w:rsid w:val="001A4A0C"/>
    <w:rsid w:val="001B7A05"/>
    <w:rsid w:val="001C53B1"/>
    <w:rsid w:val="001D0AC7"/>
    <w:rsid w:val="001D2BAD"/>
    <w:rsid w:val="001D7137"/>
    <w:rsid w:val="001E01C7"/>
    <w:rsid w:val="001E05C6"/>
    <w:rsid w:val="001E2723"/>
    <w:rsid w:val="001E2CFB"/>
    <w:rsid w:val="001E3AB5"/>
    <w:rsid w:val="001E4225"/>
    <w:rsid w:val="001F0488"/>
    <w:rsid w:val="001F55D5"/>
    <w:rsid w:val="001F7B55"/>
    <w:rsid w:val="002112EE"/>
    <w:rsid w:val="00213B95"/>
    <w:rsid w:val="00217C4E"/>
    <w:rsid w:val="002242F7"/>
    <w:rsid w:val="00225BD2"/>
    <w:rsid w:val="00230396"/>
    <w:rsid w:val="00230BAB"/>
    <w:rsid w:val="00232A03"/>
    <w:rsid w:val="0023535F"/>
    <w:rsid w:val="00235C7F"/>
    <w:rsid w:val="00256A4C"/>
    <w:rsid w:val="00264ABB"/>
    <w:rsid w:val="00265BD8"/>
    <w:rsid w:val="00282019"/>
    <w:rsid w:val="002838E3"/>
    <w:rsid w:val="00287BE6"/>
    <w:rsid w:val="002A0E82"/>
    <w:rsid w:val="002A3A6E"/>
    <w:rsid w:val="002A3AC8"/>
    <w:rsid w:val="002A740E"/>
    <w:rsid w:val="002B0089"/>
    <w:rsid w:val="002B3767"/>
    <w:rsid w:val="002B4B0D"/>
    <w:rsid w:val="002C011D"/>
    <w:rsid w:val="002D5C5B"/>
    <w:rsid w:val="002D650D"/>
    <w:rsid w:val="002E0503"/>
    <w:rsid w:val="002F2429"/>
    <w:rsid w:val="00301857"/>
    <w:rsid w:val="003026A8"/>
    <w:rsid w:val="00303915"/>
    <w:rsid w:val="00304ABF"/>
    <w:rsid w:val="0030541E"/>
    <w:rsid w:val="00305684"/>
    <w:rsid w:val="00310CE1"/>
    <w:rsid w:val="0031278E"/>
    <w:rsid w:val="00312C7E"/>
    <w:rsid w:val="00316BFA"/>
    <w:rsid w:val="00322A65"/>
    <w:rsid w:val="0032388C"/>
    <w:rsid w:val="00324791"/>
    <w:rsid w:val="00326A17"/>
    <w:rsid w:val="00330392"/>
    <w:rsid w:val="00337DFD"/>
    <w:rsid w:val="003459E2"/>
    <w:rsid w:val="00353BBC"/>
    <w:rsid w:val="0035474E"/>
    <w:rsid w:val="00357B6E"/>
    <w:rsid w:val="00361D5F"/>
    <w:rsid w:val="003669C8"/>
    <w:rsid w:val="00367F9E"/>
    <w:rsid w:val="003704B1"/>
    <w:rsid w:val="003708CD"/>
    <w:rsid w:val="003742CF"/>
    <w:rsid w:val="0037692B"/>
    <w:rsid w:val="00381C7A"/>
    <w:rsid w:val="0039007A"/>
    <w:rsid w:val="00390FB3"/>
    <w:rsid w:val="00392B85"/>
    <w:rsid w:val="00394901"/>
    <w:rsid w:val="00395EE3"/>
    <w:rsid w:val="003A2FF8"/>
    <w:rsid w:val="003A50AE"/>
    <w:rsid w:val="003A5385"/>
    <w:rsid w:val="003B3893"/>
    <w:rsid w:val="003B3CEA"/>
    <w:rsid w:val="003B561F"/>
    <w:rsid w:val="003B6D2E"/>
    <w:rsid w:val="003B7738"/>
    <w:rsid w:val="003C042A"/>
    <w:rsid w:val="003C0F72"/>
    <w:rsid w:val="003C31AF"/>
    <w:rsid w:val="003C4355"/>
    <w:rsid w:val="003D4638"/>
    <w:rsid w:val="003D6E02"/>
    <w:rsid w:val="003E3836"/>
    <w:rsid w:val="003E73BC"/>
    <w:rsid w:val="003F07AF"/>
    <w:rsid w:val="003F27D1"/>
    <w:rsid w:val="003F287E"/>
    <w:rsid w:val="004023F4"/>
    <w:rsid w:val="00402479"/>
    <w:rsid w:val="004144EE"/>
    <w:rsid w:val="004146BE"/>
    <w:rsid w:val="00414855"/>
    <w:rsid w:val="00415460"/>
    <w:rsid w:val="00415483"/>
    <w:rsid w:val="004622AF"/>
    <w:rsid w:val="00473CA5"/>
    <w:rsid w:val="00480659"/>
    <w:rsid w:val="0048407E"/>
    <w:rsid w:val="0048747D"/>
    <w:rsid w:val="004938FA"/>
    <w:rsid w:val="004949D0"/>
    <w:rsid w:val="0049771B"/>
    <w:rsid w:val="004A2A28"/>
    <w:rsid w:val="004A41B7"/>
    <w:rsid w:val="004A4DFC"/>
    <w:rsid w:val="004A6496"/>
    <w:rsid w:val="004A7831"/>
    <w:rsid w:val="004C13D5"/>
    <w:rsid w:val="004C40E8"/>
    <w:rsid w:val="004C4F45"/>
    <w:rsid w:val="004C749A"/>
    <w:rsid w:val="004D08F5"/>
    <w:rsid w:val="004D5A16"/>
    <w:rsid w:val="004D5E02"/>
    <w:rsid w:val="004D6494"/>
    <w:rsid w:val="004E2710"/>
    <w:rsid w:val="004E58C3"/>
    <w:rsid w:val="004F2112"/>
    <w:rsid w:val="004F2383"/>
    <w:rsid w:val="004F5854"/>
    <w:rsid w:val="00500EDA"/>
    <w:rsid w:val="00503E65"/>
    <w:rsid w:val="00505BA0"/>
    <w:rsid w:val="00505E50"/>
    <w:rsid w:val="00514988"/>
    <w:rsid w:val="00523193"/>
    <w:rsid w:val="00523347"/>
    <w:rsid w:val="00530F5B"/>
    <w:rsid w:val="005310AE"/>
    <w:rsid w:val="005318B9"/>
    <w:rsid w:val="00531E07"/>
    <w:rsid w:val="005321F4"/>
    <w:rsid w:val="005332F5"/>
    <w:rsid w:val="00534A1D"/>
    <w:rsid w:val="00545FB5"/>
    <w:rsid w:val="00555069"/>
    <w:rsid w:val="00560E96"/>
    <w:rsid w:val="0056564F"/>
    <w:rsid w:val="005835AD"/>
    <w:rsid w:val="00592CAB"/>
    <w:rsid w:val="005A08BE"/>
    <w:rsid w:val="005A27DC"/>
    <w:rsid w:val="005A4358"/>
    <w:rsid w:val="005A5F10"/>
    <w:rsid w:val="005A6378"/>
    <w:rsid w:val="005B01F2"/>
    <w:rsid w:val="005B5F54"/>
    <w:rsid w:val="005C123E"/>
    <w:rsid w:val="005D60FF"/>
    <w:rsid w:val="005E0C51"/>
    <w:rsid w:val="005F4A9E"/>
    <w:rsid w:val="005F5031"/>
    <w:rsid w:val="005F5398"/>
    <w:rsid w:val="005F7940"/>
    <w:rsid w:val="00600271"/>
    <w:rsid w:val="006048A3"/>
    <w:rsid w:val="00607554"/>
    <w:rsid w:val="00613C23"/>
    <w:rsid w:val="006158BA"/>
    <w:rsid w:val="00617175"/>
    <w:rsid w:val="00621F3C"/>
    <w:rsid w:val="00623C44"/>
    <w:rsid w:val="00625C7F"/>
    <w:rsid w:val="006301EB"/>
    <w:rsid w:val="00631505"/>
    <w:rsid w:val="00640D08"/>
    <w:rsid w:val="00642A8F"/>
    <w:rsid w:val="0064422C"/>
    <w:rsid w:val="0065242B"/>
    <w:rsid w:val="00652638"/>
    <w:rsid w:val="00653CB2"/>
    <w:rsid w:val="0065707C"/>
    <w:rsid w:val="00660C81"/>
    <w:rsid w:val="00666BF3"/>
    <w:rsid w:val="006709E7"/>
    <w:rsid w:val="0067116A"/>
    <w:rsid w:val="00672851"/>
    <w:rsid w:val="006741F2"/>
    <w:rsid w:val="006811E0"/>
    <w:rsid w:val="00685C47"/>
    <w:rsid w:val="006873CB"/>
    <w:rsid w:val="006878D9"/>
    <w:rsid w:val="00690B33"/>
    <w:rsid w:val="00694B77"/>
    <w:rsid w:val="00695A87"/>
    <w:rsid w:val="006A0550"/>
    <w:rsid w:val="006A0B82"/>
    <w:rsid w:val="006A29BE"/>
    <w:rsid w:val="006A780B"/>
    <w:rsid w:val="006B1632"/>
    <w:rsid w:val="006B460D"/>
    <w:rsid w:val="006C5BFF"/>
    <w:rsid w:val="006C5D46"/>
    <w:rsid w:val="006C5DAF"/>
    <w:rsid w:val="006D0207"/>
    <w:rsid w:val="006D219B"/>
    <w:rsid w:val="006D3169"/>
    <w:rsid w:val="006E0ACD"/>
    <w:rsid w:val="006E50F1"/>
    <w:rsid w:val="006E6867"/>
    <w:rsid w:val="006F32C7"/>
    <w:rsid w:val="006F381F"/>
    <w:rsid w:val="006F4482"/>
    <w:rsid w:val="00702EF7"/>
    <w:rsid w:val="00715D19"/>
    <w:rsid w:val="00717887"/>
    <w:rsid w:val="00717AA6"/>
    <w:rsid w:val="00720A54"/>
    <w:rsid w:val="00721191"/>
    <w:rsid w:val="00722169"/>
    <w:rsid w:val="0072487D"/>
    <w:rsid w:val="00725C41"/>
    <w:rsid w:val="00725E51"/>
    <w:rsid w:val="00737F05"/>
    <w:rsid w:val="00745908"/>
    <w:rsid w:val="007477F4"/>
    <w:rsid w:val="00752F02"/>
    <w:rsid w:val="00754AB5"/>
    <w:rsid w:val="007574BA"/>
    <w:rsid w:val="00757C4B"/>
    <w:rsid w:val="007631E0"/>
    <w:rsid w:val="00770D53"/>
    <w:rsid w:val="00780972"/>
    <w:rsid w:val="00782A7D"/>
    <w:rsid w:val="007A20AD"/>
    <w:rsid w:val="007A7415"/>
    <w:rsid w:val="007B3DF4"/>
    <w:rsid w:val="007B577E"/>
    <w:rsid w:val="007C3E46"/>
    <w:rsid w:val="007D0470"/>
    <w:rsid w:val="007D076F"/>
    <w:rsid w:val="007D3420"/>
    <w:rsid w:val="007D5362"/>
    <w:rsid w:val="007D71F7"/>
    <w:rsid w:val="007E000F"/>
    <w:rsid w:val="007F2956"/>
    <w:rsid w:val="007F2E32"/>
    <w:rsid w:val="00814E45"/>
    <w:rsid w:val="00823BB6"/>
    <w:rsid w:val="00830148"/>
    <w:rsid w:val="008316AD"/>
    <w:rsid w:val="00831855"/>
    <w:rsid w:val="00835121"/>
    <w:rsid w:val="00835AEB"/>
    <w:rsid w:val="00840D0F"/>
    <w:rsid w:val="008445D4"/>
    <w:rsid w:val="008446F1"/>
    <w:rsid w:val="00846FF0"/>
    <w:rsid w:val="0085728C"/>
    <w:rsid w:val="00861FD7"/>
    <w:rsid w:val="0088013C"/>
    <w:rsid w:val="00884452"/>
    <w:rsid w:val="00884A32"/>
    <w:rsid w:val="008905D7"/>
    <w:rsid w:val="00892542"/>
    <w:rsid w:val="00895B87"/>
    <w:rsid w:val="008960B7"/>
    <w:rsid w:val="00896511"/>
    <w:rsid w:val="00896D90"/>
    <w:rsid w:val="008A08D2"/>
    <w:rsid w:val="008A0DE1"/>
    <w:rsid w:val="008A2E7B"/>
    <w:rsid w:val="008B567E"/>
    <w:rsid w:val="008B5B9D"/>
    <w:rsid w:val="008C4AE5"/>
    <w:rsid w:val="008C73D6"/>
    <w:rsid w:val="008D0C62"/>
    <w:rsid w:val="008D2CD6"/>
    <w:rsid w:val="008D4939"/>
    <w:rsid w:val="008E3D60"/>
    <w:rsid w:val="008E7390"/>
    <w:rsid w:val="008F1F00"/>
    <w:rsid w:val="009113AE"/>
    <w:rsid w:val="009259EF"/>
    <w:rsid w:val="00927725"/>
    <w:rsid w:val="00930782"/>
    <w:rsid w:val="00936EC8"/>
    <w:rsid w:val="00947F9D"/>
    <w:rsid w:val="00952049"/>
    <w:rsid w:val="00974568"/>
    <w:rsid w:val="00977973"/>
    <w:rsid w:val="00981F79"/>
    <w:rsid w:val="009850EF"/>
    <w:rsid w:val="009868FC"/>
    <w:rsid w:val="00991A16"/>
    <w:rsid w:val="009961EE"/>
    <w:rsid w:val="009A4D2F"/>
    <w:rsid w:val="009B4E8F"/>
    <w:rsid w:val="009B7FCB"/>
    <w:rsid w:val="009C2436"/>
    <w:rsid w:val="009C79CB"/>
    <w:rsid w:val="009D2FBA"/>
    <w:rsid w:val="009D351E"/>
    <w:rsid w:val="009D7787"/>
    <w:rsid w:val="009E02C9"/>
    <w:rsid w:val="009E2A96"/>
    <w:rsid w:val="009E39DC"/>
    <w:rsid w:val="009E5645"/>
    <w:rsid w:val="009E56B4"/>
    <w:rsid w:val="009F43C3"/>
    <w:rsid w:val="00A043FE"/>
    <w:rsid w:val="00A05916"/>
    <w:rsid w:val="00A07CE6"/>
    <w:rsid w:val="00A1389B"/>
    <w:rsid w:val="00A16EEB"/>
    <w:rsid w:val="00A202EB"/>
    <w:rsid w:val="00A204CC"/>
    <w:rsid w:val="00A2114F"/>
    <w:rsid w:val="00A2216E"/>
    <w:rsid w:val="00A2370B"/>
    <w:rsid w:val="00A31536"/>
    <w:rsid w:val="00A36E14"/>
    <w:rsid w:val="00A4716C"/>
    <w:rsid w:val="00A5412B"/>
    <w:rsid w:val="00A64735"/>
    <w:rsid w:val="00A7322E"/>
    <w:rsid w:val="00A8510A"/>
    <w:rsid w:val="00A860D4"/>
    <w:rsid w:val="00A92240"/>
    <w:rsid w:val="00AA5C5A"/>
    <w:rsid w:val="00AB2C4F"/>
    <w:rsid w:val="00AB59F3"/>
    <w:rsid w:val="00AB5F73"/>
    <w:rsid w:val="00AB6968"/>
    <w:rsid w:val="00AC7204"/>
    <w:rsid w:val="00AD07F3"/>
    <w:rsid w:val="00AD523B"/>
    <w:rsid w:val="00AF0AC1"/>
    <w:rsid w:val="00AF16AA"/>
    <w:rsid w:val="00AF6DD9"/>
    <w:rsid w:val="00B0609B"/>
    <w:rsid w:val="00B07E37"/>
    <w:rsid w:val="00B11B42"/>
    <w:rsid w:val="00B11E5B"/>
    <w:rsid w:val="00B146AF"/>
    <w:rsid w:val="00B20655"/>
    <w:rsid w:val="00B20AC4"/>
    <w:rsid w:val="00B24E95"/>
    <w:rsid w:val="00B32D74"/>
    <w:rsid w:val="00B40231"/>
    <w:rsid w:val="00B419E0"/>
    <w:rsid w:val="00B4266C"/>
    <w:rsid w:val="00B508E9"/>
    <w:rsid w:val="00B52B1B"/>
    <w:rsid w:val="00B531F1"/>
    <w:rsid w:val="00B56E5D"/>
    <w:rsid w:val="00B64C58"/>
    <w:rsid w:val="00B70517"/>
    <w:rsid w:val="00B75BB3"/>
    <w:rsid w:val="00B8045B"/>
    <w:rsid w:val="00B9185F"/>
    <w:rsid w:val="00B9219C"/>
    <w:rsid w:val="00B96A3D"/>
    <w:rsid w:val="00BA098F"/>
    <w:rsid w:val="00BA4EA6"/>
    <w:rsid w:val="00BA657A"/>
    <w:rsid w:val="00BB354F"/>
    <w:rsid w:val="00BB36A8"/>
    <w:rsid w:val="00BB5B0A"/>
    <w:rsid w:val="00BC5C7E"/>
    <w:rsid w:val="00BD1E93"/>
    <w:rsid w:val="00BD27A4"/>
    <w:rsid w:val="00BD57BE"/>
    <w:rsid w:val="00BE1981"/>
    <w:rsid w:val="00BE37E1"/>
    <w:rsid w:val="00BE6BBF"/>
    <w:rsid w:val="00BF5828"/>
    <w:rsid w:val="00C00570"/>
    <w:rsid w:val="00C03981"/>
    <w:rsid w:val="00C04218"/>
    <w:rsid w:val="00C0704F"/>
    <w:rsid w:val="00C07844"/>
    <w:rsid w:val="00C15225"/>
    <w:rsid w:val="00C22F0B"/>
    <w:rsid w:val="00C24DFC"/>
    <w:rsid w:val="00C26422"/>
    <w:rsid w:val="00C26C7C"/>
    <w:rsid w:val="00C3269F"/>
    <w:rsid w:val="00C33541"/>
    <w:rsid w:val="00C41F4A"/>
    <w:rsid w:val="00C4681F"/>
    <w:rsid w:val="00C70497"/>
    <w:rsid w:val="00C869F3"/>
    <w:rsid w:val="00C918DF"/>
    <w:rsid w:val="00C93939"/>
    <w:rsid w:val="00CA1C47"/>
    <w:rsid w:val="00CA63A8"/>
    <w:rsid w:val="00CA6536"/>
    <w:rsid w:val="00CB05FF"/>
    <w:rsid w:val="00CB0B66"/>
    <w:rsid w:val="00CC14C4"/>
    <w:rsid w:val="00CC54C3"/>
    <w:rsid w:val="00CD32A8"/>
    <w:rsid w:val="00CD4730"/>
    <w:rsid w:val="00CD7494"/>
    <w:rsid w:val="00CE186F"/>
    <w:rsid w:val="00CE23AA"/>
    <w:rsid w:val="00CE4799"/>
    <w:rsid w:val="00CE55DA"/>
    <w:rsid w:val="00CE69C0"/>
    <w:rsid w:val="00CF5DFA"/>
    <w:rsid w:val="00D05704"/>
    <w:rsid w:val="00D12493"/>
    <w:rsid w:val="00D14EF9"/>
    <w:rsid w:val="00D23D51"/>
    <w:rsid w:val="00D3501F"/>
    <w:rsid w:val="00D36224"/>
    <w:rsid w:val="00D416AA"/>
    <w:rsid w:val="00D50EE4"/>
    <w:rsid w:val="00D74447"/>
    <w:rsid w:val="00D75DD0"/>
    <w:rsid w:val="00D76810"/>
    <w:rsid w:val="00D76EF3"/>
    <w:rsid w:val="00D77391"/>
    <w:rsid w:val="00D83927"/>
    <w:rsid w:val="00D93600"/>
    <w:rsid w:val="00DA7199"/>
    <w:rsid w:val="00DB07BF"/>
    <w:rsid w:val="00DC07A5"/>
    <w:rsid w:val="00DC134F"/>
    <w:rsid w:val="00DC2DC4"/>
    <w:rsid w:val="00DC5F21"/>
    <w:rsid w:val="00DC6174"/>
    <w:rsid w:val="00DD009F"/>
    <w:rsid w:val="00DD0EEF"/>
    <w:rsid w:val="00DD461A"/>
    <w:rsid w:val="00DD58FD"/>
    <w:rsid w:val="00DD6697"/>
    <w:rsid w:val="00DD7963"/>
    <w:rsid w:val="00DE04D8"/>
    <w:rsid w:val="00DE06E8"/>
    <w:rsid w:val="00DE5101"/>
    <w:rsid w:val="00DE7AB3"/>
    <w:rsid w:val="00DF0036"/>
    <w:rsid w:val="00DF0724"/>
    <w:rsid w:val="00DF146C"/>
    <w:rsid w:val="00DF7AAA"/>
    <w:rsid w:val="00E000A5"/>
    <w:rsid w:val="00E05C7D"/>
    <w:rsid w:val="00E064FC"/>
    <w:rsid w:val="00E1053D"/>
    <w:rsid w:val="00E12301"/>
    <w:rsid w:val="00E13CEA"/>
    <w:rsid w:val="00E14272"/>
    <w:rsid w:val="00E240F1"/>
    <w:rsid w:val="00E25274"/>
    <w:rsid w:val="00E26111"/>
    <w:rsid w:val="00E266C1"/>
    <w:rsid w:val="00E26E0C"/>
    <w:rsid w:val="00E302B8"/>
    <w:rsid w:val="00E375EE"/>
    <w:rsid w:val="00E412C8"/>
    <w:rsid w:val="00E42464"/>
    <w:rsid w:val="00E46C3A"/>
    <w:rsid w:val="00E52123"/>
    <w:rsid w:val="00E54B68"/>
    <w:rsid w:val="00E5737B"/>
    <w:rsid w:val="00E57997"/>
    <w:rsid w:val="00E614A7"/>
    <w:rsid w:val="00E63A60"/>
    <w:rsid w:val="00E741A1"/>
    <w:rsid w:val="00E849FB"/>
    <w:rsid w:val="00E9272A"/>
    <w:rsid w:val="00E93FDD"/>
    <w:rsid w:val="00E94F01"/>
    <w:rsid w:val="00E966E3"/>
    <w:rsid w:val="00E968B2"/>
    <w:rsid w:val="00EA086B"/>
    <w:rsid w:val="00EA1B47"/>
    <w:rsid w:val="00EA4EBA"/>
    <w:rsid w:val="00EB5663"/>
    <w:rsid w:val="00EB5DBD"/>
    <w:rsid w:val="00EB7736"/>
    <w:rsid w:val="00EC4AB0"/>
    <w:rsid w:val="00EC56D6"/>
    <w:rsid w:val="00EC5EF0"/>
    <w:rsid w:val="00ED785A"/>
    <w:rsid w:val="00ED7F27"/>
    <w:rsid w:val="00EF1579"/>
    <w:rsid w:val="00F07424"/>
    <w:rsid w:val="00F147F9"/>
    <w:rsid w:val="00F167EB"/>
    <w:rsid w:val="00F177E3"/>
    <w:rsid w:val="00F24C1C"/>
    <w:rsid w:val="00F27111"/>
    <w:rsid w:val="00F332CF"/>
    <w:rsid w:val="00F3684A"/>
    <w:rsid w:val="00F409F0"/>
    <w:rsid w:val="00F50C10"/>
    <w:rsid w:val="00F52C7E"/>
    <w:rsid w:val="00F5729E"/>
    <w:rsid w:val="00F64418"/>
    <w:rsid w:val="00F66196"/>
    <w:rsid w:val="00F66AF2"/>
    <w:rsid w:val="00F93027"/>
    <w:rsid w:val="00F96208"/>
    <w:rsid w:val="00FA1E4A"/>
    <w:rsid w:val="00FA4F12"/>
    <w:rsid w:val="00FA5EDF"/>
    <w:rsid w:val="00FB0722"/>
    <w:rsid w:val="00FB1D58"/>
    <w:rsid w:val="00FB2808"/>
    <w:rsid w:val="00FB65AC"/>
    <w:rsid w:val="00FC4BD9"/>
    <w:rsid w:val="00FC4D9A"/>
    <w:rsid w:val="00FC71E8"/>
    <w:rsid w:val="00FC739A"/>
    <w:rsid w:val="00FD2521"/>
    <w:rsid w:val="00FD2B91"/>
    <w:rsid w:val="00FD5BB3"/>
    <w:rsid w:val="00FE0C89"/>
    <w:rsid w:val="00FE3446"/>
    <w:rsid w:val="00FE4072"/>
    <w:rsid w:val="00FF0555"/>
    <w:rsid w:val="00FF4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360" w:lineRule="auto"/>
        <w:ind w:firstLine="1440"/>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0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5A27DC"/>
    <w:pPr>
      <w:tabs>
        <w:tab w:val="left" w:pos="-720"/>
      </w:tabs>
      <w:suppressAutoHyphens/>
      <w:autoSpaceDE w:val="0"/>
      <w:autoSpaceDN w:val="0"/>
      <w:spacing w:line="240" w:lineRule="auto"/>
    </w:pPr>
    <w:rPr>
      <w:rFonts w:ascii="CG Times" w:hAnsi="CG Times" w:cs="CG Times"/>
      <w:sz w:val="24"/>
      <w:szCs w:val="24"/>
    </w:rPr>
  </w:style>
  <w:style w:type="paragraph" w:styleId="Header">
    <w:name w:val="header"/>
    <w:basedOn w:val="Normal"/>
    <w:link w:val="HeaderChar"/>
    <w:rsid w:val="005A27DC"/>
    <w:pPr>
      <w:tabs>
        <w:tab w:val="center" w:pos="4320"/>
        <w:tab w:val="right" w:pos="8640"/>
      </w:tabs>
      <w:autoSpaceDE w:val="0"/>
      <w:autoSpaceDN w:val="0"/>
      <w:spacing w:line="240" w:lineRule="auto"/>
      <w:ind w:firstLine="0"/>
    </w:pPr>
    <w:rPr>
      <w:rFonts w:ascii="CG Times" w:hAnsi="CG Times" w:cs="CG Times"/>
    </w:rPr>
  </w:style>
  <w:style w:type="character" w:customStyle="1" w:styleId="HeaderChar">
    <w:name w:val="Header Char"/>
    <w:basedOn w:val="DefaultParagraphFont"/>
    <w:link w:val="Header"/>
    <w:rsid w:val="005A27DC"/>
    <w:rPr>
      <w:rFonts w:ascii="CG Times" w:hAnsi="CG Times" w:cs="CG Times"/>
      <w:sz w:val="24"/>
      <w:szCs w:val="24"/>
    </w:rPr>
  </w:style>
  <w:style w:type="paragraph" w:styleId="BodyText">
    <w:name w:val="Body Text"/>
    <w:basedOn w:val="Normal"/>
    <w:link w:val="BodyTextChar"/>
    <w:rsid w:val="005A27DC"/>
    <w:pPr>
      <w:autoSpaceDE w:val="0"/>
      <w:autoSpaceDN w:val="0"/>
      <w:spacing w:after="120" w:line="240" w:lineRule="auto"/>
      <w:ind w:firstLine="0"/>
    </w:pPr>
    <w:rPr>
      <w:rFonts w:ascii="CG Times" w:hAnsi="CG Times" w:cs="CG Times"/>
    </w:rPr>
  </w:style>
  <w:style w:type="character" w:customStyle="1" w:styleId="BodyTextChar">
    <w:name w:val="Body Text Char"/>
    <w:basedOn w:val="DefaultParagraphFont"/>
    <w:link w:val="BodyText"/>
    <w:rsid w:val="005A27DC"/>
    <w:rPr>
      <w:rFonts w:ascii="CG Times" w:hAnsi="CG Times" w:cs="CG Times"/>
      <w:sz w:val="24"/>
      <w:szCs w:val="24"/>
    </w:rPr>
  </w:style>
  <w:style w:type="paragraph" w:customStyle="1" w:styleId="TxBrp3">
    <w:name w:val="TxBr_p3"/>
    <w:basedOn w:val="Normal"/>
    <w:rsid w:val="00EB5663"/>
    <w:pPr>
      <w:autoSpaceDE w:val="0"/>
      <w:autoSpaceDN w:val="0"/>
      <w:adjustRightInd w:val="0"/>
    </w:pPr>
    <w:rPr>
      <w:rFonts w:cs="Arial"/>
      <w:sz w:val="26"/>
      <w:szCs w:val="26"/>
    </w:rPr>
  </w:style>
  <w:style w:type="paragraph" w:styleId="Footer">
    <w:name w:val="footer"/>
    <w:basedOn w:val="Normal"/>
    <w:link w:val="FooterChar"/>
    <w:uiPriority w:val="99"/>
    <w:rsid w:val="00235C7F"/>
    <w:pPr>
      <w:tabs>
        <w:tab w:val="center" w:pos="4680"/>
        <w:tab w:val="right" w:pos="9360"/>
      </w:tabs>
      <w:spacing w:line="240" w:lineRule="auto"/>
    </w:pPr>
  </w:style>
  <w:style w:type="character" w:customStyle="1" w:styleId="FooterChar">
    <w:name w:val="Footer Char"/>
    <w:basedOn w:val="DefaultParagraphFont"/>
    <w:link w:val="Footer"/>
    <w:uiPriority w:val="99"/>
    <w:rsid w:val="00235C7F"/>
    <w:rPr>
      <w:sz w:val="24"/>
      <w:szCs w:val="24"/>
    </w:rPr>
  </w:style>
  <w:style w:type="paragraph" w:styleId="BalloonText">
    <w:name w:val="Balloon Text"/>
    <w:basedOn w:val="Normal"/>
    <w:link w:val="BalloonTextChar"/>
    <w:rsid w:val="00361D5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61D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750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cpenningto</dc:creator>
  <cp:keywords/>
  <dc:description/>
  <cp:lastModifiedBy>joyce marie farner</cp:lastModifiedBy>
  <cp:revision>3</cp:revision>
  <cp:lastPrinted>2009-08-13T13:26:00Z</cp:lastPrinted>
  <dcterms:created xsi:type="dcterms:W3CDTF">2009-08-12T19:17:00Z</dcterms:created>
  <dcterms:modified xsi:type="dcterms:W3CDTF">2009-08-13T13:26:00Z</dcterms:modified>
</cp:coreProperties>
</file>