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2E6C00" w:rsidRPr="00D8760E" w:rsidTr="00A6185B">
        <w:trPr>
          <w:trHeight w:val="990"/>
        </w:trPr>
        <w:tc>
          <w:tcPr>
            <w:tcW w:w="1363" w:type="dxa"/>
          </w:tcPr>
          <w:p w:rsidR="002E6C00" w:rsidRPr="00D8760E" w:rsidRDefault="002E6C00" w:rsidP="00A6185B">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E6C00" w:rsidRPr="00D8760E" w:rsidRDefault="002E6C00" w:rsidP="00A6185B">
            <w:pPr>
              <w:tabs>
                <w:tab w:val="left" w:pos="2505"/>
              </w:tabs>
              <w:suppressAutoHyphens/>
              <w:rPr>
                <w:rFonts w:ascii="Arial" w:hAnsi="Arial"/>
                <w:color w:val="000080"/>
                <w:spacing w:val="-3"/>
                <w:sz w:val="26"/>
              </w:rPr>
            </w:pPr>
            <w:r>
              <w:rPr>
                <w:rFonts w:ascii="Arial" w:hAnsi="Arial"/>
                <w:color w:val="000080"/>
                <w:spacing w:val="-3"/>
                <w:sz w:val="26"/>
              </w:rPr>
              <w:tab/>
            </w:r>
          </w:p>
          <w:p w:rsidR="002E6C00" w:rsidRPr="00D8760E" w:rsidRDefault="002E6C00" w:rsidP="00A6185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2E6C00" w:rsidRPr="00D8760E" w:rsidRDefault="002E6C00" w:rsidP="00A6185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2E6C00" w:rsidRPr="00D8760E" w:rsidRDefault="002E6C00" w:rsidP="00A6185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rPr>
                <w:rFonts w:ascii="Arial" w:hAnsi="Arial"/>
                <w:sz w:val="12"/>
              </w:rPr>
            </w:pPr>
          </w:p>
          <w:p w:rsidR="002E6C00" w:rsidRPr="00D8760E" w:rsidRDefault="002E6C00" w:rsidP="00A6185B">
            <w:pPr>
              <w:jc w:val="right"/>
              <w:rPr>
                <w:rFonts w:ascii="Arial" w:hAnsi="Arial"/>
                <w:sz w:val="12"/>
              </w:rPr>
            </w:pPr>
            <w:r w:rsidRPr="00D8760E">
              <w:rPr>
                <w:rFonts w:ascii="Arial" w:hAnsi="Arial"/>
                <w:b/>
                <w:spacing w:val="-1"/>
                <w:sz w:val="12"/>
              </w:rPr>
              <w:t>IN REPLY PLEASE REFER TO OUR FILE</w:t>
            </w:r>
          </w:p>
        </w:tc>
      </w:tr>
    </w:tbl>
    <w:p w:rsidR="002E6C00" w:rsidRDefault="002E6C00" w:rsidP="002E6C00">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2E6C00" w:rsidRPr="00282026" w:rsidRDefault="002E6C00" w:rsidP="002E6C00">
      <w:pPr>
        <w:ind w:left="-360" w:right="-720"/>
        <w:rPr>
          <w:rFonts w:ascii="Arial" w:hAnsi="Arial" w:cs="Arial"/>
          <w:b/>
          <w:color w:val="FF0000"/>
        </w:rPr>
      </w:pPr>
      <w:r w:rsidRPr="00991C8E">
        <w:rPr>
          <w:rFonts w:ascii="Arial" w:hAnsi="Arial" w:cs="Arial"/>
          <w:b/>
          <w:u w:val="single"/>
        </w:rPr>
        <w:t>PRESS RELEASE</w:t>
      </w:r>
    </w:p>
    <w:p w:rsidR="002E6C00" w:rsidRPr="00991C8E" w:rsidRDefault="002E6C00" w:rsidP="002E6C00">
      <w:pPr>
        <w:ind w:left="-360" w:right="-720"/>
        <w:rPr>
          <w:rFonts w:ascii="Arial" w:hAnsi="Arial" w:cs="Arial"/>
        </w:rPr>
      </w:pPr>
      <w:r w:rsidRPr="004F5E18">
        <w:rPr>
          <w:rFonts w:ascii="Arial" w:hAnsi="Arial" w:cs="Arial"/>
        </w:rPr>
        <w:t xml:space="preserve">Date: </w:t>
      </w:r>
      <w:r w:rsidRPr="004F5E18">
        <w:rPr>
          <w:rFonts w:ascii="Arial" w:hAnsi="Arial" w:cs="Arial"/>
        </w:rPr>
        <w:tab/>
      </w:r>
      <w:r w:rsidR="0014237B">
        <w:rPr>
          <w:rFonts w:ascii="Arial" w:hAnsi="Arial" w:cs="Arial"/>
        </w:rPr>
        <w:t>Aug. 6</w:t>
      </w:r>
      <w:r w:rsidR="005E4A20" w:rsidRPr="004F5E18">
        <w:rPr>
          <w:rFonts w:ascii="Arial" w:hAnsi="Arial" w:cs="Arial"/>
        </w:rPr>
        <w:t>,</w:t>
      </w:r>
      <w:r w:rsidRPr="004F5E18">
        <w:rPr>
          <w:rFonts w:ascii="Arial" w:hAnsi="Arial" w:cs="Arial"/>
        </w:rPr>
        <w:t xml:space="preserve"> 2009</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91C8E">
        <w:rPr>
          <w:rFonts w:ascii="Arial" w:hAnsi="Arial" w:cs="Arial"/>
        </w:rPr>
        <w:tab/>
      </w:r>
    </w:p>
    <w:p w:rsidR="002E6C00" w:rsidRDefault="002E6C00" w:rsidP="002E6C00">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 xml:space="preserve">Jennifer Kocher, Press Secretary </w:t>
      </w:r>
    </w:p>
    <w:p w:rsidR="002E6C00" w:rsidRPr="00362D61" w:rsidRDefault="002E6C00" w:rsidP="002E6C00">
      <w:pPr>
        <w:ind w:left="-360" w:right="-720"/>
        <w:rPr>
          <w:rFonts w:ascii="Arial" w:hAnsi="Arial"/>
        </w:rPr>
      </w:pPr>
      <w:r>
        <w:rPr>
          <w:rFonts w:ascii="Arial" w:hAnsi="Arial" w:cs="Arial"/>
        </w:rPr>
        <w:tab/>
      </w:r>
      <w:r>
        <w:rPr>
          <w:rFonts w:ascii="Arial" w:hAnsi="Arial" w:cs="Arial"/>
        </w:rPr>
        <w:tab/>
        <w:t xml:space="preserve">(717)787-5722 or </w:t>
      </w:r>
      <w:hyperlink r:id="rId8" w:history="1">
        <w:r w:rsidRPr="006230E5">
          <w:rPr>
            <w:rStyle w:val="Hyperlink"/>
            <w:rFonts w:ascii="Arial" w:hAnsi="Arial" w:cs="Arial"/>
          </w:rPr>
          <w:t>jekocher@state.pa.us</w:t>
        </w:r>
      </w:hyperlink>
      <w:r>
        <w:rPr>
          <w:rFonts w:ascii="Arial" w:hAnsi="Arial" w:cs="Arial"/>
        </w:rPr>
        <w:t xml:space="preserve">    </w:t>
      </w:r>
    </w:p>
    <w:p w:rsidR="002E6C00" w:rsidRPr="004222A2" w:rsidRDefault="002E6C00" w:rsidP="00124B92">
      <w:pPr>
        <w:ind w:left="-360" w:right="-360" w:firstLine="630"/>
        <w:jc w:val="center"/>
        <w:rPr>
          <w:rFonts w:ascii="Arial" w:hAnsi="Arial" w:cs="Arial"/>
          <w:b/>
        </w:rPr>
      </w:pPr>
      <w:r w:rsidRPr="002E0277">
        <w:rPr>
          <w:rFonts w:ascii="Arial" w:hAnsi="Arial" w:cs="Arial"/>
          <w:b/>
          <w:color w:val="000000"/>
        </w:rPr>
        <w:br/>
      </w:r>
      <w:r w:rsidR="009E5232">
        <w:rPr>
          <w:rFonts w:ascii="Arial" w:hAnsi="Arial" w:cs="Arial"/>
          <w:b/>
        </w:rPr>
        <w:t xml:space="preserve">PUC </w:t>
      </w:r>
      <w:r w:rsidR="00A40D1C">
        <w:rPr>
          <w:rFonts w:ascii="Arial" w:hAnsi="Arial" w:cs="Arial"/>
          <w:b/>
        </w:rPr>
        <w:t xml:space="preserve">Tentatively Approves a </w:t>
      </w:r>
      <w:r w:rsidR="004222A2" w:rsidRPr="004222A2">
        <w:rPr>
          <w:rFonts w:ascii="Arial" w:hAnsi="Arial" w:cs="Arial"/>
          <w:b/>
        </w:rPr>
        <w:t>Partial Settlement to Move PECO CFL Program Portion of Act 129 Plan Forward</w:t>
      </w:r>
    </w:p>
    <w:p w:rsidR="002E6C00" w:rsidRDefault="002E6C00" w:rsidP="005E4A20">
      <w:pPr>
        <w:ind w:left="-360" w:right="-630" w:firstLine="630"/>
      </w:pPr>
    </w:p>
    <w:p w:rsidR="004222A2" w:rsidRPr="004222A2" w:rsidRDefault="002E6C00" w:rsidP="004509F3">
      <w:pPr>
        <w:spacing w:after="240"/>
        <w:ind w:left="-360" w:right="-634" w:firstLine="634"/>
        <w:rPr>
          <w:rFonts w:ascii="Arial" w:hAnsi="Arial" w:cs="Arial"/>
        </w:rPr>
      </w:pPr>
      <w:r w:rsidRPr="00C32956">
        <w:rPr>
          <w:rFonts w:ascii="Arial" w:hAnsi="Arial"/>
        </w:rPr>
        <w:t>HARRISBURG –</w:t>
      </w:r>
      <w:r w:rsidR="004222A2">
        <w:rPr>
          <w:rFonts w:ascii="Arial" w:hAnsi="Arial"/>
        </w:rPr>
        <w:t xml:space="preserve"> </w:t>
      </w:r>
      <w:r w:rsidR="004222A2" w:rsidRPr="004222A2">
        <w:rPr>
          <w:rFonts w:ascii="Arial" w:hAnsi="Arial" w:cs="Arial"/>
        </w:rPr>
        <w:t xml:space="preserve">The Pennsylvania Public Utility Commission (PUC) today </w:t>
      </w:r>
      <w:r w:rsidR="00A40D1C">
        <w:rPr>
          <w:rFonts w:ascii="Arial" w:hAnsi="Arial" w:cs="Arial"/>
        </w:rPr>
        <w:t xml:space="preserve">tentatively approved </w:t>
      </w:r>
      <w:r w:rsidR="004222A2" w:rsidRPr="004222A2">
        <w:rPr>
          <w:rFonts w:ascii="Arial" w:hAnsi="Arial" w:cs="Arial"/>
        </w:rPr>
        <w:t>a partial settlement that calls for the expedited approval of the CFL program in PECO’s Act 129 energy efficiency and conservation plan (EE&amp;C).</w:t>
      </w:r>
    </w:p>
    <w:p w:rsidR="004222A2" w:rsidRPr="004222A2" w:rsidRDefault="004222A2" w:rsidP="004509F3">
      <w:pPr>
        <w:spacing w:after="240"/>
        <w:ind w:left="-360" w:right="-634" w:firstLine="634"/>
        <w:rPr>
          <w:rFonts w:ascii="Arial" w:hAnsi="Arial" w:cs="Arial"/>
        </w:rPr>
      </w:pPr>
      <w:r w:rsidRPr="004222A2">
        <w:rPr>
          <w:rFonts w:ascii="Arial" w:hAnsi="Arial" w:cs="Arial"/>
        </w:rPr>
        <w:t xml:space="preserve">“In my opinion, it is important the Commission do everything in its power to assist the Commonwealth’s electric distribution companies (EDCs) in achieving their Act 129 goals, particularly in instances when the EDCs can enhance their plans with little or no additional incremental costs to customers,” said Commissioner Robert F. Powelson in a </w:t>
      </w:r>
      <w:hyperlink r:id="rId9" w:history="1">
        <w:r w:rsidRPr="007D5357">
          <w:rPr>
            <w:rStyle w:val="Hyperlink"/>
            <w:rFonts w:ascii="Arial" w:hAnsi="Arial" w:cs="Arial"/>
          </w:rPr>
          <w:t>motion</w:t>
        </w:r>
      </w:hyperlink>
      <w:r w:rsidRPr="004222A2">
        <w:rPr>
          <w:rFonts w:ascii="Arial" w:hAnsi="Arial" w:cs="Arial"/>
        </w:rPr>
        <w:t>. “These goals are too important for us to simply act as regulators; we must also act as partners with EDCs to the extent possible and appropriate.”</w:t>
      </w:r>
    </w:p>
    <w:p w:rsidR="004222A2" w:rsidRPr="004222A2" w:rsidRDefault="00DF786B" w:rsidP="004509F3">
      <w:pPr>
        <w:spacing w:after="240"/>
        <w:ind w:left="-360" w:right="-634" w:firstLine="634"/>
        <w:rPr>
          <w:rFonts w:ascii="Arial" w:hAnsi="Arial" w:cs="Arial"/>
        </w:rPr>
      </w:pPr>
      <w:r>
        <w:rPr>
          <w:rFonts w:ascii="Arial" w:hAnsi="Arial" w:cs="Arial"/>
        </w:rPr>
        <w:t>The Commission voted 5-0</w:t>
      </w:r>
      <w:r w:rsidR="00410F43">
        <w:rPr>
          <w:rFonts w:ascii="Arial" w:hAnsi="Arial" w:cs="Arial"/>
        </w:rPr>
        <w:t xml:space="preserve"> to</w:t>
      </w:r>
      <w:r w:rsidR="004222A2" w:rsidRPr="004222A2">
        <w:rPr>
          <w:rFonts w:ascii="Arial" w:hAnsi="Arial" w:cs="Arial"/>
        </w:rPr>
        <w:t xml:space="preserve"> </w:t>
      </w:r>
      <w:r w:rsidR="00467D6D">
        <w:rPr>
          <w:rFonts w:ascii="Arial" w:hAnsi="Arial" w:cs="Arial"/>
        </w:rPr>
        <w:t>tentatively approve</w:t>
      </w:r>
      <w:r w:rsidR="00A40D1C">
        <w:rPr>
          <w:rFonts w:ascii="Arial" w:hAnsi="Arial" w:cs="Arial"/>
        </w:rPr>
        <w:t xml:space="preserve"> a</w:t>
      </w:r>
      <w:r w:rsidR="004222A2" w:rsidRPr="004222A2">
        <w:rPr>
          <w:rFonts w:ascii="Arial" w:hAnsi="Arial" w:cs="Arial"/>
        </w:rPr>
        <w:t xml:space="preserve"> partial settlement that provides for early approval of PECO’s CFL initiative in order to participate in the 2009 ENERGY STAR “Change a Light, Change the World” program. The CFL portion of PECO’s plan represents about 60 percent of its projected savings for the first year of the EE&amp;C plan. PECO projects $158 million in total benefits from the CFL program with an estimated cost of about $47 million.</w:t>
      </w:r>
    </w:p>
    <w:p w:rsidR="004222A2" w:rsidRPr="004222A2" w:rsidRDefault="004222A2" w:rsidP="004509F3">
      <w:pPr>
        <w:spacing w:after="240"/>
        <w:ind w:left="-360" w:right="-634" w:firstLine="634"/>
        <w:rPr>
          <w:rFonts w:ascii="Arial" w:hAnsi="Arial" w:cs="Arial"/>
        </w:rPr>
      </w:pPr>
      <w:r w:rsidRPr="004222A2">
        <w:rPr>
          <w:rFonts w:ascii="Arial" w:hAnsi="Arial" w:cs="Arial"/>
        </w:rPr>
        <w:t>The partial settlement addresses only the CFL portion of the company’s overall EE&amp;C proposal before the Commission for consideration. Under the partial settlement, the costs of the program are deferred for later consideration.</w:t>
      </w:r>
    </w:p>
    <w:p w:rsidR="004222A2" w:rsidRPr="004222A2" w:rsidRDefault="004222A2" w:rsidP="004509F3">
      <w:pPr>
        <w:spacing w:after="240"/>
        <w:ind w:left="-360" w:right="-634" w:firstLine="634"/>
        <w:rPr>
          <w:rFonts w:ascii="Arial" w:hAnsi="Arial" w:cs="Arial"/>
        </w:rPr>
      </w:pPr>
      <w:r w:rsidRPr="004222A2">
        <w:rPr>
          <w:rFonts w:ascii="Arial" w:hAnsi="Arial" w:cs="Arial"/>
        </w:rPr>
        <w:t xml:space="preserve"> The partial settlement was reached between PECO and interveners in the company’s EE&amp;C plan such as the Office of Consumer Advocate, the PUC’s Office of Trial Staff, the City of Philadelphia and </w:t>
      </w:r>
      <w:r w:rsidR="002F6351" w:rsidRPr="004222A2">
        <w:rPr>
          <w:rFonts w:ascii="Arial" w:hAnsi="Arial" w:cs="Arial"/>
        </w:rPr>
        <w:t>Citizens</w:t>
      </w:r>
      <w:r w:rsidRPr="004222A2">
        <w:rPr>
          <w:rFonts w:ascii="Arial" w:hAnsi="Arial" w:cs="Arial"/>
        </w:rPr>
        <w:t xml:space="preserve"> for Pennsylvania’s Future. </w:t>
      </w:r>
      <w:r w:rsidR="00892E2F">
        <w:rPr>
          <w:rFonts w:ascii="Arial" w:hAnsi="Arial" w:cs="Arial"/>
        </w:rPr>
        <w:t xml:space="preserve">Those interveners who were not a part of the partial settlement have indicated they </w:t>
      </w:r>
      <w:r w:rsidR="007C5678">
        <w:rPr>
          <w:rFonts w:ascii="Arial" w:hAnsi="Arial" w:cs="Arial"/>
        </w:rPr>
        <w:t>do</w:t>
      </w:r>
      <w:r w:rsidR="00892E2F">
        <w:rPr>
          <w:rFonts w:ascii="Arial" w:hAnsi="Arial" w:cs="Arial"/>
        </w:rPr>
        <w:t xml:space="preserve"> not oppose it.</w:t>
      </w:r>
    </w:p>
    <w:p w:rsidR="004222A2" w:rsidRPr="004222A2" w:rsidRDefault="00D34E2C" w:rsidP="004509F3">
      <w:pPr>
        <w:spacing w:after="240"/>
        <w:ind w:left="-360" w:right="-634" w:firstLine="634"/>
        <w:rPr>
          <w:rFonts w:ascii="Arial" w:hAnsi="Arial" w:cs="Arial"/>
        </w:rPr>
      </w:pPr>
      <w:r>
        <w:rPr>
          <w:rFonts w:ascii="Arial" w:hAnsi="Arial" w:cs="Arial"/>
        </w:rPr>
        <w:t>The comment period for the overall EE&amp;C plan ends Aug. 7, 2009.</w:t>
      </w:r>
      <w:r w:rsidR="004222A2" w:rsidRPr="004222A2">
        <w:rPr>
          <w:rFonts w:ascii="Arial" w:hAnsi="Arial" w:cs="Arial"/>
        </w:rPr>
        <w:t xml:space="preserve"> If no adverse comment or answers are filed </w:t>
      </w:r>
      <w:r w:rsidR="00D406BF">
        <w:rPr>
          <w:rFonts w:ascii="Arial" w:hAnsi="Arial" w:cs="Arial"/>
        </w:rPr>
        <w:t>during that comment period</w:t>
      </w:r>
      <w:r w:rsidR="004222A2" w:rsidRPr="004222A2">
        <w:rPr>
          <w:rFonts w:ascii="Arial" w:hAnsi="Arial" w:cs="Arial"/>
        </w:rPr>
        <w:t>, the partial settlement will become effective with no further action by the Commission. If adverse comments or answers are filed, the settlement is denied and referred back to the PUC’s Office of Administrative Law Judge for further proceedings.</w:t>
      </w:r>
    </w:p>
    <w:p w:rsidR="004222A2" w:rsidRPr="004222A2" w:rsidRDefault="004222A2" w:rsidP="004509F3">
      <w:pPr>
        <w:spacing w:after="240"/>
        <w:ind w:left="-360" w:right="-634" w:firstLine="634"/>
        <w:rPr>
          <w:rFonts w:ascii="Arial" w:hAnsi="Arial" w:cs="Arial"/>
        </w:rPr>
      </w:pPr>
      <w:r w:rsidRPr="004222A2">
        <w:rPr>
          <w:rFonts w:ascii="Arial" w:hAnsi="Arial" w:cs="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4222A2" w:rsidRPr="004222A2" w:rsidRDefault="004222A2" w:rsidP="004509F3">
      <w:pPr>
        <w:spacing w:after="240"/>
        <w:ind w:left="-360" w:right="-634" w:firstLine="634"/>
        <w:rPr>
          <w:rFonts w:ascii="Arial" w:hAnsi="Arial" w:cs="Arial"/>
        </w:rPr>
      </w:pPr>
      <w:r w:rsidRPr="004222A2">
        <w:rPr>
          <w:rFonts w:ascii="Arial" w:hAnsi="Arial" w:cs="Arial"/>
        </w:rPr>
        <w:lastRenderedPageBreak/>
        <w:t xml:space="preserve">Under Act 129, the seven including PECO largest Pennsylvania EDCs were required to file plans detailing how they intend to achieve consumption and peak demand reductions.  The EE&amp;C plans were to be designed to help the EDCs meet established electricity consumption reduction </w:t>
      </w:r>
      <w:hyperlink r:id="rId10" w:history="1">
        <w:r w:rsidRPr="004222A2">
          <w:rPr>
            <w:rStyle w:val="Hyperlink"/>
            <w:rFonts w:ascii="Arial" w:hAnsi="Arial" w:cs="Arial"/>
          </w:rPr>
          <w:t>targets</w:t>
        </w:r>
      </w:hyperlink>
      <w:r w:rsidRPr="004222A2">
        <w:rPr>
          <w:rFonts w:ascii="Arial" w:hAnsi="Arial" w:cs="Arial"/>
        </w:rPr>
        <w:t xml:space="preserve"> of 1 percent by May 31, 2011, and 3 percent by May 31, 2013. The EDCs also are required to meet a 4.5 percent reduction in peak demand by May 31, 2013. Peak demand is defined as the systems top 100 hours of highest demand.</w:t>
      </w:r>
    </w:p>
    <w:p w:rsidR="004222A2" w:rsidRPr="004222A2" w:rsidRDefault="004222A2" w:rsidP="004509F3">
      <w:pPr>
        <w:spacing w:after="240"/>
        <w:ind w:left="-360" w:right="-634" w:firstLine="634"/>
        <w:rPr>
          <w:rFonts w:ascii="Arial" w:hAnsi="Arial" w:cs="Arial"/>
        </w:rPr>
      </w:pPr>
      <w:r w:rsidRPr="004222A2">
        <w:rPr>
          <w:rFonts w:ascii="Arial" w:hAnsi="Arial" w:cs="Arial"/>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1" w:history="1">
        <w:r w:rsidRPr="004222A2">
          <w:rPr>
            <w:rStyle w:val="Hyperlink"/>
            <w:rFonts w:ascii="Arial" w:hAnsi="Arial" w:cs="Arial"/>
          </w:rPr>
          <w:t>www.puc.state.pa.us</w:t>
        </w:r>
      </w:hyperlink>
      <w:r w:rsidRPr="004222A2">
        <w:rPr>
          <w:rFonts w:ascii="Arial" w:hAnsi="Arial" w:cs="Arial"/>
        </w:rPr>
        <w:t>.</w:t>
      </w:r>
    </w:p>
    <w:p w:rsidR="004222A2" w:rsidRPr="004222A2" w:rsidRDefault="004222A2" w:rsidP="004509F3">
      <w:pPr>
        <w:spacing w:after="240"/>
        <w:ind w:left="-360" w:right="-634" w:firstLine="634"/>
        <w:rPr>
          <w:rFonts w:ascii="Arial" w:hAnsi="Arial" w:cs="Arial"/>
        </w:rPr>
      </w:pPr>
    </w:p>
    <w:p w:rsidR="002E6C00" w:rsidRPr="00990B48" w:rsidRDefault="002E6C00" w:rsidP="004509F3">
      <w:pPr>
        <w:spacing w:after="240"/>
        <w:ind w:left="-360" w:right="-634" w:firstLine="634"/>
        <w:rPr>
          <w:rFonts w:ascii="Arial" w:hAnsi="Arial"/>
        </w:rPr>
      </w:pPr>
    </w:p>
    <w:p w:rsidR="001E3020" w:rsidRDefault="00880256" w:rsidP="001E3020">
      <w:pPr>
        <w:spacing w:before="100" w:beforeAutospacing="1" w:after="100" w:afterAutospacing="1"/>
        <w:ind w:left="-360" w:right="-630" w:firstLine="630"/>
        <w:jc w:val="center"/>
        <w:rPr>
          <w:rFonts w:ascii="Arial" w:hAnsi="Arial"/>
        </w:rPr>
      </w:pPr>
      <w:r>
        <w:rPr>
          <w:rFonts w:ascii="Arial" w:hAnsi="Arial"/>
        </w:rPr>
        <w:t># # #</w:t>
      </w:r>
    </w:p>
    <w:p w:rsidR="001E3020" w:rsidRDefault="00880256" w:rsidP="00B22629">
      <w:pPr>
        <w:ind w:left="-360" w:right="-634"/>
        <w:rPr>
          <w:rFonts w:ascii="Arial" w:hAnsi="Arial"/>
        </w:rPr>
      </w:pPr>
      <w:r>
        <w:rPr>
          <w:rFonts w:ascii="Arial" w:hAnsi="Arial"/>
        </w:rPr>
        <w:t xml:space="preserve">Docket No. </w:t>
      </w:r>
      <w:r w:rsidR="00CE0087">
        <w:rPr>
          <w:rFonts w:ascii="Arial" w:hAnsi="Arial"/>
        </w:rPr>
        <w:t xml:space="preserve">– </w:t>
      </w:r>
      <w:r w:rsidR="005961B1">
        <w:rPr>
          <w:rFonts w:ascii="Arial" w:hAnsi="Arial"/>
        </w:rPr>
        <w:t>M-2009-2093215</w:t>
      </w:r>
    </w:p>
    <w:p w:rsidR="001E3020" w:rsidRDefault="001E3020" w:rsidP="00B423BE">
      <w:pPr>
        <w:ind w:left="-360" w:right="-634"/>
        <w:rPr>
          <w:rFonts w:ascii="Arial" w:hAnsi="Arial"/>
        </w:rPr>
      </w:pPr>
      <w:r>
        <w:rPr>
          <w:rFonts w:ascii="Arial" w:hAnsi="Arial"/>
        </w:rPr>
        <w:tab/>
      </w:r>
      <w:r>
        <w:rPr>
          <w:rFonts w:ascii="Arial" w:hAnsi="Arial"/>
        </w:rPr>
        <w:tab/>
      </w:r>
      <w:r>
        <w:rPr>
          <w:rFonts w:ascii="Arial" w:hAnsi="Arial"/>
        </w:rPr>
        <w:tab/>
      </w:r>
    </w:p>
    <w:p w:rsidR="001E3020" w:rsidRDefault="001E3020" w:rsidP="00B423BE">
      <w:pPr>
        <w:ind w:left="-360" w:right="-634"/>
        <w:rPr>
          <w:rFonts w:ascii="Arial" w:hAnsi="Arial"/>
        </w:rPr>
      </w:pPr>
      <w:r>
        <w:rPr>
          <w:rFonts w:ascii="Arial" w:hAnsi="Arial"/>
        </w:rPr>
        <w:tab/>
      </w:r>
      <w:r>
        <w:rPr>
          <w:rFonts w:ascii="Arial" w:hAnsi="Arial"/>
        </w:rPr>
        <w:tab/>
      </w:r>
      <w:r>
        <w:rPr>
          <w:rFonts w:ascii="Arial" w:hAnsi="Arial"/>
        </w:rPr>
        <w:tab/>
      </w:r>
    </w:p>
    <w:p w:rsidR="001E3020" w:rsidRPr="001E3020" w:rsidRDefault="001E3020" w:rsidP="00EA4B40">
      <w:pPr>
        <w:ind w:left="-360" w:right="-634"/>
        <w:rPr>
          <w:rFonts w:ascii="Arial" w:hAnsi="Arial"/>
        </w:rPr>
      </w:pPr>
      <w:r>
        <w:rPr>
          <w:rFonts w:ascii="Arial" w:hAnsi="Arial"/>
        </w:rPr>
        <w:tab/>
      </w:r>
      <w:r>
        <w:rPr>
          <w:rFonts w:ascii="Arial" w:hAnsi="Arial"/>
        </w:rPr>
        <w:tab/>
      </w:r>
      <w:r>
        <w:rPr>
          <w:rFonts w:ascii="Arial" w:hAnsi="Arial"/>
        </w:rPr>
        <w:tab/>
      </w:r>
    </w:p>
    <w:p w:rsidR="00EA4B40" w:rsidRPr="001E3020" w:rsidRDefault="00EA4B40">
      <w:pPr>
        <w:ind w:left="-360" w:right="-634"/>
        <w:rPr>
          <w:rFonts w:ascii="Arial" w:hAnsi="Arial"/>
        </w:rPr>
      </w:pPr>
    </w:p>
    <w:sectPr w:rsidR="00EA4B40" w:rsidRPr="001E3020" w:rsidSect="00591E90">
      <w:footerReference w:type="first" r:id="rId12"/>
      <w:pgSz w:w="12240" w:h="15840" w:code="1"/>
      <w:pgMar w:top="1440" w:right="1440" w:bottom="720" w:left="1440" w:header="720" w:footer="5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B6" w:rsidRDefault="00DA46B6" w:rsidP="007407DC">
      <w:r>
        <w:separator/>
      </w:r>
    </w:p>
  </w:endnote>
  <w:endnote w:type="continuationSeparator" w:id="1">
    <w:p w:rsidR="00DA46B6" w:rsidRDefault="00DA46B6" w:rsidP="00740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2F7" w:rsidRPr="00D61C23" w:rsidRDefault="00E5505D" w:rsidP="003A370E">
    <w:pPr>
      <w:pStyle w:val="Footer"/>
      <w:jc w:val="center"/>
      <w:rPr>
        <w:rFonts w:ascii="Arial" w:hAnsi="Arial" w:cs="Arial"/>
        <w:sz w:val="20"/>
        <w:szCs w:val="20"/>
      </w:rPr>
    </w:pPr>
    <w:r w:rsidRPr="00D61C23">
      <w:rPr>
        <w:rFonts w:ascii="Arial" w:hAnsi="Arial" w:cs="Arial"/>
        <w:sz w:val="20"/>
        <w:szCs w:val="20"/>
      </w:rPr>
      <w:t>- more -</w:t>
    </w:r>
  </w:p>
  <w:p w:rsidR="00BD52F7" w:rsidRDefault="00DA4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B6" w:rsidRDefault="00DA46B6" w:rsidP="007407DC">
      <w:r>
        <w:separator/>
      </w:r>
    </w:p>
  </w:footnote>
  <w:footnote w:type="continuationSeparator" w:id="1">
    <w:p w:rsidR="00DA46B6" w:rsidRDefault="00DA46B6" w:rsidP="00740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A18AC"/>
    <w:multiLevelType w:val="hybridMultilevel"/>
    <w:tmpl w:val="588685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C00"/>
    <w:rsid w:val="00073754"/>
    <w:rsid w:val="000A35FC"/>
    <w:rsid w:val="000D1BEE"/>
    <w:rsid w:val="00103545"/>
    <w:rsid w:val="001113A9"/>
    <w:rsid w:val="00115526"/>
    <w:rsid w:val="0011607A"/>
    <w:rsid w:val="00124B92"/>
    <w:rsid w:val="00124CCC"/>
    <w:rsid w:val="001325F5"/>
    <w:rsid w:val="0014062D"/>
    <w:rsid w:val="0014237B"/>
    <w:rsid w:val="0014457E"/>
    <w:rsid w:val="00193C61"/>
    <w:rsid w:val="001D60AB"/>
    <w:rsid w:val="001E3020"/>
    <w:rsid w:val="001E3796"/>
    <w:rsid w:val="001E5430"/>
    <w:rsid w:val="001F4201"/>
    <w:rsid w:val="002012AC"/>
    <w:rsid w:val="00225918"/>
    <w:rsid w:val="00230BCC"/>
    <w:rsid w:val="002650D2"/>
    <w:rsid w:val="002C34F2"/>
    <w:rsid w:val="002E6C00"/>
    <w:rsid w:val="002F1D87"/>
    <w:rsid w:val="002F492B"/>
    <w:rsid w:val="002F6351"/>
    <w:rsid w:val="003039A5"/>
    <w:rsid w:val="00305057"/>
    <w:rsid w:val="0033353B"/>
    <w:rsid w:val="003B2289"/>
    <w:rsid w:val="003B587C"/>
    <w:rsid w:val="003E5D94"/>
    <w:rsid w:val="00410F43"/>
    <w:rsid w:val="00415ACC"/>
    <w:rsid w:val="004222A2"/>
    <w:rsid w:val="00431F08"/>
    <w:rsid w:val="004509F3"/>
    <w:rsid w:val="00464D84"/>
    <w:rsid w:val="00467D6D"/>
    <w:rsid w:val="00493C44"/>
    <w:rsid w:val="00495C9C"/>
    <w:rsid w:val="00496A14"/>
    <w:rsid w:val="004C3555"/>
    <w:rsid w:val="004D7AB6"/>
    <w:rsid w:val="004F5E18"/>
    <w:rsid w:val="00506426"/>
    <w:rsid w:val="00515214"/>
    <w:rsid w:val="00532652"/>
    <w:rsid w:val="00582240"/>
    <w:rsid w:val="00592D1D"/>
    <w:rsid w:val="00595168"/>
    <w:rsid w:val="005961B1"/>
    <w:rsid w:val="005D1997"/>
    <w:rsid w:val="005E3051"/>
    <w:rsid w:val="005E4A20"/>
    <w:rsid w:val="00600B9C"/>
    <w:rsid w:val="00623058"/>
    <w:rsid w:val="0064434F"/>
    <w:rsid w:val="00653B1E"/>
    <w:rsid w:val="006649CC"/>
    <w:rsid w:val="0067171D"/>
    <w:rsid w:val="006829DC"/>
    <w:rsid w:val="006B37FA"/>
    <w:rsid w:val="006D120D"/>
    <w:rsid w:val="006D6EA1"/>
    <w:rsid w:val="006F1C9C"/>
    <w:rsid w:val="007171C4"/>
    <w:rsid w:val="007407DC"/>
    <w:rsid w:val="00751A18"/>
    <w:rsid w:val="007B21B3"/>
    <w:rsid w:val="007B328E"/>
    <w:rsid w:val="007C5678"/>
    <w:rsid w:val="007D5357"/>
    <w:rsid w:val="007D5733"/>
    <w:rsid w:val="00817DF7"/>
    <w:rsid w:val="00840140"/>
    <w:rsid w:val="00850EDE"/>
    <w:rsid w:val="00880256"/>
    <w:rsid w:val="00892E2F"/>
    <w:rsid w:val="008C37F6"/>
    <w:rsid w:val="009123BC"/>
    <w:rsid w:val="00943B50"/>
    <w:rsid w:val="00960CED"/>
    <w:rsid w:val="009658DC"/>
    <w:rsid w:val="0097265F"/>
    <w:rsid w:val="0097751F"/>
    <w:rsid w:val="00981D37"/>
    <w:rsid w:val="009A080E"/>
    <w:rsid w:val="009C11F9"/>
    <w:rsid w:val="009E5232"/>
    <w:rsid w:val="00A358C5"/>
    <w:rsid w:val="00A40D1C"/>
    <w:rsid w:val="00A40DEA"/>
    <w:rsid w:val="00A50C1C"/>
    <w:rsid w:val="00A625DD"/>
    <w:rsid w:val="00AA33A9"/>
    <w:rsid w:val="00AB50AD"/>
    <w:rsid w:val="00AF6FE3"/>
    <w:rsid w:val="00B22629"/>
    <w:rsid w:val="00B423BE"/>
    <w:rsid w:val="00B56496"/>
    <w:rsid w:val="00B64486"/>
    <w:rsid w:val="00BB79A5"/>
    <w:rsid w:val="00BC3C25"/>
    <w:rsid w:val="00BF2337"/>
    <w:rsid w:val="00C2084A"/>
    <w:rsid w:val="00C5081E"/>
    <w:rsid w:val="00C65F76"/>
    <w:rsid w:val="00C86C51"/>
    <w:rsid w:val="00CA48A7"/>
    <w:rsid w:val="00CE0087"/>
    <w:rsid w:val="00D34E2C"/>
    <w:rsid w:val="00D37E89"/>
    <w:rsid w:val="00D406BF"/>
    <w:rsid w:val="00D553BE"/>
    <w:rsid w:val="00D711B3"/>
    <w:rsid w:val="00D9624A"/>
    <w:rsid w:val="00DA46B6"/>
    <w:rsid w:val="00DA6F77"/>
    <w:rsid w:val="00DF129E"/>
    <w:rsid w:val="00DF786B"/>
    <w:rsid w:val="00E11B4C"/>
    <w:rsid w:val="00E35268"/>
    <w:rsid w:val="00E4111B"/>
    <w:rsid w:val="00E5505D"/>
    <w:rsid w:val="00E751E9"/>
    <w:rsid w:val="00EA4B40"/>
    <w:rsid w:val="00EA6D77"/>
    <w:rsid w:val="00EB3BE1"/>
    <w:rsid w:val="00ED32BA"/>
    <w:rsid w:val="00EF24D8"/>
    <w:rsid w:val="00F00CCC"/>
    <w:rsid w:val="00F84DDE"/>
    <w:rsid w:val="00FA345D"/>
    <w:rsid w:val="00FC1998"/>
    <w:rsid w:val="00FD3B3A"/>
    <w:rsid w:val="00FF2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6C00"/>
    <w:rPr>
      <w:color w:val="0000FF"/>
      <w:u w:val="single"/>
    </w:rPr>
  </w:style>
  <w:style w:type="paragraph" w:styleId="Footer">
    <w:name w:val="footer"/>
    <w:basedOn w:val="Normal"/>
    <w:link w:val="FooterChar"/>
    <w:rsid w:val="002E6C00"/>
    <w:pPr>
      <w:tabs>
        <w:tab w:val="center" w:pos="4320"/>
        <w:tab w:val="right" w:pos="8640"/>
      </w:tabs>
    </w:pPr>
  </w:style>
  <w:style w:type="character" w:customStyle="1" w:styleId="FooterChar">
    <w:name w:val="Footer Char"/>
    <w:basedOn w:val="DefaultParagraphFont"/>
    <w:link w:val="Footer"/>
    <w:rsid w:val="002E6C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C00"/>
    <w:rPr>
      <w:rFonts w:ascii="Tahoma" w:hAnsi="Tahoma" w:cs="Tahoma"/>
      <w:sz w:val="16"/>
      <w:szCs w:val="16"/>
    </w:rPr>
  </w:style>
  <w:style w:type="character" w:customStyle="1" w:styleId="BalloonTextChar">
    <w:name w:val="Balloon Text Char"/>
    <w:basedOn w:val="DefaultParagraphFont"/>
    <w:link w:val="BalloonText"/>
    <w:uiPriority w:val="99"/>
    <w:semiHidden/>
    <w:rsid w:val="002E6C00"/>
    <w:rPr>
      <w:rFonts w:ascii="Tahoma" w:eastAsia="Times New Roman" w:hAnsi="Tahoma" w:cs="Tahoma"/>
      <w:sz w:val="16"/>
      <w:szCs w:val="16"/>
    </w:rPr>
  </w:style>
  <w:style w:type="paragraph" w:styleId="ListParagraph">
    <w:name w:val="List Paragraph"/>
    <w:basedOn w:val="Normal"/>
    <w:uiPriority w:val="34"/>
    <w:qFormat/>
    <w:rsid w:val="00A40DEA"/>
    <w:pPr>
      <w:ind w:left="720"/>
      <w:contextualSpacing/>
    </w:pPr>
  </w:style>
</w:styles>
</file>

<file path=word/webSettings.xml><?xml version="1.0" encoding="utf-8"?>
<w:webSettings xmlns:r="http://schemas.openxmlformats.org/officeDocument/2006/relationships" xmlns:w="http://schemas.openxmlformats.org/wordprocessingml/2006/main">
  <w:divs>
    <w:div w:id="207882684">
      <w:bodyDiv w:val="1"/>
      <w:marLeft w:val="0"/>
      <w:marRight w:val="0"/>
      <w:marTop w:val="0"/>
      <w:marBottom w:val="0"/>
      <w:divBdr>
        <w:top w:val="none" w:sz="0" w:space="0" w:color="auto"/>
        <w:left w:val="none" w:sz="0" w:space="0" w:color="auto"/>
        <w:bottom w:val="none" w:sz="0" w:space="0" w:color="auto"/>
        <w:right w:val="none" w:sz="0" w:space="0" w:color="auto"/>
      </w:divBdr>
    </w:div>
    <w:div w:id="615020028">
      <w:bodyDiv w:val="1"/>
      <w:marLeft w:val="0"/>
      <w:marRight w:val="0"/>
      <w:marTop w:val="0"/>
      <w:marBottom w:val="0"/>
      <w:divBdr>
        <w:top w:val="none" w:sz="0" w:space="0" w:color="auto"/>
        <w:left w:val="none" w:sz="0" w:space="0" w:color="auto"/>
        <w:bottom w:val="none" w:sz="0" w:space="0" w:color="auto"/>
        <w:right w:val="none" w:sz="0" w:space="0" w:color="auto"/>
      </w:divBdr>
    </w:div>
    <w:div w:id="790705645">
      <w:bodyDiv w:val="1"/>
      <w:marLeft w:val="0"/>
      <w:marRight w:val="0"/>
      <w:marTop w:val="0"/>
      <w:marBottom w:val="0"/>
      <w:divBdr>
        <w:top w:val="none" w:sz="0" w:space="0" w:color="auto"/>
        <w:left w:val="none" w:sz="0" w:space="0" w:color="auto"/>
        <w:bottom w:val="none" w:sz="0" w:space="0" w:color="auto"/>
        <w:right w:val="none" w:sz="0" w:space="0" w:color="auto"/>
      </w:divBdr>
    </w:div>
    <w:div w:id="1523593372">
      <w:bodyDiv w:val="1"/>
      <w:marLeft w:val="15"/>
      <w:marRight w:val="0"/>
      <w:marTop w:val="15"/>
      <w:marBottom w:val="0"/>
      <w:divBdr>
        <w:top w:val="none" w:sz="0" w:space="0" w:color="auto"/>
        <w:left w:val="none" w:sz="0" w:space="0" w:color="auto"/>
        <w:bottom w:val="none" w:sz="0" w:space="0" w:color="auto"/>
        <w:right w:val="none" w:sz="0" w:space="0" w:color="auto"/>
      </w:divBdr>
      <w:divsChild>
        <w:div w:id="1188444623">
          <w:marLeft w:val="0"/>
          <w:marRight w:val="0"/>
          <w:marTop w:val="0"/>
          <w:marBottom w:val="0"/>
          <w:divBdr>
            <w:top w:val="none" w:sz="0" w:space="0" w:color="auto"/>
            <w:left w:val="none" w:sz="0" w:space="0" w:color="auto"/>
            <w:bottom w:val="none" w:sz="0" w:space="0" w:color="auto"/>
            <w:right w:val="none" w:sz="0" w:space="0" w:color="auto"/>
          </w:divBdr>
          <w:divsChild>
            <w:div w:id="12103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8417">
      <w:bodyDiv w:val="1"/>
      <w:marLeft w:val="15"/>
      <w:marRight w:val="0"/>
      <w:marTop w:val="15"/>
      <w:marBottom w:val="0"/>
      <w:divBdr>
        <w:top w:val="none" w:sz="0" w:space="0" w:color="auto"/>
        <w:left w:val="none" w:sz="0" w:space="0" w:color="auto"/>
        <w:bottom w:val="none" w:sz="0" w:space="0" w:color="auto"/>
        <w:right w:val="none" w:sz="0" w:space="0" w:color="auto"/>
      </w:divBdr>
      <w:divsChild>
        <w:div w:id="220336752">
          <w:marLeft w:val="0"/>
          <w:marRight w:val="0"/>
          <w:marTop w:val="0"/>
          <w:marBottom w:val="0"/>
          <w:divBdr>
            <w:top w:val="none" w:sz="0" w:space="0" w:color="auto"/>
            <w:left w:val="none" w:sz="0" w:space="0" w:color="auto"/>
            <w:bottom w:val="none" w:sz="0" w:space="0" w:color="auto"/>
            <w:right w:val="none" w:sz="0" w:space="0" w:color="auto"/>
          </w:divBdr>
          <w:divsChild>
            <w:div w:id="1745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4581">
      <w:bodyDiv w:val="1"/>
      <w:marLeft w:val="0"/>
      <w:marRight w:val="0"/>
      <w:marTop w:val="0"/>
      <w:marBottom w:val="0"/>
      <w:divBdr>
        <w:top w:val="none" w:sz="0" w:space="0" w:color="auto"/>
        <w:left w:val="none" w:sz="0" w:space="0" w:color="auto"/>
        <w:bottom w:val="none" w:sz="0" w:space="0" w:color="auto"/>
        <w:right w:val="none" w:sz="0" w:space="0" w:color="auto"/>
      </w:divBdr>
    </w:div>
    <w:div w:id="19928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 TargetMode="External"/><Relationship Id="rId5" Type="http://schemas.openxmlformats.org/officeDocument/2006/relationships/footnotes" Target="footnotes.xml"/><Relationship Id="rId10" Type="http://schemas.openxmlformats.org/officeDocument/2006/relationships/hyperlink" Target="http://www.puc.state.pa.us/General/press_releases/Press_Releases.aspx?ShowPR=2224" TargetMode="External"/><Relationship Id="rId4" Type="http://schemas.openxmlformats.org/officeDocument/2006/relationships/webSettings" Target="webSettings.xml"/><Relationship Id="rId9" Type="http://schemas.openxmlformats.org/officeDocument/2006/relationships/hyperlink" Target="http://www.puc.state.pa.us/general/pdf/Comm-SM/Powelson_Motion_C0015_0806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72</cp:revision>
  <cp:lastPrinted>2009-08-06T12:58:00Z</cp:lastPrinted>
  <dcterms:created xsi:type="dcterms:W3CDTF">2009-08-06T12:17:00Z</dcterms:created>
  <dcterms:modified xsi:type="dcterms:W3CDTF">2009-08-06T15:32:00Z</dcterms:modified>
</cp:coreProperties>
</file>