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2E6C00" w:rsidRPr="00D8760E" w:rsidTr="00A6185B">
        <w:trPr>
          <w:trHeight w:val="990"/>
        </w:trPr>
        <w:tc>
          <w:tcPr>
            <w:tcW w:w="1363" w:type="dxa"/>
          </w:tcPr>
          <w:p w:rsidR="002E6C00" w:rsidRPr="00D8760E" w:rsidRDefault="002E6C00" w:rsidP="00A6185B">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E6C00" w:rsidRPr="00D8760E" w:rsidRDefault="002E6C00" w:rsidP="00A6185B">
            <w:pPr>
              <w:tabs>
                <w:tab w:val="left" w:pos="2505"/>
              </w:tabs>
              <w:suppressAutoHyphens/>
              <w:rPr>
                <w:rFonts w:ascii="Arial" w:hAnsi="Arial"/>
                <w:color w:val="000080"/>
                <w:spacing w:val="-3"/>
                <w:sz w:val="26"/>
              </w:rPr>
            </w:pPr>
            <w:r>
              <w:rPr>
                <w:rFonts w:ascii="Arial" w:hAnsi="Arial"/>
                <w:color w:val="000080"/>
                <w:spacing w:val="-3"/>
                <w:sz w:val="26"/>
              </w:rPr>
              <w:tab/>
            </w:r>
          </w:p>
          <w:p w:rsidR="002E6C00" w:rsidRPr="00D8760E" w:rsidRDefault="002E6C00" w:rsidP="00A6185B">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2E6C00" w:rsidRPr="00D8760E" w:rsidRDefault="002E6C00" w:rsidP="00A6185B">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2E6C00" w:rsidRPr="00D8760E" w:rsidRDefault="002E6C00" w:rsidP="00A6185B">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2E6C00" w:rsidRPr="00D8760E" w:rsidRDefault="002E6C00" w:rsidP="00A6185B">
            <w:pPr>
              <w:rPr>
                <w:rFonts w:ascii="Arial" w:hAnsi="Arial"/>
                <w:sz w:val="12"/>
              </w:rPr>
            </w:pPr>
          </w:p>
          <w:p w:rsidR="002E6C00" w:rsidRPr="00D8760E" w:rsidRDefault="002E6C00" w:rsidP="00A6185B">
            <w:pPr>
              <w:rPr>
                <w:rFonts w:ascii="Arial" w:hAnsi="Arial"/>
                <w:sz w:val="12"/>
              </w:rPr>
            </w:pPr>
          </w:p>
          <w:p w:rsidR="002E6C00" w:rsidRPr="00D8760E" w:rsidRDefault="002E6C00" w:rsidP="00A6185B">
            <w:pPr>
              <w:rPr>
                <w:rFonts w:ascii="Arial" w:hAnsi="Arial"/>
                <w:sz w:val="12"/>
              </w:rPr>
            </w:pPr>
          </w:p>
          <w:p w:rsidR="002E6C00" w:rsidRPr="00D8760E" w:rsidRDefault="002E6C00" w:rsidP="00A6185B">
            <w:pPr>
              <w:rPr>
                <w:rFonts w:ascii="Arial" w:hAnsi="Arial"/>
                <w:sz w:val="12"/>
              </w:rPr>
            </w:pPr>
          </w:p>
          <w:p w:rsidR="002E6C00" w:rsidRPr="00D8760E" w:rsidRDefault="002E6C00" w:rsidP="00A6185B">
            <w:pPr>
              <w:rPr>
                <w:rFonts w:ascii="Arial" w:hAnsi="Arial"/>
                <w:sz w:val="12"/>
              </w:rPr>
            </w:pPr>
          </w:p>
          <w:p w:rsidR="002E6C00" w:rsidRPr="00D8760E" w:rsidRDefault="002E6C00" w:rsidP="00A6185B">
            <w:pPr>
              <w:rPr>
                <w:rFonts w:ascii="Arial" w:hAnsi="Arial"/>
                <w:sz w:val="12"/>
              </w:rPr>
            </w:pPr>
          </w:p>
          <w:p w:rsidR="002E6C00" w:rsidRPr="00D8760E" w:rsidRDefault="002E6C00" w:rsidP="00A6185B">
            <w:pPr>
              <w:jc w:val="right"/>
              <w:rPr>
                <w:rFonts w:ascii="Arial" w:hAnsi="Arial"/>
                <w:sz w:val="12"/>
              </w:rPr>
            </w:pPr>
            <w:r w:rsidRPr="00D8760E">
              <w:rPr>
                <w:rFonts w:ascii="Arial" w:hAnsi="Arial"/>
                <w:b/>
                <w:spacing w:val="-1"/>
                <w:sz w:val="12"/>
              </w:rPr>
              <w:t>IN REPLY PLEASE REFER TO OUR FILE</w:t>
            </w:r>
          </w:p>
        </w:tc>
      </w:tr>
    </w:tbl>
    <w:p w:rsidR="002E6C00" w:rsidRDefault="002E6C00" w:rsidP="002E6C00">
      <w:pPr>
        <w:ind w:right="-720"/>
        <w:rPr>
          <w:rFonts w:ascii="Arial" w:hAnsi="Arial" w:cs="Arial"/>
          <w:b/>
          <w:color w:val="FF0000"/>
        </w:rPr>
      </w:pP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p>
    <w:p w:rsidR="002E6C00" w:rsidRPr="00282026" w:rsidRDefault="002E6C00" w:rsidP="002E6C00">
      <w:pPr>
        <w:ind w:left="-360" w:right="-720"/>
        <w:rPr>
          <w:rFonts w:ascii="Arial" w:hAnsi="Arial" w:cs="Arial"/>
          <w:b/>
          <w:color w:val="FF0000"/>
        </w:rPr>
      </w:pPr>
      <w:r w:rsidRPr="00991C8E">
        <w:rPr>
          <w:rFonts w:ascii="Arial" w:hAnsi="Arial" w:cs="Arial"/>
          <w:b/>
          <w:u w:val="single"/>
        </w:rPr>
        <w:t>PRESS RELEASE</w:t>
      </w:r>
    </w:p>
    <w:p w:rsidR="002E6C00" w:rsidRPr="00991C8E" w:rsidRDefault="002E6C00" w:rsidP="002E6C00">
      <w:pPr>
        <w:ind w:left="-360" w:right="-720"/>
        <w:rPr>
          <w:rFonts w:ascii="Arial" w:hAnsi="Arial" w:cs="Arial"/>
        </w:rPr>
      </w:pPr>
      <w:r w:rsidRPr="004F5E18">
        <w:rPr>
          <w:rFonts w:ascii="Arial" w:hAnsi="Arial" w:cs="Arial"/>
        </w:rPr>
        <w:t xml:space="preserve">Date: </w:t>
      </w:r>
      <w:r w:rsidRPr="004F5E18">
        <w:rPr>
          <w:rFonts w:ascii="Arial" w:hAnsi="Arial" w:cs="Arial"/>
        </w:rPr>
        <w:tab/>
        <w:t xml:space="preserve">July </w:t>
      </w:r>
      <w:r w:rsidR="005E4A20" w:rsidRPr="004F5E18">
        <w:rPr>
          <w:rFonts w:ascii="Arial" w:hAnsi="Arial" w:cs="Arial"/>
        </w:rPr>
        <w:t>2,</w:t>
      </w:r>
      <w:r w:rsidRPr="004F5E18">
        <w:rPr>
          <w:rFonts w:ascii="Arial" w:hAnsi="Arial" w:cs="Arial"/>
        </w:rPr>
        <w:t xml:space="preserve"> 2009</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991C8E">
        <w:rPr>
          <w:rFonts w:ascii="Arial" w:hAnsi="Arial" w:cs="Arial"/>
        </w:rPr>
        <w:tab/>
      </w:r>
    </w:p>
    <w:p w:rsidR="002E6C00" w:rsidRDefault="002E6C00" w:rsidP="002E6C00">
      <w:pPr>
        <w:ind w:left="-360" w:right="-720"/>
        <w:rPr>
          <w:rFonts w:ascii="Arial" w:hAnsi="Arial" w:cs="Arial"/>
        </w:rPr>
      </w:pPr>
      <w:r w:rsidRPr="00991C8E">
        <w:rPr>
          <w:rFonts w:ascii="Arial" w:hAnsi="Arial" w:cs="Arial"/>
        </w:rPr>
        <w:t>Contact</w:t>
      </w:r>
      <w:r w:rsidRPr="00362D61">
        <w:rPr>
          <w:rFonts w:ascii="Arial" w:hAnsi="Arial" w:cs="Arial"/>
        </w:rPr>
        <w:t>:</w:t>
      </w:r>
      <w:r w:rsidRPr="00362D61">
        <w:rPr>
          <w:rFonts w:ascii="Arial" w:hAnsi="Arial" w:cs="Arial"/>
        </w:rPr>
        <w:tab/>
      </w:r>
      <w:r>
        <w:rPr>
          <w:rFonts w:ascii="Arial" w:hAnsi="Arial" w:cs="Arial"/>
        </w:rPr>
        <w:t xml:space="preserve">Jennifer Kocher, Press Secretary </w:t>
      </w:r>
    </w:p>
    <w:p w:rsidR="002E6C00" w:rsidRPr="00362D61" w:rsidRDefault="002E6C00" w:rsidP="002E6C00">
      <w:pPr>
        <w:ind w:left="-360" w:right="-720"/>
        <w:rPr>
          <w:rFonts w:ascii="Arial" w:hAnsi="Arial"/>
        </w:rPr>
      </w:pPr>
      <w:r>
        <w:rPr>
          <w:rFonts w:ascii="Arial" w:hAnsi="Arial" w:cs="Arial"/>
        </w:rPr>
        <w:tab/>
      </w:r>
      <w:r>
        <w:rPr>
          <w:rFonts w:ascii="Arial" w:hAnsi="Arial" w:cs="Arial"/>
        </w:rPr>
        <w:tab/>
        <w:t xml:space="preserve">(717)787-5722 or </w:t>
      </w:r>
      <w:hyperlink r:id="rId8" w:history="1">
        <w:r w:rsidRPr="006230E5">
          <w:rPr>
            <w:rStyle w:val="Hyperlink"/>
            <w:rFonts w:ascii="Arial" w:hAnsi="Arial" w:cs="Arial"/>
          </w:rPr>
          <w:t>jekocher@state.pa.us</w:t>
        </w:r>
      </w:hyperlink>
      <w:r>
        <w:rPr>
          <w:rFonts w:ascii="Arial" w:hAnsi="Arial" w:cs="Arial"/>
        </w:rPr>
        <w:t xml:space="preserve">    </w:t>
      </w:r>
    </w:p>
    <w:p w:rsidR="002E6C00" w:rsidRPr="002E0277" w:rsidRDefault="002E6C00" w:rsidP="00124B92">
      <w:pPr>
        <w:ind w:left="-360" w:right="-360" w:firstLine="630"/>
        <w:jc w:val="center"/>
        <w:rPr>
          <w:rFonts w:ascii="Arial" w:hAnsi="Arial" w:cs="Arial"/>
          <w:b/>
        </w:rPr>
      </w:pPr>
      <w:r w:rsidRPr="002E0277">
        <w:rPr>
          <w:rFonts w:ascii="Arial" w:hAnsi="Arial" w:cs="Arial"/>
          <w:b/>
          <w:color w:val="000000"/>
        </w:rPr>
        <w:br/>
      </w:r>
      <w:r w:rsidR="001F4201">
        <w:rPr>
          <w:rFonts w:ascii="Arial" w:hAnsi="Arial" w:cs="Arial"/>
          <w:b/>
        </w:rPr>
        <w:t xml:space="preserve">PUC Begins Consideration of </w:t>
      </w:r>
      <w:r w:rsidR="001D60AB">
        <w:rPr>
          <w:rFonts w:ascii="Arial" w:hAnsi="Arial" w:cs="Arial"/>
          <w:b/>
        </w:rPr>
        <w:t xml:space="preserve">Act 129 </w:t>
      </w:r>
      <w:r w:rsidR="001F4201">
        <w:rPr>
          <w:rFonts w:ascii="Arial" w:hAnsi="Arial" w:cs="Arial"/>
          <w:b/>
        </w:rPr>
        <w:t>Energy Efficiency, Conservation Plans</w:t>
      </w:r>
      <w:r w:rsidR="00124B92">
        <w:rPr>
          <w:rFonts w:ascii="Arial" w:hAnsi="Arial" w:cs="Arial"/>
          <w:b/>
        </w:rPr>
        <w:t xml:space="preserve"> Submitted by </w:t>
      </w:r>
      <w:r w:rsidR="0097265F">
        <w:rPr>
          <w:rFonts w:ascii="Arial" w:hAnsi="Arial" w:cs="Arial"/>
          <w:b/>
        </w:rPr>
        <w:t>the State’s Seven Largest Electric Utilities</w:t>
      </w:r>
    </w:p>
    <w:p w:rsidR="002E6C00" w:rsidRDefault="002E6C00" w:rsidP="005E4A20">
      <w:pPr>
        <w:ind w:left="-360" w:right="-630" w:firstLine="630"/>
      </w:pPr>
    </w:p>
    <w:p w:rsidR="002E6C00" w:rsidRDefault="002E6C00" w:rsidP="005E4A20">
      <w:pPr>
        <w:ind w:left="-360" w:right="-630" w:firstLine="630"/>
        <w:rPr>
          <w:rFonts w:ascii="Arial" w:hAnsi="Arial" w:cs="Arial"/>
        </w:rPr>
      </w:pPr>
      <w:r w:rsidRPr="00C32956">
        <w:rPr>
          <w:rFonts w:ascii="Arial" w:hAnsi="Arial"/>
        </w:rPr>
        <w:t>HARRISBURG –</w:t>
      </w:r>
      <w:r w:rsidRPr="00C32956">
        <w:rPr>
          <w:rFonts w:ascii="Arial" w:hAnsi="Arial" w:cs="Arial"/>
        </w:rPr>
        <w:t xml:space="preserve">The Pennsylvania Public Utility Commission (PUC) today </w:t>
      </w:r>
      <w:r w:rsidR="001F4201">
        <w:rPr>
          <w:rFonts w:ascii="Arial" w:hAnsi="Arial" w:cs="Arial"/>
        </w:rPr>
        <w:t xml:space="preserve">began consideration of </w:t>
      </w:r>
      <w:r w:rsidR="0097265F">
        <w:rPr>
          <w:rFonts w:ascii="Arial" w:hAnsi="Arial" w:cs="Arial"/>
        </w:rPr>
        <w:t xml:space="preserve">the energy efficiency </w:t>
      </w:r>
      <w:r w:rsidR="00431F08">
        <w:rPr>
          <w:rFonts w:ascii="Arial" w:hAnsi="Arial" w:cs="Arial"/>
        </w:rPr>
        <w:t>and conservation</w:t>
      </w:r>
      <w:r w:rsidR="00AF6FE3">
        <w:rPr>
          <w:rFonts w:ascii="Arial" w:hAnsi="Arial" w:cs="Arial"/>
        </w:rPr>
        <w:t xml:space="preserve"> plans</w:t>
      </w:r>
      <w:r w:rsidR="00595168">
        <w:rPr>
          <w:rFonts w:ascii="Arial" w:hAnsi="Arial" w:cs="Arial"/>
        </w:rPr>
        <w:t xml:space="preserve"> (EE&amp;C) </w:t>
      </w:r>
      <w:r w:rsidR="00AF6FE3">
        <w:rPr>
          <w:rFonts w:ascii="Arial" w:hAnsi="Arial" w:cs="Arial"/>
        </w:rPr>
        <w:t xml:space="preserve">filed by the state’s seven largest </w:t>
      </w:r>
      <w:r w:rsidR="006B37FA">
        <w:rPr>
          <w:rFonts w:ascii="Arial" w:hAnsi="Arial" w:cs="Arial"/>
        </w:rPr>
        <w:t>electric distribution companies (EDCs)</w:t>
      </w:r>
      <w:r w:rsidR="00AF6FE3">
        <w:rPr>
          <w:rFonts w:ascii="Arial" w:hAnsi="Arial" w:cs="Arial"/>
        </w:rPr>
        <w:t xml:space="preserve"> as required by Act 129 of 2008.</w:t>
      </w:r>
    </w:p>
    <w:p w:rsidR="00506426" w:rsidRDefault="00506426" w:rsidP="005E4A20">
      <w:pPr>
        <w:ind w:left="-360" w:right="-630" w:firstLine="630"/>
        <w:rPr>
          <w:rFonts w:ascii="Arial" w:hAnsi="Arial" w:cs="Arial"/>
        </w:rPr>
      </w:pPr>
    </w:p>
    <w:p w:rsidR="00532652" w:rsidRDefault="00506426" w:rsidP="00E35268">
      <w:pPr>
        <w:ind w:left="-360" w:right="-630" w:firstLine="630"/>
        <w:rPr>
          <w:rFonts w:ascii="Arial" w:hAnsi="Arial" w:cs="Arial"/>
        </w:rPr>
      </w:pPr>
      <w:r w:rsidRPr="006D6EA1">
        <w:rPr>
          <w:rFonts w:ascii="Arial" w:hAnsi="Arial" w:cs="Arial"/>
        </w:rPr>
        <w:t>“</w:t>
      </w:r>
      <w:r w:rsidR="006D120D" w:rsidRPr="006D6EA1">
        <w:rPr>
          <w:rFonts w:ascii="Arial" w:hAnsi="Arial" w:cs="Arial"/>
        </w:rPr>
        <w:t xml:space="preserve">Act 129 </w:t>
      </w:r>
      <w:r w:rsidR="00415ACC" w:rsidRPr="006D6EA1">
        <w:rPr>
          <w:rFonts w:ascii="Arial" w:hAnsi="Arial" w:cs="Arial"/>
        </w:rPr>
        <w:t>and</w:t>
      </w:r>
      <w:r w:rsidR="006D120D" w:rsidRPr="006D6EA1">
        <w:rPr>
          <w:rFonts w:ascii="Arial" w:hAnsi="Arial" w:cs="Arial"/>
        </w:rPr>
        <w:t xml:space="preserve"> the expiration of long-standing caps on electric generation prices </w:t>
      </w:r>
      <w:r w:rsidR="00E5505D">
        <w:rPr>
          <w:rFonts w:ascii="Arial" w:hAnsi="Arial" w:cs="Arial"/>
        </w:rPr>
        <w:t>will</w:t>
      </w:r>
      <w:r w:rsidR="006D120D" w:rsidRPr="006D6EA1">
        <w:rPr>
          <w:rFonts w:ascii="Arial" w:hAnsi="Arial" w:cs="Arial"/>
        </w:rPr>
        <w:t xml:space="preserve"> </w:t>
      </w:r>
      <w:r w:rsidR="00623058" w:rsidRPr="006D6EA1">
        <w:rPr>
          <w:rFonts w:ascii="Arial" w:hAnsi="Arial" w:cs="Arial"/>
        </w:rPr>
        <w:t>changing</w:t>
      </w:r>
      <w:r w:rsidR="006D120D" w:rsidRPr="006D6EA1">
        <w:rPr>
          <w:rFonts w:ascii="Arial" w:hAnsi="Arial" w:cs="Arial"/>
        </w:rPr>
        <w:t xml:space="preserve"> the way Pennsylvanians look at their energy usage for years to come</w:t>
      </w:r>
      <w:r w:rsidR="002F492B" w:rsidRPr="006D6EA1">
        <w:rPr>
          <w:rFonts w:ascii="Arial" w:hAnsi="Arial" w:cs="Arial"/>
        </w:rPr>
        <w:t>,” said Commission Chairman James H. Cawley. “</w:t>
      </w:r>
      <w:r w:rsidR="006D120D" w:rsidRPr="006D6EA1">
        <w:rPr>
          <w:rFonts w:ascii="Arial" w:hAnsi="Arial" w:cs="Arial"/>
        </w:rPr>
        <w:t>T</w:t>
      </w:r>
      <w:r w:rsidR="007D5733" w:rsidRPr="006D6EA1">
        <w:rPr>
          <w:rFonts w:ascii="Arial" w:hAnsi="Arial" w:cs="Arial"/>
        </w:rPr>
        <w:t xml:space="preserve">he </w:t>
      </w:r>
      <w:r w:rsidR="006D120D" w:rsidRPr="006D6EA1">
        <w:rPr>
          <w:rFonts w:ascii="Arial" w:hAnsi="Arial" w:cs="Arial"/>
        </w:rPr>
        <w:t xml:space="preserve">expedited implementation of this law underscores the importance of </w:t>
      </w:r>
      <w:r w:rsidR="006829DC" w:rsidRPr="006D6EA1">
        <w:rPr>
          <w:rFonts w:ascii="Arial" w:hAnsi="Arial" w:cs="Arial"/>
        </w:rPr>
        <w:t>altering</w:t>
      </w:r>
      <w:r w:rsidR="006D120D" w:rsidRPr="006D6EA1">
        <w:rPr>
          <w:rFonts w:ascii="Arial" w:hAnsi="Arial" w:cs="Arial"/>
        </w:rPr>
        <w:t xml:space="preserve"> the way we use electricity. </w:t>
      </w:r>
      <w:r w:rsidR="003B587C" w:rsidRPr="006D6EA1">
        <w:rPr>
          <w:rFonts w:ascii="Arial" w:hAnsi="Arial" w:cs="Arial"/>
        </w:rPr>
        <w:t xml:space="preserve">The PUC will continue to move quickly with input from </w:t>
      </w:r>
      <w:r w:rsidR="00193C61" w:rsidRPr="006D6EA1">
        <w:rPr>
          <w:rFonts w:ascii="Arial" w:hAnsi="Arial" w:cs="Arial"/>
        </w:rPr>
        <w:t>stakeholders to make certain the utilities’ plans take energy efficiency and conservation to the next level, across all customer classes.</w:t>
      </w:r>
      <w:r w:rsidR="00F84DDE" w:rsidRPr="006D6EA1">
        <w:rPr>
          <w:rFonts w:ascii="Arial" w:hAnsi="Arial" w:cs="Arial"/>
        </w:rPr>
        <w:t>”</w:t>
      </w:r>
    </w:p>
    <w:p w:rsidR="003B2289" w:rsidRDefault="003B2289" w:rsidP="00E35268">
      <w:pPr>
        <w:ind w:left="-360" w:right="-630" w:firstLine="630"/>
        <w:rPr>
          <w:rFonts w:ascii="Arial" w:hAnsi="Arial" w:cs="Arial"/>
        </w:rPr>
      </w:pPr>
    </w:p>
    <w:p w:rsidR="003B2289" w:rsidRPr="003B2289" w:rsidRDefault="003B2289" w:rsidP="003B2289">
      <w:pPr>
        <w:ind w:left="-360" w:right="-630" w:firstLine="630"/>
        <w:rPr>
          <w:rFonts w:ascii="Arial" w:hAnsi="Arial" w:cs="Arial"/>
        </w:rPr>
      </w:pPr>
      <w:r>
        <w:rPr>
          <w:rFonts w:ascii="Arial" w:hAnsi="Arial" w:cs="Arial"/>
        </w:rPr>
        <w:t>“</w:t>
      </w:r>
      <w:r w:rsidRPr="003B2289">
        <w:rPr>
          <w:rFonts w:ascii="Arial" w:hAnsi="Arial" w:cs="Arial"/>
        </w:rPr>
        <w:t>In my opinion, implementing energy efficiency and conservation programs to drive down demand should also drive down wholesale electricity prices by freeing up available supply</w:t>
      </w:r>
      <w:r>
        <w:rPr>
          <w:rFonts w:ascii="Arial" w:hAnsi="Arial" w:cs="Arial"/>
        </w:rPr>
        <w:t>,” said Commissioner Wayne E. Gardner</w:t>
      </w:r>
      <w:r w:rsidRPr="003B2289">
        <w:rPr>
          <w:rFonts w:ascii="Arial" w:hAnsi="Arial" w:cs="Arial"/>
        </w:rPr>
        <w:t xml:space="preserve">. </w:t>
      </w:r>
      <w:r>
        <w:rPr>
          <w:rFonts w:ascii="Arial" w:hAnsi="Arial" w:cs="Arial"/>
        </w:rPr>
        <w:t>“</w:t>
      </w:r>
      <w:r w:rsidRPr="003B2289">
        <w:rPr>
          <w:rFonts w:ascii="Arial" w:hAnsi="Arial" w:cs="Arial"/>
        </w:rPr>
        <w:t>Anything we can do to decrease the number of hours of peak priced supply that our EDCs buy on the wholesale market should translate into lower retail electricity rates. Energy efficiency and conservation are also guaranteed ways for Pennsylvania's electricity consumers to manage their electricity bills as energy prices increase.</w:t>
      </w:r>
      <w:r>
        <w:rPr>
          <w:rFonts w:ascii="Arial" w:hAnsi="Arial" w:cs="Arial"/>
        </w:rPr>
        <w:t>”</w:t>
      </w:r>
    </w:p>
    <w:p w:rsidR="001D60AB" w:rsidRDefault="001D60AB" w:rsidP="005E4A20">
      <w:pPr>
        <w:ind w:left="-360" w:right="-630" w:firstLine="630"/>
        <w:rPr>
          <w:rFonts w:ascii="Arial" w:hAnsi="Arial" w:cs="Arial"/>
        </w:rPr>
      </w:pPr>
    </w:p>
    <w:p w:rsidR="00493C44" w:rsidRDefault="00431F08" w:rsidP="00493C44">
      <w:pPr>
        <w:ind w:left="-360" w:right="-630" w:firstLine="630"/>
        <w:rPr>
          <w:rFonts w:ascii="Arial" w:hAnsi="Arial" w:cs="Arial"/>
        </w:rPr>
      </w:pPr>
      <w:r>
        <w:rPr>
          <w:rFonts w:ascii="Arial" w:hAnsi="Arial" w:cs="Arial"/>
        </w:rPr>
        <w:t>Under</w:t>
      </w:r>
      <w:r w:rsidR="000D1BEE" w:rsidRPr="000D1BEE">
        <w:rPr>
          <w:rFonts w:ascii="Arial" w:hAnsi="Arial" w:cs="Arial"/>
        </w:rPr>
        <w:t xml:space="preserve"> Act 129, the seven largest Pennsylvania EDCs </w:t>
      </w:r>
      <w:r w:rsidR="00103545">
        <w:rPr>
          <w:rFonts w:ascii="Arial" w:hAnsi="Arial" w:cs="Arial"/>
        </w:rPr>
        <w:t>were</w:t>
      </w:r>
      <w:r w:rsidR="000D1BEE" w:rsidRPr="000D1BEE">
        <w:rPr>
          <w:rFonts w:ascii="Arial" w:hAnsi="Arial" w:cs="Arial"/>
        </w:rPr>
        <w:t xml:space="preserve"> required to file a plan for by July 1, 2009</w:t>
      </w:r>
      <w:r w:rsidR="00D9624A">
        <w:rPr>
          <w:rFonts w:ascii="Arial" w:hAnsi="Arial" w:cs="Arial"/>
        </w:rPr>
        <w:t>, detailing how they intend to achieve</w:t>
      </w:r>
      <w:r w:rsidR="00D9624A" w:rsidRPr="00D9624A">
        <w:rPr>
          <w:rFonts w:ascii="Arial" w:hAnsi="Arial" w:cs="Arial"/>
        </w:rPr>
        <w:t xml:space="preserve"> </w:t>
      </w:r>
      <w:r w:rsidR="00D9624A" w:rsidRPr="000D1BEE">
        <w:rPr>
          <w:rFonts w:ascii="Arial" w:hAnsi="Arial" w:cs="Arial"/>
        </w:rPr>
        <w:t xml:space="preserve">consumption and peak demand </w:t>
      </w:r>
      <w:r w:rsidR="00D9624A" w:rsidRPr="00225918">
        <w:rPr>
          <w:rFonts w:ascii="Arial" w:hAnsi="Arial" w:cs="Arial"/>
        </w:rPr>
        <w:t>reductions</w:t>
      </w:r>
      <w:r w:rsidR="000D1BEE" w:rsidRPr="000D1BEE">
        <w:rPr>
          <w:rFonts w:ascii="Arial" w:hAnsi="Arial" w:cs="Arial"/>
        </w:rPr>
        <w:t xml:space="preserve">.  </w:t>
      </w:r>
      <w:r w:rsidR="00103545">
        <w:rPr>
          <w:rFonts w:ascii="Arial" w:hAnsi="Arial" w:cs="Arial"/>
        </w:rPr>
        <w:t xml:space="preserve">All seven </w:t>
      </w:r>
      <w:r w:rsidR="001325F5">
        <w:rPr>
          <w:rFonts w:ascii="Arial" w:hAnsi="Arial" w:cs="Arial"/>
        </w:rPr>
        <w:t>–</w:t>
      </w:r>
      <w:r w:rsidR="00103545">
        <w:rPr>
          <w:rFonts w:ascii="Arial" w:hAnsi="Arial" w:cs="Arial"/>
        </w:rPr>
        <w:t xml:space="preserve"> </w:t>
      </w:r>
      <w:r w:rsidR="001325F5">
        <w:rPr>
          <w:rFonts w:ascii="Arial" w:hAnsi="Arial" w:cs="Arial"/>
        </w:rPr>
        <w:t>Allegheny Power Co.; Duquesne Light Co.; Metropolitan Edison Co.; PECO Energy Co.;</w:t>
      </w:r>
      <w:r w:rsidR="00ED32BA">
        <w:rPr>
          <w:rFonts w:ascii="Arial" w:hAnsi="Arial" w:cs="Arial"/>
        </w:rPr>
        <w:t xml:space="preserve"> </w:t>
      </w:r>
      <w:r w:rsidR="001325F5">
        <w:rPr>
          <w:rFonts w:ascii="Arial" w:hAnsi="Arial" w:cs="Arial"/>
        </w:rPr>
        <w:t>Pennsylvania Electric Co.; Pennsylvania Power Co.</w:t>
      </w:r>
      <w:r w:rsidR="00ED32BA">
        <w:rPr>
          <w:rFonts w:ascii="Arial" w:hAnsi="Arial" w:cs="Arial"/>
        </w:rPr>
        <w:t xml:space="preserve"> and PPL </w:t>
      </w:r>
      <w:r w:rsidR="00496A14">
        <w:rPr>
          <w:rFonts w:ascii="Arial" w:hAnsi="Arial" w:cs="Arial"/>
        </w:rPr>
        <w:t xml:space="preserve">Electric </w:t>
      </w:r>
      <w:r w:rsidR="00ED32BA">
        <w:rPr>
          <w:rFonts w:ascii="Arial" w:hAnsi="Arial" w:cs="Arial"/>
        </w:rPr>
        <w:t xml:space="preserve">Utilities </w:t>
      </w:r>
      <w:r w:rsidR="00496A14">
        <w:rPr>
          <w:rFonts w:ascii="Arial" w:hAnsi="Arial" w:cs="Arial"/>
        </w:rPr>
        <w:t>Corp</w:t>
      </w:r>
      <w:r w:rsidR="00ED32BA">
        <w:rPr>
          <w:rFonts w:ascii="Arial" w:hAnsi="Arial" w:cs="Arial"/>
        </w:rPr>
        <w:t xml:space="preserve">. – </w:t>
      </w:r>
      <w:r w:rsidR="00ED32BA" w:rsidRPr="00C2084A">
        <w:rPr>
          <w:rFonts w:ascii="Arial" w:hAnsi="Arial" w:cs="Arial"/>
        </w:rPr>
        <w:t>have filed their plans.</w:t>
      </w:r>
      <w:r w:rsidR="00493C44" w:rsidRPr="00493C44">
        <w:rPr>
          <w:rFonts w:ascii="Arial" w:hAnsi="Arial" w:cs="Arial"/>
        </w:rPr>
        <w:t xml:space="preserve"> </w:t>
      </w:r>
    </w:p>
    <w:p w:rsidR="00493C44" w:rsidRDefault="00493C44" w:rsidP="00493C44">
      <w:pPr>
        <w:ind w:left="-360" w:right="-630" w:firstLine="630"/>
        <w:rPr>
          <w:rFonts w:ascii="Arial" w:hAnsi="Arial" w:cs="Arial"/>
        </w:rPr>
      </w:pPr>
    </w:p>
    <w:p w:rsidR="00FF2D42" w:rsidRDefault="00493C44" w:rsidP="00A358C5">
      <w:pPr>
        <w:ind w:left="-360" w:right="-630" w:firstLine="630"/>
        <w:rPr>
          <w:rFonts w:ascii="Arial" w:hAnsi="Arial" w:cs="Arial"/>
        </w:rPr>
      </w:pPr>
      <w:r>
        <w:rPr>
          <w:rFonts w:ascii="Arial" w:hAnsi="Arial" w:cs="Arial"/>
        </w:rPr>
        <w:t xml:space="preserve">The EE&amp;C plans </w:t>
      </w:r>
      <w:r w:rsidR="00E5505D">
        <w:rPr>
          <w:rFonts w:ascii="Arial" w:hAnsi="Arial" w:cs="Arial"/>
        </w:rPr>
        <w:t>were</w:t>
      </w:r>
      <w:r>
        <w:rPr>
          <w:rFonts w:ascii="Arial" w:hAnsi="Arial" w:cs="Arial"/>
        </w:rPr>
        <w:t xml:space="preserve"> to </w:t>
      </w:r>
      <w:r w:rsidRPr="002012AC">
        <w:rPr>
          <w:rFonts w:ascii="Arial" w:hAnsi="Arial" w:cs="Arial"/>
        </w:rPr>
        <w:t xml:space="preserve">be designed to help the EDCs meet established electricity consumption reduction </w:t>
      </w:r>
      <w:hyperlink r:id="rId9" w:history="1">
        <w:r w:rsidRPr="002012AC">
          <w:rPr>
            <w:rStyle w:val="Hyperlink"/>
            <w:rFonts w:ascii="Arial" w:hAnsi="Arial" w:cs="Arial"/>
          </w:rPr>
          <w:t>targets</w:t>
        </w:r>
      </w:hyperlink>
      <w:r w:rsidRPr="002012AC">
        <w:rPr>
          <w:rFonts w:ascii="Arial" w:hAnsi="Arial" w:cs="Arial"/>
        </w:rPr>
        <w:t xml:space="preserve"> of 1 percent </w:t>
      </w:r>
      <w:r w:rsidR="00A358C5">
        <w:rPr>
          <w:rFonts w:ascii="Arial" w:hAnsi="Arial" w:cs="Arial"/>
        </w:rPr>
        <w:t>by</w:t>
      </w:r>
      <w:r w:rsidRPr="002012AC">
        <w:rPr>
          <w:rFonts w:ascii="Arial" w:hAnsi="Arial" w:cs="Arial"/>
        </w:rPr>
        <w:t xml:space="preserve"> May 31, 2011, and 3 percent by May 31, 2013. The EDCs also are required to meet a 4.5 percent reduction in peak demand by May 31, 2013.</w:t>
      </w:r>
      <w:r w:rsidR="007B21B3" w:rsidRPr="007B21B3">
        <w:rPr>
          <w:rFonts w:ascii="Arial" w:hAnsi="Arial" w:cs="Arial"/>
        </w:rPr>
        <w:t xml:space="preserve"> </w:t>
      </w:r>
      <w:r w:rsidR="00C5081E">
        <w:rPr>
          <w:rFonts w:ascii="Arial" w:hAnsi="Arial" w:cs="Arial"/>
        </w:rPr>
        <w:t xml:space="preserve">Peak demand is defined as the </w:t>
      </w:r>
      <w:r w:rsidR="009123BC">
        <w:rPr>
          <w:rFonts w:ascii="Arial" w:hAnsi="Arial" w:cs="Arial"/>
        </w:rPr>
        <w:t>systems top 100 hours of highest demand.</w:t>
      </w:r>
    </w:p>
    <w:p w:rsidR="00FF2D42" w:rsidRDefault="00FF2D42" w:rsidP="00A358C5">
      <w:pPr>
        <w:ind w:left="-360" w:right="-630" w:firstLine="630"/>
        <w:rPr>
          <w:rFonts w:ascii="Arial" w:hAnsi="Arial" w:cs="Arial"/>
        </w:rPr>
      </w:pPr>
    </w:p>
    <w:p w:rsidR="007B21B3" w:rsidRDefault="007B21B3" w:rsidP="00A358C5">
      <w:pPr>
        <w:ind w:left="-360" w:right="-630" w:firstLine="630"/>
        <w:rPr>
          <w:rFonts w:ascii="Arial" w:hAnsi="Arial" w:cs="Arial"/>
        </w:rPr>
      </w:pPr>
      <w:r>
        <w:rPr>
          <w:rFonts w:ascii="Arial" w:hAnsi="Arial" w:cs="Arial"/>
        </w:rPr>
        <w:t xml:space="preserve">The PUC </w:t>
      </w:r>
      <w:r w:rsidRPr="003039A5">
        <w:rPr>
          <w:rFonts w:ascii="Arial" w:hAnsi="Arial" w:cs="Arial"/>
        </w:rPr>
        <w:t xml:space="preserve">may direct </w:t>
      </w:r>
      <w:r w:rsidR="00DA6F77">
        <w:rPr>
          <w:rFonts w:ascii="Arial" w:hAnsi="Arial" w:cs="Arial"/>
        </w:rPr>
        <w:t xml:space="preserve">the </w:t>
      </w:r>
      <w:r w:rsidRPr="003039A5">
        <w:rPr>
          <w:rFonts w:ascii="Arial" w:hAnsi="Arial" w:cs="Arial"/>
        </w:rPr>
        <w:t xml:space="preserve">EDC to “modify or terminate” </w:t>
      </w:r>
      <w:r>
        <w:rPr>
          <w:rFonts w:ascii="Arial" w:hAnsi="Arial" w:cs="Arial"/>
        </w:rPr>
        <w:t xml:space="preserve">an </w:t>
      </w:r>
      <w:r w:rsidRPr="003039A5">
        <w:rPr>
          <w:rFonts w:ascii="Arial" w:hAnsi="Arial" w:cs="Arial"/>
        </w:rPr>
        <w:t xml:space="preserve">approved EE&amp;C plan if, after implementation, </w:t>
      </w:r>
      <w:r w:rsidR="00595168">
        <w:rPr>
          <w:rFonts w:ascii="Arial" w:hAnsi="Arial" w:cs="Arial"/>
        </w:rPr>
        <w:t xml:space="preserve">it is determined that </w:t>
      </w:r>
      <w:r>
        <w:rPr>
          <w:rFonts w:ascii="Arial" w:hAnsi="Arial" w:cs="Arial"/>
        </w:rPr>
        <w:t xml:space="preserve">the </w:t>
      </w:r>
      <w:r w:rsidRPr="003039A5">
        <w:rPr>
          <w:rFonts w:ascii="Arial" w:hAnsi="Arial" w:cs="Arial"/>
        </w:rPr>
        <w:t xml:space="preserve">plan will not achieve results in </w:t>
      </w:r>
      <w:r w:rsidR="00DA6F77">
        <w:rPr>
          <w:rFonts w:ascii="Arial" w:hAnsi="Arial" w:cs="Arial"/>
        </w:rPr>
        <w:t xml:space="preserve">a </w:t>
      </w:r>
      <w:r w:rsidRPr="003039A5">
        <w:rPr>
          <w:rFonts w:ascii="Arial" w:hAnsi="Arial" w:cs="Arial"/>
        </w:rPr>
        <w:t>cost-effective manner</w:t>
      </w:r>
      <w:r>
        <w:rPr>
          <w:rFonts w:ascii="Arial" w:hAnsi="Arial" w:cs="Arial"/>
        </w:rPr>
        <w:t>.</w:t>
      </w:r>
    </w:p>
    <w:p w:rsidR="00493C44" w:rsidRDefault="00493C44" w:rsidP="00493C44">
      <w:pPr>
        <w:ind w:left="-360" w:right="-630" w:firstLine="630"/>
        <w:rPr>
          <w:rFonts w:ascii="Arial" w:hAnsi="Arial" w:cs="Arial"/>
        </w:rPr>
      </w:pPr>
    </w:p>
    <w:p w:rsidR="0014062D" w:rsidRDefault="000D1BEE" w:rsidP="005E4A20">
      <w:pPr>
        <w:ind w:left="-360" w:right="-630" w:firstLine="630"/>
        <w:rPr>
          <w:rFonts w:ascii="Arial" w:hAnsi="Arial" w:cs="Arial"/>
        </w:rPr>
      </w:pPr>
      <w:r w:rsidRPr="000D1BEE">
        <w:rPr>
          <w:rFonts w:ascii="Arial" w:hAnsi="Arial" w:cs="Arial"/>
        </w:rPr>
        <w:t xml:space="preserve">The </w:t>
      </w:r>
      <w:r w:rsidR="00495C9C">
        <w:rPr>
          <w:rFonts w:ascii="Arial" w:hAnsi="Arial" w:cs="Arial"/>
        </w:rPr>
        <w:t>Commission</w:t>
      </w:r>
      <w:r w:rsidR="00981D37">
        <w:rPr>
          <w:rFonts w:ascii="Arial" w:hAnsi="Arial" w:cs="Arial"/>
        </w:rPr>
        <w:t xml:space="preserve"> has 120 days to approve, reject or modify each of the</w:t>
      </w:r>
      <w:r w:rsidR="001113A9">
        <w:rPr>
          <w:rFonts w:ascii="Arial" w:hAnsi="Arial" w:cs="Arial"/>
        </w:rPr>
        <w:t xml:space="preserve"> EE&amp;C</w:t>
      </w:r>
      <w:r w:rsidR="00981D37">
        <w:rPr>
          <w:rFonts w:ascii="Arial" w:hAnsi="Arial" w:cs="Arial"/>
        </w:rPr>
        <w:t xml:space="preserve"> plans. </w:t>
      </w:r>
      <w:r w:rsidR="007B328E">
        <w:rPr>
          <w:rFonts w:ascii="Arial" w:hAnsi="Arial" w:cs="Arial"/>
        </w:rPr>
        <w:t xml:space="preserve">Interested parties may intervene in the </w:t>
      </w:r>
      <w:r w:rsidR="00DF129E">
        <w:rPr>
          <w:rFonts w:ascii="Arial" w:hAnsi="Arial" w:cs="Arial"/>
        </w:rPr>
        <w:t>review of the plans</w:t>
      </w:r>
      <w:r w:rsidR="007B328E">
        <w:rPr>
          <w:rFonts w:ascii="Arial" w:hAnsi="Arial" w:cs="Arial"/>
        </w:rPr>
        <w:t xml:space="preserve"> </w:t>
      </w:r>
      <w:r w:rsidR="007B328E" w:rsidRPr="00E4111B">
        <w:rPr>
          <w:rFonts w:ascii="Arial" w:hAnsi="Arial" w:cs="Arial"/>
        </w:rPr>
        <w:t>by filing petitions</w:t>
      </w:r>
      <w:r w:rsidR="007B328E">
        <w:rPr>
          <w:rFonts w:ascii="Arial" w:hAnsi="Arial" w:cs="Arial"/>
        </w:rPr>
        <w:t xml:space="preserve"> with the PUC. </w:t>
      </w:r>
      <w:r w:rsidR="00981D37">
        <w:rPr>
          <w:rFonts w:ascii="Arial" w:hAnsi="Arial" w:cs="Arial"/>
        </w:rPr>
        <w:t xml:space="preserve">The </w:t>
      </w:r>
      <w:r w:rsidR="00D711B3">
        <w:rPr>
          <w:rFonts w:ascii="Arial" w:hAnsi="Arial" w:cs="Arial"/>
        </w:rPr>
        <w:t xml:space="preserve">Commission </w:t>
      </w:r>
      <w:r w:rsidR="00981D37">
        <w:rPr>
          <w:rFonts w:ascii="Arial" w:hAnsi="Arial" w:cs="Arial"/>
        </w:rPr>
        <w:t>review</w:t>
      </w:r>
      <w:r w:rsidR="007B328E">
        <w:rPr>
          <w:rFonts w:ascii="Arial" w:hAnsi="Arial" w:cs="Arial"/>
        </w:rPr>
        <w:t xml:space="preserve"> </w:t>
      </w:r>
      <w:r w:rsidR="00981D37">
        <w:rPr>
          <w:rFonts w:ascii="Arial" w:hAnsi="Arial" w:cs="Arial"/>
        </w:rPr>
        <w:t xml:space="preserve">will include hearings </w:t>
      </w:r>
      <w:r w:rsidR="001E5430">
        <w:rPr>
          <w:rFonts w:ascii="Arial" w:hAnsi="Arial" w:cs="Arial"/>
        </w:rPr>
        <w:t xml:space="preserve">on each individual plan </w:t>
      </w:r>
      <w:r w:rsidR="00981D37">
        <w:rPr>
          <w:rFonts w:ascii="Arial" w:hAnsi="Arial" w:cs="Arial"/>
        </w:rPr>
        <w:t xml:space="preserve">before PUC Administrative Law Judges where parties </w:t>
      </w:r>
      <w:r w:rsidR="00AA33A9">
        <w:rPr>
          <w:rFonts w:ascii="Arial" w:hAnsi="Arial" w:cs="Arial"/>
        </w:rPr>
        <w:t xml:space="preserve">in the case </w:t>
      </w:r>
      <w:r w:rsidR="0014062D">
        <w:rPr>
          <w:rFonts w:ascii="Arial" w:hAnsi="Arial" w:cs="Arial"/>
        </w:rPr>
        <w:t xml:space="preserve">may </w:t>
      </w:r>
      <w:r w:rsidR="00AA33A9">
        <w:rPr>
          <w:rFonts w:ascii="Arial" w:hAnsi="Arial" w:cs="Arial"/>
        </w:rPr>
        <w:t>present evidence on the proposals.</w:t>
      </w:r>
      <w:r w:rsidR="002C34F2">
        <w:rPr>
          <w:rFonts w:ascii="Arial" w:hAnsi="Arial" w:cs="Arial"/>
        </w:rPr>
        <w:t xml:space="preserve"> All of this will make up the record on which the Commissi</w:t>
      </w:r>
      <w:r w:rsidR="004C3555">
        <w:rPr>
          <w:rFonts w:ascii="Arial" w:hAnsi="Arial" w:cs="Arial"/>
        </w:rPr>
        <w:t>on will base its final decision during a public meeting in Harrisburg.</w:t>
      </w:r>
    </w:p>
    <w:p w:rsidR="0014062D" w:rsidRDefault="0014062D" w:rsidP="005E4A20">
      <w:pPr>
        <w:ind w:left="-360" w:right="-630" w:firstLine="630"/>
        <w:rPr>
          <w:rFonts w:ascii="Arial" w:hAnsi="Arial" w:cs="Arial"/>
        </w:rPr>
      </w:pPr>
    </w:p>
    <w:p w:rsidR="001D60AB" w:rsidRDefault="00D553BE" w:rsidP="005E4A20">
      <w:pPr>
        <w:ind w:left="-360" w:right="-630" w:firstLine="630"/>
        <w:rPr>
          <w:rFonts w:ascii="Arial" w:hAnsi="Arial" w:cs="Arial"/>
        </w:rPr>
      </w:pPr>
      <w:r>
        <w:rPr>
          <w:rFonts w:ascii="Arial" w:hAnsi="Arial" w:cs="Arial"/>
        </w:rPr>
        <w:t>On Jan. 15, 2009, t</w:t>
      </w:r>
      <w:r w:rsidR="00EB3BE1">
        <w:rPr>
          <w:rFonts w:ascii="Arial" w:hAnsi="Arial" w:cs="Arial"/>
        </w:rPr>
        <w:t xml:space="preserve">he </w:t>
      </w:r>
      <w:r>
        <w:rPr>
          <w:rFonts w:ascii="Arial" w:hAnsi="Arial" w:cs="Arial"/>
        </w:rPr>
        <w:t xml:space="preserve">PUC established the </w:t>
      </w:r>
      <w:hyperlink r:id="rId10" w:history="1">
        <w:r w:rsidRPr="00FC1998">
          <w:rPr>
            <w:rStyle w:val="Hyperlink"/>
            <w:rFonts w:ascii="Arial" w:hAnsi="Arial" w:cs="Arial"/>
          </w:rPr>
          <w:t>standards</w:t>
        </w:r>
      </w:hyperlink>
      <w:r w:rsidRPr="00D553BE">
        <w:rPr>
          <w:rFonts w:ascii="Arial" w:hAnsi="Arial" w:cs="Arial"/>
        </w:rPr>
        <w:t xml:space="preserve"> each EDC’s plan must meet</w:t>
      </w:r>
      <w:r>
        <w:rPr>
          <w:rFonts w:ascii="Arial" w:hAnsi="Arial" w:cs="Arial"/>
        </w:rPr>
        <w:t xml:space="preserve">. The </w:t>
      </w:r>
      <w:r w:rsidR="00EB3BE1">
        <w:rPr>
          <w:rFonts w:ascii="Arial" w:hAnsi="Arial" w:cs="Arial"/>
        </w:rPr>
        <w:t>plans were required to include:</w:t>
      </w:r>
    </w:p>
    <w:p w:rsidR="00EB3BE1" w:rsidRDefault="00EB3BE1" w:rsidP="00A40DEA">
      <w:pPr>
        <w:pStyle w:val="ListParagraph"/>
        <w:numPr>
          <w:ilvl w:val="0"/>
          <w:numId w:val="1"/>
        </w:numPr>
        <w:ind w:right="-630"/>
        <w:rPr>
          <w:rFonts w:ascii="Arial" w:hAnsi="Arial" w:cs="Arial"/>
        </w:rPr>
      </w:pPr>
      <w:r w:rsidRPr="00A40DEA">
        <w:rPr>
          <w:rFonts w:ascii="Arial" w:hAnsi="Arial" w:cs="Arial"/>
        </w:rPr>
        <w:t>Specific proposals and programs for achieving usage reductions;</w:t>
      </w:r>
    </w:p>
    <w:p w:rsidR="00FC1998" w:rsidRPr="00A40DEA" w:rsidRDefault="00FC1998" w:rsidP="00A40DEA">
      <w:pPr>
        <w:pStyle w:val="ListParagraph"/>
        <w:numPr>
          <w:ilvl w:val="0"/>
          <w:numId w:val="1"/>
        </w:numPr>
        <w:ind w:right="-630"/>
        <w:rPr>
          <w:rFonts w:ascii="Arial" w:hAnsi="Arial" w:cs="Arial"/>
        </w:rPr>
      </w:pPr>
      <w:r>
        <w:rPr>
          <w:rFonts w:ascii="Arial" w:hAnsi="Arial" w:cs="Arial"/>
        </w:rPr>
        <w:t>Cost-recovery</w:t>
      </w:r>
      <w:r w:rsidR="00225918">
        <w:rPr>
          <w:rFonts w:ascii="Arial" w:hAnsi="Arial" w:cs="Arial"/>
        </w:rPr>
        <w:t xml:space="preserve"> provisions</w:t>
      </w:r>
      <w:r>
        <w:rPr>
          <w:rFonts w:ascii="Arial" w:hAnsi="Arial" w:cs="Arial"/>
        </w:rPr>
        <w:t>;</w:t>
      </w:r>
    </w:p>
    <w:p w:rsidR="00EB3BE1" w:rsidRPr="00A40DEA" w:rsidRDefault="00EB3BE1" w:rsidP="00A40DEA">
      <w:pPr>
        <w:pStyle w:val="ListParagraph"/>
        <w:numPr>
          <w:ilvl w:val="0"/>
          <w:numId w:val="1"/>
        </w:numPr>
        <w:ind w:right="-630"/>
        <w:rPr>
          <w:rFonts w:ascii="Arial" w:hAnsi="Arial" w:cs="Arial"/>
        </w:rPr>
      </w:pPr>
      <w:r w:rsidRPr="00A40DEA">
        <w:rPr>
          <w:rFonts w:ascii="Arial" w:hAnsi="Arial" w:cs="Arial"/>
        </w:rPr>
        <w:t>Programs for low-income households (150 percent of poverty);</w:t>
      </w:r>
    </w:p>
    <w:p w:rsidR="00EB3BE1" w:rsidRPr="00A40DEA" w:rsidRDefault="00EB3BE1" w:rsidP="00A40DEA">
      <w:pPr>
        <w:pStyle w:val="ListParagraph"/>
        <w:numPr>
          <w:ilvl w:val="0"/>
          <w:numId w:val="1"/>
        </w:numPr>
        <w:ind w:right="-630"/>
        <w:rPr>
          <w:rFonts w:ascii="Arial" w:hAnsi="Arial" w:cs="Arial"/>
        </w:rPr>
      </w:pPr>
      <w:r w:rsidRPr="00A40DEA">
        <w:rPr>
          <w:rFonts w:ascii="Arial" w:hAnsi="Arial" w:cs="Arial"/>
        </w:rPr>
        <w:t>The use of one or more conservation service providers selected through competitive bidding;</w:t>
      </w:r>
      <w:r w:rsidR="00A40DEA">
        <w:rPr>
          <w:rFonts w:ascii="Arial" w:hAnsi="Arial" w:cs="Arial"/>
        </w:rPr>
        <w:t xml:space="preserve"> and</w:t>
      </w:r>
    </w:p>
    <w:p w:rsidR="00817DF7" w:rsidRDefault="00817DF7" w:rsidP="00A40DEA">
      <w:pPr>
        <w:pStyle w:val="ListParagraph"/>
        <w:numPr>
          <w:ilvl w:val="0"/>
          <w:numId w:val="1"/>
        </w:numPr>
        <w:ind w:right="-630"/>
        <w:rPr>
          <w:rFonts w:ascii="Arial" w:hAnsi="Arial" w:cs="Arial"/>
        </w:rPr>
      </w:pPr>
      <w:r w:rsidRPr="00A40DEA">
        <w:rPr>
          <w:rFonts w:ascii="Arial" w:hAnsi="Arial" w:cs="Arial"/>
        </w:rPr>
        <w:t>Annual independent e</w:t>
      </w:r>
      <w:r w:rsidR="00A40DEA">
        <w:rPr>
          <w:rFonts w:ascii="Arial" w:hAnsi="Arial" w:cs="Arial"/>
        </w:rPr>
        <w:t>valuation of cost effectiveness.</w:t>
      </w:r>
    </w:p>
    <w:p w:rsidR="00B64486" w:rsidRPr="00A40DEA" w:rsidRDefault="00B64486" w:rsidP="00B64486">
      <w:pPr>
        <w:pStyle w:val="ListParagraph"/>
        <w:ind w:left="990" w:right="-630"/>
        <w:rPr>
          <w:rFonts w:ascii="Arial" w:hAnsi="Arial" w:cs="Arial"/>
        </w:rPr>
      </w:pPr>
    </w:p>
    <w:p w:rsidR="004D7AB6" w:rsidRPr="004D7AB6" w:rsidRDefault="004D7AB6" w:rsidP="004D7AB6">
      <w:pPr>
        <w:ind w:left="-360" w:right="-630" w:firstLine="630"/>
        <w:rPr>
          <w:rFonts w:ascii="Arial" w:hAnsi="Arial" w:cs="Arial"/>
        </w:rPr>
      </w:pPr>
      <w:r w:rsidRPr="004D7AB6">
        <w:rPr>
          <w:rFonts w:ascii="Arial" w:hAnsi="Arial" w:cs="Arial"/>
        </w:rPr>
        <w:t>Act 129 expanded the PUC’s oversight responsibilities and imposed new requirements with the overall goal of reducing electricity consumption and demand. It added several new sections to and amended several existing sections of the Public Utility Code.  The Commission is implementing the Act in phases that address EDC responsibilities to implement energy efficiency and conservation programs; smart meter technology; time-of-use rates; real-time pricing plans; default service procurement; market misconduct; alternative energy sources; and cost recovery.</w:t>
      </w:r>
    </w:p>
    <w:p w:rsidR="002E6C00" w:rsidRPr="00990B48" w:rsidRDefault="002E6C00" w:rsidP="005E4A20">
      <w:pPr>
        <w:spacing w:before="100" w:beforeAutospacing="1" w:after="100" w:afterAutospacing="1"/>
        <w:ind w:left="-360" w:right="-630" w:firstLine="630"/>
        <w:rPr>
          <w:rFonts w:ascii="Arial" w:hAnsi="Arial"/>
        </w:rPr>
      </w:pPr>
      <w:r w:rsidRPr="00990B48">
        <w:rPr>
          <w:rFonts w:ascii="Arial" w:hAnsi="Arial"/>
        </w:rPr>
        <w:t>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w:t>
      </w:r>
      <w:r w:rsidR="0014457E">
        <w:rPr>
          <w:rFonts w:ascii="Arial" w:hAnsi="Arial"/>
        </w:rPr>
        <w:t xml:space="preserve"> </w:t>
      </w:r>
      <w:r w:rsidRPr="00990B48">
        <w:rPr>
          <w:rFonts w:ascii="Arial" w:hAnsi="Arial"/>
        </w:rPr>
        <w:t xml:space="preserve">For recent news releases, audio of select Commission proceedings or more information about the PUC, visit our </w:t>
      </w:r>
      <w:r>
        <w:rPr>
          <w:rFonts w:ascii="Arial" w:hAnsi="Arial"/>
        </w:rPr>
        <w:t>web</w:t>
      </w:r>
      <w:r w:rsidRPr="00990B48">
        <w:rPr>
          <w:rFonts w:ascii="Arial" w:hAnsi="Arial"/>
        </w:rPr>
        <w:t xml:space="preserve">site at </w:t>
      </w:r>
      <w:hyperlink r:id="rId11" w:history="1">
        <w:r w:rsidRPr="00990B48">
          <w:rPr>
            <w:rFonts w:ascii="Arial" w:hAnsi="Arial"/>
            <w:color w:val="0000FF"/>
            <w:u w:val="single"/>
          </w:rPr>
          <w:t>www.puc.state.pa.us</w:t>
        </w:r>
      </w:hyperlink>
      <w:r w:rsidRPr="00990B48">
        <w:rPr>
          <w:rFonts w:ascii="Arial" w:hAnsi="Arial"/>
        </w:rPr>
        <w:t>.</w:t>
      </w:r>
    </w:p>
    <w:p w:rsidR="001E3020" w:rsidRDefault="00880256" w:rsidP="001E3020">
      <w:pPr>
        <w:spacing w:before="100" w:beforeAutospacing="1" w:after="100" w:afterAutospacing="1"/>
        <w:ind w:left="-360" w:right="-630" w:firstLine="630"/>
        <w:jc w:val="center"/>
        <w:rPr>
          <w:rFonts w:ascii="Arial" w:hAnsi="Arial"/>
        </w:rPr>
      </w:pPr>
      <w:r>
        <w:rPr>
          <w:rFonts w:ascii="Arial" w:hAnsi="Arial"/>
        </w:rPr>
        <w:t># # #</w:t>
      </w:r>
    </w:p>
    <w:p w:rsidR="00B423BE" w:rsidRDefault="00880256" w:rsidP="00B423BE">
      <w:pPr>
        <w:ind w:left="-360" w:right="-634"/>
        <w:rPr>
          <w:rFonts w:ascii="Arial" w:hAnsi="Arial"/>
        </w:rPr>
      </w:pPr>
      <w:r>
        <w:rPr>
          <w:rFonts w:ascii="Arial" w:hAnsi="Arial"/>
        </w:rPr>
        <w:t>Docket No</w:t>
      </w:r>
      <w:r w:rsidR="001E3020">
        <w:rPr>
          <w:rFonts w:ascii="Arial" w:hAnsi="Arial"/>
        </w:rPr>
        <w:t>s</w:t>
      </w:r>
      <w:r>
        <w:rPr>
          <w:rFonts w:ascii="Arial" w:hAnsi="Arial"/>
        </w:rPr>
        <w:t xml:space="preserve">. </w:t>
      </w:r>
      <w:r w:rsidR="001E3020">
        <w:rPr>
          <w:rFonts w:ascii="Arial" w:hAnsi="Arial"/>
        </w:rPr>
        <w:t xml:space="preserve">– </w:t>
      </w:r>
      <w:r w:rsidR="001E3020">
        <w:rPr>
          <w:rFonts w:ascii="Arial" w:hAnsi="Arial"/>
        </w:rPr>
        <w:tab/>
      </w:r>
      <w:r w:rsidR="00B423BE">
        <w:rPr>
          <w:rFonts w:ascii="Arial" w:hAnsi="Arial"/>
        </w:rPr>
        <w:t>M-2009-2093218 (Allegheny)</w:t>
      </w:r>
    </w:p>
    <w:p w:rsidR="00EA4B40" w:rsidRDefault="00B423BE" w:rsidP="00B423BE">
      <w:pPr>
        <w:ind w:left="360" w:right="-634" w:firstLine="1080"/>
        <w:rPr>
          <w:rFonts w:ascii="Arial" w:hAnsi="Arial"/>
        </w:rPr>
      </w:pPr>
      <w:r>
        <w:rPr>
          <w:rFonts w:ascii="Arial" w:hAnsi="Arial"/>
        </w:rPr>
        <w:t>M-2009-2093217 (Duquesne)</w:t>
      </w:r>
    </w:p>
    <w:p w:rsidR="00EA4B40" w:rsidRDefault="00EA4B40" w:rsidP="00B423BE">
      <w:pPr>
        <w:ind w:left="360" w:right="-634" w:firstLine="1080"/>
        <w:rPr>
          <w:rFonts w:ascii="Arial" w:hAnsi="Arial"/>
        </w:rPr>
      </w:pPr>
      <w:r>
        <w:rPr>
          <w:rFonts w:ascii="Arial" w:hAnsi="Arial"/>
        </w:rPr>
        <w:t>M-2009-2092222 (Met-Ed)</w:t>
      </w:r>
    </w:p>
    <w:p w:rsidR="001E3020" w:rsidRDefault="001E3020" w:rsidP="00B423BE">
      <w:pPr>
        <w:ind w:left="360" w:right="-634" w:firstLine="1080"/>
        <w:rPr>
          <w:rFonts w:ascii="Arial" w:hAnsi="Arial"/>
        </w:rPr>
      </w:pPr>
      <w:r>
        <w:rPr>
          <w:rFonts w:ascii="Arial" w:hAnsi="Arial"/>
        </w:rPr>
        <w:t>M-2009-2093215 (PECO)</w:t>
      </w:r>
    </w:p>
    <w:p w:rsidR="00EA4B40" w:rsidRDefault="001E3020" w:rsidP="00EA4B40">
      <w:pPr>
        <w:ind w:left="-360" w:right="-634"/>
        <w:rPr>
          <w:rFonts w:ascii="Arial" w:hAnsi="Arial"/>
        </w:rPr>
      </w:pPr>
      <w:r>
        <w:rPr>
          <w:rFonts w:ascii="Arial" w:hAnsi="Arial"/>
        </w:rPr>
        <w:tab/>
      </w:r>
      <w:r>
        <w:rPr>
          <w:rFonts w:ascii="Arial" w:hAnsi="Arial"/>
        </w:rPr>
        <w:tab/>
      </w:r>
      <w:r>
        <w:rPr>
          <w:rFonts w:ascii="Arial" w:hAnsi="Arial"/>
        </w:rPr>
        <w:tab/>
      </w:r>
      <w:r w:rsidR="00EA4B40">
        <w:rPr>
          <w:rFonts w:ascii="Arial" w:hAnsi="Arial"/>
        </w:rPr>
        <w:t>M-2009-2112952 (Penelec)</w:t>
      </w:r>
    </w:p>
    <w:p w:rsidR="00EA4B40" w:rsidRPr="001E3020" w:rsidRDefault="00EA4B40" w:rsidP="00EA4B40">
      <w:pPr>
        <w:ind w:left="-360" w:right="-634"/>
        <w:rPr>
          <w:rFonts w:ascii="Arial" w:hAnsi="Arial"/>
        </w:rPr>
      </w:pPr>
      <w:r>
        <w:rPr>
          <w:rFonts w:ascii="Arial" w:hAnsi="Arial"/>
        </w:rPr>
        <w:tab/>
      </w:r>
      <w:r>
        <w:rPr>
          <w:rFonts w:ascii="Arial" w:hAnsi="Arial"/>
        </w:rPr>
        <w:tab/>
      </w:r>
      <w:r>
        <w:rPr>
          <w:rFonts w:ascii="Arial" w:hAnsi="Arial"/>
        </w:rPr>
        <w:tab/>
        <w:t>M-2009-2112956 (Penn Power)</w:t>
      </w:r>
    </w:p>
    <w:p w:rsidR="001E3020" w:rsidRDefault="001E3020" w:rsidP="00EA4B40">
      <w:pPr>
        <w:ind w:left="360" w:right="-634" w:firstLine="1080"/>
        <w:rPr>
          <w:rFonts w:ascii="Arial" w:hAnsi="Arial"/>
        </w:rPr>
      </w:pPr>
      <w:r>
        <w:rPr>
          <w:rFonts w:ascii="Arial" w:hAnsi="Arial"/>
        </w:rPr>
        <w:t>M-2009-2093216 (PPL)</w:t>
      </w:r>
    </w:p>
    <w:p w:rsidR="001E3020" w:rsidRDefault="001E3020" w:rsidP="00B423BE">
      <w:pPr>
        <w:ind w:left="-360" w:right="-634"/>
        <w:rPr>
          <w:rFonts w:ascii="Arial" w:hAnsi="Arial"/>
        </w:rPr>
      </w:pPr>
      <w:r>
        <w:rPr>
          <w:rFonts w:ascii="Arial" w:hAnsi="Arial"/>
        </w:rPr>
        <w:tab/>
      </w:r>
      <w:r>
        <w:rPr>
          <w:rFonts w:ascii="Arial" w:hAnsi="Arial"/>
        </w:rPr>
        <w:tab/>
      </w:r>
      <w:r>
        <w:rPr>
          <w:rFonts w:ascii="Arial" w:hAnsi="Arial"/>
        </w:rPr>
        <w:tab/>
      </w:r>
    </w:p>
    <w:p w:rsidR="001E3020" w:rsidRDefault="001E3020" w:rsidP="00B423BE">
      <w:pPr>
        <w:ind w:left="-360" w:right="-634"/>
        <w:rPr>
          <w:rFonts w:ascii="Arial" w:hAnsi="Arial"/>
        </w:rPr>
      </w:pPr>
      <w:r>
        <w:rPr>
          <w:rFonts w:ascii="Arial" w:hAnsi="Arial"/>
        </w:rPr>
        <w:tab/>
      </w:r>
      <w:r>
        <w:rPr>
          <w:rFonts w:ascii="Arial" w:hAnsi="Arial"/>
        </w:rPr>
        <w:tab/>
      </w:r>
      <w:r>
        <w:rPr>
          <w:rFonts w:ascii="Arial" w:hAnsi="Arial"/>
        </w:rPr>
        <w:tab/>
      </w:r>
    </w:p>
    <w:p w:rsidR="001E3020" w:rsidRDefault="001E3020" w:rsidP="00B423BE">
      <w:pPr>
        <w:ind w:left="-360" w:right="-634"/>
        <w:rPr>
          <w:rFonts w:ascii="Arial" w:hAnsi="Arial"/>
        </w:rPr>
      </w:pPr>
      <w:r>
        <w:rPr>
          <w:rFonts w:ascii="Arial" w:hAnsi="Arial"/>
        </w:rPr>
        <w:tab/>
      </w:r>
      <w:r>
        <w:rPr>
          <w:rFonts w:ascii="Arial" w:hAnsi="Arial"/>
        </w:rPr>
        <w:tab/>
      </w:r>
      <w:r>
        <w:rPr>
          <w:rFonts w:ascii="Arial" w:hAnsi="Arial"/>
        </w:rPr>
        <w:tab/>
      </w:r>
    </w:p>
    <w:p w:rsidR="001E3020" w:rsidRPr="001E3020" w:rsidRDefault="001E3020" w:rsidP="00EA4B40">
      <w:pPr>
        <w:ind w:left="-360" w:right="-634"/>
        <w:rPr>
          <w:rFonts w:ascii="Arial" w:hAnsi="Arial"/>
        </w:rPr>
      </w:pPr>
      <w:r>
        <w:rPr>
          <w:rFonts w:ascii="Arial" w:hAnsi="Arial"/>
        </w:rPr>
        <w:tab/>
      </w:r>
      <w:r>
        <w:rPr>
          <w:rFonts w:ascii="Arial" w:hAnsi="Arial"/>
        </w:rPr>
        <w:tab/>
      </w:r>
      <w:r>
        <w:rPr>
          <w:rFonts w:ascii="Arial" w:hAnsi="Arial"/>
        </w:rPr>
        <w:tab/>
      </w:r>
    </w:p>
    <w:p w:rsidR="00EA4B40" w:rsidRPr="001E3020" w:rsidRDefault="00EA4B40">
      <w:pPr>
        <w:ind w:left="-360" w:right="-634"/>
        <w:rPr>
          <w:rFonts w:ascii="Arial" w:hAnsi="Arial"/>
        </w:rPr>
      </w:pPr>
    </w:p>
    <w:sectPr w:rsidR="00EA4B40" w:rsidRPr="001E3020" w:rsidSect="00591E90">
      <w:footerReference w:type="first" r:id="rId12"/>
      <w:pgSz w:w="12240" w:h="15840" w:code="1"/>
      <w:pgMar w:top="1440" w:right="1440" w:bottom="720" w:left="1440" w:header="720" w:footer="57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337" w:rsidRDefault="00BF2337" w:rsidP="007407DC">
      <w:r>
        <w:separator/>
      </w:r>
    </w:p>
  </w:endnote>
  <w:endnote w:type="continuationSeparator" w:id="1">
    <w:p w:rsidR="00BF2337" w:rsidRDefault="00BF2337" w:rsidP="007407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2F7" w:rsidRPr="00D61C23" w:rsidRDefault="00E5505D" w:rsidP="003A370E">
    <w:pPr>
      <w:pStyle w:val="Footer"/>
      <w:jc w:val="center"/>
      <w:rPr>
        <w:rFonts w:ascii="Arial" w:hAnsi="Arial" w:cs="Arial"/>
        <w:sz w:val="20"/>
        <w:szCs w:val="20"/>
      </w:rPr>
    </w:pPr>
    <w:r w:rsidRPr="00D61C23">
      <w:rPr>
        <w:rFonts w:ascii="Arial" w:hAnsi="Arial" w:cs="Arial"/>
        <w:sz w:val="20"/>
        <w:szCs w:val="20"/>
      </w:rPr>
      <w:t>- more -</w:t>
    </w:r>
  </w:p>
  <w:p w:rsidR="00BD52F7" w:rsidRDefault="00BF23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337" w:rsidRDefault="00BF2337" w:rsidP="007407DC">
      <w:r>
        <w:separator/>
      </w:r>
    </w:p>
  </w:footnote>
  <w:footnote w:type="continuationSeparator" w:id="1">
    <w:p w:rsidR="00BF2337" w:rsidRDefault="00BF2337" w:rsidP="007407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A18AC"/>
    <w:multiLevelType w:val="hybridMultilevel"/>
    <w:tmpl w:val="5886855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E6C00"/>
    <w:rsid w:val="00073754"/>
    <w:rsid w:val="000A35FC"/>
    <w:rsid w:val="000D1BEE"/>
    <w:rsid w:val="00103545"/>
    <w:rsid w:val="001113A9"/>
    <w:rsid w:val="00115526"/>
    <w:rsid w:val="0011607A"/>
    <w:rsid w:val="00124B92"/>
    <w:rsid w:val="00124CCC"/>
    <w:rsid w:val="001325F5"/>
    <w:rsid w:val="0014062D"/>
    <w:rsid w:val="0014457E"/>
    <w:rsid w:val="00193C61"/>
    <w:rsid w:val="001D60AB"/>
    <w:rsid w:val="001E3020"/>
    <w:rsid w:val="001E3796"/>
    <w:rsid w:val="001E5430"/>
    <w:rsid w:val="001F4201"/>
    <w:rsid w:val="002012AC"/>
    <w:rsid w:val="00225918"/>
    <w:rsid w:val="00230BCC"/>
    <w:rsid w:val="002650D2"/>
    <w:rsid w:val="002C34F2"/>
    <w:rsid w:val="002E6C00"/>
    <w:rsid w:val="002F1D87"/>
    <w:rsid w:val="002F492B"/>
    <w:rsid w:val="003039A5"/>
    <w:rsid w:val="00305057"/>
    <w:rsid w:val="003B2289"/>
    <w:rsid w:val="003B587C"/>
    <w:rsid w:val="003E5D94"/>
    <w:rsid w:val="00415ACC"/>
    <w:rsid w:val="00431F08"/>
    <w:rsid w:val="00464D84"/>
    <w:rsid w:val="00493C44"/>
    <w:rsid w:val="00495C9C"/>
    <w:rsid w:val="00496A14"/>
    <w:rsid w:val="004C3555"/>
    <w:rsid w:val="004D7AB6"/>
    <w:rsid w:val="004F5E18"/>
    <w:rsid w:val="00506426"/>
    <w:rsid w:val="00515214"/>
    <w:rsid w:val="00532652"/>
    <w:rsid w:val="00592D1D"/>
    <w:rsid w:val="00595168"/>
    <w:rsid w:val="005D1997"/>
    <w:rsid w:val="005E3051"/>
    <w:rsid w:val="005E4A20"/>
    <w:rsid w:val="00600B9C"/>
    <w:rsid w:val="00623058"/>
    <w:rsid w:val="0064434F"/>
    <w:rsid w:val="00653B1E"/>
    <w:rsid w:val="0067171D"/>
    <w:rsid w:val="006829DC"/>
    <w:rsid w:val="006B37FA"/>
    <w:rsid w:val="006D120D"/>
    <w:rsid w:val="006D6EA1"/>
    <w:rsid w:val="007171C4"/>
    <w:rsid w:val="007407DC"/>
    <w:rsid w:val="00751A18"/>
    <w:rsid w:val="007B21B3"/>
    <w:rsid w:val="007B328E"/>
    <w:rsid w:val="007D5733"/>
    <w:rsid w:val="00817DF7"/>
    <w:rsid w:val="00850EDE"/>
    <w:rsid w:val="00880256"/>
    <w:rsid w:val="009123BC"/>
    <w:rsid w:val="00960CED"/>
    <w:rsid w:val="0097265F"/>
    <w:rsid w:val="0097751F"/>
    <w:rsid w:val="00981D37"/>
    <w:rsid w:val="009A080E"/>
    <w:rsid w:val="009C11F9"/>
    <w:rsid w:val="00A358C5"/>
    <w:rsid w:val="00A40DEA"/>
    <w:rsid w:val="00A50C1C"/>
    <w:rsid w:val="00AA33A9"/>
    <w:rsid w:val="00AB50AD"/>
    <w:rsid w:val="00AF6FE3"/>
    <w:rsid w:val="00B423BE"/>
    <w:rsid w:val="00B64486"/>
    <w:rsid w:val="00BC3C25"/>
    <w:rsid w:val="00BF2337"/>
    <w:rsid w:val="00C2084A"/>
    <w:rsid w:val="00C5081E"/>
    <w:rsid w:val="00C65F76"/>
    <w:rsid w:val="00C86C51"/>
    <w:rsid w:val="00CA48A7"/>
    <w:rsid w:val="00D553BE"/>
    <w:rsid w:val="00D711B3"/>
    <w:rsid w:val="00D9624A"/>
    <w:rsid w:val="00DA6F77"/>
    <w:rsid w:val="00DF129E"/>
    <w:rsid w:val="00E11B4C"/>
    <w:rsid w:val="00E35268"/>
    <w:rsid w:val="00E4111B"/>
    <w:rsid w:val="00E5505D"/>
    <w:rsid w:val="00E751E9"/>
    <w:rsid w:val="00EA4B40"/>
    <w:rsid w:val="00EB3BE1"/>
    <w:rsid w:val="00ED32BA"/>
    <w:rsid w:val="00F84DDE"/>
    <w:rsid w:val="00FA345D"/>
    <w:rsid w:val="00FC1998"/>
    <w:rsid w:val="00FD3B3A"/>
    <w:rsid w:val="00FF2D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C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E6C00"/>
    <w:rPr>
      <w:color w:val="0000FF"/>
      <w:u w:val="single"/>
    </w:rPr>
  </w:style>
  <w:style w:type="paragraph" w:styleId="Footer">
    <w:name w:val="footer"/>
    <w:basedOn w:val="Normal"/>
    <w:link w:val="FooterChar"/>
    <w:rsid w:val="002E6C00"/>
    <w:pPr>
      <w:tabs>
        <w:tab w:val="center" w:pos="4320"/>
        <w:tab w:val="right" w:pos="8640"/>
      </w:tabs>
    </w:pPr>
  </w:style>
  <w:style w:type="character" w:customStyle="1" w:styleId="FooterChar">
    <w:name w:val="Footer Char"/>
    <w:basedOn w:val="DefaultParagraphFont"/>
    <w:link w:val="Footer"/>
    <w:rsid w:val="002E6C0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6C00"/>
    <w:rPr>
      <w:rFonts w:ascii="Tahoma" w:hAnsi="Tahoma" w:cs="Tahoma"/>
      <w:sz w:val="16"/>
      <w:szCs w:val="16"/>
    </w:rPr>
  </w:style>
  <w:style w:type="character" w:customStyle="1" w:styleId="BalloonTextChar">
    <w:name w:val="Balloon Text Char"/>
    <w:basedOn w:val="DefaultParagraphFont"/>
    <w:link w:val="BalloonText"/>
    <w:uiPriority w:val="99"/>
    <w:semiHidden/>
    <w:rsid w:val="002E6C00"/>
    <w:rPr>
      <w:rFonts w:ascii="Tahoma" w:eastAsia="Times New Roman" w:hAnsi="Tahoma" w:cs="Tahoma"/>
      <w:sz w:val="16"/>
      <w:szCs w:val="16"/>
    </w:rPr>
  </w:style>
  <w:style w:type="paragraph" w:styleId="ListParagraph">
    <w:name w:val="List Paragraph"/>
    <w:basedOn w:val="Normal"/>
    <w:uiPriority w:val="34"/>
    <w:qFormat/>
    <w:rsid w:val="00A40DEA"/>
    <w:pPr>
      <w:ind w:left="720"/>
      <w:contextualSpacing/>
    </w:pPr>
  </w:style>
</w:styles>
</file>

<file path=word/webSettings.xml><?xml version="1.0" encoding="utf-8"?>
<w:webSettings xmlns:r="http://schemas.openxmlformats.org/officeDocument/2006/relationships" xmlns:w="http://schemas.openxmlformats.org/wordprocessingml/2006/main">
  <w:divs>
    <w:div w:id="207882684">
      <w:bodyDiv w:val="1"/>
      <w:marLeft w:val="0"/>
      <w:marRight w:val="0"/>
      <w:marTop w:val="0"/>
      <w:marBottom w:val="0"/>
      <w:divBdr>
        <w:top w:val="none" w:sz="0" w:space="0" w:color="auto"/>
        <w:left w:val="none" w:sz="0" w:space="0" w:color="auto"/>
        <w:bottom w:val="none" w:sz="0" w:space="0" w:color="auto"/>
        <w:right w:val="none" w:sz="0" w:space="0" w:color="auto"/>
      </w:divBdr>
    </w:div>
    <w:div w:id="790705645">
      <w:bodyDiv w:val="1"/>
      <w:marLeft w:val="0"/>
      <w:marRight w:val="0"/>
      <w:marTop w:val="0"/>
      <w:marBottom w:val="0"/>
      <w:divBdr>
        <w:top w:val="none" w:sz="0" w:space="0" w:color="auto"/>
        <w:left w:val="none" w:sz="0" w:space="0" w:color="auto"/>
        <w:bottom w:val="none" w:sz="0" w:space="0" w:color="auto"/>
        <w:right w:val="none" w:sz="0" w:space="0" w:color="auto"/>
      </w:divBdr>
    </w:div>
    <w:div w:id="1523593372">
      <w:bodyDiv w:val="1"/>
      <w:marLeft w:val="15"/>
      <w:marRight w:val="0"/>
      <w:marTop w:val="15"/>
      <w:marBottom w:val="0"/>
      <w:divBdr>
        <w:top w:val="none" w:sz="0" w:space="0" w:color="auto"/>
        <w:left w:val="none" w:sz="0" w:space="0" w:color="auto"/>
        <w:bottom w:val="none" w:sz="0" w:space="0" w:color="auto"/>
        <w:right w:val="none" w:sz="0" w:space="0" w:color="auto"/>
      </w:divBdr>
      <w:divsChild>
        <w:div w:id="1188444623">
          <w:marLeft w:val="0"/>
          <w:marRight w:val="0"/>
          <w:marTop w:val="0"/>
          <w:marBottom w:val="0"/>
          <w:divBdr>
            <w:top w:val="none" w:sz="0" w:space="0" w:color="auto"/>
            <w:left w:val="none" w:sz="0" w:space="0" w:color="auto"/>
            <w:bottom w:val="none" w:sz="0" w:space="0" w:color="auto"/>
            <w:right w:val="none" w:sz="0" w:space="0" w:color="auto"/>
          </w:divBdr>
          <w:divsChild>
            <w:div w:id="121033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88417">
      <w:bodyDiv w:val="1"/>
      <w:marLeft w:val="15"/>
      <w:marRight w:val="0"/>
      <w:marTop w:val="15"/>
      <w:marBottom w:val="0"/>
      <w:divBdr>
        <w:top w:val="none" w:sz="0" w:space="0" w:color="auto"/>
        <w:left w:val="none" w:sz="0" w:space="0" w:color="auto"/>
        <w:bottom w:val="none" w:sz="0" w:space="0" w:color="auto"/>
        <w:right w:val="none" w:sz="0" w:space="0" w:color="auto"/>
      </w:divBdr>
      <w:divsChild>
        <w:div w:id="220336752">
          <w:marLeft w:val="0"/>
          <w:marRight w:val="0"/>
          <w:marTop w:val="0"/>
          <w:marBottom w:val="0"/>
          <w:divBdr>
            <w:top w:val="none" w:sz="0" w:space="0" w:color="auto"/>
            <w:left w:val="none" w:sz="0" w:space="0" w:color="auto"/>
            <w:bottom w:val="none" w:sz="0" w:space="0" w:color="auto"/>
            <w:right w:val="none" w:sz="0" w:space="0" w:color="auto"/>
          </w:divBdr>
          <w:divsChild>
            <w:div w:id="1745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82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kocher@state.pa.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 TargetMode="External"/><Relationship Id="rId5" Type="http://schemas.openxmlformats.org/officeDocument/2006/relationships/footnotes" Target="footnotes.xml"/><Relationship Id="rId10" Type="http://schemas.openxmlformats.org/officeDocument/2006/relationships/hyperlink" Target="http://www.puc.state.pa.us/General/press_releases/Press_Releases.aspx?ShowPR=2177" TargetMode="External"/><Relationship Id="rId4" Type="http://schemas.openxmlformats.org/officeDocument/2006/relationships/webSettings" Target="webSettings.xml"/><Relationship Id="rId9" Type="http://schemas.openxmlformats.org/officeDocument/2006/relationships/hyperlink" Target="http://www.puc.state.pa.us/General/press_releases/Press_Releases.aspx?ShowPR=22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2</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130</cp:revision>
  <dcterms:created xsi:type="dcterms:W3CDTF">2009-07-01T13:35:00Z</dcterms:created>
  <dcterms:modified xsi:type="dcterms:W3CDTF">2009-07-02T13:38:00Z</dcterms:modified>
</cp:coreProperties>
</file>