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B6" w:rsidRPr="00155239" w:rsidRDefault="00652CB6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place">
        <w:smartTag w:uri="urn:schemas-microsoft-com:office:smarttags" w:element="State">
          <w:r w:rsidRPr="00155239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155239">
        <w:rPr>
          <w:rFonts w:ascii="Times New Roman" w:hAnsi="Times New Roman"/>
          <w:b/>
          <w:szCs w:val="24"/>
        </w:rPr>
        <w:t xml:space="preserve"> PUBLIC UTILITY COMMISSION</w:t>
      </w:r>
      <w:r w:rsidR="00E7466F" w:rsidRPr="00155239">
        <w:rPr>
          <w:rFonts w:ascii="Times New Roman" w:hAnsi="Times New Roman"/>
          <w:b/>
          <w:szCs w:val="24"/>
        </w:rPr>
        <w:fldChar w:fldCharType="begin"/>
      </w:r>
      <w:r w:rsidRPr="00155239">
        <w:rPr>
          <w:rFonts w:ascii="Times New Roman" w:hAnsi="Times New Roman"/>
          <w:b/>
          <w:szCs w:val="24"/>
        </w:rPr>
        <w:instrText xml:space="preserve">PRIVATE </w:instrText>
      </w:r>
      <w:r w:rsidR="00E7466F" w:rsidRPr="00155239">
        <w:rPr>
          <w:rFonts w:ascii="Times New Roman" w:hAnsi="Times New Roman"/>
          <w:b/>
          <w:szCs w:val="24"/>
        </w:rPr>
        <w:fldChar w:fldCharType="end"/>
      </w:r>
    </w:p>
    <w:p w:rsidR="00652CB6" w:rsidRPr="00155239" w:rsidRDefault="00652CB6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place">
        <w:smartTag w:uri="urn:schemas-microsoft-com:office:smarttags" w:element="City">
          <w:r w:rsidRPr="00155239">
            <w:rPr>
              <w:rFonts w:ascii="Times New Roman" w:hAnsi="Times New Roman"/>
              <w:b/>
              <w:szCs w:val="24"/>
            </w:rPr>
            <w:t>Harrisburg</w:t>
          </w:r>
        </w:smartTag>
        <w:r w:rsidR="009B5A18" w:rsidRPr="00155239">
          <w:rPr>
            <w:rFonts w:ascii="Times New Roman" w:hAnsi="Times New Roman"/>
            <w:b/>
            <w:szCs w:val="24"/>
          </w:rPr>
          <w:t xml:space="preserve">, </w:t>
        </w:r>
        <w:smartTag w:uri="urn:schemas-microsoft-com:office:smarttags" w:element="State">
          <w:r w:rsidR="009B5A18" w:rsidRPr="00155239">
            <w:rPr>
              <w:rFonts w:ascii="Times New Roman" w:hAnsi="Times New Roman"/>
              <w:b/>
              <w:szCs w:val="24"/>
            </w:rPr>
            <w:t>Pennsylvania</w:t>
          </w:r>
        </w:smartTag>
        <w:r w:rsidRPr="00155239">
          <w:rPr>
            <w:rFonts w:ascii="Times New Roman" w:hAnsi="Times New Roman"/>
            <w:b/>
            <w:szCs w:val="24"/>
          </w:rPr>
          <w:t xml:space="preserve">  </w:t>
        </w:r>
        <w:smartTag w:uri="urn:schemas-microsoft-com:office:smarttags" w:element="PostalCode">
          <w:r w:rsidRPr="00155239">
            <w:rPr>
              <w:rFonts w:ascii="Times New Roman" w:hAnsi="Times New Roman"/>
              <w:b/>
              <w:szCs w:val="24"/>
            </w:rPr>
            <w:t>17105-3265</w:t>
          </w:r>
        </w:smartTag>
      </w:smartTag>
    </w:p>
    <w:p w:rsidR="00652CB6" w:rsidRPr="00155239" w:rsidRDefault="00652CB6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4"/>
        </w:rPr>
      </w:pPr>
    </w:p>
    <w:p w:rsidR="009036F8" w:rsidRDefault="000D2EFE">
      <w:pPr>
        <w:tabs>
          <w:tab w:val="left" w:pos="0"/>
        </w:tabs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Petition of PECO Energy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Public Meeting </w:t>
      </w:r>
      <w:r w:rsidR="009036F8">
        <w:rPr>
          <w:rFonts w:ascii="Times New Roman" w:hAnsi="Times New Roman"/>
          <w:b/>
          <w:szCs w:val="24"/>
        </w:rPr>
        <w:t>–</w:t>
      </w:r>
      <w:r>
        <w:rPr>
          <w:rFonts w:ascii="Times New Roman" w:hAnsi="Times New Roman"/>
          <w:b/>
          <w:szCs w:val="24"/>
        </w:rPr>
        <w:t xml:space="preserve"> August 27, 2009</w:t>
      </w:r>
      <w:r w:rsidR="00652CB6" w:rsidRPr="00155239">
        <w:rPr>
          <w:rFonts w:ascii="Times New Roman" w:hAnsi="Times New Roman"/>
          <w:b/>
          <w:szCs w:val="24"/>
        </w:rPr>
        <w:t xml:space="preserve"> </w:t>
      </w:r>
    </w:p>
    <w:p w:rsidR="00BB7B70" w:rsidRPr="00155239" w:rsidRDefault="00720C2C">
      <w:pPr>
        <w:tabs>
          <w:tab w:val="left" w:pos="0"/>
        </w:tabs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for Approval to Procure Solar</w:t>
      </w:r>
      <w:r w:rsidR="00F74275">
        <w:rPr>
          <w:rFonts w:ascii="Times New Roman" w:hAnsi="Times New Roman"/>
          <w:b/>
          <w:szCs w:val="24"/>
        </w:rPr>
        <w:tab/>
      </w:r>
      <w:r w:rsidR="00AC54F1">
        <w:rPr>
          <w:rFonts w:ascii="Times New Roman" w:hAnsi="Times New Roman"/>
          <w:b/>
          <w:szCs w:val="24"/>
        </w:rPr>
        <w:tab/>
      </w:r>
      <w:r w:rsidR="00F7427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2094494-ALJ*</w:t>
      </w:r>
      <w:r w:rsidR="000D2EFE">
        <w:rPr>
          <w:rFonts w:ascii="Times New Roman" w:hAnsi="Times New Roman"/>
          <w:b/>
          <w:szCs w:val="24"/>
        </w:rPr>
        <w:tab/>
      </w:r>
      <w:r w:rsidR="00BB7B70" w:rsidRPr="00155239">
        <w:rPr>
          <w:rFonts w:ascii="Times New Roman" w:hAnsi="Times New Roman"/>
          <w:b/>
          <w:szCs w:val="24"/>
        </w:rPr>
        <w:t xml:space="preserve">  </w:t>
      </w:r>
    </w:p>
    <w:p w:rsidR="00652CB6" w:rsidRDefault="00720C2C">
      <w:pPr>
        <w:tabs>
          <w:tab w:val="left" w:pos="0"/>
        </w:tabs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Alternative Energy Credits</w:t>
      </w:r>
      <w:r w:rsidR="00E94370">
        <w:rPr>
          <w:rFonts w:ascii="Times New Roman" w:hAnsi="Times New Roman"/>
          <w:b/>
          <w:szCs w:val="24"/>
        </w:rPr>
        <w:tab/>
      </w:r>
      <w:r w:rsidR="00E94370">
        <w:rPr>
          <w:rFonts w:ascii="Times New Roman" w:hAnsi="Times New Roman"/>
          <w:b/>
          <w:szCs w:val="24"/>
        </w:rPr>
        <w:tab/>
      </w:r>
      <w:r w:rsidR="00E94370">
        <w:rPr>
          <w:rFonts w:ascii="Times New Roman" w:hAnsi="Times New Roman"/>
          <w:b/>
          <w:szCs w:val="24"/>
        </w:rPr>
        <w:tab/>
      </w:r>
      <w:r w:rsidR="00E94370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Docket No.</w:t>
      </w:r>
      <w:r w:rsidR="008A2DF4">
        <w:rPr>
          <w:rFonts w:ascii="Times New Roman" w:hAnsi="Times New Roman"/>
          <w:b/>
          <w:szCs w:val="24"/>
        </w:rPr>
        <w:t xml:space="preserve"> P-2009-2094494</w:t>
      </w:r>
    </w:p>
    <w:p w:rsidR="00FD661C" w:rsidRDefault="00FD661C">
      <w:pPr>
        <w:tabs>
          <w:tab w:val="left" w:pos="0"/>
        </w:tabs>
        <w:suppressAutoHyphens/>
        <w:rPr>
          <w:rFonts w:ascii="Times New Roman" w:hAnsi="Times New Roman"/>
          <w:b/>
          <w:szCs w:val="24"/>
        </w:rPr>
      </w:pPr>
    </w:p>
    <w:p w:rsidR="007A3944" w:rsidRPr="00155239" w:rsidRDefault="007A3944">
      <w:pPr>
        <w:tabs>
          <w:tab w:val="left" w:pos="0"/>
        </w:tabs>
        <w:suppressAutoHyphens/>
        <w:rPr>
          <w:rFonts w:ascii="Times New Roman" w:hAnsi="Times New Roman"/>
          <w:b/>
          <w:szCs w:val="24"/>
        </w:rPr>
      </w:pPr>
    </w:p>
    <w:p w:rsidR="00652CB6" w:rsidRDefault="005012F7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STATEMENT OF VICE CHAIRMAN</w:t>
      </w:r>
      <w:r w:rsidR="00652CB6" w:rsidRPr="00155239">
        <w:rPr>
          <w:rFonts w:ascii="Times New Roman" w:hAnsi="Times New Roman"/>
          <w:b/>
          <w:szCs w:val="24"/>
          <w:u w:val="single"/>
        </w:rPr>
        <w:t xml:space="preserve"> TYRONE J. CHRISTY</w:t>
      </w:r>
    </w:p>
    <w:p w:rsidR="007A3944" w:rsidRDefault="007A3944">
      <w:pPr>
        <w:tabs>
          <w:tab w:val="left" w:pos="0"/>
        </w:tabs>
        <w:suppressAutoHyphens/>
        <w:rPr>
          <w:rFonts w:ascii="Courier New" w:hAnsi="Courier New"/>
        </w:rPr>
      </w:pPr>
    </w:p>
    <w:p w:rsidR="005A67CB" w:rsidRDefault="00652CB6" w:rsidP="005A67CB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Courier New" w:hAnsi="Courier New"/>
        </w:rPr>
        <w:tab/>
      </w:r>
      <w:r w:rsidR="00F74275">
        <w:rPr>
          <w:rFonts w:ascii="Times New Roman" w:hAnsi="Times New Roman"/>
        </w:rPr>
        <w:t>Before us</w:t>
      </w:r>
      <w:r w:rsidR="009C31A1" w:rsidRPr="009C31A1">
        <w:rPr>
          <w:rFonts w:ascii="Times New Roman" w:hAnsi="Times New Roman"/>
        </w:rPr>
        <w:t xml:space="preserve"> </w:t>
      </w:r>
      <w:r w:rsidR="008A2DF4">
        <w:rPr>
          <w:rFonts w:ascii="Times New Roman" w:hAnsi="Times New Roman"/>
        </w:rPr>
        <w:t xml:space="preserve">is the Recommended Decision of Administrative Law Judge </w:t>
      </w:r>
      <w:r w:rsidR="00BA1E34">
        <w:rPr>
          <w:rFonts w:ascii="Times New Roman" w:hAnsi="Times New Roman"/>
        </w:rPr>
        <w:t xml:space="preserve">(ALJ) </w:t>
      </w:r>
      <w:r w:rsidR="008A2DF4">
        <w:rPr>
          <w:rFonts w:ascii="Times New Roman" w:hAnsi="Times New Roman"/>
        </w:rPr>
        <w:t>Rainey approving the Settlement among the parties to the above</w:t>
      </w:r>
      <w:r w:rsidR="005A67CB">
        <w:rPr>
          <w:rFonts w:ascii="Times New Roman" w:hAnsi="Times New Roman"/>
        </w:rPr>
        <w:t>-</w:t>
      </w:r>
      <w:r w:rsidR="008A2DF4">
        <w:rPr>
          <w:rFonts w:ascii="Times New Roman" w:hAnsi="Times New Roman"/>
        </w:rPr>
        <w:t xml:space="preserve">captioned </w:t>
      </w:r>
      <w:r w:rsidR="005A67CB">
        <w:rPr>
          <w:rFonts w:ascii="Times New Roman" w:hAnsi="Times New Roman"/>
        </w:rPr>
        <w:t>proceeding</w:t>
      </w:r>
      <w:r w:rsidR="008A2DF4">
        <w:rPr>
          <w:rFonts w:ascii="Times New Roman" w:hAnsi="Times New Roman"/>
        </w:rPr>
        <w:t xml:space="preserve">.  Given the </w:t>
      </w:r>
      <w:r w:rsidR="00BA1E34">
        <w:rPr>
          <w:rFonts w:ascii="Times New Roman" w:hAnsi="Times New Roman"/>
        </w:rPr>
        <w:t xml:space="preserve">legislative mandates of the Alternative Energy Portfolio Standards </w:t>
      </w:r>
      <w:r w:rsidR="008A3704">
        <w:rPr>
          <w:rFonts w:ascii="Times New Roman" w:hAnsi="Times New Roman"/>
        </w:rPr>
        <w:t xml:space="preserve">(AEPS) </w:t>
      </w:r>
      <w:r w:rsidR="00BA1E34">
        <w:rPr>
          <w:rFonts w:ascii="Times New Roman" w:hAnsi="Times New Roman"/>
        </w:rPr>
        <w:t>Act of 2004, 73 P.S.</w:t>
      </w:r>
      <w:r w:rsidR="005A67CB">
        <w:rPr>
          <w:rFonts w:ascii="Times New Roman" w:hAnsi="Times New Roman"/>
        </w:rPr>
        <w:t xml:space="preserve"> </w:t>
      </w:r>
      <w:r w:rsidR="00BA1E34">
        <w:rPr>
          <w:rFonts w:ascii="Times New Roman" w:hAnsi="Times New Roman"/>
        </w:rPr>
        <w:t xml:space="preserve">§§ 1648.1 </w:t>
      </w:r>
      <w:r w:rsidR="00BA1E34" w:rsidRPr="00BA1E34">
        <w:rPr>
          <w:rFonts w:ascii="Times New Roman" w:hAnsi="Times New Roman"/>
          <w:i/>
        </w:rPr>
        <w:t>et seq</w:t>
      </w:r>
      <w:r w:rsidR="00BA1E34">
        <w:rPr>
          <w:rFonts w:ascii="Times New Roman" w:hAnsi="Times New Roman"/>
        </w:rPr>
        <w:t>., I support the ALJ’s Recommended Decision.  In particular, I</w:t>
      </w:r>
      <w:r w:rsidR="00DB2226">
        <w:rPr>
          <w:rFonts w:ascii="Times New Roman" w:hAnsi="Times New Roman"/>
        </w:rPr>
        <w:t xml:space="preserve"> support the provision that gives the Commission ten calendar days to review the RFP Monitor’s confidential RFP report and the bid prices submitted by </w:t>
      </w:r>
      <w:r w:rsidR="00A433D2">
        <w:rPr>
          <w:rFonts w:ascii="Times New Roman" w:hAnsi="Times New Roman"/>
        </w:rPr>
        <w:t xml:space="preserve">successful bidders.  </w:t>
      </w:r>
    </w:p>
    <w:p w:rsidR="005A67CB" w:rsidRDefault="005A67CB" w:rsidP="005A67CB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:rsidR="00B02D00" w:rsidRDefault="005A67CB" w:rsidP="005A67CB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I would, however, like to note my concern regarding the potentially high cost of the </w:t>
      </w:r>
      <w:r w:rsidR="0018413D">
        <w:rPr>
          <w:rFonts w:ascii="Times New Roman" w:hAnsi="Times New Roman"/>
        </w:rPr>
        <w:t xml:space="preserve">legislative </w:t>
      </w:r>
      <w:r w:rsidR="00226DBC">
        <w:rPr>
          <w:rFonts w:ascii="Times New Roman" w:hAnsi="Times New Roman"/>
        </w:rPr>
        <w:t xml:space="preserve">AEPS </w:t>
      </w:r>
      <w:r w:rsidR="0018413D">
        <w:rPr>
          <w:rFonts w:ascii="Times New Roman" w:hAnsi="Times New Roman"/>
        </w:rPr>
        <w:t>mandate</w:t>
      </w:r>
      <w:r w:rsidR="008A3704">
        <w:rPr>
          <w:rFonts w:ascii="Times New Roman" w:hAnsi="Times New Roman"/>
        </w:rPr>
        <w:t xml:space="preserve"> that electric distribution companies (EDCs) and electric generation suppliers (EGSs) acquire solar alternative energy credits</w:t>
      </w:r>
      <w:r w:rsidR="0018413D">
        <w:rPr>
          <w:rFonts w:ascii="Times New Roman" w:hAnsi="Times New Roman"/>
        </w:rPr>
        <w:t xml:space="preserve"> (AECs)</w:t>
      </w:r>
      <w:r w:rsidR="008A3704">
        <w:rPr>
          <w:rFonts w:ascii="Times New Roman" w:hAnsi="Times New Roman"/>
        </w:rPr>
        <w:t xml:space="preserve"> equal to one-half of one percent of their retail sales.</w:t>
      </w:r>
      <w:r w:rsidR="00226DBC">
        <w:rPr>
          <w:rFonts w:ascii="Times New Roman" w:hAnsi="Times New Roman"/>
        </w:rPr>
        <w:t xml:space="preserve">  </w:t>
      </w:r>
      <w:r w:rsidR="00906EA4">
        <w:rPr>
          <w:rFonts w:ascii="Times New Roman" w:hAnsi="Times New Roman"/>
        </w:rPr>
        <w:t>While the Commission and other governmental entities</w:t>
      </w:r>
      <w:r w:rsidR="000A582A">
        <w:rPr>
          <w:rFonts w:ascii="Times New Roman" w:hAnsi="Times New Roman"/>
        </w:rPr>
        <w:t xml:space="preserve"> have adopted many</w:t>
      </w:r>
      <w:r w:rsidR="00906EA4">
        <w:rPr>
          <w:rFonts w:ascii="Times New Roman" w:hAnsi="Times New Roman"/>
        </w:rPr>
        <w:t xml:space="preserve"> </w:t>
      </w:r>
      <w:r w:rsidR="000A582A">
        <w:rPr>
          <w:rFonts w:ascii="Times New Roman" w:hAnsi="Times New Roman"/>
        </w:rPr>
        <w:t xml:space="preserve">policies </w:t>
      </w:r>
      <w:r w:rsidR="00A724D3">
        <w:rPr>
          <w:rFonts w:ascii="Times New Roman" w:hAnsi="Times New Roman"/>
        </w:rPr>
        <w:t>favorable to</w:t>
      </w:r>
      <w:r w:rsidR="00906EA4">
        <w:rPr>
          <w:rFonts w:ascii="Times New Roman" w:hAnsi="Times New Roman"/>
        </w:rPr>
        <w:t xml:space="preserve"> this industry, including net metering, tax credits and grant programs</w:t>
      </w:r>
      <w:r w:rsidR="000A582A">
        <w:rPr>
          <w:rFonts w:ascii="Times New Roman" w:hAnsi="Times New Roman"/>
        </w:rPr>
        <w:t>, t</w:t>
      </w:r>
      <w:r w:rsidR="00226DBC">
        <w:rPr>
          <w:rFonts w:ascii="Times New Roman" w:hAnsi="Times New Roman"/>
        </w:rPr>
        <w:t xml:space="preserve">he solar AEC mandate </w:t>
      </w:r>
      <w:r w:rsidR="00D637CD">
        <w:rPr>
          <w:rFonts w:ascii="Times New Roman" w:hAnsi="Times New Roman"/>
        </w:rPr>
        <w:t xml:space="preserve">could, </w:t>
      </w:r>
      <w:r w:rsidR="00A724D3">
        <w:rPr>
          <w:rFonts w:ascii="Times New Roman" w:hAnsi="Times New Roman"/>
        </w:rPr>
        <w:t>at current prices for solar AEC</w:t>
      </w:r>
      <w:r w:rsidR="00D637CD">
        <w:rPr>
          <w:rFonts w:ascii="Times New Roman" w:hAnsi="Times New Roman"/>
        </w:rPr>
        <w:t>s, cost</w:t>
      </w:r>
      <w:r w:rsidR="0018413D">
        <w:rPr>
          <w:rFonts w:ascii="Times New Roman" w:hAnsi="Times New Roman"/>
        </w:rPr>
        <w:t xml:space="preserve"> Pennsylvania electric customers over $250 million per year, and depe</w:t>
      </w:r>
      <w:r w:rsidR="00A724D3">
        <w:rPr>
          <w:rFonts w:ascii="Times New Roman" w:hAnsi="Times New Roman"/>
        </w:rPr>
        <w:t>nding on future</w:t>
      </w:r>
      <w:r w:rsidR="00D201CE">
        <w:rPr>
          <w:rFonts w:ascii="Times New Roman" w:hAnsi="Times New Roman"/>
        </w:rPr>
        <w:t xml:space="preserve"> </w:t>
      </w:r>
      <w:r w:rsidR="00D637CD">
        <w:rPr>
          <w:rFonts w:ascii="Times New Roman" w:hAnsi="Times New Roman"/>
        </w:rPr>
        <w:t>price</w:t>
      </w:r>
      <w:r w:rsidR="00A724D3">
        <w:rPr>
          <w:rFonts w:ascii="Times New Roman" w:hAnsi="Times New Roman"/>
        </w:rPr>
        <w:t>s</w:t>
      </w:r>
      <w:r w:rsidR="0018413D">
        <w:rPr>
          <w:rFonts w:ascii="Times New Roman" w:hAnsi="Times New Roman"/>
        </w:rPr>
        <w:t>, the cost could be significantly higher.</w:t>
      </w:r>
      <w:r w:rsidR="006F3BC6">
        <w:rPr>
          <w:rStyle w:val="FootnoteReference"/>
          <w:rFonts w:ascii="Times New Roman" w:hAnsi="Times New Roman"/>
        </w:rPr>
        <w:footnoteReference w:id="1"/>
      </w:r>
      <w:r w:rsidR="00DE66E3">
        <w:rPr>
          <w:rFonts w:ascii="Times New Roman" w:hAnsi="Times New Roman"/>
        </w:rPr>
        <w:t xml:space="preserve">  </w:t>
      </w:r>
    </w:p>
    <w:p w:rsidR="00B02D00" w:rsidRDefault="00B02D00" w:rsidP="005A67CB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:rsidR="00F4527A" w:rsidRDefault="00906EA4" w:rsidP="005A67CB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26DBC">
        <w:rPr>
          <w:rFonts w:ascii="Times New Roman" w:hAnsi="Times New Roman"/>
        </w:rPr>
        <w:t>In addition</w:t>
      </w:r>
      <w:r w:rsidR="00024A70">
        <w:rPr>
          <w:rFonts w:ascii="Times New Roman" w:hAnsi="Times New Roman"/>
        </w:rPr>
        <w:t>, the AEPS Act contains no geographical restriction on qualified solar facilities, which in PECO’s case can be located in any state within PJM.</w:t>
      </w:r>
      <w:r>
        <w:rPr>
          <w:rFonts w:ascii="Times New Roman" w:hAnsi="Times New Roman"/>
        </w:rPr>
        <w:t xml:space="preserve">  Any distribution </w:t>
      </w:r>
      <w:r w:rsidR="00D637CD">
        <w:rPr>
          <w:rFonts w:ascii="Times New Roman" w:hAnsi="Times New Roman"/>
        </w:rPr>
        <w:t>or peak shaving benefits</w:t>
      </w:r>
      <w:r w:rsidR="004F6ACB">
        <w:rPr>
          <w:rFonts w:ascii="Times New Roman" w:hAnsi="Times New Roman"/>
        </w:rPr>
        <w:t xml:space="preserve"> provided by a solar facili</w:t>
      </w:r>
      <w:r w:rsidR="00A724D3">
        <w:rPr>
          <w:rFonts w:ascii="Times New Roman" w:hAnsi="Times New Roman"/>
        </w:rPr>
        <w:t>ty to Pennsylvania customers will be</w:t>
      </w:r>
      <w:r w:rsidR="004F6ACB">
        <w:rPr>
          <w:rFonts w:ascii="Times New Roman" w:hAnsi="Times New Roman"/>
        </w:rPr>
        <w:t xml:space="preserve"> eroded the further the facility is located from the EDC’s service territory.  The solar AECs obtained by PECO under this RFP could be located as far away as </w:t>
      </w:r>
      <w:r w:rsidR="00E51620">
        <w:rPr>
          <w:rFonts w:ascii="Times New Roman" w:hAnsi="Times New Roman"/>
        </w:rPr>
        <w:t>Illinois.</w:t>
      </w:r>
      <w:r w:rsidR="00832C20" w:rsidRPr="00832C20">
        <w:rPr>
          <w:rFonts w:ascii="Times New Roman" w:hAnsi="Times New Roman"/>
        </w:rPr>
        <w:t xml:space="preserve"> </w:t>
      </w:r>
      <w:r w:rsidR="000A582A">
        <w:rPr>
          <w:rFonts w:ascii="Times New Roman" w:hAnsi="Times New Roman"/>
        </w:rPr>
        <w:t>Under this sce</w:t>
      </w:r>
      <w:r w:rsidR="00B02D00">
        <w:rPr>
          <w:rFonts w:ascii="Times New Roman" w:hAnsi="Times New Roman"/>
        </w:rPr>
        <w:t>nario</w:t>
      </w:r>
      <w:r>
        <w:rPr>
          <w:rFonts w:ascii="Times New Roman" w:hAnsi="Times New Roman"/>
        </w:rPr>
        <w:t>,</w:t>
      </w:r>
      <w:r w:rsidR="00B02D00">
        <w:rPr>
          <w:rFonts w:ascii="Times New Roman" w:hAnsi="Times New Roman"/>
        </w:rPr>
        <w:t xml:space="preserve"> PECO customers would rec</w:t>
      </w:r>
      <w:r w:rsidR="001C210A">
        <w:rPr>
          <w:rFonts w:ascii="Times New Roman" w:hAnsi="Times New Roman"/>
        </w:rPr>
        <w:t>ei</w:t>
      </w:r>
      <w:r w:rsidR="000A582A">
        <w:rPr>
          <w:rFonts w:ascii="Times New Roman" w:hAnsi="Times New Roman"/>
        </w:rPr>
        <w:t>ve little, if any</w:t>
      </w:r>
      <w:r>
        <w:rPr>
          <w:rFonts w:ascii="Times New Roman" w:hAnsi="Times New Roman"/>
        </w:rPr>
        <w:t>,</w:t>
      </w:r>
      <w:r w:rsidR="000A582A">
        <w:rPr>
          <w:rFonts w:ascii="Times New Roman" w:hAnsi="Times New Roman"/>
        </w:rPr>
        <w:t xml:space="preserve"> benefits from </w:t>
      </w:r>
      <w:r w:rsidR="00A724D3">
        <w:rPr>
          <w:rFonts w:ascii="Times New Roman" w:hAnsi="Times New Roman"/>
        </w:rPr>
        <w:t xml:space="preserve">their financial support of solar projects.  </w:t>
      </w:r>
      <w:r w:rsidR="0001449F">
        <w:rPr>
          <w:rFonts w:ascii="Times New Roman" w:hAnsi="Times New Roman"/>
        </w:rPr>
        <w:t>Although m</w:t>
      </w:r>
      <w:r w:rsidR="00B02D00">
        <w:rPr>
          <w:rFonts w:ascii="Times New Roman" w:hAnsi="Times New Roman"/>
        </w:rPr>
        <w:t>any</w:t>
      </w:r>
      <w:r w:rsidR="00D201CE">
        <w:rPr>
          <w:rFonts w:ascii="Times New Roman" w:hAnsi="Times New Roman"/>
        </w:rPr>
        <w:t xml:space="preserve"> of the other PJM</w:t>
      </w:r>
      <w:r w:rsidR="00B02D00">
        <w:rPr>
          <w:rFonts w:ascii="Times New Roman" w:hAnsi="Times New Roman"/>
        </w:rPr>
        <w:t xml:space="preserve"> states have</w:t>
      </w:r>
      <w:r w:rsidR="00D201CE">
        <w:rPr>
          <w:rFonts w:ascii="Times New Roman" w:hAnsi="Times New Roman"/>
        </w:rPr>
        <w:t xml:space="preserve"> an outright ban</w:t>
      </w:r>
      <w:r w:rsidR="00B02D00">
        <w:rPr>
          <w:rFonts w:ascii="Times New Roman" w:hAnsi="Times New Roman"/>
        </w:rPr>
        <w:t xml:space="preserve"> on funding out-of-state </w:t>
      </w:r>
      <w:r w:rsidR="0001449F">
        <w:rPr>
          <w:rFonts w:ascii="Times New Roman" w:hAnsi="Times New Roman"/>
        </w:rPr>
        <w:t xml:space="preserve">solar facilities, solar facilities anywhere in PJM can qualify under </w:t>
      </w:r>
      <w:r w:rsidR="00D201CE">
        <w:rPr>
          <w:rFonts w:ascii="Times New Roman" w:hAnsi="Times New Roman"/>
        </w:rPr>
        <w:t>Pennsylvania</w:t>
      </w:r>
      <w:r w:rsidR="0001449F">
        <w:rPr>
          <w:rFonts w:ascii="Times New Roman" w:hAnsi="Times New Roman"/>
        </w:rPr>
        <w:t>’s AEPS</w:t>
      </w:r>
      <w:r w:rsidR="00D201CE">
        <w:rPr>
          <w:rFonts w:ascii="Times New Roman" w:hAnsi="Times New Roman"/>
        </w:rPr>
        <w:t xml:space="preserve">. </w:t>
      </w:r>
    </w:p>
    <w:p w:rsidR="00B94D3E" w:rsidRDefault="00B94D3E" w:rsidP="005A67CB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:rsidR="00B94D3E" w:rsidRDefault="00B94D3E" w:rsidP="005A67CB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 l</w:t>
      </w:r>
      <w:r w:rsidR="00832C20">
        <w:rPr>
          <w:rFonts w:ascii="Times New Roman" w:hAnsi="Times New Roman"/>
        </w:rPr>
        <w:t>ight of my concerns</w:t>
      </w:r>
      <w:r>
        <w:rPr>
          <w:rFonts w:ascii="Times New Roman" w:hAnsi="Times New Roman"/>
        </w:rPr>
        <w:t>, I</w:t>
      </w:r>
      <w:r w:rsidR="00832C20">
        <w:rPr>
          <w:rFonts w:ascii="Times New Roman" w:hAnsi="Times New Roman"/>
        </w:rPr>
        <w:t xml:space="preserve"> note that </w:t>
      </w:r>
      <w:r>
        <w:rPr>
          <w:rFonts w:ascii="Times New Roman" w:hAnsi="Times New Roman"/>
        </w:rPr>
        <w:t>the Commission’s approval of this settlement does not constitute a g</w:t>
      </w:r>
      <w:r w:rsidR="00832C20">
        <w:rPr>
          <w:rFonts w:ascii="Times New Roman" w:hAnsi="Times New Roman"/>
        </w:rPr>
        <w:t>uarantee that the results of PECO’s</w:t>
      </w:r>
      <w:r>
        <w:rPr>
          <w:rFonts w:ascii="Times New Roman" w:hAnsi="Times New Roman"/>
        </w:rPr>
        <w:t xml:space="preserve"> RFP </w:t>
      </w:r>
      <w:r w:rsidR="00906EA4">
        <w:rPr>
          <w:rFonts w:ascii="Times New Roman" w:hAnsi="Times New Roman"/>
        </w:rPr>
        <w:t xml:space="preserve">process </w:t>
      </w:r>
      <w:r>
        <w:rPr>
          <w:rFonts w:ascii="Times New Roman" w:hAnsi="Times New Roman"/>
        </w:rPr>
        <w:t>will be approved. The prices of solar AECs obtained</w:t>
      </w:r>
      <w:r w:rsidR="00C12BD4">
        <w:rPr>
          <w:rFonts w:ascii="Times New Roman" w:hAnsi="Times New Roman"/>
        </w:rPr>
        <w:t xml:space="preserve"> through the</w:t>
      </w:r>
      <w:r w:rsidR="00C53E3C">
        <w:rPr>
          <w:rFonts w:ascii="Times New Roman" w:hAnsi="Times New Roman"/>
        </w:rPr>
        <w:t xml:space="preserve"> competitive RFP </w:t>
      </w:r>
      <w:r w:rsidR="001278DF">
        <w:rPr>
          <w:rFonts w:ascii="Times New Roman" w:hAnsi="Times New Roman"/>
        </w:rPr>
        <w:t>simply</w:t>
      </w:r>
      <w:r w:rsidR="00BE483E">
        <w:rPr>
          <w:rFonts w:ascii="Times New Roman" w:hAnsi="Times New Roman"/>
        </w:rPr>
        <w:t xml:space="preserve"> </w:t>
      </w:r>
      <w:r w:rsidR="00C53E3C">
        <w:rPr>
          <w:rFonts w:ascii="Times New Roman" w:hAnsi="Times New Roman"/>
        </w:rPr>
        <w:t xml:space="preserve">may </w:t>
      </w:r>
      <w:r w:rsidR="00BE483E">
        <w:rPr>
          <w:rFonts w:ascii="Times New Roman" w:hAnsi="Times New Roman"/>
        </w:rPr>
        <w:t>be too high to reasonably impose on PECO’s customers</w:t>
      </w:r>
      <w:r w:rsidR="001278DF">
        <w:rPr>
          <w:rFonts w:ascii="Times New Roman" w:hAnsi="Times New Roman"/>
        </w:rPr>
        <w:t xml:space="preserve">.  </w:t>
      </w:r>
      <w:r w:rsidR="00B62674">
        <w:rPr>
          <w:rFonts w:ascii="Times New Roman" w:hAnsi="Times New Roman"/>
        </w:rPr>
        <w:t>Despite t</w:t>
      </w:r>
      <w:r w:rsidR="00DE66E3">
        <w:rPr>
          <w:rFonts w:ascii="Times New Roman" w:hAnsi="Times New Roman"/>
        </w:rPr>
        <w:t>he absence of a price cap</w:t>
      </w:r>
      <w:r w:rsidR="00C53E3C">
        <w:rPr>
          <w:rFonts w:ascii="Times New Roman" w:hAnsi="Times New Roman"/>
        </w:rPr>
        <w:t xml:space="preserve"> in the Settlement</w:t>
      </w:r>
      <w:r w:rsidR="00B62674">
        <w:rPr>
          <w:rFonts w:ascii="Times New Roman" w:hAnsi="Times New Roman"/>
        </w:rPr>
        <w:t>, t</w:t>
      </w:r>
      <w:r w:rsidR="00B062BA">
        <w:rPr>
          <w:rFonts w:ascii="Times New Roman" w:hAnsi="Times New Roman"/>
        </w:rPr>
        <w:t xml:space="preserve">he Commission has available to it the force majeure and alternative compliance payments of the AEPS Act as well as the duty </w:t>
      </w:r>
      <w:r w:rsidR="00EC5DDF">
        <w:rPr>
          <w:rFonts w:ascii="Times New Roman" w:hAnsi="Times New Roman"/>
        </w:rPr>
        <w:t xml:space="preserve">under the Public Utility Code </w:t>
      </w:r>
      <w:r w:rsidR="00B062BA">
        <w:rPr>
          <w:rFonts w:ascii="Times New Roman" w:hAnsi="Times New Roman"/>
        </w:rPr>
        <w:lastRenderedPageBreak/>
        <w:t xml:space="preserve">to ensure that rates </w:t>
      </w:r>
      <w:r w:rsidR="00EC5DDF">
        <w:rPr>
          <w:rFonts w:ascii="Times New Roman" w:hAnsi="Times New Roman"/>
        </w:rPr>
        <w:t>are just and reasonable, 66 Pa.C.S. §</w:t>
      </w:r>
      <w:r w:rsidR="00E51620">
        <w:rPr>
          <w:rFonts w:ascii="Times New Roman" w:hAnsi="Times New Roman"/>
        </w:rPr>
        <w:t xml:space="preserve"> 1301, all of which could be used </w:t>
      </w:r>
      <w:r w:rsidR="00CC756A">
        <w:rPr>
          <w:rFonts w:ascii="Times New Roman" w:hAnsi="Times New Roman"/>
        </w:rPr>
        <w:t xml:space="preserve">to adjust </w:t>
      </w:r>
      <w:r w:rsidR="00EC5DDF">
        <w:rPr>
          <w:rFonts w:ascii="Times New Roman" w:hAnsi="Times New Roman"/>
        </w:rPr>
        <w:t xml:space="preserve">AEPS mandates </w:t>
      </w:r>
      <w:r w:rsidR="00CC756A">
        <w:rPr>
          <w:rFonts w:ascii="Times New Roman" w:hAnsi="Times New Roman"/>
        </w:rPr>
        <w:t>or to reject the results of an RFP</w:t>
      </w:r>
      <w:r w:rsidR="00832C20">
        <w:rPr>
          <w:rFonts w:ascii="Times New Roman" w:hAnsi="Times New Roman"/>
        </w:rPr>
        <w:t xml:space="preserve">. </w:t>
      </w:r>
    </w:p>
    <w:p w:rsidR="00F4527A" w:rsidRDefault="00F4527A" w:rsidP="000716D0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:rsidR="002A36EB" w:rsidRDefault="00F4527A" w:rsidP="005A67CB">
      <w:pPr>
        <w:tabs>
          <w:tab w:val="left" w:pos="0"/>
        </w:tabs>
        <w:suppressAutoHyphens/>
        <w:jc w:val="both"/>
        <w:rPr>
          <w:rFonts w:ascii="Courier New" w:hAnsi="Courier New"/>
          <w:u w:val="single"/>
        </w:rPr>
      </w:pPr>
      <w:r>
        <w:rPr>
          <w:rFonts w:ascii="Times New Roman" w:hAnsi="Times New Roman"/>
        </w:rPr>
        <w:tab/>
      </w:r>
    </w:p>
    <w:p w:rsidR="00652CB6" w:rsidRPr="004959C2" w:rsidRDefault="00652CB6" w:rsidP="004959C2">
      <w:pPr>
        <w:tabs>
          <w:tab w:val="left" w:pos="0"/>
        </w:tabs>
        <w:suppressAutoHyphens/>
        <w:jc w:val="both"/>
        <w:rPr>
          <w:rFonts w:ascii="Courier New" w:hAnsi="Courier New"/>
          <w:spacing w:val="-3"/>
        </w:rPr>
      </w:pP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</w:p>
    <w:p w:rsidR="00652CB6" w:rsidRPr="005012F7" w:rsidRDefault="00BB7B70" w:rsidP="00F332DC">
      <w:pPr>
        <w:tabs>
          <w:tab w:val="left" w:pos="0"/>
          <w:tab w:val="left" w:pos="180"/>
        </w:tabs>
        <w:suppressAutoHyphens/>
        <w:rPr>
          <w:rFonts w:ascii="Times New Roman" w:hAnsi="Times New Roman"/>
        </w:rPr>
      </w:pPr>
      <w:r w:rsidRPr="005012F7">
        <w:rPr>
          <w:rFonts w:ascii="Times New Roman" w:hAnsi="Times New Roman"/>
          <w:b/>
        </w:rPr>
        <w:t>DATE</w:t>
      </w:r>
      <w:r w:rsidRPr="005012F7">
        <w:rPr>
          <w:rFonts w:ascii="Times New Roman" w:hAnsi="Times New Roman"/>
          <w:b/>
        </w:rPr>
        <w:tab/>
      </w:r>
      <w:r w:rsidRPr="005012F7">
        <w:rPr>
          <w:rFonts w:ascii="Times New Roman" w:hAnsi="Times New Roman"/>
          <w:b/>
        </w:rPr>
        <w:tab/>
      </w:r>
      <w:r w:rsidRPr="005012F7">
        <w:rPr>
          <w:rFonts w:ascii="Times New Roman" w:hAnsi="Times New Roman"/>
          <w:b/>
        </w:rPr>
        <w:tab/>
      </w:r>
      <w:r w:rsidRPr="005012F7">
        <w:rPr>
          <w:rFonts w:ascii="Times New Roman" w:hAnsi="Times New Roman"/>
          <w:b/>
        </w:rPr>
        <w:tab/>
        <w:t>TYRONE J. CHRISTY</w:t>
      </w:r>
      <w:r w:rsidR="00652CB6" w:rsidRPr="005012F7">
        <w:rPr>
          <w:rFonts w:ascii="Times New Roman" w:hAnsi="Times New Roman"/>
          <w:b/>
        </w:rPr>
        <w:t xml:space="preserve">, </w:t>
      </w:r>
      <w:r w:rsidR="005012F7">
        <w:rPr>
          <w:rFonts w:ascii="Times New Roman" w:hAnsi="Times New Roman"/>
          <w:b/>
        </w:rPr>
        <w:t>VICE CHAIRMAN</w:t>
      </w:r>
    </w:p>
    <w:sectPr w:rsidR="00652CB6" w:rsidRPr="005012F7" w:rsidSect="00C104B2">
      <w:footerReference w:type="even" r:id="rId7"/>
      <w:footerReference w:type="default" r:id="rId8"/>
      <w:endnotePr>
        <w:numFmt w:val="decimal"/>
      </w:endnotePr>
      <w:pgSz w:w="12240" w:h="15840"/>
      <w:pgMar w:top="720" w:right="1800" w:bottom="1440" w:left="1800" w:header="720" w:footer="14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0E" w:rsidRDefault="00B74A0E">
      <w:pPr>
        <w:spacing w:line="20" w:lineRule="exact"/>
      </w:pPr>
    </w:p>
  </w:endnote>
  <w:endnote w:type="continuationSeparator" w:id="0">
    <w:p w:rsidR="00B74A0E" w:rsidRDefault="00B74A0E">
      <w:r>
        <w:t xml:space="preserve"> </w:t>
      </w:r>
    </w:p>
  </w:endnote>
  <w:endnote w:type="continuationNotice" w:id="1">
    <w:p w:rsidR="00B74A0E" w:rsidRDefault="00B74A0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4F1" w:rsidRDefault="00E7466F" w:rsidP="00C104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54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54F1" w:rsidRDefault="00AC54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4F1" w:rsidRDefault="00E7466F" w:rsidP="00C104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54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34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54F1" w:rsidRDefault="00AC54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0E" w:rsidRDefault="00B74A0E">
      <w:r>
        <w:separator/>
      </w:r>
    </w:p>
  </w:footnote>
  <w:footnote w:type="continuationSeparator" w:id="0">
    <w:p w:rsidR="00B74A0E" w:rsidRDefault="00B74A0E">
      <w:r>
        <w:continuationSeparator/>
      </w:r>
    </w:p>
  </w:footnote>
  <w:footnote w:id="1">
    <w:p w:rsidR="006F3BC6" w:rsidRDefault="006F3B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83619">
        <w:rPr>
          <w:rFonts w:ascii="Times New Roman" w:hAnsi="Times New Roman"/>
        </w:rPr>
        <w:t xml:space="preserve">147,072,000 </w:t>
      </w:r>
      <w:r w:rsidRPr="006F3BC6">
        <w:rPr>
          <w:rFonts w:ascii="Times New Roman" w:hAnsi="Times New Roman"/>
        </w:rPr>
        <w:t>MWh</w:t>
      </w:r>
      <w:r w:rsidR="00D83619">
        <w:rPr>
          <w:rFonts w:ascii="Times New Roman" w:hAnsi="Times New Roman"/>
        </w:rPr>
        <w:t xml:space="preserve"> (total consumption </w:t>
      </w:r>
      <w:r w:rsidRPr="006F3BC6">
        <w:rPr>
          <w:rFonts w:ascii="Times New Roman" w:hAnsi="Times New Roman"/>
        </w:rPr>
        <w:t>o</w:t>
      </w:r>
      <w:r w:rsidR="00D83619">
        <w:rPr>
          <w:rFonts w:ascii="Times New Roman" w:hAnsi="Times New Roman"/>
        </w:rPr>
        <w:t>f Penn</w:t>
      </w:r>
      <w:r w:rsidR="009569D8">
        <w:rPr>
          <w:rFonts w:ascii="Times New Roman" w:hAnsi="Times New Roman"/>
        </w:rPr>
        <w:t>sylvania EDC customers in 2005)</w:t>
      </w:r>
      <w:r w:rsidRPr="006F3BC6">
        <w:rPr>
          <w:rFonts w:ascii="Times New Roman" w:hAnsi="Times New Roman"/>
        </w:rPr>
        <w:t xml:space="preserve"> multiplied by </w:t>
      </w:r>
      <w:r w:rsidR="00D83619">
        <w:rPr>
          <w:rFonts w:ascii="Times New Roman" w:hAnsi="Times New Roman"/>
        </w:rPr>
        <w:t xml:space="preserve">0.5% solar mandate = 735,360 MWh.  At </w:t>
      </w:r>
      <w:r w:rsidRPr="006F3BC6">
        <w:rPr>
          <w:rFonts w:ascii="Times New Roman" w:hAnsi="Times New Roman"/>
        </w:rPr>
        <w:t>an estimated cost of $35</w:t>
      </w:r>
      <w:r w:rsidR="00E51620">
        <w:rPr>
          <w:rFonts w:ascii="Times New Roman" w:hAnsi="Times New Roman"/>
        </w:rPr>
        <w:t>0</w:t>
      </w:r>
      <w:r w:rsidR="009569D8">
        <w:rPr>
          <w:rFonts w:ascii="Times New Roman" w:hAnsi="Times New Roman"/>
        </w:rPr>
        <w:t xml:space="preserve"> for a solar AEC, the total annual cost of the solar mandate will be approximately $257 million.</w:t>
      </w:r>
      <w:r w:rsidR="007A3944">
        <w:rPr>
          <w:rFonts w:ascii="Times New Roman" w:hAnsi="Times New Roman"/>
        </w:rPr>
        <w:t xml:space="preserve">  The cost of the solar mandate to PECO’s customers will be approximately $49 million </w:t>
      </w:r>
      <w:r w:rsidR="00B62674">
        <w:rPr>
          <w:rFonts w:ascii="Times New Roman" w:hAnsi="Times New Roman"/>
        </w:rPr>
        <w:t xml:space="preserve">per year </w:t>
      </w:r>
      <w:r w:rsidR="007A3944">
        <w:rPr>
          <w:rFonts w:ascii="Times New Roman" w:hAnsi="Times New Roman"/>
        </w:rPr>
        <w:t>(38,909,000 MWh x 0.5% x</w:t>
      </w:r>
      <w:r w:rsidR="00B62674">
        <w:rPr>
          <w:rFonts w:ascii="Times New Roman" w:hAnsi="Times New Roman"/>
        </w:rPr>
        <w:t xml:space="preserve"> $350).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87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</w:compat>
  <w:rsids>
    <w:rsidRoot w:val="00652CB6"/>
    <w:rsid w:val="00011058"/>
    <w:rsid w:val="0001449F"/>
    <w:rsid w:val="0002265D"/>
    <w:rsid w:val="00022A9C"/>
    <w:rsid w:val="0002491E"/>
    <w:rsid w:val="00024A70"/>
    <w:rsid w:val="0002720F"/>
    <w:rsid w:val="000605DB"/>
    <w:rsid w:val="0006673B"/>
    <w:rsid w:val="00066C64"/>
    <w:rsid w:val="000716D0"/>
    <w:rsid w:val="00072757"/>
    <w:rsid w:val="00076DE1"/>
    <w:rsid w:val="0008396A"/>
    <w:rsid w:val="00090F18"/>
    <w:rsid w:val="00097EDA"/>
    <w:rsid w:val="000A27B9"/>
    <w:rsid w:val="000A5069"/>
    <w:rsid w:val="000A582A"/>
    <w:rsid w:val="000B21FA"/>
    <w:rsid w:val="000B2E95"/>
    <w:rsid w:val="000B3A27"/>
    <w:rsid w:val="000B552D"/>
    <w:rsid w:val="000C5446"/>
    <w:rsid w:val="000C7E6B"/>
    <w:rsid w:val="000D2EFE"/>
    <w:rsid w:val="000D5205"/>
    <w:rsid w:val="000E06AE"/>
    <w:rsid w:val="00100E75"/>
    <w:rsid w:val="00103161"/>
    <w:rsid w:val="00113D05"/>
    <w:rsid w:val="00116723"/>
    <w:rsid w:val="00121736"/>
    <w:rsid w:val="001278DF"/>
    <w:rsid w:val="00131095"/>
    <w:rsid w:val="001317FD"/>
    <w:rsid w:val="00136506"/>
    <w:rsid w:val="00141A10"/>
    <w:rsid w:val="00155239"/>
    <w:rsid w:val="00161154"/>
    <w:rsid w:val="0016323A"/>
    <w:rsid w:val="00176FE9"/>
    <w:rsid w:val="00181407"/>
    <w:rsid w:val="0018413D"/>
    <w:rsid w:val="001A5497"/>
    <w:rsid w:val="001A5AF4"/>
    <w:rsid w:val="001A7A16"/>
    <w:rsid w:val="001B21E3"/>
    <w:rsid w:val="001C210A"/>
    <w:rsid w:val="001D1589"/>
    <w:rsid w:val="001D281D"/>
    <w:rsid w:val="001E2CA5"/>
    <w:rsid w:val="001F1ABA"/>
    <w:rsid w:val="002014B5"/>
    <w:rsid w:val="00206C0A"/>
    <w:rsid w:val="002075B9"/>
    <w:rsid w:val="00211FEC"/>
    <w:rsid w:val="00214649"/>
    <w:rsid w:val="0022031C"/>
    <w:rsid w:val="00220417"/>
    <w:rsid w:val="00220FF4"/>
    <w:rsid w:val="00226DBC"/>
    <w:rsid w:val="00231600"/>
    <w:rsid w:val="00232CEE"/>
    <w:rsid w:val="00235619"/>
    <w:rsid w:val="00241CE6"/>
    <w:rsid w:val="00242180"/>
    <w:rsid w:val="002607B0"/>
    <w:rsid w:val="0026098A"/>
    <w:rsid w:val="002660FA"/>
    <w:rsid w:val="002661A5"/>
    <w:rsid w:val="002A36EB"/>
    <w:rsid w:val="002A3D66"/>
    <w:rsid w:val="002C793F"/>
    <w:rsid w:val="002C7C57"/>
    <w:rsid w:val="002D30F6"/>
    <w:rsid w:val="002D33D1"/>
    <w:rsid w:val="002E1B86"/>
    <w:rsid w:val="002E4010"/>
    <w:rsid w:val="002F4FBE"/>
    <w:rsid w:val="002F729D"/>
    <w:rsid w:val="00301656"/>
    <w:rsid w:val="003018D8"/>
    <w:rsid w:val="003064B1"/>
    <w:rsid w:val="00307EAC"/>
    <w:rsid w:val="00310691"/>
    <w:rsid w:val="00315410"/>
    <w:rsid w:val="003163B0"/>
    <w:rsid w:val="0031698B"/>
    <w:rsid w:val="00317CD9"/>
    <w:rsid w:val="003228ED"/>
    <w:rsid w:val="00323727"/>
    <w:rsid w:val="003326E5"/>
    <w:rsid w:val="00332CFE"/>
    <w:rsid w:val="00344378"/>
    <w:rsid w:val="00355AE7"/>
    <w:rsid w:val="00356E7D"/>
    <w:rsid w:val="003664F3"/>
    <w:rsid w:val="00392492"/>
    <w:rsid w:val="003949F3"/>
    <w:rsid w:val="00397A86"/>
    <w:rsid w:val="003A0F19"/>
    <w:rsid w:val="003A552E"/>
    <w:rsid w:val="003C120D"/>
    <w:rsid w:val="003C2F01"/>
    <w:rsid w:val="003C7FE8"/>
    <w:rsid w:val="003F229A"/>
    <w:rsid w:val="003F5DC9"/>
    <w:rsid w:val="004042E1"/>
    <w:rsid w:val="004063BF"/>
    <w:rsid w:val="0041494F"/>
    <w:rsid w:val="00420323"/>
    <w:rsid w:val="004253F6"/>
    <w:rsid w:val="00426C47"/>
    <w:rsid w:val="004475DC"/>
    <w:rsid w:val="00460285"/>
    <w:rsid w:val="00464C77"/>
    <w:rsid w:val="00471461"/>
    <w:rsid w:val="00477D6B"/>
    <w:rsid w:val="00481549"/>
    <w:rsid w:val="0048691F"/>
    <w:rsid w:val="00491212"/>
    <w:rsid w:val="004959C2"/>
    <w:rsid w:val="004A6F5D"/>
    <w:rsid w:val="004B2CEE"/>
    <w:rsid w:val="004C5104"/>
    <w:rsid w:val="004E5C50"/>
    <w:rsid w:val="004E7B9C"/>
    <w:rsid w:val="004F11F7"/>
    <w:rsid w:val="004F6ACB"/>
    <w:rsid w:val="005012F7"/>
    <w:rsid w:val="00503605"/>
    <w:rsid w:val="005068F7"/>
    <w:rsid w:val="00506D39"/>
    <w:rsid w:val="0051106B"/>
    <w:rsid w:val="0052698C"/>
    <w:rsid w:val="00530ECE"/>
    <w:rsid w:val="00541343"/>
    <w:rsid w:val="005503F9"/>
    <w:rsid w:val="0055190A"/>
    <w:rsid w:val="00560827"/>
    <w:rsid w:val="00560FED"/>
    <w:rsid w:val="00567D27"/>
    <w:rsid w:val="00573F4D"/>
    <w:rsid w:val="00576DC7"/>
    <w:rsid w:val="00586C8B"/>
    <w:rsid w:val="005A036D"/>
    <w:rsid w:val="005A0677"/>
    <w:rsid w:val="005A67CB"/>
    <w:rsid w:val="005B1DC3"/>
    <w:rsid w:val="005B2E7F"/>
    <w:rsid w:val="005E3BE4"/>
    <w:rsid w:val="005F7F3D"/>
    <w:rsid w:val="006042B3"/>
    <w:rsid w:val="00604750"/>
    <w:rsid w:val="00605D16"/>
    <w:rsid w:val="00606C46"/>
    <w:rsid w:val="00624096"/>
    <w:rsid w:val="00646E50"/>
    <w:rsid w:val="00647DF5"/>
    <w:rsid w:val="00652CB2"/>
    <w:rsid w:val="00652CB6"/>
    <w:rsid w:val="006568CD"/>
    <w:rsid w:val="00662E67"/>
    <w:rsid w:val="00667FA3"/>
    <w:rsid w:val="00682D16"/>
    <w:rsid w:val="006858E2"/>
    <w:rsid w:val="00690098"/>
    <w:rsid w:val="006A14A2"/>
    <w:rsid w:val="006A5A94"/>
    <w:rsid w:val="006B0650"/>
    <w:rsid w:val="006B2BA8"/>
    <w:rsid w:val="006C19F5"/>
    <w:rsid w:val="006C1F9F"/>
    <w:rsid w:val="006F3BC6"/>
    <w:rsid w:val="006F5E33"/>
    <w:rsid w:val="007055E8"/>
    <w:rsid w:val="007140F2"/>
    <w:rsid w:val="00720C2C"/>
    <w:rsid w:val="00744597"/>
    <w:rsid w:val="00745578"/>
    <w:rsid w:val="007601FA"/>
    <w:rsid w:val="007612EF"/>
    <w:rsid w:val="007745F1"/>
    <w:rsid w:val="00781F7D"/>
    <w:rsid w:val="007930FA"/>
    <w:rsid w:val="00794261"/>
    <w:rsid w:val="007949CA"/>
    <w:rsid w:val="00796D52"/>
    <w:rsid w:val="007A3944"/>
    <w:rsid w:val="007A4702"/>
    <w:rsid w:val="007A7AAE"/>
    <w:rsid w:val="007B03EA"/>
    <w:rsid w:val="007C090A"/>
    <w:rsid w:val="007E0C45"/>
    <w:rsid w:val="007E164C"/>
    <w:rsid w:val="007E4A63"/>
    <w:rsid w:val="00804BF4"/>
    <w:rsid w:val="00805A8F"/>
    <w:rsid w:val="008275E3"/>
    <w:rsid w:val="00831EB1"/>
    <w:rsid w:val="00832C20"/>
    <w:rsid w:val="008475B8"/>
    <w:rsid w:val="00867712"/>
    <w:rsid w:val="00871768"/>
    <w:rsid w:val="008955A3"/>
    <w:rsid w:val="008A2DF4"/>
    <w:rsid w:val="008A3704"/>
    <w:rsid w:val="008A6C0C"/>
    <w:rsid w:val="008C246C"/>
    <w:rsid w:val="008E26FE"/>
    <w:rsid w:val="009036F8"/>
    <w:rsid w:val="00906149"/>
    <w:rsid w:val="00906EA4"/>
    <w:rsid w:val="0090704A"/>
    <w:rsid w:val="009214DC"/>
    <w:rsid w:val="00924962"/>
    <w:rsid w:val="00926E92"/>
    <w:rsid w:val="00945A5D"/>
    <w:rsid w:val="009462F4"/>
    <w:rsid w:val="00946402"/>
    <w:rsid w:val="00951F39"/>
    <w:rsid w:val="009528DB"/>
    <w:rsid w:val="0095458E"/>
    <w:rsid w:val="009569D8"/>
    <w:rsid w:val="00967B33"/>
    <w:rsid w:val="00982540"/>
    <w:rsid w:val="00992705"/>
    <w:rsid w:val="00993A23"/>
    <w:rsid w:val="009A1D17"/>
    <w:rsid w:val="009B167F"/>
    <w:rsid w:val="009B4450"/>
    <w:rsid w:val="009B5A18"/>
    <w:rsid w:val="009C31A1"/>
    <w:rsid w:val="009E5B2B"/>
    <w:rsid w:val="009F7367"/>
    <w:rsid w:val="00A16185"/>
    <w:rsid w:val="00A2211A"/>
    <w:rsid w:val="00A2531E"/>
    <w:rsid w:val="00A40B43"/>
    <w:rsid w:val="00A433D2"/>
    <w:rsid w:val="00A454F3"/>
    <w:rsid w:val="00A66DF1"/>
    <w:rsid w:val="00A6727B"/>
    <w:rsid w:val="00A724D3"/>
    <w:rsid w:val="00A746A7"/>
    <w:rsid w:val="00A83710"/>
    <w:rsid w:val="00A87535"/>
    <w:rsid w:val="00A95ECF"/>
    <w:rsid w:val="00AA3BB0"/>
    <w:rsid w:val="00AB47CB"/>
    <w:rsid w:val="00AC54F1"/>
    <w:rsid w:val="00AC5540"/>
    <w:rsid w:val="00AD24F6"/>
    <w:rsid w:val="00AE4DF5"/>
    <w:rsid w:val="00AF0065"/>
    <w:rsid w:val="00AF4925"/>
    <w:rsid w:val="00AF6A48"/>
    <w:rsid w:val="00B02D00"/>
    <w:rsid w:val="00B062BA"/>
    <w:rsid w:val="00B066DF"/>
    <w:rsid w:val="00B105B0"/>
    <w:rsid w:val="00B10E72"/>
    <w:rsid w:val="00B16BAA"/>
    <w:rsid w:val="00B17226"/>
    <w:rsid w:val="00B4393C"/>
    <w:rsid w:val="00B62674"/>
    <w:rsid w:val="00B6533F"/>
    <w:rsid w:val="00B707E8"/>
    <w:rsid w:val="00B74A0E"/>
    <w:rsid w:val="00B83EE2"/>
    <w:rsid w:val="00B864F7"/>
    <w:rsid w:val="00B87026"/>
    <w:rsid w:val="00B927C8"/>
    <w:rsid w:val="00B92DD2"/>
    <w:rsid w:val="00B94D3E"/>
    <w:rsid w:val="00B97A96"/>
    <w:rsid w:val="00BA155F"/>
    <w:rsid w:val="00BA160F"/>
    <w:rsid w:val="00BA1999"/>
    <w:rsid w:val="00BA1E34"/>
    <w:rsid w:val="00BA3E9B"/>
    <w:rsid w:val="00BA636F"/>
    <w:rsid w:val="00BB7B70"/>
    <w:rsid w:val="00BC403D"/>
    <w:rsid w:val="00BC427D"/>
    <w:rsid w:val="00BD18BF"/>
    <w:rsid w:val="00BE483E"/>
    <w:rsid w:val="00BF58F8"/>
    <w:rsid w:val="00C049CA"/>
    <w:rsid w:val="00C104B2"/>
    <w:rsid w:val="00C12BD4"/>
    <w:rsid w:val="00C13D4C"/>
    <w:rsid w:val="00C17DF4"/>
    <w:rsid w:val="00C24B29"/>
    <w:rsid w:val="00C30F78"/>
    <w:rsid w:val="00C35916"/>
    <w:rsid w:val="00C53E3C"/>
    <w:rsid w:val="00C55081"/>
    <w:rsid w:val="00C575AB"/>
    <w:rsid w:val="00C60469"/>
    <w:rsid w:val="00C67C29"/>
    <w:rsid w:val="00C939AB"/>
    <w:rsid w:val="00CA6048"/>
    <w:rsid w:val="00CB164F"/>
    <w:rsid w:val="00CB2EE1"/>
    <w:rsid w:val="00CB7EE6"/>
    <w:rsid w:val="00CB7F61"/>
    <w:rsid w:val="00CC72D1"/>
    <w:rsid w:val="00CC756A"/>
    <w:rsid w:val="00CD18CD"/>
    <w:rsid w:val="00CD69F1"/>
    <w:rsid w:val="00CE122C"/>
    <w:rsid w:val="00D034A4"/>
    <w:rsid w:val="00D163F7"/>
    <w:rsid w:val="00D201CE"/>
    <w:rsid w:val="00D5795A"/>
    <w:rsid w:val="00D637CD"/>
    <w:rsid w:val="00D71CFB"/>
    <w:rsid w:val="00D81B0D"/>
    <w:rsid w:val="00D83619"/>
    <w:rsid w:val="00D875B1"/>
    <w:rsid w:val="00DA6FF3"/>
    <w:rsid w:val="00DB2226"/>
    <w:rsid w:val="00DB33FC"/>
    <w:rsid w:val="00DB624E"/>
    <w:rsid w:val="00DD1B9F"/>
    <w:rsid w:val="00DE22A9"/>
    <w:rsid w:val="00DE33EF"/>
    <w:rsid w:val="00DE5DA3"/>
    <w:rsid w:val="00DE66E3"/>
    <w:rsid w:val="00DF5B5E"/>
    <w:rsid w:val="00DF5ED3"/>
    <w:rsid w:val="00E01CD5"/>
    <w:rsid w:val="00E0341D"/>
    <w:rsid w:val="00E131BF"/>
    <w:rsid w:val="00E175F0"/>
    <w:rsid w:val="00E27E9B"/>
    <w:rsid w:val="00E302F9"/>
    <w:rsid w:val="00E30F2A"/>
    <w:rsid w:val="00E332E1"/>
    <w:rsid w:val="00E34EE5"/>
    <w:rsid w:val="00E354E5"/>
    <w:rsid w:val="00E37D7E"/>
    <w:rsid w:val="00E4537F"/>
    <w:rsid w:val="00E51620"/>
    <w:rsid w:val="00E51E51"/>
    <w:rsid w:val="00E52C13"/>
    <w:rsid w:val="00E64FE9"/>
    <w:rsid w:val="00E7466F"/>
    <w:rsid w:val="00E7560A"/>
    <w:rsid w:val="00E80D03"/>
    <w:rsid w:val="00E86577"/>
    <w:rsid w:val="00E910F2"/>
    <w:rsid w:val="00E92663"/>
    <w:rsid w:val="00E94370"/>
    <w:rsid w:val="00EA28FC"/>
    <w:rsid w:val="00EB3A50"/>
    <w:rsid w:val="00EC3050"/>
    <w:rsid w:val="00EC36E8"/>
    <w:rsid w:val="00EC4C49"/>
    <w:rsid w:val="00EC5DDF"/>
    <w:rsid w:val="00ED3245"/>
    <w:rsid w:val="00ED4C51"/>
    <w:rsid w:val="00F00413"/>
    <w:rsid w:val="00F22352"/>
    <w:rsid w:val="00F332DC"/>
    <w:rsid w:val="00F4527A"/>
    <w:rsid w:val="00F452EB"/>
    <w:rsid w:val="00F62D97"/>
    <w:rsid w:val="00F637D0"/>
    <w:rsid w:val="00F70C2E"/>
    <w:rsid w:val="00F74275"/>
    <w:rsid w:val="00FB1C13"/>
    <w:rsid w:val="00FC6D95"/>
    <w:rsid w:val="00FD43AC"/>
    <w:rsid w:val="00FD661C"/>
    <w:rsid w:val="00FE3961"/>
    <w:rsid w:val="00FF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03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C403D"/>
  </w:style>
  <w:style w:type="character" w:styleId="EndnoteReference">
    <w:name w:val="endnote reference"/>
    <w:basedOn w:val="DefaultParagraphFont"/>
    <w:semiHidden/>
    <w:rsid w:val="00BC403D"/>
    <w:rPr>
      <w:vertAlign w:val="superscript"/>
    </w:rPr>
  </w:style>
  <w:style w:type="paragraph" w:styleId="FootnoteText">
    <w:name w:val="footnote text"/>
    <w:basedOn w:val="Normal"/>
    <w:semiHidden/>
    <w:rsid w:val="00BC403D"/>
  </w:style>
  <w:style w:type="character" w:styleId="FootnoteReference">
    <w:name w:val="footnote reference"/>
    <w:basedOn w:val="DefaultParagraphFont"/>
    <w:semiHidden/>
    <w:rsid w:val="00BC403D"/>
    <w:rPr>
      <w:vertAlign w:val="superscript"/>
    </w:rPr>
  </w:style>
  <w:style w:type="character" w:customStyle="1" w:styleId="DefaultParagraphFo">
    <w:name w:val="Default Paragraph Fo"/>
    <w:basedOn w:val="DefaultParagraphFont"/>
    <w:rsid w:val="00BC403D"/>
  </w:style>
  <w:style w:type="paragraph" w:styleId="TOC1">
    <w:name w:val="toc 1"/>
    <w:basedOn w:val="Normal"/>
    <w:next w:val="Normal"/>
    <w:semiHidden/>
    <w:rsid w:val="00BC403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C403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C403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C403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C403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C403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C403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C403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C403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C403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C403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C403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C403D"/>
  </w:style>
  <w:style w:type="character" w:customStyle="1" w:styleId="EquationCaption">
    <w:name w:val="_Equation Caption"/>
    <w:rsid w:val="00BC403D"/>
  </w:style>
  <w:style w:type="paragraph" w:styleId="Footer">
    <w:name w:val="footer"/>
    <w:basedOn w:val="Normal"/>
    <w:rsid w:val="00C104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0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548D-175E-4ED4-A010-878E0DAC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ALJ181VC</vt:lpstr>
    </vt:vector>
  </TitlesOfParts>
  <Company> Carran Family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ALJ181VC</dc:title>
  <dc:subject/>
  <dc:creator>MCCLINTOCK</dc:creator>
  <cp:keywords/>
  <cp:lastModifiedBy>csheriff</cp:lastModifiedBy>
  <cp:revision>2</cp:revision>
  <cp:lastPrinted>2009-08-27T13:30:00Z</cp:lastPrinted>
  <dcterms:created xsi:type="dcterms:W3CDTF">2009-08-27T15:01:00Z</dcterms:created>
  <dcterms:modified xsi:type="dcterms:W3CDTF">2009-08-27T15:01:00Z</dcterms:modified>
</cp:coreProperties>
</file>