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Default="008E4FD6" w:rsidP="008E4FD6">
      <w:pPr>
        <w:jc w:val="center"/>
        <w:rPr>
          <w:b/>
        </w:rPr>
      </w:pPr>
      <w:r>
        <w:rPr>
          <w:b/>
        </w:rPr>
        <w:t>BEFORE THE</w:t>
      </w:r>
    </w:p>
    <w:p w:rsidR="008E4FD6" w:rsidRDefault="008E4FD6" w:rsidP="008E4FD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8E4FD6">
      <w:pPr>
        <w:jc w:val="center"/>
        <w:rPr>
          <w:b/>
        </w:rPr>
      </w:pPr>
    </w:p>
    <w:p w:rsidR="008E4FD6" w:rsidRDefault="008E4FD6" w:rsidP="008E4FD6">
      <w:pPr>
        <w:jc w:val="center"/>
        <w:rPr>
          <w:b/>
        </w:rPr>
      </w:pPr>
    </w:p>
    <w:p w:rsidR="00F420C1" w:rsidRDefault="00F420C1" w:rsidP="00F420C1"/>
    <w:p w:rsidR="00F420C1" w:rsidRDefault="00116026" w:rsidP="00F420C1">
      <w:r>
        <w:t>Michael Kuziak</w:t>
      </w:r>
      <w:r w:rsidR="00F420C1">
        <w:tab/>
      </w:r>
      <w:r w:rsidR="00F420C1">
        <w:tab/>
      </w:r>
      <w:r w:rsidR="00F420C1">
        <w:tab/>
      </w:r>
      <w:r w:rsidR="00F420C1">
        <w:tab/>
      </w:r>
      <w:r w:rsidR="00F420C1">
        <w:tab/>
        <w:t>:</w:t>
      </w:r>
      <w:r w:rsidR="00F420C1">
        <w:tab/>
      </w:r>
    </w:p>
    <w:p w:rsidR="00F420C1" w:rsidRDefault="00116026" w:rsidP="00F420C1">
      <w:r>
        <w:tab/>
      </w:r>
      <w:r w:rsidR="00F420C1">
        <w:tab/>
      </w:r>
      <w:r w:rsidR="00F420C1">
        <w:tab/>
      </w:r>
      <w:r w:rsidR="00F420C1">
        <w:tab/>
      </w:r>
      <w:r w:rsidR="00F420C1">
        <w:tab/>
      </w:r>
      <w:r w:rsidR="00F420C1">
        <w:tab/>
      </w:r>
      <w:r w:rsidR="00F420C1">
        <w:tab/>
        <w:t>:</w:t>
      </w:r>
    </w:p>
    <w:p w:rsidR="00F420C1" w:rsidRDefault="00F420C1" w:rsidP="00F420C1">
      <w:pPr>
        <w:numPr>
          <w:ilvl w:val="0"/>
          <w:numId w:val="2"/>
        </w:numPr>
        <w:ind w:hanging="4320"/>
      </w:pPr>
      <w:r>
        <w:t>:</w:t>
      </w:r>
      <w:r>
        <w:tab/>
      </w:r>
      <w:r w:rsidR="005757FE">
        <w:tab/>
      </w:r>
      <w:r>
        <w:t>C-2009-20</w:t>
      </w:r>
      <w:r w:rsidR="00116026">
        <w:t>91820</w:t>
      </w:r>
    </w:p>
    <w:p w:rsidR="00F420C1" w:rsidRDefault="00F420C1" w:rsidP="00F420C1">
      <w:pPr>
        <w:ind w:left="5040"/>
      </w:pPr>
      <w:r>
        <w:t>:</w:t>
      </w:r>
    </w:p>
    <w:p w:rsidR="00F420C1" w:rsidRDefault="00F420C1" w:rsidP="00F420C1">
      <w:r>
        <w:t>PPL Electric Utilities Corporation</w:t>
      </w:r>
      <w:r>
        <w:tab/>
        <w:t xml:space="preserve"> </w:t>
      </w:r>
      <w:r>
        <w:tab/>
      </w:r>
      <w:r>
        <w:tab/>
        <w:t>:</w:t>
      </w:r>
    </w:p>
    <w:p w:rsidR="00F420C1" w:rsidRDefault="00F420C1" w:rsidP="00F420C1"/>
    <w:p w:rsidR="008E4FD6" w:rsidRDefault="008E4FD6" w:rsidP="008E4FD6">
      <w:pPr>
        <w:tabs>
          <w:tab w:val="left" w:pos="1076"/>
        </w:tabs>
      </w:pPr>
    </w:p>
    <w:p w:rsidR="008E4FD6" w:rsidRDefault="008E4FD6" w:rsidP="008E4FD6"/>
    <w:p w:rsidR="008E4FD6" w:rsidRPr="00D003FC" w:rsidRDefault="008E4FD6" w:rsidP="008E4FD6">
      <w:pPr>
        <w:jc w:val="center"/>
        <w:rPr>
          <w:b/>
          <w:u w:val="single"/>
        </w:rPr>
      </w:pPr>
      <w:r w:rsidRPr="00D003FC">
        <w:rPr>
          <w:b/>
          <w:u w:val="single"/>
        </w:rPr>
        <w:t>INITIAL DECISION</w:t>
      </w:r>
    </w:p>
    <w:p w:rsidR="008E4FD6" w:rsidRDefault="008E4FD6" w:rsidP="008E4FD6">
      <w:pPr>
        <w:jc w:val="center"/>
      </w:pPr>
    </w:p>
    <w:p w:rsidR="009D47A5" w:rsidRDefault="009D47A5" w:rsidP="008E4FD6">
      <w:pPr>
        <w:jc w:val="center"/>
      </w:pPr>
    </w:p>
    <w:p w:rsidR="008E4FD6" w:rsidRDefault="008E4FD6" w:rsidP="008E4FD6">
      <w:pPr>
        <w:jc w:val="center"/>
      </w:pPr>
      <w:r>
        <w:t>Before</w:t>
      </w:r>
    </w:p>
    <w:p w:rsidR="008E4FD6" w:rsidRDefault="00230D97" w:rsidP="008E4FD6">
      <w:pPr>
        <w:jc w:val="center"/>
      </w:pPr>
      <w:r>
        <w:t>Katrina L. Dunderdale</w:t>
      </w:r>
    </w:p>
    <w:p w:rsidR="008E4FD6" w:rsidRDefault="008E4FD6" w:rsidP="008E4FD6">
      <w:pPr>
        <w:jc w:val="center"/>
      </w:pPr>
      <w:r>
        <w:t>Administrative Law Judge</w:t>
      </w:r>
    </w:p>
    <w:p w:rsidR="008E4FD6" w:rsidRDefault="008E4FD6" w:rsidP="008E4FD6">
      <w:pPr>
        <w:jc w:val="center"/>
      </w:pPr>
    </w:p>
    <w:p w:rsidR="008E4FD6" w:rsidRDefault="008E4FD6" w:rsidP="008E4FD6">
      <w:pPr>
        <w:jc w:val="center"/>
      </w:pPr>
    </w:p>
    <w:p w:rsidR="008E4FD6" w:rsidRDefault="008E4FD6" w:rsidP="008E4FD6">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8E4FD6">
      <w:pPr>
        <w:jc w:val="center"/>
      </w:pPr>
    </w:p>
    <w:p w:rsidR="008E4FD6" w:rsidRDefault="008E4FD6" w:rsidP="008E4FD6"/>
    <w:p w:rsidR="008E4FD6" w:rsidRDefault="007A618A" w:rsidP="008E4FD6">
      <w:pPr>
        <w:tabs>
          <w:tab w:val="left" w:pos="-1440"/>
          <w:tab w:val="left" w:pos="-720"/>
        </w:tabs>
        <w:suppressAutoHyphens/>
        <w:spacing w:line="360" w:lineRule="auto"/>
        <w:ind w:firstLine="1440"/>
        <w:rPr>
          <w:spacing w:val="-3"/>
        </w:rPr>
      </w:pPr>
      <w:r>
        <w:t xml:space="preserve">This decision </w:t>
      </w:r>
      <w:r w:rsidR="008F05B5">
        <w:t>dismisses</w:t>
      </w:r>
      <w:r>
        <w:t xml:space="preserve"> a complaint </w:t>
      </w:r>
      <w:r w:rsidR="00116026">
        <w:t>Michael Kuziak</w:t>
      </w:r>
      <w:r w:rsidR="00AC1F4C">
        <w:t xml:space="preserve"> </w:t>
      </w:r>
      <w:r w:rsidR="008E4FD6">
        <w:t>(</w:t>
      </w:r>
      <w:r w:rsidR="00AC1F4C">
        <w:t>“</w:t>
      </w:r>
      <w:r w:rsidR="008E4FD6">
        <w:t>Complainant</w:t>
      </w:r>
      <w:r w:rsidR="00AC1F4C">
        <w:t>”</w:t>
      </w:r>
      <w:r w:rsidR="008E4FD6">
        <w:t xml:space="preserve">) filed </w:t>
      </w:r>
      <w:r w:rsidR="00E71731">
        <w:t xml:space="preserve">on </w:t>
      </w:r>
      <w:r w:rsidR="00116026">
        <w:t>February 4</w:t>
      </w:r>
      <w:r w:rsidR="00F420C1">
        <w:t>, 2009</w:t>
      </w:r>
      <w:r w:rsidR="008E4FD6">
        <w:t xml:space="preserve"> with the Pennsylvania Public Utility Commission</w:t>
      </w:r>
      <w:r w:rsidR="00A831C5">
        <w:t xml:space="preserve"> (“Commission”)</w:t>
      </w:r>
      <w:r w:rsidR="008E4FD6">
        <w:t xml:space="preserve"> </w:t>
      </w:r>
      <w:r>
        <w:t xml:space="preserve">concerning </w:t>
      </w:r>
      <w:r w:rsidR="00116026">
        <w:t xml:space="preserve">a </w:t>
      </w:r>
      <w:r w:rsidR="00F420C1">
        <w:t xml:space="preserve">commercial </w:t>
      </w:r>
      <w:r>
        <w:t>electric service account with</w:t>
      </w:r>
      <w:r w:rsidR="008E4FD6">
        <w:t xml:space="preserve"> </w:t>
      </w:r>
      <w:r w:rsidR="00B70A36">
        <w:t>PPL Electric Utilities Corporation</w:t>
      </w:r>
      <w:r w:rsidR="00AC1F4C">
        <w:t xml:space="preserve"> (“</w:t>
      </w:r>
      <w:r w:rsidR="008E4FD6">
        <w:t>Respondent</w:t>
      </w:r>
      <w:r w:rsidR="00AC1F4C">
        <w:t>”</w:t>
      </w:r>
      <w:r w:rsidR="00F03EF9">
        <w:t xml:space="preserve"> or “</w:t>
      </w:r>
      <w:r w:rsidR="00B70A36">
        <w:t>PPL</w:t>
      </w:r>
      <w:r w:rsidR="00F03EF9">
        <w:t>”</w:t>
      </w:r>
      <w:r w:rsidR="00A831C5">
        <w:t>)</w:t>
      </w:r>
      <w:r>
        <w:t>.  Complainant allege</w:t>
      </w:r>
      <w:r w:rsidR="00E20470">
        <w:t>d</w:t>
      </w:r>
      <w:r>
        <w:t xml:space="preserve"> </w:t>
      </w:r>
      <w:r w:rsidR="00F420C1">
        <w:t>Respondent’s bill</w:t>
      </w:r>
      <w:r w:rsidR="00116026">
        <w:t xml:space="preserve">s contained incorrect charges.  Specifically, Complainant alleged Respondent charged for three-phase electrical service when there was only single-phase available in the building.  </w:t>
      </w:r>
      <w:r>
        <w:t xml:space="preserve">Complainant </w:t>
      </w:r>
      <w:r w:rsidR="00E20470">
        <w:t>sought</w:t>
      </w:r>
      <w:r>
        <w:t xml:space="preserve"> </w:t>
      </w:r>
      <w:r w:rsidR="0061043E">
        <w:t>a Commission order to force Respondent to charge Complainant for the single-phase service used, not for the three-phase service Respondent incorrectly alleged was present in the structure</w:t>
      </w:r>
      <w:r w:rsidR="00F37056">
        <w:t xml:space="preserve">.  </w:t>
      </w:r>
      <w:r>
        <w:t xml:space="preserve">Respondent answered the complaint on </w:t>
      </w:r>
      <w:r w:rsidR="0061043E">
        <w:t>March 17</w:t>
      </w:r>
      <w:r w:rsidR="00F37056">
        <w:t>, 2009</w:t>
      </w:r>
      <w:r w:rsidR="00FB08B0">
        <w:t>.</w:t>
      </w:r>
      <w:r w:rsidR="00201B03">
        <w:t xml:space="preserve">  </w:t>
      </w:r>
      <w:r w:rsidR="008E4FD6">
        <w:rPr>
          <w:spacing w:val="-3"/>
        </w:rPr>
        <w:t xml:space="preserve"> </w:t>
      </w:r>
    </w:p>
    <w:p w:rsidR="00513D94" w:rsidRDefault="00513D94" w:rsidP="008E4FD6">
      <w:pPr>
        <w:tabs>
          <w:tab w:val="left" w:pos="-1440"/>
          <w:tab w:val="left" w:pos="-720"/>
        </w:tabs>
        <w:suppressAutoHyphens/>
        <w:spacing w:line="360" w:lineRule="auto"/>
        <w:ind w:firstLine="1440"/>
        <w:rPr>
          <w:spacing w:val="-3"/>
        </w:rPr>
      </w:pPr>
    </w:p>
    <w:p w:rsidR="00183F29" w:rsidRDefault="00A35B4B" w:rsidP="00D85ADB">
      <w:pPr>
        <w:tabs>
          <w:tab w:val="left" w:pos="2160"/>
        </w:tabs>
        <w:spacing w:line="360" w:lineRule="auto"/>
        <w:ind w:firstLine="1440"/>
      </w:pPr>
      <w:r>
        <w:t>By Telephone Hearing Notice dated</w:t>
      </w:r>
      <w:r w:rsidR="00B70664">
        <w:t xml:space="preserve"> </w:t>
      </w:r>
      <w:r w:rsidR="0061043E">
        <w:t>April 11</w:t>
      </w:r>
      <w:r w:rsidR="00B52440">
        <w:t>, 2009</w:t>
      </w:r>
      <w:r>
        <w:t xml:space="preserve">, the </w:t>
      </w:r>
      <w:r w:rsidR="00460FB3">
        <w:t>Office of Administrative Law Judge</w:t>
      </w:r>
      <w:r>
        <w:t xml:space="preserve"> notified </w:t>
      </w:r>
      <w:r w:rsidR="00460FB3">
        <w:t xml:space="preserve">the parties </w:t>
      </w:r>
      <w:r>
        <w:t xml:space="preserve">an initial telephonic hearing in this case was scheduled for </w:t>
      </w:r>
      <w:r w:rsidR="00F258F2">
        <w:t xml:space="preserve">Tuesday, </w:t>
      </w:r>
      <w:r w:rsidR="0061043E">
        <w:t>May 19</w:t>
      </w:r>
      <w:r w:rsidR="00B26A72">
        <w:t>, 2009</w:t>
      </w:r>
      <w:r>
        <w:t xml:space="preserve"> at </w:t>
      </w:r>
      <w:r w:rsidR="00E71731">
        <w:t>1</w:t>
      </w:r>
      <w:r w:rsidR="00F258F2">
        <w:t>0</w:t>
      </w:r>
      <w:r>
        <w:t xml:space="preserve">:00 </w:t>
      </w:r>
      <w:r w:rsidR="00F258F2">
        <w:t>a</w:t>
      </w:r>
      <w:r>
        <w:t xml:space="preserve">.m.  </w:t>
      </w:r>
      <w:r>
        <w:rPr>
          <w:spacing w:val="-3"/>
        </w:rPr>
        <w:t xml:space="preserve">On </w:t>
      </w:r>
      <w:r w:rsidR="00210F96">
        <w:rPr>
          <w:spacing w:val="-3"/>
        </w:rPr>
        <w:t>April 17</w:t>
      </w:r>
      <w:r w:rsidR="00B52440">
        <w:rPr>
          <w:spacing w:val="-3"/>
        </w:rPr>
        <w:t>, 2009</w:t>
      </w:r>
      <w:r>
        <w:rPr>
          <w:spacing w:val="-3"/>
        </w:rPr>
        <w:t>, the undersigned issued a Prehearing Order</w:t>
      </w:r>
      <w:r w:rsidR="00D85ADB">
        <w:rPr>
          <w:spacing w:val="-3"/>
        </w:rPr>
        <w:t xml:space="preserve"> </w:t>
      </w:r>
      <w:r w:rsidR="00D85ADB">
        <w:t xml:space="preserve">setting forth </w:t>
      </w:r>
      <w:r w:rsidR="00D85ADB" w:rsidRPr="009F5BA4">
        <w:t>the date and time of the scheduled hearing</w:t>
      </w:r>
      <w:r w:rsidR="00D85ADB">
        <w:t xml:space="preserve">.  </w:t>
      </w:r>
    </w:p>
    <w:p w:rsidR="00D85ADB" w:rsidRDefault="00D85ADB" w:rsidP="00D85ADB">
      <w:pPr>
        <w:tabs>
          <w:tab w:val="left" w:pos="2160"/>
        </w:tabs>
        <w:spacing w:line="360" w:lineRule="auto"/>
        <w:ind w:firstLine="1440"/>
      </w:pPr>
      <w:r>
        <w:t xml:space="preserve">    </w:t>
      </w:r>
    </w:p>
    <w:p w:rsidR="00B26A72" w:rsidRDefault="00166246" w:rsidP="00B26A72">
      <w:pPr>
        <w:tabs>
          <w:tab w:val="left" w:pos="2160"/>
        </w:tabs>
        <w:spacing w:line="360" w:lineRule="auto"/>
        <w:ind w:firstLine="1440"/>
      </w:pPr>
      <w:r>
        <w:lastRenderedPageBreak/>
        <w:t xml:space="preserve">The </w:t>
      </w:r>
      <w:r w:rsidR="00FA25F9">
        <w:t xml:space="preserve">undersigned convened the </w:t>
      </w:r>
      <w:r>
        <w:t xml:space="preserve">hearing as scheduled.  </w:t>
      </w:r>
      <w:r w:rsidR="00FA25F9">
        <w:t xml:space="preserve">Complainant appeared </w:t>
      </w:r>
      <w:r w:rsidR="00FA25F9" w:rsidRPr="00FA25F9">
        <w:rPr>
          <w:i/>
        </w:rPr>
        <w:t>pro</w:t>
      </w:r>
      <w:r w:rsidR="00AE2F9F">
        <w:rPr>
          <w:i/>
        </w:rPr>
        <w:t> </w:t>
      </w:r>
      <w:r w:rsidR="00FA25F9" w:rsidRPr="00FA25F9">
        <w:rPr>
          <w:i/>
        </w:rPr>
        <w:t>se.</w:t>
      </w:r>
      <w:r w:rsidR="00FA25F9">
        <w:t xml:space="preserve">  </w:t>
      </w:r>
      <w:r w:rsidR="00210F96">
        <w:t>Andrew Ralston</w:t>
      </w:r>
      <w:r>
        <w:t xml:space="preserve">, Esquire, </w:t>
      </w:r>
      <w:r w:rsidR="00FA25F9">
        <w:t>represented Respondent</w:t>
      </w:r>
      <w:r w:rsidR="00D47923">
        <w:t xml:space="preserve"> and</w:t>
      </w:r>
      <w:r w:rsidR="00FA25F9">
        <w:t xml:space="preserve"> sponsored </w:t>
      </w:r>
      <w:r w:rsidR="006C4693">
        <w:t>five (5)</w:t>
      </w:r>
      <w:r w:rsidR="00FA25F9">
        <w:t xml:space="preserve"> exhibits, which exhibits were admitted into the record.  </w:t>
      </w:r>
      <w:r w:rsidR="00B26A72">
        <w:t>N</w:t>
      </w:r>
      <w:r w:rsidR="00D47923">
        <w:t>either party filed a</w:t>
      </w:r>
      <w:r w:rsidR="00B26A72">
        <w:t xml:space="preserve"> brief.  The hearing record consists of a </w:t>
      </w:r>
      <w:r w:rsidR="008F05B5">
        <w:t>fifty-eight</w:t>
      </w:r>
      <w:r w:rsidR="007A64A6">
        <w:t xml:space="preserve"> (</w:t>
      </w:r>
      <w:r w:rsidR="008F05B5">
        <w:t>58</w:t>
      </w:r>
      <w:r w:rsidR="007A64A6">
        <w:t xml:space="preserve">) page </w:t>
      </w:r>
      <w:r w:rsidR="00F258F2">
        <w:t>transcript</w:t>
      </w:r>
      <w:r w:rsidR="00FC5362">
        <w:t xml:space="preserve"> made at the time of the proceedings</w:t>
      </w:r>
      <w:r w:rsidR="00B26A72">
        <w:t xml:space="preserve">.  </w:t>
      </w:r>
      <w:r w:rsidR="007A64A6">
        <w:t xml:space="preserve">On </w:t>
      </w:r>
      <w:r w:rsidR="008F05B5">
        <w:t>June 11</w:t>
      </w:r>
      <w:r w:rsidR="007A64A6">
        <w:t>, 2009, the hearing record closed upon the issuance of the Interim Order Closing the Hearing Record by the presiding officer</w:t>
      </w:r>
      <w:r w:rsidR="00FB08B0">
        <w:t xml:space="preserve">.  </w:t>
      </w:r>
    </w:p>
    <w:p w:rsidR="005531AF" w:rsidRDefault="005531AF" w:rsidP="00B26A72">
      <w:pPr>
        <w:tabs>
          <w:tab w:val="left" w:pos="2160"/>
        </w:tabs>
        <w:spacing w:line="360" w:lineRule="auto"/>
        <w:ind w:firstLine="1440"/>
      </w:pPr>
    </w:p>
    <w:p w:rsidR="008E4FD6" w:rsidRDefault="008E4FD6" w:rsidP="008E4FD6">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8E4FD6" w:rsidRDefault="008E4FD6" w:rsidP="008E4FD6">
      <w:pPr>
        <w:tabs>
          <w:tab w:val="left" w:pos="2160"/>
        </w:tabs>
        <w:spacing w:line="360" w:lineRule="auto"/>
        <w:rPr>
          <w:u w:val="single"/>
        </w:rPr>
      </w:pPr>
    </w:p>
    <w:p w:rsidR="00AB2FF3" w:rsidRDefault="00F03EF9" w:rsidP="008E4FD6">
      <w:pPr>
        <w:tabs>
          <w:tab w:val="left" w:pos="2160"/>
        </w:tabs>
        <w:spacing w:line="360" w:lineRule="auto"/>
        <w:ind w:firstLine="1440"/>
      </w:pPr>
      <w:r>
        <w:t>1.</w:t>
      </w:r>
      <w:r>
        <w:tab/>
      </w:r>
      <w:r w:rsidR="00FB08B0">
        <w:t xml:space="preserve">Complainant, </w:t>
      </w:r>
      <w:r w:rsidR="00210F96">
        <w:t>Michael Kuziak</w:t>
      </w:r>
      <w:r w:rsidR="00FB08B0">
        <w:t xml:space="preserve">, </w:t>
      </w:r>
      <w:r w:rsidR="00210F96">
        <w:t xml:space="preserve">receives mail at </w:t>
      </w:r>
      <w:smartTag w:uri="urn:schemas-microsoft-com:office:smarttags" w:element="address">
        <w:smartTag w:uri="urn:schemas-microsoft-com:office:smarttags" w:element="Street">
          <w:r w:rsidR="00210F96">
            <w:t>95 Quarry</w:t>
          </w:r>
          <w:r w:rsidR="00A305C6">
            <w:t xml:space="preserve"> Road</w:t>
          </w:r>
        </w:smartTag>
        <w:r w:rsidR="00A305C6">
          <w:t xml:space="preserve">, </w:t>
        </w:r>
        <w:smartTag w:uri="urn:schemas-microsoft-com:office:smarttags" w:element="City">
          <w:r w:rsidR="00210F96">
            <w:t>Danville</w:t>
          </w:r>
        </w:smartTag>
        <w:r w:rsidR="006A3267">
          <w:t xml:space="preserve">, </w:t>
        </w:r>
        <w:smartTag w:uri="urn:schemas-microsoft-com:office:smarttags" w:element="State">
          <w:r w:rsidR="006A3267">
            <w:t>Pennsylvania</w:t>
          </w:r>
        </w:smartTag>
        <w:r w:rsidR="006A3267">
          <w:t xml:space="preserve"> </w:t>
        </w:r>
        <w:smartTag w:uri="urn:schemas-microsoft-com:office:smarttags" w:element="PostalCode">
          <w:r w:rsidR="00AB2FF3">
            <w:t>1</w:t>
          </w:r>
          <w:r w:rsidR="00210F96">
            <w:t>7821</w:t>
          </w:r>
        </w:smartTag>
      </w:smartTag>
      <w:r w:rsidR="006A3267">
        <w:t>.</w:t>
      </w:r>
      <w:r w:rsidR="0058167B">
        <w:t xml:space="preserve">  (Tr. </w:t>
      </w:r>
      <w:r w:rsidR="003C6C60">
        <w:t>12</w:t>
      </w:r>
      <w:r w:rsidR="0058167B">
        <w:t>).</w:t>
      </w:r>
    </w:p>
    <w:p w:rsidR="00FB08B0" w:rsidRDefault="006A3267" w:rsidP="008E4FD6">
      <w:pPr>
        <w:tabs>
          <w:tab w:val="left" w:pos="2160"/>
        </w:tabs>
        <w:spacing w:line="360" w:lineRule="auto"/>
        <w:ind w:firstLine="1440"/>
      </w:pPr>
      <w:r>
        <w:t xml:space="preserve">  </w:t>
      </w:r>
    </w:p>
    <w:p w:rsidR="00FB08B0" w:rsidRDefault="006A3267" w:rsidP="008E4FD6">
      <w:pPr>
        <w:tabs>
          <w:tab w:val="left" w:pos="2160"/>
        </w:tabs>
        <w:spacing w:line="360" w:lineRule="auto"/>
        <w:ind w:firstLine="1440"/>
      </w:pPr>
      <w:r>
        <w:t>2.</w:t>
      </w:r>
      <w:r>
        <w:tab/>
        <w:t xml:space="preserve">Respondent, PPL Electric Utilities Corporation, </w:t>
      </w:r>
      <w:r w:rsidR="00C51742">
        <w:t>has provided</w:t>
      </w:r>
      <w:r>
        <w:t xml:space="preserve"> electric service </w:t>
      </w:r>
      <w:r w:rsidR="00E71578">
        <w:t>to the tenants</w:t>
      </w:r>
      <w:r w:rsidR="006C4693">
        <w:t xml:space="preserve"> who</w:t>
      </w:r>
      <w:r w:rsidR="00E71578">
        <w:t xml:space="preserve"> leas</w:t>
      </w:r>
      <w:r w:rsidR="006C4693">
        <w:t>e</w:t>
      </w:r>
      <w:r w:rsidR="00E71578">
        <w:t xml:space="preserve"> space from</w:t>
      </w:r>
      <w:r>
        <w:t xml:space="preserve"> Complainant</w:t>
      </w:r>
      <w:r w:rsidR="00E71578">
        <w:t xml:space="preserve"> at a building located at </w:t>
      </w:r>
      <w:smartTag w:uri="urn:schemas-microsoft-com:office:smarttags" w:element="address">
        <w:smartTag w:uri="urn:schemas-microsoft-com:office:smarttags" w:element="Street">
          <w:r w:rsidR="00E71578">
            <w:t>306 Mill Street</w:t>
          </w:r>
        </w:smartTag>
        <w:r w:rsidR="00E71578">
          <w:t xml:space="preserve">, </w:t>
        </w:r>
        <w:smartTag w:uri="urn:schemas-microsoft-com:office:smarttags" w:element="City">
          <w:r w:rsidR="00E71578">
            <w:t>Danville</w:t>
          </w:r>
        </w:smartTag>
        <w:r w:rsidR="00E71578">
          <w:t xml:space="preserve">, </w:t>
        </w:r>
        <w:smartTag w:uri="urn:schemas-microsoft-com:office:smarttags" w:element="State">
          <w:r w:rsidR="00E71578">
            <w:t>Pennsylvania</w:t>
          </w:r>
        </w:smartTag>
        <w:r w:rsidR="00E71578">
          <w:t xml:space="preserve"> </w:t>
        </w:r>
        <w:smartTag w:uri="urn:schemas-microsoft-com:office:smarttags" w:element="PostalCode">
          <w:r w:rsidR="00E71578">
            <w:t>17821</w:t>
          </w:r>
        </w:smartTag>
      </w:smartTag>
      <w:r>
        <w:t xml:space="preserve">.  </w:t>
      </w:r>
      <w:r w:rsidR="0058167B">
        <w:t xml:space="preserve">(Tr. </w:t>
      </w:r>
      <w:r w:rsidR="00440213">
        <w:t>12-14</w:t>
      </w:r>
      <w:r w:rsidR="0058167B">
        <w:t>).</w:t>
      </w:r>
    </w:p>
    <w:p w:rsidR="00C51742" w:rsidRDefault="00C51742" w:rsidP="004179CB">
      <w:pPr>
        <w:tabs>
          <w:tab w:val="left" w:pos="2160"/>
        </w:tabs>
        <w:spacing w:line="360" w:lineRule="auto"/>
      </w:pPr>
    </w:p>
    <w:p w:rsidR="00425E57" w:rsidRDefault="00425E57" w:rsidP="008E4FD6">
      <w:pPr>
        <w:tabs>
          <w:tab w:val="left" w:pos="2160"/>
        </w:tabs>
        <w:spacing w:line="360" w:lineRule="auto"/>
        <w:ind w:firstLine="1440"/>
      </w:pPr>
      <w:r>
        <w:t xml:space="preserve">3. </w:t>
      </w:r>
      <w:r>
        <w:tab/>
        <w:t xml:space="preserve">Complainant </w:t>
      </w:r>
      <w:r w:rsidR="006C4693">
        <w:t xml:space="preserve">purchased the </w:t>
      </w:r>
      <w:r w:rsidR="009758FE">
        <w:t>140-year</w:t>
      </w:r>
      <w:r w:rsidR="009070CB">
        <w:t>-</w:t>
      </w:r>
      <w:r w:rsidR="009758FE">
        <w:t xml:space="preserve">old, </w:t>
      </w:r>
      <w:r w:rsidR="006C4693">
        <w:t xml:space="preserve">mixed-use structure located at 306 Mill Street </w:t>
      </w:r>
      <w:r w:rsidR="00210F96">
        <w:t xml:space="preserve">approximately </w:t>
      </w:r>
      <w:r w:rsidR="006C4693">
        <w:t xml:space="preserve">13 </w:t>
      </w:r>
      <w:r w:rsidR="009758FE">
        <w:t xml:space="preserve">years ago, which </w:t>
      </w:r>
      <w:r w:rsidR="00210F96">
        <w:t>structure contain</w:t>
      </w:r>
      <w:r w:rsidR="009758FE">
        <w:t>s</w:t>
      </w:r>
      <w:r w:rsidR="00210F96">
        <w:t xml:space="preserve"> eight apartment</w:t>
      </w:r>
      <w:r w:rsidR="009758FE">
        <w:t xml:space="preserve">s and two storefronts and to which premises </w:t>
      </w:r>
      <w:r w:rsidR="00210F96">
        <w:t>Respondent provides electrical services</w:t>
      </w:r>
      <w:r>
        <w:t xml:space="preserve">.  </w:t>
      </w:r>
      <w:r w:rsidR="0058167B">
        <w:t xml:space="preserve">(Tr. </w:t>
      </w:r>
      <w:r w:rsidR="003C6C60">
        <w:t>13-14</w:t>
      </w:r>
      <w:r w:rsidR="0058167B">
        <w:t>).</w:t>
      </w:r>
    </w:p>
    <w:p w:rsidR="00425E57" w:rsidRDefault="00425E57" w:rsidP="008E4FD6">
      <w:pPr>
        <w:tabs>
          <w:tab w:val="left" w:pos="2160"/>
        </w:tabs>
        <w:spacing w:line="360" w:lineRule="auto"/>
        <w:ind w:firstLine="1440"/>
      </w:pPr>
    </w:p>
    <w:p w:rsidR="00425E57" w:rsidRDefault="00166AEB" w:rsidP="008E4FD6">
      <w:pPr>
        <w:tabs>
          <w:tab w:val="left" w:pos="2160"/>
        </w:tabs>
        <w:spacing w:line="360" w:lineRule="auto"/>
        <w:ind w:firstLine="1440"/>
      </w:pPr>
      <w:r>
        <w:t>4.</w:t>
      </w:r>
      <w:r>
        <w:tab/>
      </w:r>
      <w:r w:rsidR="009758FE">
        <w:t xml:space="preserve">Complainant has more than </w:t>
      </w:r>
      <w:r w:rsidR="00601A0D">
        <w:t>18</w:t>
      </w:r>
      <w:r w:rsidR="009758FE">
        <w:t xml:space="preserve"> separate electrical accounts with Respondent, and </w:t>
      </w:r>
      <w:r w:rsidR="003C6C60">
        <w:t xml:space="preserve">Complainant is current on </w:t>
      </w:r>
      <w:r w:rsidR="009758FE">
        <w:t xml:space="preserve">all of the </w:t>
      </w:r>
      <w:r w:rsidR="00D417F3">
        <w:t xml:space="preserve">other electrical </w:t>
      </w:r>
      <w:r w:rsidR="009758FE">
        <w:t xml:space="preserve">accounts.  (Tr. </w:t>
      </w:r>
      <w:r w:rsidR="003C6C60">
        <w:t>14</w:t>
      </w:r>
      <w:r w:rsidR="00D417F3">
        <w:t>, 27</w:t>
      </w:r>
      <w:r w:rsidR="00AA5BF0">
        <w:t>-</w:t>
      </w:r>
      <w:r w:rsidR="00D417F3">
        <w:t>28</w:t>
      </w:r>
      <w:r w:rsidR="009758FE">
        <w:t>).</w:t>
      </w:r>
    </w:p>
    <w:p w:rsidR="00425E57" w:rsidRDefault="00425E57" w:rsidP="008E4FD6">
      <w:pPr>
        <w:tabs>
          <w:tab w:val="left" w:pos="2160"/>
        </w:tabs>
        <w:spacing w:line="360" w:lineRule="auto"/>
        <w:ind w:firstLine="1440"/>
      </w:pPr>
      <w:r>
        <w:tab/>
      </w:r>
    </w:p>
    <w:p w:rsidR="00BC40BB" w:rsidRDefault="00333ED8" w:rsidP="008E4FD6">
      <w:pPr>
        <w:tabs>
          <w:tab w:val="left" w:pos="2160"/>
        </w:tabs>
        <w:spacing w:line="360" w:lineRule="auto"/>
        <w:ind w:firstLine="1440"/>
      </w:pPr>
      <w:r>
        <w:t>5</w:t>
      </w:r>
      <w:r w:rsidR="00BC40BB">
        <w:t>.</w:t>
      </w:r>
      <w:r w:rsidR="00BC40BB">
        <w:tab/>
      </w:r>
      <w:r w:rsidR="0098173B">
        <w:t>Complainant denied there ever was electrical service that included three-phase capability in his mixed-use structure since its purchase</w:t>
      </w:r>
      <w:r w:rsidR="003B3205">
        <w:t xml:space="preserve"> and denies there is any electrical box that contains three</w:t>
      </w:r>
      <w:r w:rsidR="00AD3A9D">
        <w:t>-</w:t>
      </w:r>
      <w:r w:rsidR="003B3205">
        <w:t>phase capability currently</w:t>
      </w:r>
      <w:r w:rsidR="0098173B">
        <w:t>.  (Tr. 14</w:t>
      </w:r>
      <w:r w:rsidR="003B3205">
        <w:t>-17</w:t>
      </w:r>
      <w:r w:rsidR="0098173B">
        <w:t>).</w:t>
      </w:r>
    </w:p>
    <w:p w:rsidR="00BC40BB" w:rsidRDefault="00BC40BB" w:rsidP="008E4FD6">
      <w:pPr>
        <w:tabs>
          <w:tab w:val="left" w:pos="2160"/>
        </w:tabs>
        <w:spacing w:line="360" w:lineRule="auto"/>
        <w:ind w:firstLine="1440"/>
      </w:pPr>
    </w:p>
    <w:p w:rsidR="00AA05E5" w:rsidRDefault="00AA05E5" w:rsidP="008E4FD6">
      <w:pPr>
        <w:tabs>
          <w:tab w:val="left" w:pos="2160"/>
        </w:tabs>
        <w:spacing w:line="360" w:lineRule="auto"/>
        <w:ind w:firstLine="1440"/>
      </w:pPr>
      <w:r>
        <w:t>6.</w:t>
      </w:r>
      <w:r>
        <w:tab/>
      </w:r>
      <w:r w:rsidR="003B3205">
        <w:t>Complainant has two other rental spaces (a restaurant and a storefront) which currently have three-phase service but which use a lower service rate due to “grandfathering”.  (Tr. 18-19).</w:t>
      </w:r>
    </w:p>
    <w:p w:rsidR="00AA05E5" w:rsidRDefault="00AA05E5" w:rsidP="008E4FD6">
      <w:pPr>
        <w:tabs>
          <w:tab w:val="left" w:pos="2160"/>
        </w:tabs>
        <w:spacing w:line="360" w:lineRule="auto"/>
        <w:ind w:firstLine="1440"/>
      </w:pPr>
    </w:p>
    <w:p w:rsidR="007E7DBA" w:rsidRDefault="007E7DBA" w:rsidP="008E4FD6">
      <w:pPr>
        <w:tabs>
          <w:tab w:val="left" w:pos="2160"/>
        </w:tabs>
        <w:spacing w:line="360" w:lineRule="auto"/>
        <w:ind w:firstLine="1440"/>
      </w:pPr>
      <w:r>
        <w:lastRenderedPageBreak/>
        <w:t>7.</w:t>
      </w:r>
      <w:r>
        <w:tab/>
      </w:r>
      <w:r w:rsidR="003B3205">
        <w:t>Respondent applied the new, higher GS</w:t>
      </w:r>
      <w:r w:rsidR="00386977">
        <w:t>-</w:t>
      </w:r>
      <w:r w:rsidR="003B3205">
        <w:t xml:space="preserve">3 rate to one of Complainant’s rental spaces </w:t>
      </w:r>
      <w:r w:rsidR="00AE3AC2">
        <w:t xml:space="preserve">(a storefront) </w:t>
      </w:r>
      <w:r w:rsidR="003B3205">
        <w:t xml:space="preserve">starting on October 4, 2008 when Complainant </w:t>
      </w:r>
      <w:r w:rsidR="004D6A81">
        <w:t>took over possession between tenants.  (Tr. 19</w:t>
      </w:r>
      <w:r w:rsidR="00AE3AC2">
        <w:t>, 29</w:t>
      </w:r>
      <w:r w:rsidR="004D6A81">
        <w:t>).</w:t>
      </w:r>
    </w:p>
    <w:p w:rsidR="007E7DBA" w:rsidRDefault="007E7DBA" w:rsidP="00BC40BB">
      <w:pPr>
        <w:spacing w:line="360" w:lineRule="auto"/>
        <w:ind w:firstLine="1440"/>
      </w:pPr>
    </w:p>
    <w:p w:rsidR="00BC40BB" w:rsidRDefault="00DB52E2" w:rsidP="00BC40BB">
      <w:pPr>
        <w:spacing w:line="360" w:lineRule="auto"/>
        <w:ind w:firstLine="1440"/>
      </w:pPr>
      <w:r>
        <w:t>8</w:t>
      </w:r>
      <w:r w:rsidR="00BC40BB">
        <w:t>.</w:t>
      </w:r>
      <w:r w:rsidR="00BC40BB">
        <w:tab/>
        <w:t xml:space="preserve">Complainant does not contest the amount </w:t>
      </w:r>
      <w:r w:rsidR="0058167B">
        <w:t xml:space="preserve">of electricity used as recorded </w:t>
      </w:r>
      <w:r w:rsidR="00BC40BB">
        <w:t xml:space="preserve">on </w:t>
      </w:r>
      <w:r w:rsidR="00E71578">
        <w:t>the</w:t>
      </w:r>
      <w:r w:rsidR="00BC40BB">
        <w:t xml:space="preserve"> account </w:t>
      </w:r>
      <w:r w:rsidR="00E71578">
        <w:t xml:space="preserve">statements </w:t>
      </w:r>
      <w:r w:rsidR="00BC40BB">
        <w:t>with Respondent</w:t>
      </w:r>
      <w:r w:rsidR="00E26A03">
        <w:t xml:space="preserve"> and </w:t>
      </w:r>
      <w:r w:rsidR="00E71578">
        <w:t xml:space="preserve">all </w:t>
      </w:r>
      <w:r w:rsidR="00D417F3">
        <w:t xml:space="preserve">other </w:t>
      </w:r>
      <w:r w:rsidR="00E71578">
        <w:t xml:space="preserve">accounts </w:t>
      </w:r>
      <w:r w:rsidR="00D417F3">
        <w:t xml:space="preserve">between Complainant and Respondent </w:t>
      </w:r>
      <w:r w:rsidR="00E71578">
        <w:t>have</w:t>
      </w:r>
      <w:r w:rsidR="00E26A03">
        <w:t xml:space="preserve"> remained current on monthly charges</w:t>
      </w:r>
      <w:r w:rsidR="00BC40BB">
        <w:t>.</w:t>
      </w:r>
      <w:r w:rsidR="0058167B">
        <w:t xml:space="preserve">  (Tr. </w:t>
      </w:r>
      <w:r w:rsidR="004D6A81">
        <w:t xml:space="preserve">14, </w:t>
      </w:r>
      <w:r w:rsidR="00D417F3">
        <w:t>27</w:t>
      </w:r>
      <w:r w:rsidR="000D1160">
        <w:t>-</w:t>
      </w:r>
      <w:r w:rsidR="00D417F3">
        <w:t>28</w:t>
      </w:r>
      <w:r w:rsidR="0058167B">
        <w:t>).</w:t>
      </w:r>
    </w:p>
    <w:p w:rsidR="00BC40BB" w:rsidRDefault="00BC40BB" w:rsidP="008E4FD6">
      <w:pPr>
        <w:tabs>
          <w:tab w:val="left" w:pos="2160"/>
        </w:tabs>
        <w:spacing w:line="360" w:lineRule="auto"/>
        <w:ind w:firstLine="1440"/>
      </w:pPr>
    </w:p>
    <w:p w:rsidR="00D44E45" w:rsidRDefault="00DB52E2" w:rsidP="008E4FD6">
      <w:pPr>
        <w:tabs>
          <w:tab w:val="left" w:pos="2160"/>
        </w:tabs>
        <w:spacing w:line="360" w:lineRule="auto"/>
        <w:ind w:firstLine="1440"/>
      </w:pPr>
      <w:r>
        <w:t>9</w:t>
      </w:r>
      <w:r w:rsidR="00A305C6">
        <w:t>.</w:t>
      </w:r>
      <w:r w:rsidR="00A305C6">
        <w:tab/>
      </w:r>
      <w:r w:rsidR="004D6A81">
        <w:t>Complainant is not an electrician and did not hire an electrician to verify whether three-phase or single-phase service is available to the rental unit.  (Tr. 20</w:t>
      </w:r>
      <w:r w:rsidR="00AE3AC2">
        <w:t>, 30</w:t>
      </w:r>
      <w:r w:rsidR="004D6A81">
        <w:t>).</w:t>
      </w:r>
    </w:p>
    <w:p w:rsidR="00D44E45" w:rsidRDefault="00D44E45" w:rsidP="008E4FD6">
      <w:pPr>
        <w:tabs>
          <w:tab w:val="left" w:pos="2160"/>
        </w:tabs>
        <w:spacing w:line="360" w:lineRule="auto"/>
        <w:ind w:firstLine="1440"/>
      </w:pPr>
    </w:p>
    <w:p w:rsidR="001D3960" w:rsidRDefault="00DB52E2" w:rsidP="008E4FD6">
      <w:pPr>
        <w:tabs>
          <w:tab w:val="left" w:pos="2160"/>
        </w:tabs>
        <w:spacing w:line="360" w:lineRule="auto"/>
        <w:ind w:firstLine="1440"/>
      </w:pPr>
      <w:r>
        <w:t>10</w:t>
      </w:r>
      <w:r w:rsidR="001D3960">
        <w:t>.</w:t>
      </w:r>
      <w:r w:rsidR="001D3960">
        <w:tab/>
      </w:r>
      <w:r w:rsidR="004D6A81">
        <w:t xml:space="preserve">Complainant </w:t>
      </w:r>
      <w:r w:rsidR="00AE3AC2">
        <w:t xml:space="preserve">denies there is </w:t>
      </w:r>
      <w:r w:rsidR="004D6A81">
        <w:t xml:space="preserve">three-phase service </w:t>
      </w:r>
      <w:r w:rsidR="00AE3AC2">
        <w:t>available to the storefront at issue</w:t>
      </w:r>
      <w:r w:rsidR="004D6A81">
        <w:t>.  (Tr. 21</w:t>
      </w:r>
      <w:r w:rsidR="00A24F40">
        <w:t>-23</w:t>
      </w:r>
      <w:r w:rsidR="001B01BC">
        <w:t>, 29-31</w:t>
      </w:r>
      <w:r w:rsidR="00A24F40">
        <w:t>).</w:t>
      </w:r>
    </w:p>
    <w:p w:rsidR="001D3960" w:rsidRDefault="001D3960" w:rsidP="008E4FD6">
      <w:pPr>
        <w:tabs>
          <w:tab w:val="left" w:pos="2160"/>
        </w:tabs>
        <w:spacing w:line="360" w:lineRule="auto"/>
        <w:ind w:firstLine="1440"/>
      </w:pPr>
    </w:p>
    <w:p w:rsidR="005A3456" w:rsidRDefault="00FA1F58" w:rsidP="008E4FD6">
      <w:pPr>
        <w:tabs>
          <w:tab w:val="left" w:pos="2160"/>
        </w:tabs>
        <w:spacing w:line="360" w:lineRule="auto"/>
        <w:ind w:firstLine="1440"/>
      </w:pPr>
      <w:r>
        <w:t>11</w:t>
      </w:r>
      <w:r w:rsidR="005A3456">
        <w:t>.</w:t>
      </w:r>
      <w:r w:rsidR="005A3456">
        <w:tab/>
      </w:r>
      <w:r w:rsidR="00A24F40">
        <w:t>Complainant first became aware the</w:t>
      </w:r>
      <w:r w:rsidR="00AE3AC2">
        <w:t xml:space="preserve"> utility alleged there </w:t>
      </w:r>
      <w:r w:rsidR="00A24F40">
        <w:t>was three-phase service when a new tenant received a bill in November 2008 for $251.02 for 224 kilowatt hours of service in one month.  (Tr. 24-25</w:t>
      </w:r>
      <w:r w:rsidR="00FF1BCF">
        <w:t>, 38</w:t>
      </w:r>
      <w:r w:rsidR="00A24F40">
        <w:t>).</w:t>
      </w:r>
    </w:p>
    <w:p w:rsidR="005A3456" w:rsidRDefault="005A3456" w:rsidP="008E4FD6">
      <w:pPr>
        <w:tabs>
          <w:tab w:val="left" w:pos="2160"/>
        </w:tabs>
        <w:spacing w:line="360" w:lineRule="auto"/>
        <w:ind w:firstLine="1440"/>
      </w:pPr>
    </w:p>
    <w:p w:rsidR="008E4FD6" w:rsidRDefault="00FA1F58" w:rsidP="008E4FD6">
      <w:pPr>
        <w:tabs>
          <w:tab w:val="left" w:pos="2160"/>
        </w:tabs>
        <w:spacing w:line="360" w:lineRule="auto"/>
        <w:ind w:firstLine="1440"/>
      </w:pPr>
      <w:r>
        <w:t>12</w:t>
      </w:r>
      <w:r w:rsidR="007E65C0">
        <w:t>.</w:t>
      </w:r>
      <w:r w:rsidR="007E65C0">
        <w:tab/>
      </w:r>
      <w:r w:rsidR="00F03EF9">
        <w:t xml:space="preserve">On </w:t>
      </w:r>
      <w:r w:rsidR="00E71578">
        <w:t>February 4</w:t>
      </w:r>
      <w:r w:rsidR="0058167B">
        <w:t>, 2009</w:t>
      </w:r>
      <w:r w:rsidR="00F03EF9">
        <w:t xml:space="preserve">, Complainant filed a formal complaint against </w:t>
      </w:r>
      <w:r w:rsidR="0041364C">
        <w:t>Respondent</w:t>
      </w:r>
      <w:r w:rsidR="00F03EF9">
        <w:t xml:space="preserve"> </w:t>
      </w:r>
      <w:r w:rsidR="00A532C7">
        <w:t xml:space="preserve">because </w:t>
      </w:r>
      <w:r w:rsidR="00873CEE">
        <w:t xml:space="preserve">the utility </w:t>
      </w:r>
      <w:r w:rsidR="00A532C7">
        <w:t xml:space="preserve">charged for </w:t>
      </w:r>
      <w:r w:rsidR="00E71578">
        <w:t xml:space="preserve">three-phase </w:t>
      </w:r>
      <w:r w:rsidR="00A532C7">
        <w:t xml:space="preserve">electric service </w:t>
      </w:r>
      <w:r w:rsidR="00873CEE">
        <w:t xml:space="preserve">to one storefront </w:t>
      </w:r>
      <w:r w:rsidR="00AE3AC2">
        <w:t>but Complainant alleges</w:t>
      </w:r>
      <w:r w:rsidR="00E71578">
        <w:t xml:space="preserve"> the </w:t>
      </w:r>
      <w:r w:rsidR="00873CEE">
        <w:t xml:space="preserve">whole </w:t>
      </w:r>
      <w:r w:rsidR="00E71578">
        <w:t>building only ha</w:t>
      </w:r>
      <w:r w:rsidR="00AE3AC2">
        <w:t>s</w:t>
      </w:r>
      <w:r w:rsidR="00E71578">
        <w:t xml:space="preserve"> a single-phase electrical service</w:t>
      </w:r>
      <w:r w:rsidR="0041364C">
        <w:t>.</w:t>
      </w:r>
      <w:r w:rsidR="00E26A03">
        <w:t xml:space="preserve">  </w:t>
      </w:r>
    </w:p>
    <w:p w:rsidR="00BC40BB" w:rsidRDefault="00BC40BB" w:rsidP="00380DC6">
      <w:pPr>
        <w:spacing w:line="360" w:lineRule="auto"/>
        <w:ind w:firstLine="1440"/>
      </w:pPr>
    </w:p>
    <w:p w:rsidR="00BF4A08" w:rsidRDefault="00BC40BB" w:rsidP="00380DC6">
      <w:pPr>
        <w:spacing w:line="360" w:lineRule="auto"/>
        <w:ind w:firstLine="1440"/>
        <w:rPr>
          <w:spacing w:val="-3"/>
        </w:rPr>
      </w:pPr>
      <w:r>
        <w:t>1</w:t>
      </w:r>
      <w:r w:rsidR="00FA1F58">
        <w:t>3</w:t>
      </w:r>
      <w:r w:rsidR="00096B26">
        <w:t>.</w:t>
      </w:r>
      <w:r w:rsidR="00096B26">
        <w:tab/>
        <w:t xml:space="preserve">The number of transformers coming into a structure is the information Respondent uses to determine the appropriate rate schedule to charge a </w:t>
      </w:r>
      <w:r w:rsidR="00FA1F58">
        <w:t xml:space="preserve">new </w:t>
      </w:r>
      <w:r w:rsidR="00096B26">
        <w:t>customer.  (Tr.</w:t>
      </w:r>
      <w:r w:rsidR="00522B6F">
        <w:t> </w:t>
      </w:r>
      <w:r w:rsidR="00440213">
        <w:t>33</w:t>
      </w:r>
      <w:r w:rsidR="00522B6F">
        <w:noBreakHyphen/>
      </w:r>
      <w:r w:rsidR="00440213">
        <w:t>44</w:t>
      </w:r>
      <w:r w:rsidR="00096B26">
        <w:t>).</w:t>
      </w:r>
    </w:p>
    <w:p w:rsidR="00E00F94" w:rsidRDefault="00E00F94" w:rsidP="00BF4A08">
      <w:pPr>
        <w:spacing w:line="360" w:lineRule="auto"/>
        <w:rPr>
          <w:spacing w:val="-3"/>
        </w:rPr>
      </w:pPr>
    </w:p>
    <w:p w:rsidR="00873CEE" w:rsidRDefault="00BC40BB" w:rsidP="00BF4A08">
      <w:pPr>
        <w:spacing w:line="360" w:lineRule="auto"/>
        <w:rPr>
          <w:spacing w:val="-3"/>
        </w:rPr>
      </w:pPr>
      <w:r>
        <w:rPr>
          <w:spacing w:val="-3"/>
        </w:rPr>
        <w:tab/>
      </w:r>
      <w:r>
        <w:rPr>
          <w:spacing w:val="-3"/>
        </w:rPr>
        <w:tab/>
        <w:t>1</w:t>
      </w:r>
      <w:r w:rsidR="00FA1F58">
        <w:rPr>
          <w:spacing w:val="-3"/>
        </w:rPr>
        <w:t>4</w:t>
      </w:r>
      <w:r w:rsidR="006D7800">
        <w:rPr>
          <w:spacing w:val="-3"/>
        </w:rPr>
        <w:t>.</w:t>
      </w:r>
      <w:r>
        <w:rPr>
          <w:spacing w:val="-3"/>
        </w:rPr>
        <w:tab/>
      </w:r>
      <w:r w:rsidR="009C722F">
        <w:rPr>
          <w:spacing w:val="-3"/>
        </w:rPr>
        <w:t>T</w:t>
      </w:r>
      <w:r w:rsidR="00873CEE">
        <w:rPr>
          <w:spacing w:val="-3"/>
        </w:rPr>
        <w:t xml:space="preserve">he utility’s customer contact representative visited the storefront in question, spoke with the tenant </w:t>
      </w:r>
      <w:r w:rsidR="00FF1BCF">
        <w:rPr>
          <w:spacing w:val="-3"/>
        </w:rPr>
        <w:t>and determined the storefront had three-phase electrical service</w:t>
      </w:r>
      <w:r w:rsidR="005C01A3">
        <w:rPr>
          <w:spacing w:val="-3"/>
        </w:rPr>
        <w:t xml:space="preserve"> which uses a special meter and</w:t>
      </w:r>
      <w:r w:rsidR="009C722F">
        <w:rPr>
          <w:spacing w:val="-3"/>
        </w:rPr>
        <w:t xml:space="preserve"> </w:t>
      </w:r>
      <w:r w:rsidR="005C01A3">
        <w:rPr>
          <w:spacing w:val="-3"/>
        </w:rPr>
        <w:t>is located in Complainant’s building</w:t>
      </w:r>
      <w:r w:rsidR="00FF1BCF">
        <w:rPr>
          <w:spacing w:val="-3"/>
        </w:rPr>
        <w:t xml:space="preserve">.  </w:t>
      </w:r>
      <w:r w:rsidR="00873CEE">
        <w:rPr>
          <w:spacing w:val="-3"/>
        </w:rPr>
        <w:t xml:space="preserve">(Tr. 33-37, </w:t>
      </w:r>
      <w:r w:rsidR="009C722F">
        <w:rPr>
          <w:spacing w:val="-3"/>
        </w:rPr>
        <w:t>40-44</w:t>
      </w:r>
      <w:r w:rsidR="00873CEE">
        <w:rPr>
          <w:spacing w:val="-3"/>
        </w:rPr>
        <w:t>).</w:t>
      </w:r>
    </w:p>
    <w:p w:rsidR="00A374D9" w:rsidRDefault="00A374D9" w:rsidP="00BF4A08">
      <w:pPr>
        <w:spacing w:line="360" w:lineRule="auto"/>
        <w:rPr>
          <w:spacing w:val="-3"/>
        </w:rPr>
      </w:pPr>
    </w:p>
    <w:p w:rsidR="005C01A3" w:rsidRDefault="005C01A3" w:rsidP="00BF4A08">
      <w:pPr>
        <w:spacing w:line="360" w:lineRule="auto"/>
        <w:rPr>
          <w:spacing w:val="-3"/>
        </w:rPr>
      </w:pPr>
      <w:r>
        <w:rPr>
          <w:spacing w:val="-3"/>
        </w:rPr>
        <w:lastRenderedPageBreak/>
        <w:tab/>
      </w:r>
      <w:r>
        <w:rPr>
          <w:spacing w:val="-3"/>
        </w:rPr>
        <w:tab/>
        <w:t>15.</w:t>
      </w:r>
      <w:r>
        <w:rPr>
          <w:spacing w:val="-3"/>
        </w:rPr>
        <w:tab/>
        <w:t>Complainant’s storefront received three-phase electrical service since prior to when Complainant purchased the building and Complainant was unaware of the three-phase service.  (Tr. 39).</w:t>
      </w:r>
    </w:p>
    <w:p w:rsidR="005C01A3" w:rsidRDefault="005C01A3" w:rsidP="0068314B">
      <w:pPr>
        <w:tabs>
          <w:tab w:val="left" w:pos="2160"/>
        </w:tabs>
        <w:spacing w:line="360" w:lineRule="auto"/>
        <w:ind w:firstLine="1440"/>
        <w:rPr>
          <w:spacing w:val="-3"/>
        </w:rPr>
      </w:pPr>
    </w:p>
    <w:p w:rsidR="0068314B" w:rsidRDefault="00440213" w:rsidP="0068314B">
      <w:pPr>
        <w:tabs>
          <w:tab w:val="left" w:pos="2160"/>
        </w:tabs>
        <w:spacing w:line="360" w:lineRule="auto"/>
        <w:ind w:firstLine="1440"/>
      </w:pPr>
      <w:r>
        <w:rPr>
          <w:spacing w:val="-3"/>
        </w:rPr>
        <w:t>16</w:t>
      </w:r>
      <w:r w:rsidR="0068314B">
        <w:rPr>
          <w:spacing w:val="-3"/>
        </w:rPr>
        <w:t>.</w:t>
      </w:r>
      <w:r w:rsidR="0068314B">
        <w:rPr>
          <w:spacing w:val="-3"/>
        </w:rPr>
        <w:tab/>
      </w:r>
      <w:r w:rsidR="0068314B">
        <w:t xml:space="preserve"> </w:t>
      </w:r>
      <w:r w:rsidR="007C6302">
        <w:t>Respondent</w:t>
      </w:r>
      <w:r w:rsidR="00E40671">
        <w:t>’s new tariff, requiring a different charge when three-phase service is present, became</w:t>
      </w:r>
      <w:r w:rsidR="007C6302">
        <w:t xml:space="preserve"> effective on January 1, 2008.  (Tr. </w:t>
      </w:r>
      <w:r w:rsidR="00873CEE">
        <w:t>36</w:t>
      </w:r>
      <w:r w:rsidR="000D1160">
        <w:t>-</w:t>
      </w:r>
      <w:r w:rsidR="00FF1BCF">
        <w:t>37</w:t>
      </w:r>
      <w:r w:rsidR="00D254AC">
        <w:t>).</w:t>
      </w:r>
    </w:p>
    <w:p w:rsidR="0068314B" w:rsidRDefault="0068314B" w:rsidP="00BF4A08">
      <w:pPr>
        <w:spacing w:line="360" w:lineRule="auto"/>
        <w:rPr>
          <w:spacing w:val="-3"/>
        </w:rPr>
      </w:pPr>
    </w:p>
    <w:p w:rsidR="004179CB" w:rsidRDefault="00440213" w:rsidP="004179CB">
      <w:pPr>
        <w:tabs>
          <w:tab w:val="left" w:pos="2160"/>
        </w:tabs>
        <w:spacing w:line="360" w:lineRule="auto"/>
        <w:ind w:firstLine="1440"/>
      </w:pPr>
      <w:r>
        <w:rPr>
          <w:spacing w:val="-3"/>
        </w:rPr>
        <w:t>17</w:t>
      </w:r>
      <w:r w:rsidR="0068314B">
        <w:rPr>
          <w:spacing w:val="-3"/>
        </w:rPr>
        <w:t>.</w:t>
      </w:r>
      <w:r w:rsidR="0068314B">
        <w:rPr>
          <w:spacing w:val="-3"/>
        </w:rPr>
        <w:tab/>
      </w:r>
      <w:r w:rsidR="004179CB">
        <w:t xml:space="preserve">“GS-3 </w:t>
      </w:r>
      <w:r w:rsidR="00D254AC">
        <w:t>service</w:t>
      </w:r>
      <w:r w:rsidR="004179CB">
        <w:t xml:space="preserve">” refers to three-phase 120/240 volt service with three overhead conductors supplying 120 to 480 volts of power to three transformers in the premises.  “GS-1 </w:t>
      </w:r>
      <w:r w:rsidR="00D254AC">
        <w:t>service</w:t>
      </w:r>
      <w:r w:rsidR="004179CB">
        <w:t xml:space="preserve">” refers to a smaller service with a single line overhead conductor supplying power to a single transformer coming into the premises.  (Tr. </w:t>
      </w:r>
      <w:r w:rsidR="009C722F">
        <w:t>47</w:t>
      </w:r>
      <w:r w:rsidR="0046415A">
        <w:t>-49</w:t>
      </w:r>
      <w:r w:rsidR="004179CB">
        <w:t>; PPL Exh</w:t>
      </w:r>
      <w:r w:rsidR="00AF3DFB">
        <w:t>.</w:t>
      </w:r>
      <w:r w:rsidR="0046415A">
        <w:t xml:space="preserve"> 3 &amp; 4</w:t>
      </w:r>
      <w:r w:rsidR="004179CB">
        <w:t>).</w:t>
      </w:r>
    </w:p>
    <w:p w:rsidR="0068314B" w:rsidRDefault="0068314B" w:rsidP="00BF4A08">
      <w:pPr>
        <w:spacing w:line="360" w:lineRule="auto"/>
        <w:rPr>
          <w:spacing w:val="-3"/>
        </w:rPr>
      </w:pPr>
    </w:p>
    <w:p w:rsidR="00A374D9" w:rsidRDefault="00440213" w:rsidP="007116F8">
      <w:pPr>
        <w:spacing w:line="360" w:lineRule="auto"/>
        <w:ind w:firstLine="1440"/>
        <w:rPr>
          <w:spacing w:val="-3"/>
        </w:rPr>
      </w:pPr>
      <w:r>
        <w:rPr>
          <w:spacing w:val="-3"/>
        </w:rPr>
        <w:t>18</w:t>
      </w:r>
      <w:r w:rsidR="00D254AC">
        <w:rPr>
          <w:spacing w:val="-3"/>
        </w:rPr>
        <w:t>.</w:t>
      </w:r>
      <w:r w:rsidR="00D254AC">
        <w:rPr>
          <w:spacing w:val="-3"/>
        </w:rPr>
        <w:tab/>
        <w:t xml:space="preserve">The GS-3 service is more expensive and costly to Respondent to operate and maintain than the GS-1 service even if a GS-3 customer does not use anything due to the cost of </w:t>
      </w:r>
      <w:r w:rsidR="0046415A">
        <w:rPr>
          <w:spacing w:val="-3"/>
        </w:rPr>
        <w:t>equipment</w:t>
      </w:r>
      <w:r w:rsidR="00D254AC">
        <w:rPr>
          <w:spacing w:val="-3"/>
        </w:rPr>
        <w:t xml:space="preserve"> and the</w:t>
      </w:r>
      <w:r w:rsidR="0046415A">
        <w:rPr>
          <w:spacing w:val="-3"/>
        </w:rPr>
        <w:t xml:space="preserve"> increased</w:t>
      </w:r>
      <w:r w:rsidR="00D254AC">
        <w:rPr>
          <w:spacing w:val="-3"/>
        </w:rPr>
        <w:t xml:space="preserve"> maintenance </w:t>
      </w:r>
      <w:r w:rsidR="0046415A">
        <w:rPr>
          <w:spacing w:val="-3"/>
        </w:rPr>
        <w:t xml:space="preserve">costs </w:t>
      </w:r>
      <w:r w:rsidR="00D254AC">
        <w:rPr>
          <w:spacing w:val="-3"/>
        </w:rPr>
        <w:t>of the GS-3 li</w:t>
      </w:r>
      <w:r w:rsidR="004F52EE">
        <w:rPr>
          <w:spacing w:val="-3"/>
        </w:rPr>
        <w:t>nes</w:t>
      </w:r>
      <w:r w:rsidR="00D254AC">
        <w:rPr>
          <w:spacing w:val="-3"/>
        </w:rPr>
        <w:t xml:space="preserve">.  (Tr. </w:t>
      </w:r>
      <w:r w:rsidR="009C722F">
        <w:rPr>
          <w:spacing w:val="-3"/>
        </w:rPr>
        <w:t xml:space="preserve">46, </w:t>
      </w:r>
      <w:r w:rsidR="0046415A">
        <w:rPr>
          <w:spacing w:val="-3"/>
        </w:rPr>
        <w:t>48</w:t>
      </w:r>
      <w:r w:rsidR="000D1160">
        <w:rPr>
          <w:spacing w:val="-3"/>
        </w:rPr>
        <w:t>-</w:t>
      </w:r>
      <w:r w:rsidR="0046415A">
        <w:rPr>
          <w:spacing w:val="-3"/>
        </w:rPr>
        <w:t>49</w:t>
      </w:r>
      <w:r w:rsidR="00D254AC">
        <w:rPr>
          <w:spacing w:val="-3"/>
        </w:rPr>
        <w:t>).</w:t>
      </w:r>
    </w:p>
    <w:p w:rsidR="00440213" w:rsidRDefault="00440213" w:rsidP="00FA1F58">
      <w:pPr>
        <w:spacing w:line="360" w:lineRule="auto"/>
        <w:rPr>
          <w:spacing w:val="-3"/>
        </w:rPr>
      </w:pPr>
    </w:p>
    <w:p w:rsidR="008E4FD6" w:rsidRDefault="00440213" w:rsidP="00FA1F58">
      <w:pPr>
        <w:spacing w:line="360" w:lineRule="auto"/>
        <w:rPr>
          <w:spacing w:val="-3"/>
        </w:rPr>
      </w:pPr>
      <w:r>
        <w:rPr>
          <w:spacing w:val="-3"/>
        </w:rPr>
        <w:tab/>
      </w:r>
      <w:r>
        <w:rPr>
          <w:spacing w:val="-3"/>
        </w:rPr>
        <w:tab/>
        <w:t>19.</w:t>
      </w:r>
      <w:r>
        <w:rPr>
          <w:spacing w:val="-3"/>
        </w:rPr>
        <w:tab/>
        <w:t>As a general practice, PPL’s employees do not inform new customers who call to initiate service what will be the tariff rate the utility will charge on the new account</w:t>
      </w:r>
      <w:r w:rsidR="006A4B65">
        <w:rPr>
          <w:spacing w:val="-3"/>
        </w:rPr>
        <w:t xml:space="preserve"> nor does the new customer receive correspondence from the utility which informs the customer concerning the existence of GS-1 or GS-3 service</w:t>
      </w:r>
      <w:r>
        <w:rPr>
          <w:spacing w:val="-3"/>
        </w:rPr>
        <w:t>.</w:t>
      </w:r>
      <w:r w:rsidR="006A4B65">
        <w:rPr>
          <w:spacing w:val="-3"/>
        </w:rPr>
        <w:t xml:space="preserve">  (Tr. 52-54</w:t>
      </w:r>
      <w:r>
        <w:rPr>
          <w:spacing w:val="-3"/>
        </w:rPr>
        <w:t>).</w:t>
      </w:r>
    </w:p>
    <w:p w:rsidR="00440213" w:rsidRDefault="00440213" w:rsidP="00FA1F58">
      <w:pPr>
        <w:spacing w:line="360" w:lineRule="auto"/>
        <w:rPr>
          <w:spacing w:val="-3"/>
        </w:rPr>
      </w:pPr>
    </w:p>
    <w:p w:rsidR="008E4FD6" w:rsidRPr="004E7308" w:rsidRDefault="008E4FD6" w:rsidP="008E4FD6">
      <w:pPr>
        <w:tabs>
          <w:tab w:val="left" w:pos="2160"/>
        </w:tabs>
        <w:spacing w:line="360" w:lineRule="auto"/>
        <w:jc w:val="center"/>
        <w:rPr>
          <w:u w:val="single"/>
        </w:rPr>
      </w:pPr>
      <w:r w:rsidRPr="004E7308">
        <w:rPr>
          <w:u w:val="single"/>
        </w:rPr>
        <w:t>DISCUSSION</w:t>
      </w:r>
    </w:p>
    <w:p w:rsidR="008E4FD6" w:rsidRPr="004E7308" w:rsidRDefault="008E4FD6" w:rsidP="008E4FD6">
      <w:pPr>
        <w:tabs>
          <w:tab w:val="left" w:pos="2160"/>
        </w:tabs>
        <w:spacing w:line="360" w:lineRule="auto"/>
        <w:jc w:val="center"/>
        <w:rPr>
          <w:u w:val="single"/>
        </w:rPr>
      </w:pPr>
    </w:p>
    <w:p w:rsidR="00A532C7" w:rsidRDefault="003214C4" w:rsidP="00A532C7">
      <w:pPr>
        <w:tabs>
          <w:tab w:val="left" w:pos="-1440"/>
          <w:tab w:val="left" w:pos="-720"/>
        </w:tabs>
        <w:suppressAutoHyphens/>
        <w:spacing w:line="360" w:lineRule="auto"/>
        <w:rPr>
          <w:spacing w:val="-3"/>
        </w:rPr>
      </w:pPr>
      <w:r w:rsidRPr="007659E6">
        <w:tab/>
      </w:r>
      <w:r w:rsidRPr="007659E6">
        <w:tab/>
        <w:t xml:space="preserve">As the party seeking the intervention of this Commission, </w:t>
      </w:r>
      <w:r>
        <w:t xml:space="preserve">Complainant </w:t>
      </w:r>
      <w:r w:rsidRPr="007659E6">
        <w:t xml:space="preserve">has the burden of proving </w:t>
      </w:r>
      <w:r>
        <w:t>Respondent</w:t>
      </w:r>
      <w:r w:rsidRPr="007659E6">
        <w:t xml:space="preserve"> violated the provisions of the Public Utility Code or this Commission’s regulations</w:t>
      </w:r>
      <w:r>
        <w:t xml:space="preserve"> </w:t>
      </w:r>
      <w:r w:rsidRPr="007659E6">
        <w:t>in some fashion.  Section</w:t>
      </w:r>
      <w:r>
        <w:t> </w:t>
      </w:r>
      <w:r w:rsidRPr="007659E6">
        <w:t xml:space="preserve">332(a) of the Public Utility Code, 66 </w:t>
      </w:r>
      <w:smartTag w:uri="urn:schemas-microsoft-com:office:smarttags" w:element="place">
        <w:smartTag w:uri="urn:schemas-microsoft-com:office:smarttags" w:element="State">
          <w:r w:rsidRPr="007659E6">
            <w:t>Pa.</w:t>
          </w:r>
        </w:smartTag>
      </w:smartTag>
      <w:r w:rsidRPr="007659E6">
        <w:t xml:space="preserve"> C.S. §332(a).</w:t>
      </w:r>
      <w:r>
        <w:t xml:space="preserve">  </w:t>
      </w:r>
      <w:r w:rsidRPr="00D27E1B">
        <w:rPr>
          <w:spacing w:val="-3"/>
        </w:rPr>
        <w:t xml:space="preserve">To establish a sufficient case and satisfy the burden of proof, </w:t>
      </w:r>
      <w:r w:rsidR="009B2E8C">
        <w:rPr>
          <w:spacing w:val="-3"/>
        </w:rPr>
        <w:t>c</w:t>
      </w:r>
      <w:r w:rsidRPr="00D27E1B">
        <w:rPr>
          <w:spacing w:val="-3"/>
        </w:rPr>
        <w:t xml:space="preserve">omplainant must show the public utility is responsible or accountable for the problem described in the </w:t>
      </w:r>
      <w:r w:rsidR="009B2E8C">
        <w:rPr>
          <w:spacing w:val="-3"/>
        </w:rPr>
        <w:t>c</w:t>
      </w:r>
      <w:r w:rsidRPr="00D27E1B">
        <w:rPr>
          <w:spacing w:val="-3"/>
        </w:rPr>
        <w:t xml:space="preserve">omplaint.  </w:t>
      </w:r>
      <w:r w:rsidRPr="00D27E1B">
        <w:rPr>
          <w:spacing w:val="-3"/>
          <w:u w:val="single"/>
        </w:rPr>
        <w:t>Patterson</w:t>
      </w:r>
      <w:r w:rsidR="001A0701">
        <w:rPr>
          <w:spacing w:val="-3"/>
          <w:u w:val="single"/>
        </w:rPr>
        <w:t> </w:t>
      </w:r>
      <w:r w:rsidRPr="00D27E1B">
        <w:rPr>
          <w:spacing w:val="-3"/>
          <w:u w:val="single"/>
        </w:rPr>
        <w:t>v. Bell Telephone Company of Pennsylvania</w:t>
      </w:r>
      <w:r w:rsidRPr="00D27E1B">
        <w:rPr>
          <w:spacing w:val="-3"/>
        </w:rPr>
        <w:t>, 72 PA PUC 196 (1990)</w:t>
      </w:r>
      <w:r w:rsidR="000769AE">
        <w:rPr>
          <w:spacing w:val="-3"/>
        </w:rPr>
        <w:t>;</w:t>
      </w:r>
      <w:r w:rsidRPr="00D27E1B">
        <w:rPr>
          <w:spacing w:val="-3"/>
        </w:rPr>
        <w:t xml:space="preserve"> </w:t>
      </w:r>
      <w:r w:rsidRPr="00D27E1B">
        <w:rPr>
          <w:spacing w:val="-3"/>
          <w:u w:val="single"/>
        </w:rPr>
        <w:t>Feinstein v. Philadelphia Suburban Water Company</w:t>
      </w:r>
      <w:r w:rsidRPr="00D27E1B">
        <w:rPr>
          <w:spacing w:val="-3"/>
        </w:rPr>
        <w:t>, 50 PA PUC 300 (1976).  Such a showing must be by a preponderance of the evidence</w:t>
      </w:r>
      <w:r>
        <w:rPr>
          <w:spacing w:val="-3"/>
        </w:rPr>
        <w:t xml:space="preserve">, </w:t>
      </w:r>
      <w:r w:rsidRPr="00D27E1B">
        <w:rPr>
          <w:spacing w:val="-3"/>
          <w:u w:val="single"/>
        </w:rPr>
        <w:t xml:space="preserve">Samuel J. Lansberry, Inc. v. </w:t>
      </w:r>
      <w:smartTag w:uri="urn:schemas-microsoft-com:office:smarttags" w:element="place">
        <w:smartTag w:uri="urn:schemas-microsoft-com:office:smarttags" w:element="State">
          <w:r w:rsidRPr="00D27E1B">
            <w:rPr>
              <w:spacing w:val="-3"/>
              <w:u w:val="single"/>
            </w:rPr>
            <w:t>Pa.</w:t>
          </w:r>
        </w:smartTag>
      </w:smartTag>
      <w:r w:rsidRPr="00D27E1B">
        <w:rPr>
          <w:spacing w:val="-3"/>
          <w:u w:val="single"/>
        </w:rPr>
        <w:t xml:space="preserve"> Public Utility Comm’n</w:t>
      </w:r>
      <w:r w:rsidRPr="00D27E1B">
        <w:rPr>
          <w:spacing w:val="-3"/>
        </w:rPr>
        <w:t xml:space="preserve">, </w:t>
      </w:r>
      <w:r w:rsidRPr="00D27E1B">
        <w:rPr>
          <w:spacing w:val="-3"/>
        </w:rPr>
        <w:lastRenderedPageBreak/>
        <w:t>134</w:t>
      </w:r>
      <w:r w:rsidR="009B2E8C">
        <w:rPr>
          <w:spacing w:val="-3"/>
        </w:rPr>
        <w:t> </w:t>
      </w:r>
      <w:r w:rsidRPr="00D27E1B">
        <w:rPr>
          <w:spacing w:val="-3"/>
        </w:rPr>
        <w:t xml:space="preserve">Pa.Commw. 218; 221-222, 578 A.2d 600; 602 (1990), </w:t>
      </w:r>
      <w:r w:rsidRPr="00D27E1B">
        <w:rPr>
          <w:i/>
          <w:iCs/>
          <w:spacing w:val="-3"/>
        </w:rPr>
        <w:t>alloc. den</w:t>
      </w:r>
      <w:r w:rsidRPr="00D27E1B">
        <w:rPr>
          <w:spacing w:val="-3"/>
        </w:rPr>
        <w:t xml:space="preserve">. in 602 A.2d 863 (1992), </w:t>
      </w:r>
      <w:r>
        <w:rPr>
          <w:spacing w:val="-3"/>
        </w:rPr>
        <w:t xml:space="preserve">and is met </w:t>
      </w:r>
      <w:r w:rsidRPr="00D27E1B">
        <w:rPr>
          <w:spacing w:val="-3"/>
        </w:rPr>
        <w:t xml:space="preserve">by presenting evidence more convincing, by even the smallest amount, than that </w:t>
      </w:r>
      <w:r>
        <w:rPr>
          <w:spacing w:val="-3"/>
        </w:rPr>
        <w:t xml:space="preserve">evidence </w:t>
      </w:r>
      <w:r w:rsidRPr="00D27E1B">
        <w:rPr>
          <w:spacing w:val="-3"/>
        </w:rPr>
        <w:t xml:space="preserve">presented by the other party.  </w:t>
      </w:r>
      <w:r w:rsidRPr="00D27E1B">
        <w:rPr>
          <w:spacing w:val="-3"/>
          <w:u w:val="single"/>
        </w:rPr>
        <w:t>Se-Ling Hosiery v. Margulies</w:t>
      </w:r>
      <w:r w:rsidRPr="00D27E1B">
        <w:rPr>
          <w:spacing w:val="-3"/>
        </w:rPr>
        <w:t xml:space="preserve">, 364 </w:t>
      </w:r>
      <w:smartTag w:uri="urn:schemas-microsoft-com:office:smarttags" w:element="place">
        <w:smartTag w:uri="urn:schemas-microsoft-com:office:smarttags" w:element="State">
          <w:r w:rsidRPr="00D27E1B">
            <w:rPr>
              <w:spacing w:val="-3"/>
            </w:rPr>
            <w:t>Pa.</w:t>
          </w:r>
        </w:smartTag>
      </w:smartTag>
      <w:r w:rsidRPr="00D27E1B">
        <w:rPr>
          <w:spacing w:val="-3"/>
        </w:rPr>
        <w:t xml:space="preserve"> 45, 70 A.2d 854 (1950).  </w:t>
      </w:r>
    </w:p>
    <w:p w:rsidR="00A532C7" w:rsidRDefault="00A532C7" w:rsidP="00A532C7">
      <w:pPr>
        <w:tabs>
          <w:tab w:val="left" w:pos="-1440"/>
          <w:tab w:val="left" w:pos="-720"/>
        </w:tabs>
        <w:suppressAutoHyphens/>
        <w:spacing w:line="360" w:lineRule="auto"/>
        <w:rPr>
          <w:spacing w:val="-3"/>
        </w:rPr>
      </w:pPr>
    </w:p>
    <w:p w:rsidR="00FB0094" w:rsidRPr="008B455C" w:rsidRDefault="0077643C" w:rsidP="00BC17D5">
      <w:pPr>
        <w:spacing w:line="360" w:lineRule="auto"/>
      </w:pPr>
      <w:r>
        <w:tab/>
      </w:r>
      <w:r w:rsidR="00AE142F">
        <w:tab/>
      </w:r>
      <w:r w:rsidR="00FB0094" w:rsidRPr="008B455C">
        <w:t xml:space="preserve">Section 1301 of the Public Utility Code (“the Code”), 66 Pa. C.S. §1301, requires public utility rates to be just and reasonable and in conformity with the Commission’s orders and regulations.  </w:t>
      </w:r>
      <w:r w:rsidR="00A532C7">
        <w:t>W</w:t>
      </w:r>
      <w:r w:rsidR="00FB0094" w:rsidRPr="008B455C">
        <w:t>here a customer is heard to complain about an existing rate</w:t>
      </w:r>
      <w:r w:rsidR="00FB0094">
        <w:t xml:space="preserve"> or charge included in its approved tariff</w:t>
      </w:r>
      <w:r w:rsidR="00FB0094" w:rsidRPr="008B455C">
        <w:t>, there is a strong presumption the pre-existing Commission</w:t>
      </w:r>
      <w:r w:rsidR="00FB0094">
        <w:t>-approved rate is</w:t>
      </w:r>
      <w:r w:rsidR="00FB0094" w:rsidRPr="008B455C">
        <w:t xml:space="preserve"> just and reasonable.  </w:t>
      </w:r>
      <w:r w:rsidR="00FB0094" w:rsidRPr="008B455C">
        <w:rPr>
          <w:u w:val="single"/>
        </w:rPr>
        <w:t xml:space="preserve">Duquesne Light Co., </w:t>
      </w:r>
      <w:r w:rsidR="00FB0094" w:rsidRPr="008B455C">
        <w:rPr>
          <w:i/>
          <w:u w:val="single"/>
        </w:rPr>
        <w:t>et al.</w:t>
      </w:r>
      <w:r w:rsidR="00FB0094" w:rsidRPr="008B455C">
        <w:rPr>
          <w:u w:val="single"/>
        </w:rPr>
        <w:t xml:space="preserve"> v. Pa. P.U.C.</w:t>
      </w:r>
      <w:r w:rsidR="00FB0094" w:rsidRPr="008B455C">
        <w:t xml:space="preserve">, 715 A. 2d 540 (Pa. Cmwlth. 1998); </w:t>
      </w:r>
      <w:r w:rsidR="00FB0094" w:rsidRPr="008B455C">
        <w:rPr>
          <w:u w:val="single"/>
        </w:rPr>
        <w:t>Popowsky v. Pa. P.U.C.</w:t>
      </w:r>
      <w:r w:rsidR="00FB0094" w:rsidRPr="008B455C">
        <w:t xml:space="preserve">, 669 A. 2d 1029, 1037 n. 14 (Pa. Cmwlth. 1995), </w:t>
      </w:r>
      <w:r w:rsidR="00FB0094" w:rsidRPr="008B455C">
        <w:rPr>
          <w:i/>
        </w:rPr>
        <w:t>rev’d in part on other grounds</w:t>
      </w:r>
      <w:r w:rsidR="00FB0094" w:rsidRPr="008B455C">
        <w:t xml:space="preserve">, 550 </w:t>
      </w:r>
      <w:smartTag w:uri="urn:schemas-microsoft-com:office:smarttags" w:element="place">
        <w:smartTag w:uri="urn:schemas-microsoft-com:office:smarttags" w:element="State">
          <w:r w:rsidR="00FB0094" w:rsidRPr="008B455C">
            <w:t>Pa.</w:t>
          </w:r>
        </w:smartTag>
      </w:smartTag>
      <w:r w:rsidR="00FB0094" w:rsidRPr="008B455C">
        <w:t xml:space="preserve"> 449, 706 A. 2d 1197 (1997).  </w:t>
      </w:r>
      <w:r w:rsidR="00A532C7">
        <w:t>I</w:t>
      </w:r>
      <w:r w:rsidR="00FB0094">
        <w:t xml:space="preserve">n this matter, </w:t>
      </w:r>
      <w:r w:rsidR="00A532C7">
        <w:t>w</w:t>
      </w:r>
      <w:r w:rsidR="00FB0094">
        <w:t>hat is at issue is the reasonableness</w:t>
      </w:r>
      <w:r w:rsidR="00FB0094" w:rsidRPr="008B455C">
        <w:t xml:space="preserve"> </w:t>
      </w:r>
      <w:r w:rsidR="00FB0094">
        <w:t xml:space="preserve">of the application of the tariff rate as </w:t>
      </w:r>
      <w:r w:rsidR="00A532C7">
        <w:t>Respondent</w:t>
      </w:r>
      <w:r w:rsidR="00FB0094">
        <w:t xml:space="preserve"> interpreted and applied it to </w:t>
      </w:r>
      <w:r w:rsidR="00A532C7">
        <w:t>Complainant</w:t>
      </w:r>
      <w:r w:rsidR="00FB0094">
        <w:t>’</w:t>
      </w:r>
      <w:r w:rsidR="00A532C7">
        <w:t>s</w:t>
      </w:r>
      <w:r w:rsidR="00FB0094">
        <w:t xml:space="preserve"> situation.  </w:t>
      </w:r>
    </w:p>
    <w:p w:rsidR="00161288" w:rsidRDefault="00161288" w:rsidP="0077643C">
      <w:pPr>
        <w:spacing w:line="360" w:lineRule="auto"/>
      </w:pPr>
    </w:p>
    <w:p w:rsidR="00BC7DE9" w:rsidRDefault="003214C4" w:rsidP="003214C4">
      <w:pPr>
        <w:pStyle w:val="BodyText"/>
        <w:jc w:val="left"/>
        <w:rPr>
          <w:sz w:val="24"/>
          <w:szCs w:val="24"/>
        </w:rPr>
      </w:pPr>
      <w:r>
        <w:rPr>
          <w:sz w:val="24"/>
          <w:szCs w:val="24"/>
        </w:rPr>
        <w:tab/>
      </w:r>
      <w:r>
        <w:rPr>
          <w:sz w:val="24"/>
          <w:szCs w:val="24"/>
        </w:rPr>
        <w:tab/>
        <w:t>Complainant</w:t>
      </w:r>
      <w:r w:rsidR="00A97ADD">
        <w:rPr>
          <w:sz w:val="24"/>
          <w:szCs w:val="24"/>
        </w:rPr>
        <w:t xml:space="preserve"> </w:t>
      </w:r>
      <w:r>
        <w:rPr>
          <w:sz w:val="24"/>
          <w:szCs w:val="24"/>
        </w:rPr>
        <w:t xml:space="preserve">testified </w:t>
      </w:r>
      <w:r w:rsidR="00D9583A">
        <w:rPr>
          <w:sz w:val="24"/>
          <w:szCs w:val="24"/>
        </w:rPr>
        <w:t xml:space="preserve">the unit does not </w:t>
      </w:r>
      <w:r w:rsidR="00E40671">
        <w:rPr>
          <w:sz w:val="24"/>
          <w:szCs w:val="24"/>
        </w:rPr>
        <w:t xml:space="preserve">have </w:t>
      </w:r>
      <w:r w:rsidR="00D9583A">
        <w:rPr>
          <w:sz w:val="24"/>
          <w:szCs w:val="24"/>
        </w:rPr>
        <w:t>access to</w:t>
      </w:r>
      <w:r w:rsidR="00E40671">
        <w:rPr>
          <w:sz w:val="24"/>
          <w:szCs w:val="24"/>
        </w:rPr>
        <w:t xml:space="preserve"> or need for</w:t>
      </w:r>
      <w:r w:rsidR="00D9583A">
        <w:rPr>
          <w:sz w:val="24"/>
          <w:szCs w:val="24"/>
        </w:rPr>
        <w:t xml:space="preserve"> three</w:t>
      </w:r>
      <w:r w:rsidR="00AC6EDE">
        <w:rPr>
          <w:sz w:val="24"/>
          <w:szCs w:val="24"/>
        </w:rPr>
        <w:t xml:space="preserve">-phase service and should not be charged the GS-3 rate under Respondent’s tariff.  Complainant contends that services, not customers, should be grandfathered in and that Respondent was incorrect to switch over to the new GS-3 tariff rate just because the prior tenant left the rental unit.  </w:t>
      </w:r>
    </w:p>
    <w:p w:rsidR="00BC17D5" w:rsidRDefault="00066E29" w:rsidP="003214C4">
      <w:pPr>
        <w:pStyle w:val="BodyText"/>
        <w:jc w:val="left"/>
        <w:rPr>
          <w:sz w:val="24"/>
          <w:szCs w:val="24"/>
        </w:rPr>
      </w:pPr>
      <w:r>
        <w:rPr>
          <w:sz w:val="24"/>
          <w:szCs w:val="24"/>
        </w:rPr>
        <w:tab/>
      </w:r>
      <w:r>
        <w:rPr>
          <w:sz w:val="24"/>
          <w:szCs w:val="24"/>
        </w:rPr>
        <w:tab/>
      </w:r>
    </w:p>
    <w:p w:rsidR="00066E29" w:rsidRDefault="00066E29" w:rsidP="00A87A98">
      <w:pPr>
        <w:pStyle w:val="BodyText"/>
        <w:ind w:firstLine="1440"/>
        <w:jc w:val="left"/>
        <w:rPr>
          <w:sz w:val="24"/>
          <w:szCs w:val="24"/>
        </w:rPr>
      </w:pPr>
      <w:r>
        <w:rPr>
          <w:sz w:val="24"/>
          <w:szCs w:val="24"/>
        </w:rPr>
        <w:t xml:space="preserve">Respondent’s personnel </w:t>
      </w:r>
      <w:r w:rsidR="00DC4E09">
        <w:rPr>
          <w:sz w:val="24"/>
          <w:szCs w:val="24"/>
        </w:rPr>
        <w:t>testified</w:t>
      </w:r>
      <w:r>
        <w:rPr>
          <w:sz w:val="24"/>
          <w:szCs w:val="24"/>
        </w:rPr>
        <w:t xml:space="preserve"> Respondent </w:t>
      </w:r>
      <w:r w:rsidR="00DC4E09">
        <w:rPr>
          <w:sz w:val="24"/>
          <w:szCs w:val="24"/>
        </w:rPr>
        <w:t>correctly</w:t>
      </w:r>
      <w:r>
        <w:rPr>
          <w:sz w:val="24"/>
          <w:szCs w:val="24"/>
        </w:rPr>
        <w:t xml:space="preserve"> charge</w:t>
      </w:r>
      <w:r w:rsidR="00DC4E09">
        <w:rPr>
          <w:sz w:val="24"/>
          <w:szCs w:val="24"/>
        </w:rPr>
        <w:t>d</w:t>
      </w:r>
      <w:r>
        <w:rPr>
          <w:sz w:val="24"/>
          <w:szCs w:val="24"/>
        </w:rPr>
        <w:t xml:space="preserve"> Complainant for three-phase service because</w:t>
      </w:r>
      <w:r w:rsidR="00D9583A">
        <w:rPr>
          <w:sz w:val="24"/>
          <w:szCs w:val="24"/>
        </w:rPr>
        <w:t xml:space="preserve"> there is one three-phase meter which brings the greater availability of electricity to that one unit.  Respondent contends </w:t>
      </w:r>
      <w:r w:rsidR="006A4B65">
        <w:rPr>
          <w:sz w:val="24"/>
          <w:szCs w:val="24"/>
        </w:rPr>
        <w:t>its representative inspected the property, determined the unit in question was serviced by a three-phase meter and that the tenant established service after the January 1, 2008 effective date for the imposition of the GS-3 rate.  T</w:t>
      </w:r>
      <w:r w:rsidR="00D9583A">
        <w:rPr>
          <w:sz w:val="24"/>
          <w:szCs w:val="24"/>
        </w:rPr>
        <w:t xml:space="preserve">he </w:t>
      </w:r>
      <w:r w:rsidR="006A4B65">
        <w:rPr>
          <w:sz w:val="24"/>
          <w:szCs w:val="24"/>
        </w:rPr>
        <w:t xml:space="preserve">current </w:t>
      </w:r>
      <w:r w:rsidR="00D9583A">
        <w:rPr>
          <w:sz w:val="24"/>
          <w:szCs w:val="24"/>
        </w:rPr>
        <w:t xml:space="preserve">tariff requires the utility company to charge the GS-3 rate if there is </w:t>
      </w:r>
      <w:r>
        <w:rPr>
          <w:sz w:val="24"/>
          <w:szCs w:val="24"/>
        </w:rPr>
        <w:t xml:space="preserve">three-phase service available for use regardless of whether Complainant </w:t>
      </w:r>
      <w:r w:rsidR="00D9583A">
        <w:rPr>
          <w:sz w:val="24"/>
          <w:szCs w:val="24"/>
        </w:rPr>
        <w:t xml:space="preserve">or the tenant </w:t>
      </w:r>
      <w:r>
        <w:rPr>
          <w:sz w:val="24"/>
          <w:szCs w:val="24"/>
        </w:rPr>
        <w:t xml:space="preserve">chooses to use the service.  </w:t>
      </w:r>
      <w:r w:rsidR="00CC4228">
        <w:rPr>
          <w:sz w:val="24"/>
          <w:szCs w:val="24"/>
        </w:rPr>
        <w:t xml:space="preserve">The three-phase rate structure was requested, and later approved by the Commission, because Respondent incurs significant costs to ensure three-phase service is available to those customers who have such service.  </w:t>
      </w:r>
      <w:r w:rsidR="004F52EE">
        <w:rPr>
          <w:sz w:val="24"/>
          <w:szCs w:val="24"/>
        </w:rPr>
        <w:t xml:space="preserve">  </w:t>
      </w:r>
    </w:p>
    <w:p w:rsidR="00BC7DE9" w:rsidRDefault="00BC7DE9" w:rsidP="003214C4">
      <w:pPr>
        <w:pStyle w:val="BodyText"/>
        <w:jc w:val="left"/>
        <w:rPr>
          <w:sz w:val="24"/>
          <w:szCs w:val="24"/>
        </w:rPr>
      </w:pPr>
    </w:p>
    <w:p w:rsidR="003214C4" w:rsidRDefault="003214C4" w:rsidP="00BC7DE9">
      <w:pPr>
        <w:pStyle w:val="BodyText"/>
        <w:ind w:firstLine="1440"/>
        <w:jc w:val="left"/>
        <w:rPr>
          <w:sz w:val="24"/>
          <w:szCs w:val="24"/>
        </w:rPr>
      </w:pPr>
      <w:r>
        <w:rPr>
          <w:sz w:val="24"/>
          <w:szCs w:val="24"/>
        </w:rPr>
        <w:lastRenderedPageBreak/>
        <w:t>While the undersigned is</w:t>
      </w:r>
      <w:r w:rsidR="00A97ADD">
        <w:rPr>
          <w:sz w:val="24"/>
          <w:szCs w:val="24"/>
        </w:rPr>
        <w:t xml:space="preserve"> sympathetic to Complainant</w:t>
      </w:r>
      <w:r>
        <w:rPr>
          <w:sz w:val="24"/>
          <w:szCs w:val="24"/>
        </w:rPr>
        <w:t>’</w:t>
      </w:r>
      <w:r w:rsidR="00A97ADD">
        <w:rPr>
          <w:sz w:val="24"/>
          <w:szCs w:val="24"/>
        </w:rPr>
        <w:t>s</w:t>
      </w:r>
      <w:r>
        <w:rPr>
          <w:sz w:val="24"/>
          <w:szCs w:val="24"/>
        </w:rPr>
        <w:t xml:space="preserve"> circumstances, </w:t>
      </w:r>
      <w:r w:rsidR="00B4703F">
        <w:rPr>
          <w:sz w:val="24"/>
          <w:szCs w:val="24"/>
        </w:rPr>
        <w:t>the</w:t>
      </w:r>
      <w:r>
        <w:rPr>
          <w:sz w:val="24"/>
          <w:szCs w:val="24"/>
        </w:rPr>
        <w:t xml:space="preserve"> testimony </w:t>
      </w:r>
      <w:r w:rsidR="00B4703F">
        <w:rPr>
          <w:sz w:val="24"/>
          <w:szCs w:val="24"/>
        </w:rPr>
        <w:t xml:space="preserve">and evidence presented </w:t>
      </w:r>
      <w:r w:rsidR="00E11F3C">
        <w:rPr>
          <w:sz w:val="24"/>
          <w:szCs w:val="24"/>
        </w:rPr>
        <w:t xml:space="preserve">does not demonstrate the utility company failed to provide Complainant with adequate, efficient, safe, and reasonable service pursuant to its approved tariff.  </w:t>
      </w:r>
      <w:r>
        <w:rPr>
          <w:sz w:val="24"/>
          <w:szCs w:val="24"/>
        </w:rPr>
        <w:t>Complainant</w:t>
      </w:r>
      <w:r w:rsidR="00A97ADD">
        <w:rPr>
          <w:sz w:val="24"/>
          <w:szCs w:val="24"/>
        </w:rPr>
        <w:t xml:space="preserve"> </w:t>
      </w:r>
      <w:r w:rsidR="00EE746A">
        <w:rPr>
          <w:sz w:val="24"/>
          <w:szCs w:val="24"/>
        </w:rPr>
        <w:t xml:space="preserve">has </w:t>
      </w:r>
      <w:r>
        <w:rPr>
          <w:sz w:val="24"/>
          <w:szCs w:val="24"/>
        </w:rPr>
        <w:t xml:space="preserve">failed to meet </w:t>
      </w:r>
      <w:r w:rsidR="00DC4E09">
        <w:rPr>
          <w:sz w:val="24"/>
          <w:szCs w:val="24"/>
        </w:rPr>
        <w:t>the</w:t>
      </w:r>
      <w:r>
        <w:rPr>
          <w:sz w:val="24"/>
          <w:szCs w:val="24"/>
        </w:rPr>
        <w:t xml:space="preserve"> burden of proof.  The Commission</w:t>
      </w:r>
      <w:r w:rsidR="00A97ADD">
        <w:rPr>
          <w:sz w:val="24"/>
          <w:szCs w:val="24"/>
        </w:rPr>
        <w:t>-approved tariff is</w:t>
      </w:r>
      <w:r>
        <w:rPr>
          <w:sz w:val="24"/>
          <w:szCs w:val="24"/>
        </w:rPr>
        <w:t xml:space="preserve"> just and reasonable</w:t>
      </w:r>
      <w:r w:rsidR="00BC7DE9">
        <w:rPr>
          <w:sz w:val="24"/>
          <w:szCs w:val="24"/>
        </w:rPr>
        <w:t>, and Respondent’s application of its tariff to Complainant is also just and reasonable</w:t>
      </w:r>
      <w:r>
        <w:rPr>
          <w:sz w:val="24"/>
          <w:szCs w:val="24"/>
        </w:rPr>
        <w:t xml:space="preserve">.  </w:t>
      </w:r>
      <w:r>
        <w:rPr>
          <w:i/>
          <w:sz w:val="24"/>
          <w:szCs w:val="24"/>
        </w:rPr>
        <w:t xml:space="preserve">See </w:t>
      </w:r>
      <w:r w:rsidRPr="008B6587">
        <w:rPr>
          <w:sz w:val="24"/>
          <w:szCs w:val="24"/>
        </w:rPr>
        <w:t xml:space="preserve">66 </w:t>
      </w:r>
      <w:smartTag w:uri="urn:schemas-microsoft-com:office:smarttags" w:element="place">
        <w:smartTag w:uri="urn:schemas-microsoft-com:office:smarttags" w:element="State">
          <w:r w:rsidRPr="008B6587">
            <w:rPr>
              <w:sz w:val="24"/>
              <w:szCs w:val="24"/>
            </w:rPr>
            <w:t>Pa.</w:t>
          </w:r>
        </w:smartTag>
      </w:smartTag>
      <w:r w:rsidRPr="008B6587">
        <w:rPr>
          <w:sz w:val="24"/>
          <w:szCs w:val="24"/>
        </w:rPr>
        <w:t xml:space="preserve"> C.S. §316.</w:t>
      </w:r>
      <w:r w:rsidR="00BC7DE9">
        <w:rPr>
          <w:sz w:val="24"/>
          <w:szCs w:val="24"/>
        </w:rPr>
        <w:t xml:space="preserve">  Accordingly the complaint is</w:t>
      </w:r>
      <w:r>
        <w:rPr>
          <w:sz w:val="24"/>
          <w:szCs w:val="24"/>
        </w:rPr>
        <w:t xml:space="preserve"> dismissed in the ordering paragraphs below.</w:t>
      </w:r>
      <w:r w:rsidRPr="008B6587">
        <w:rPr>
          <w:sz w:val="24"/>
          <w:szCs w:val="24"/>
        </w:rPr>
        <w:t xml:space="preserve"> </w:t>
      </w:r>
    </w:p>
    <w:p w:rsidR="00BC7DE9" w:rsidRDefault="00BC7DE9" w:rsidP="008E4FD6">
      <w:pPr>
        <w:spacing w:line="360" w:lineRule="auto"/>
        <w:jc w:val="center"/>
        <w:rPr>
          <w:u w:val="single"/>
        </w:rPr>
      </w:pPr>
    </w:p>
    <w:p w:rsidR="008E4FD6" w:rsidRDefault="008E4FD6" w:rsidP="008E4FD6">
      <w:pPr>
        <w:spacing w:line="360" w:lineRule="auto"/>
        <w:jc w:val="center"/>
        <w:rPr>
          <w:u w:val="single"/>
        </w:rPr>
      </w:pPr>
      <w:r>
        <w:rPr>
          <w:u w:val="single"/>
        </w:rPr>
        <w:t>CONCLUSIONS OF LAW</w:t>
      </w:r>
    </w:p>
    <w:p w:rsidR="008E4FD6" w:rsidRDefault="008E4FD6" w:rsidP="008E4FD6">
      <w:pPr>
        <w:spacing w:line="360" w:lineRule="auto"/>
        <w:ind w:firstLine="1440"/>
      </w:pPr>
    </w:p>
    <w:p w:rsidR="008E4FD6" w:rsidRDefault="008E4FD6" w:rsidP="008E4FD6">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§701.</w:t>
      </w:r>
    </w:p>
    <w:p w:rsidR="008E4FD6" w:rsidRPr="00006FBE" w:rsidRDefault="008E4FD6" w:rsidP="008E4FD6">
      <w:pPr>
        <w:tabs>
          <w:tab w:val="num" w:pos="2160"/>
        </w:tabs>
        <w:spacing w:line="360" w:lineRule="auto"/>
        <w:ind w:firstLine="1260"/>
      </w:pPr>
    </w:p>
    <w:p w:rsidR="008E4FD6" w:rsidRDefault="003E2BB0" w:rsidP="006C330C">
      <w:pPr>
        <w:spacing w:line="360" w:lineRule="auto"/>
        <w:ind w:firstLine="1440"/>
      </w:pPr>
      <w:r>
        <w:rPr>
          <w:spacing w:val="-3"/>
        </w:rPr>
        <w:t>2.</w:t>
      </w:r>
      <w:r>
        <w:rPr>
          <w:spacing w:val="-3"/>
        </w:rPr>
        <w:tab/>
      </w:r>
      <w:r w:rsidR="007D1A05">
        <w:rPr>
          <w:spacing w:val="-3"/>
        </w:rPr>
        <w:t xml:space="preserve">Complainant </w:t>
      </w:r>
      <w:r w:rsidR="00573D53">
        <w:rPr>
          <w:spacing w:val="-3"/>
        </w:rPr>
        <w:t>failed to meet</w:t>
      </w:r>
      <w:r w:rsidR="007D1A05">
        <w:rPr>
          <w:spacing w:val="-3"/>
        </w:rPr>
        <w:t xml:space="preserve"> </w:t>
      </w:r>
      <w:r w:rsidR="00DC4E09">
        <w:rPr>
          <w:spacing w:val="-3"/>
        </w:rPr>
        <w:t xml:space="preserve">his burden of proving </w:t>
      </w:r>
      <w:r w:rsidR="007D1A05">
        <w:rPr>
          <w:spacing w:val="-3"/>
        </w:rPr>
        <w:t>he is entitled to relief.  66</w:t>
      </w:r>
      <w:r w:rsidR="00CB7CEC">
        <w:rPr>
          <w:spacing w:val="-3"/>
        </w:rPr>
        <w:t> </w:t>
      </w:r>
      <w:r w:rsidR="007D1A05">
        <w:rPr>
          <w:spacing w:val="-3"/>
        </w:rPr>
        <w:t>Pa. C.S.A. §332(a).</w:t>
      </w:r>
    </w:p>
    <w:p w:rsidR="003E2BB0" w:rsidRDefault="003E2BB0" w:rsidP="003E2BB0">
      <w:pPr>
        <w:spacing w:line="360" w:lineRule="auto"/>
        <w:ind w:left="540"/>
      </w:pPr>
    </w:p>
    <w:p w:rsidR="00DC7730" w:rsidRDefault="003E2BB0" w:rsidP="00267BDA">
      <w:pPr>
        <w:spacing w:line="360" w:lineRule="auto"/>
      </w:pPr>
      <w:r>
        <w:tab/>
      </w:r>
      <w:r>
        <w:tab/>
        <w:t>3.</w:t>
      </w:r>
      <w:r>
        <w:tab/>
      </w:r>
      <w:r w:rsidR="00CC4228">
        <w:t xml:space="preserve">Respondent was correct to apply </w:t>
      </w:r>
      <w:r w:rsidR="00FA1F58">
        <w:t xml:space="preserve">the three-phase electric service rate specified under its tariff </w:t>
      </w:r>
      <w:r w:rsidR="00CC4228">
        <w:t>to Complainant’s account.</w:t>
      </w:r>
    </w:p>
    <w:p w:rsidR="00DC7730" w:rsidRDefault="00DC7730" w:rsidP="00DC7730">
      <w:pPr>
        <w:tabs>
          <w:tab w:val="num" w:pos="2160"/>
        </w:tabs>
        <w:spacing w:line="360" w:lineRule="auto"/>
        <w:rPr>
          <w:u w:val="single"/>
        </w:rPr>
      </w:pPr>
    </w:p>
    <w:p w:rsidR="008E4FD6" w:rsidRDefault="008E4FD6" w:rsidP="008E4FD6">
      <w:pPr>
        <w:tabs>
          <w:tab w:val="num" w:pos="2160"/>
        </w:tabs>
        <w:spacing w:line="360" w:lineRule="auto"/>
        <w:jc w:val="center"/>
        <w:rPr>
          <w:u w:val="single"/>
        </w:rPr>
      </w:pPr>
      <w:r>
        <w:rPr>
          <w:u w:val="single"/>
        </w:rPr>
        <w:t>ORDER</w:t>
      </w:r>
    </w:p>
    <w:p w:rsidR="008E4FD6" w:rsidRDefault="008E4FD6" w:rsidP="008E4FD6">
      <w:pPr>
        <w:tabs>
          <w:tab w:val="num" w:pos="2160"/>
        </w:tabs>
        <w:spacing w:line="360" w:lineRule="auto"/>
        <w:jc w:val="center"/>
        <w:rPr>
          <w:u w:val="single"/>
        </w:rPr>
      </w:pPr>
    </w:p>
    <w:p w:rsidR="004E3933" w:rsidRDefault="004E3933" w:rsidP="008E4FD6">
      <w:pPr>
        <w:tabs>
          <w:tab w:val="num" w:pos="2160"/>
        </w:tabs>
        <w:spacing w:line="360" w:lineRule="auto"/>
        <w:ind w:firstLine="1440"/>
      </w:pPr>
    </w:p>
    <w:p w:rsidR="008E4FD6" w:rsidRPr="00493E49" w:rsidRDefault="008E4FD6" w:rsidP="008E4FD6">
      <w:pPr>
        <w:tabs>
          <w:tab w:val="num" w:pos="2160"/>
        </w:tabs>
        <w:spacing w:line="360" w:lineRule="auto"/>
        <w:ind w:firstLine="1440"/>
      </w:pPr>
      <w:r w:rsidRPr="00493E49">
        <w:t xml:space="preserve">THEREFORE, </w:t>
      </w:r>
    </w:p>
    <w:p w:rsidR="008E4FD6" w:rsidRPr="00493E49" w:rsidRDefault="008E4FD6" w:rsidP="008E4FD6">
      <w:pPr>
        <w:tabs>
          <w:tab w:val="num" w:pos="2160"/>
        </w:tabs>
        <w:spacing w:line="360" w:lineRule="auto"/>
      </w:pPr>
    </w:p>
    <w:p w:rsidR="008E4FD6" w:rsidRPr="00493E49" w:rsidRDefault="008E4FD6" w:rsidP="008E4FD6">
      <w:pPr>
        <w:tabs>
          <w:tab w:val="num" w:pos="2160"/>
        </w:tabs>
        <w:spacing w:line="360" w:lineRule="auto"/>
        <w:ind w:firstLine="1440"/>
      </w:pPr>
      <w:r w:rsidRPr="00493E49">
        <w:t>IT IS ORDERED:</w:t>
      </w:r>
    </w:p>
    <w:p w:rsidR="008E4FD6" w:rsidRDefault="008E4FD6" w:rsidP="008E4FD6">
      <w:pPr>
        <w:tabs>
          <w:tab w:val="num" w:pos="2160"/>
        </w:tabs>
        <w:spacing w:line="360" w:lineRule="auto"/>
        <w:rPr>
          <w:b/>
        </w:rPr>
      </w:pPr>
    </w:p>
    <w:p w:rsidR="008E4FD6" w:rsidRPr="00226DBD" w:rsidRDefault="008E4FD6" w:rsidP="008E4FD6">
      <w:pPr>
        <w:tabs>
          <w:tab w:val="num" w:pos="2160"/>
        </w:tabs>
        <w:spacing w:line="360" w:lineRule="auto"/>
        <w:ind w:firstLine="1440"/>
      </w:pPr>
      <w:r>
        <w:t xml:space="preserve">That the </w:t>
      </w:r>
      <w:r w:rsidR="00943CC8">
        <w:t>c</w:t>
      </w:r>
      <w:r>
        <w:t xml:space="preserve">omplaint filed </w:t>
      </w:r>
      <w:r w:rsidR="00632695">
        <w:t>at</w:t>
      </w:r>
      <w:r>
        <w:t xml:space="preserve"> </w:t>
      </w:r>
      <w:r w:rsidR="00DC4E09">
        <w:rPr>
          <w:u w:val="single"/>
        </w:rPr>
        <w:t>Michael Kuziak</w:t>
      </w:r>
      <w:r w:rsidR="00634E09" w:rsidRPr="008E0D46">
        <w:rPr>
          <w:u w:val="single"/>
        </w:rPr>
        <w:t xml:space="preserve"> versus </w:t>
      </w:r>
      <w:r w:rsidR="00B42F50">
        <w:rPr>
          <w:u w:val="single"/>
        </w:rPr>
        <w:t>P</w:t>
      </w:r>
      <w:r w:rsidR="007D1A05">
        <w:rPr>
          <w:u w:val="single"/>
        </w:rPr>
        <w:t>PL Electric Utilities Corporatio</w:t>
      </w:r>
      <w:r w:rsidR="00B42F50">
        <w:rPr>
          <w:u w:val="single"/>
        </w:rPr>
        <w:t>n</w:t>
      </w:r>
      <w:r w:rsidR="00943CC8">
        <w:t xml:space="preserve"> </w:t>
      </w:r>
      <w:r>
        <w:t xml:space="preserve">at Docket No. </w:t>
      </w:r>
      <w:r w:rsidR="00267BDA">
        <w:t>C-200</w:t>
      </w:r>
      <w:r w:rsidR="00E850F0">
        <w:t>9</w:t>
      </w:r>
      <w:r w:rsidR="00634E09">
        <w:t>-20</w:t>
      </w:r>
      <w:r w:rsidR="00043466">
        <w:t>91820</w:t>
      </w:r>
      <w:r w:rsidR="00267BDA">
        <w:t xml:space="preserve"> </w:t>
      </w:r>
      <w:r>
        <w:t xml:space="preserve">is </w:t>
      </w:r>
      <w:r w:rsidR="00356A13">
        <w:t>dismiss</w:t>
      </w:r>
      <w:r w:rsidR="005642ED">
        <w:t>ed</w:t>
      </w:r>
      <w:r w:rsidR="00133835">
        <w:t xml:space="preserve"> for failure to meet his burden of proof</w:t>
      </w:r>
      <w:r w:rsidRPr="00226DBD">
        <w:t>.</w:t>
      </w:r>
    </w:p>
    <w:p w:rsidR="008E4FD6" w:rsidRDefault="008E4FD6" w:rsidP="008E4FD6">
      <w:pPr>
        <w:tabs>
          <w:tab w:val="num" w:pos="2160"/>
        </w:tabs>
        <w:spacing w:line="360" w:lineRule="auto"/>
        <w:ind w:firstLine="1440"/>
      </w:pPr>
    </w:p>
    <w:p w:rsidR="00DC7730" w:rsidRDefault="00DC7730" w:rsidP="008E4FD6">
      <w:pPr>
        <w:tabs>
          <w:tab w:val="num" w:pos="2160"/>
        </w:tabs>
        <w:spacing w:line="360" w:lineRule="auto"/>
        <w:ind w:firstLine="1440"/>
      </w:pPr>
    </w:p>
    <w:p w:rsidR="008E4FD6" w:rsidRDefault="008E4FD6" w:rsidP="008E4FD6">
      <w:pPr>
        <w:tabs>
          <w:tab w:val="num" w:pos="2160"/>
          <w:tab w:val="left" w:pos="5048"/>
        </w:tabs>
      </w:pPr>
      <w:r>
        <w:t>Date:</w:t>
      </w:r>
      <w:r w:rsidR="00892A63">
        <w:t xml:space="preserve"> </w:t>
      </w:r>
      <w:r w:rsidR="009D47A5">
        <w:t xml:space="preserve"> </w:t>
      </w:r>
      <w:r w:rsidR="00E40671">
        <w:rPr>
          <w:u w:val="single"/>
        </w:rPr>
        <w:t>August 24</w:t>
      </w:r>
      <w:r w:rsidR="00634E09">
        <w:rPr>
          <w:u w:val="single"/>
        </w:rPr>
        <w:t>, 2009</w:t>
      </w:r>
      <w:r w:rsidR="00DA7D1A">
        <w:tab/>
      </w:r>
      <w:r w:rsidR="00892A63">
        <w:tab/>
      </w:r>
      <w:r w:rsidR="00892A63">
        <w:tab/>
      </w:r>
      <w:r>
        <w:t>________________________</w:t>
      </w:r>
    </w:p>
    <w:p w:rsidR="008E4FD6" w:rsidRPr="00226DBD" w:rsidRDefault="008E4FD6" w:rsidP="008E4FD6">
      <w:pPr>
        <w:tabs>
          <w:tab w:val="num" w:pos="2160"/>
        </w:tabs>
      </w:pPr>
      <w:r>
        <w:tab/>
      </w:r>
      <w:r>
        <w:tab/>
      </w:r>
      <w:r>
        <w:tab/>
      </w:r>
      <w:r>
        <w:tab/>
      </w:r>
      <w:r>
        <w:tab/>
      </w:r>
      <w:r w:rsidR="00892A63">
        <w:tab/>
      </w:r>
      <w:r w:rsidR="00892A63">
        <w:tab/>
      </w:r>
      <w:r w:rsidR="00634E09">
        <w:t>Katrina L. Dunderdale</w:t>
      </w:r>
    </w:p>
    <w:p w:rsidR="008E4FD6" w:rsidRPr="00226DBD" w:rsidRDefault="008E4FD6" w:rsidP="008E4FD6">
      <w:pPr>
        <w:tabs>
          <w:tab w:val="num" w:pos="2160"/>
        </w:tabs>
      </w:pPr>
      <w:r w:rsidRPr="00226DBD">
        <w:tab/>
      </w:r>
      <w:r w:rsidRPr="00226DBD">
        <w:tab/>
      </w:r>
      <w:r w:rsidRPr="00226DBD">
        <w:tab/>
      </w:r>
      <w:r w:rsidRPr="00226DBD">
        <w:tab/>
      </w:r>
      <w:r w:rsidRPr="00226DBD">
        <w:tab/>
      </w:r>
      <w:r w:rsidR="00892A63">
        <w:tab/>
      </w:r>
      <w:r w:rsidR="00892A63">
        <w:tab/>
      </w:r>
      <w:r w:rsidRPr="00226DBD">
        <w:t>Administrative Law Judge</w:t>
      </w:r>
    </w:p>
    <w:p w:rsidR="00CA57BA" w:rsidRDefault="00CA57BA"/>
    <w:p w:rsidR="00B3278A" w:rsidRDefault="00B3278A"/>
    <w:p w:rsidR="0015507B" w:rsidRDefault="0015507B">
      <w:pPr>
        <w:sectPr w:rsidR="0015507B" w:rsidSect="004E3933">
          <w:footerReference w:type="even" r:id="rId7"/>
          <w:footerReference w:type="default" r:id="rId8"/>
          <w:pgSz w:w="12240" w:h="15840" w:code="1"/>
          <w:pgMar w:top="1440" w:right="1440" w:bottom="1440" w:left="1440" w:header="720" w:footer="720" w:gutter="0"/>
          <w:paperSrc w:first="4"/>
          <w:cols w:space="720"/>
          <w:noEndnote/>
          <w:titlePg/>
          <w:docGrid w:linePitch="326"/>
        </w:sectPr>
      </w:pPr>
      <w:r>
        <w:br w:type="page"/>
      </w:r>
    </w:p>
    <w:p w:rsidR="0015507B" w:rsidRPr="004F2CC4" w:rsidRDefault="0015507B" w:rsidP="0015507B">
      <w:pPr>
        <w:rPr>
          <w:rFonts w:ascii="Microsoft Sans Serif" w:hAnsi="Microsoft Sans Serif" w:cs="Microsoft Sans Serif"/>
          <w:b/>
          <w:caps/>
          <w:u w:val="single"/>
        </w:rPr>
      </w:pPr>
      <w:r w:rsidRPr="004F2CC4">
        <w:rPr>
          <w:rFonts w:ascii="Microsoft Sans Serif" w:hAnsi="Microsoft Sans Serif" w:cs="Microsoft Sans Serif"/>
          <w:b/>
          <w:caps/>
          <w:noProof/>
          <w:u w:val="single"/>
        </w:rPr>
        <w:lastRenderedPageBreak/>
        <w:t>C-2009-2091820</w:t>
      </w:r>
      <w:r w:rsidRPr="004F2CC4">
        <w:rPr>
          <w:rFonts w:ascii="Microsoft Sans Serif" w:hAnsi="Microsoft Sans Serif" w:cs="Microsoft Sans Serif"/>
          <w:b/>
          <w:caps/>
          <w:u w:val="single"/>
        </w:rPr>
        <w:t xml:space="preserve">  </w:t>
      </w:r>
      <w:r w:rsidRPr="004F2CC4">
        <w:rPr>
          <w:rFonts w:ascii="Microsoft Sans Serif" w:hAnsi="Microsoft Sans Serif" w:cs="Microsoft Sans Serif"/>
          <w:b/>
          <w:caps/>
          <w:noProof/>
          <w:u w:val="single"/>
        </w:rPr>
        <w:t>Michael Kuziak</w:t>
      </w:r>
      <w:r w:rsidRPr="004F2CC4">
        <w:rPr>
          <w:rFonts w:ascii="Microsoft Sans Serif" w:hAnsi="Microsoft Sans Serif" w:cs="Microsoft Sans Serif"/>
          <w:b/>
          <w:caps/>
          <w:u w:val="single"/>
        </w:rPr>
        <w:t xml:space="preserve"> </w:t>
      </w:r>
      <w:r w:rsidRPr="004F2CC4">
        <w:rPr>
          <w:rFonts w:ascii="Microsoft Sans Serif" w:hAnsi="Microsoft Sans Serif" w:cs="Microsoft Sans Serif"/>
          <w:b/>
          <w:smallCaps/>
          <w:u w:val="single"/>
        </w:rPr>
        <w:t>v</w:t>
      </w:r>
      <w:r w:rsidRPr="004F2CC4">
        <w:rPr>
          <w:rFonts w:ascii="Microsoft Sans Serif" w:hAnsi="Microsoft Sans Serif" w:cs="Microsoft Sans Serif"/>
          <w:b/>
          <w:caps/>
          <w:u w:val="single"/>
        </w:rPr>
        <w:t xml:space="preserve">. </w:t>
      </w:r>
      <w:r w:rsidRPr="004F2CC4">
        <w:rPr>
          <w:rFonts w:ascii="Microsoft Sans Serif" w:hAnsi="Microsoft Sans Serif" w:cs="Microsoft Sans Serif"/>
          <w:b/>
          <w:caps/>
          <w:noProof/>
          <w:u w:val="single"/>
        </w:rPr>
        <w:t>PPL Electric Utilities Corporation</w:t>
      </w:r>
    </w:p>
    <w:p w:rsidR="0015507B" w:rsidRPr="004F2CC4" w:rsidRDefault="0015507B" w:rsidP="0015507B">
      <w:pPr>
        <w:rPr>
          <w:rFonts w:ascii="Microsoft Sans Serif" w:hAnsi="Microsoft Sans Serif" w:cs="Microsoft Sans Serif"/>
          <w:caps/>
        </w:rPr>
      </w:pPr>
    </w:p>
    <w:p w:rsidR="0015507B" w:rsidRPr="004F2CC4" w:rsidRDefault="0015507B" w:rsidP="0015507B">
      <w:pPr>
        <w:rPr>
          <w:rFonts w:ascii="Microsoft Sans Serif" w:hAnsi="Microsoft Sans Serif" w:cs="Microsoft Sans Serif"/>
          <w:caps/>
        </w:rPr>
      </w:pPr>
    </w:p>
    <w:p w:rsidR="0015507B" w:rsidRPr="004F2CC4" w:rsidRDefault="0015507B" w:rsidP="0015507B">
      <w:pPr>
        <w:rPr>
          <w:rFonts w:ascii="Microsoft Sans Serif" w:hAnsi="Microsoft Sans Serif" w:cs="Microsoft Sans Serif"/>
          <w:caps/>
        </w:rPr>
      </w:pPr>
      <w:r w:rsidRPr="004F2CC4">
        <w:rPr>
          <w:rFonts w:ascii="Microsoft Sans Serif" w:hAnsi="Microsoft Sans Serif" w:cs="Microsoft Sans Serif"/>
          <w:caps/>
          <w:noProof/>
        </w:rPr>
        <w:t>Michael</w:t>
      </w:r>
      <w:r w:rsidRPr="004F2CC4">
        <w:rPr>
          <w:rFonts w:ascii="Microsoft Sans Serif" w:hAnsi="Microsoft Sans Serif" w:cs="Microsoft Sans Serif"/>
          <w:caps/>
        </w:rPr>
        <w:t xml:space="preserve"> </w:t>
      </w:r>
      <w:r w:rsidRPr="004F2CC4">
        <w:rPr>
          <w:rFonts w:ascii="Microsoft Sans Serif" w:hAnsi="Microsoft Sans Serif" w:cs="Microsoft Sans Serif"/>
          <w:caps/>
          <w:noProof/>
        </w:rPr>
        <w:t>Kuziak</w:t>
      </w:r>
      <w:r w:rsidRPr="004F2CC4">
        <w:rPr>
          <w:rFonts w:ascii="Microsoft Sans Serif" w:hAnsi="Microsoft Sans Serif" w:cs="Microsoft Sans Serif"/>
          <w:caps/>
        </w:rPr>
        <w:t xml:space="preserve"> </w:t>
      </w:r>
    </w:p>
    <w:p w:rsidR="0015507B" w:rsidRPr="004F2CC4" w:rsidRDefault="0015507B" w:rsidP="0015507B">
      <w:pPr>
        <w:rPr>
          <w:rFonts w:ascii="Microsoft Sans Serif" w:hAnsi="Microsoft Sans Serif" w:cs="Microsoft Sans Serif"/>
          <w:caps/>
        </w:rPr>
      </w:pPr>
      <w:smartTag w:uri="urn:schemas-microsoft-com:office:smarttags" w:element="Street">
        <w:smartTag w:uri="urn:schemas-microsoft-com:office:smarttags" w:element="address">
          <w:r w:rsidRPr="004F2CC4">
            <w:rPr>
              <w:rFonts w:ascii="Microsoft Sans Serif" w:hAnsi="Microsoft Sans Serif" w:cs="Microsoft Sans Serif"/>
              <w:caps/>
              <w:noProof/>
            </w:rPr>
            <w:t>95 Quarry Road</w:t>
          </w:r>
        </w:smartTag>
      </w:smartTag>
    </w:p>
    <w:p w:rsidR="0015507B" w:rsidRPr="004F2CC4" w:rsidRDefault="0015507B" w:rsidP="0015507B">
      <w:pPr>
        <w:rPr>
          <w:rFonts w:ascii="Microsoft Sans Serif" w:hAnsi="Microsoft Sans Serif" w:cs="Microsoft Sans Serif"/>
          <w:caps/>
        </w:rPr>
      </w:pPr>
      <w:smartTag w:uri="urn:schemas-microsoft-com:office:smarttags" w:element="place">
        <w:smartTag w:uri="urn:schemas-microsoft-com:office:smarttags" w:element="City">
          <w:r w:rsidRPr="004F2CC4">
            <w:rPr>
              <w:rFonts w:ascii="Microsoft Sans Serif" w:hAnsi="Microsoft Sans Serif" w:cs="Microsoft Sans Serif"/>
              <w:caps/>
              <w:noProof/>
            </w:rPr>
            <w:t>Danville</w:t>
          </w:r>
        </w:smartTag>
      </w:smartTag>
      <w:r w:rsidRPr="004F2CC4">
        <w:rPr>
          <w:rFonts w:ascii="Microsoft Sans Serif" w:hAnsi="Microsoft Sans Serif" w:cs="Microsoft Sans Serif"/>
          <w:caps/>
        </w:rPr>
        <w:t xml:space="preserve"> </w:t>
      </w:r>
      <w:r w:rsidRPr="004F2CC4">
        <w:rPr>
          <w:rFonts w:ascii="Microsoft Sans Serif" w:hAnsi="Microsoft Sans Serif" w:cs="Microsoft Sans Serif"/>
          <w:caps/>
          <w:noProof/>
        </w:rPr>
        <w:t>PA</w:t>
      </w:r>
      <w:r w:rsidRPr="004F2CC4">
        <w:rPr>
          <w:rFonts w:ascii="Microsoft Sans Serif" w:hAnsi="Microsoft Sans Serif" w:cs="Microsoft Sans Serif"/>
          <w:caps/>
        </w:rPr>
        <w:t xml:space="preserve">  </w:t>
      </w:r>
      <w:r w:rsidRPr="004F2CC4">
        <w:rPr>
          <w:rFonts w:ascii="Microsoft Sans Serif" w:hAnsi="Microsoft Sans Serif" w:cs="Microsoft Sans Serif"/>
          <w:caps/>
          <w:noProof/>
        </w:rPr>
        <w:t>17821</w:t>
      </w:r>
    </w:p>
    <w:p w:rsidR="0015507B" w:rsidRPr="004F2CC4" w:rsidRDefault="0015507B" w:rsidP="0015507B">
      <w:pPr>
        <w:rPr>
          <w:rFonts w:ascii="Microsoft Sans Serif" w:hAnsi="Microsoft Sans Serif" w:cs="Microsoft Sans Serif"/>
          <w:b/>
          <w:caps/>
          <w:u w:val="single"/>
        </w:rPr>
      </w:pPr>
      <w:r w:rsidRPr="004F2CC4">
        <w:rPr>
          <w:rFonts w:ascii="Microsoft Sans Serif" w:hAnsi="Microsoft Sans Serif" w:cs="Microsoft Sans Serif"/>
          <w:b/>
          <w:caps/>
          <w:noProof/>
        </w:rPr>
        <w:t>570.275.4049</w:t>
      </w:r>
      <w:r w:rsidRPr="004F2CC4">
        <w:rPr>
          <w:rFonts w:ascii="Microsoft Sans Serif" w:hAnsi="Microsoft Sans Serif" w:cs="Microsoft Sans Serif"/>
          <w:b/>
          <w:caps/>
          <w:u w:val="single"/>
        </w:rPr>
        <w:t xml:space="preserve"> </w:t>
      </w:r>
    </w:p>
    <w:p w:rsidR="0015507B" w:rsidRPr="004F2CC4" w:rsidRDefault="0015507B" w:rsidP="0015507B">
      <w:pPr>
        <w:rPr>
          <w:rFonts w:ascii="Microsoft Sans Serif" w:hAnsi="Microsoft Sans Serif" w:cs="Microsoft Sans Serif"/>
          <w:caps/>
        </w:rPr>
      </w:pPr>
    </w:p>
    <w:p w:rsidR="0015507B" w:rsidRPr="004F2CC4" w:rsidRDefault="0015507B" w:rsidP="0015507B">
      <w:pPr>
        <w:rPr>
          <w:rFonts w:ascii="Microsoft Sans Serif" w:hAnsi="Microsoft Sans Serif" w:cs="Microsoft Sans Serif"/>
          <w:caps/>
        </w:rPr>
      </w:pPr>
    </w:p>
    <w:p w:rsidR="0015507B" w:rsidRPr="004F2CC4" w:rsidRDefault="0015507B" w:rsidP="0015507B">
      <w:pPr>
        <w:rPr>
          <w:rFonts w:ascii="Microsoft Sans Serif" w:hAnsi="Microsoft Sans Serif" w:cs="Microsoft Sans Serif"/>
          <w:caps/>
        </w:rPr>
      </w:pPr>
      <w:r w:rsidRPr="004F2CC4">
        <w:rPr>
          <w:rFonts w:ascii="Microsoft Sans Serif" w:hAnsi="Microsoft Sans Serif" w:cs="Microsoft Sans Serif"/>
          <w:caps/>
          <w:noProof/>
        </w:rPr>
        <w:t>Kimberly G</w:t>
      </w:r>
      <w:r w:rsidRPr="004F2CC4">
        <w:rPr>
          <w:rFonts w:ascii="Microsoft Sans Serif" w:hAnsi="Microsoft Sans Serif" w:cs="Microsoft Sans Serif"/>
          <w:caps/>
        </w:rPr>
        <w:t xml:space="preserve"> </w:t>
      </w:r>
      <w:r w:rsidRPr="004F2CC4">
        <w:rPr>
          <w:rFonts w:ascii="Microsoft Sans Serif" w:hAnsi="Microsoft Sans Serif" w:cs="Microsoft Sans Serif"/>
          <w:caps/>
          <w:noProof/>
        </w:rPr>
        <w:t>Krupka</w:t>
      </w:r>
      <w:r w:rsidRPr="004F2CC4">
        <w:rPr>
          <w:rFonts w:ascii="Microsoft Sans Serif" w:hAnsi="Microsoft Sans Serif" w:cs="Microsoft Sans Serif"/>
          <w:caps/>
        </w:rPr>
        <w:t xml:space="preserve"> </w:t>
      </w:r>
      <w:r w:rsidRPr="004F2CC4">
        <w:rPr>
          <w:rFonts w:ascii="Microsoft Sans Serif" w:hAnsi="Microsoft Sans Serif" w:cs="Microsoft Sans Serif"/>
          <w:caps/>
          <w:noProof/>
        </w:rPr>
        <w:t>Esquire</w:t>
      </w:r>
    </w:p>
    <w:p w:rsidR="0015507B" w:rsidRPr="004F2CC4" w:rsidRDefault="0015507B" w:rsidP="0015507B">
      <w:pPr>
        <w:rPr>
          <w:rFonts w:ascii="Microsoft Sans Serif" w:hAnsi="Microsoft Sans Serif" w:cs="Microsoft Sans Serif"/>
          <w:caps/>
        </w:rPr>
      </w:pPr>
      <w:r w:rsidRPr="004F2CC4">
        <w:rPr>
          <w:rFonts w:ascii="Microsoft Sans Serif" w:hAnsi="Microsoft Sans Serif" w:cs="Microsoft Sans Serif"/>
          <w:caps/>
          <w:noProof/>
        </w:rPr>
        <w:t>Gross McGinley  LLP</w:t>
      </w:r>
    </w:p>
    <w:p w:rsidR="0015507B" w:rsidRPr="004F2CC4" w:rsidRDefault="0015507B" w:rsidP="0015507B">
      <w:pPr>
        <w:rPr>
          <w:rFonts w:ascii="Microsoft Sans Serif" w:hAnsi="Microsoft Sans Serif" w:cs="Microsoft Sans Serif"/>
          <w:caps/>
        </w:rPr>
      </w:pPr>
      <w:r w:rsidRPr="004F2CC4">
        <w:rPr>
          <w:rFonts w:ascii="Microsoft Sans Serif" w:hAnsi="Microsoft Sans Serif" w:cs="Microsoft Sans Serif"/>
          <w:caps/>
          <w:noProof/>
        </w:rPr>
        <w:t>PO Box 4060</w:t>
      </w:r>
    </w:p>
    <w:p w:rsidR="0015507B" w:rsidRPr="004F2CC4" w:rsidRDefault="0015507B" w:rsidP="0015507B">
      <w:pPr>
        <w:rPr>
          <w:rFonts w:ascii="Microsoft Sans Serif" w:hAnsi="Microsoft Sans Serif" w:cs="Microsoft Sans Serif"/>
          <w:caps/>
        </w:rPr>
      </w:pPr>
      <w:smartTag w:uri="urn:schemas-microsoft-com:office:smarttags" w:element="place">
        <w:smartTag w:uri="urn:schemas-microsoft-com:office:smarttags" w:element="City">
          <w:r w:rsidRPr="004F2CC4">
            <w:rPr>
              <w:rFonts w:ascii="Microsoft Sans Serif" w:hAnsi="Microsoft Sans Serif" w:cs="Microsoft Sans Serif"/>
              <w:caps/>
              <w:noProof/>
            </w:rPr>
            <w:t>Allentown</w:t>
          </w:r>
        </w:smartTag>
      </w:smartTag>
      <w:r w:rsidRPr="004F2CC4">
        <w:rPr>
          <w:rFonts w:ascii="Microsoft Sans Serif" w:hAnsi="Microsoft Sans Serif" w:cs="Microsoft Sans Serif"/>
          <w:caps/>
        </w:rPr>
        <w:t xml:space="preserve"> </w:t>
      </w:r>
      <w:r w:rsidRPr="004F2CC4">
        <w:rPr>
          <w:rFonts w:ascii="Microsoft Sans Serif" w:hAnsi="Microsoft Sans Serif" w:cs="Microsoft Sans Serif"/>
          <w:caps/>
          <w:noProof/>
        </w:rPr>
        <w:t>PA</w:t>
      </w:r>
      <w:r w:rsidRPr="004F2CC4">
        <w:rPr>
          <w:rFonts w:ascii="Microsoft Sans Serif" w:hAnsi="Microsoft Sans Serif" w:cs="Microsoft Sans Serif"/>
          <w:caps/>
        </w:rPr>
        <w:t xml:space="preserve">  </w:t>
      </w:r>
      <w:r w:rsidRPr="004F2CC4">
        <w:rPr>
          <w:rFonts w:ascii="Microsoft Sans Serif" w:hAnsi="Microsoft Sans Serif" w:cs="Microsoft Sans Serif"/>
          <w:caps/>
          <w:noProof/>
        </w:rPr>
        <w:t>18105-4060</w:t>
      </w:r>
    </w:p>
    <w:p w:rsidR="00B3278A" w:rsidRDefault="0015507B" w:rsidP="0015507B">
      <w:r w:rsidRPr="004F2CC4">
        <w:rPr>
          <w:rFonts w:ascii="Microsoft Sans Serif" w:hAnsi="Microsoft Sans Serif" w:cs="Microsoft Sans Serif"/>
          <w:b/>
          <w:caps/>
          <w:noProof/>
        </w:rPr>
        <w:t>610.820.5450</w:t>
      </w:r>
    </w:p>
    <w:sectPr w:rsidR="00B3278A" w:rsidSect="004E3933">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AEE" w:rsidRDefault="007C1AEE">
      <w:r>
        <w:separator/>
      </w:r>
    </w:p>
  </w:endnote>
  <w:endnote w:type="continuationSeparator" w:id="1">
    <w:p w:rsidR="007C1AEE" w:rsidRDefault="007C1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14" w:rsidRDefault="00461D14"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1D14" w:rsidRDefault="00461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14" w:rsidRPr="00612A71" w:rsidRDefault="00461D14" w:rsidP="008E4FD6">
    <w:pPr>
      <w:pStyle w:val="Footer"/>
      <w:framePr w:wrap="around" w:vAnchor="text" w:hAnchor="margin" w:xAlign="center" w:y="1"/>
      <w:rPr>
        <w:rStyle w:val="PageNumber"/>
      </w:rPr>
    </w:pPr>
    <w:r w:rsidRPr="00612A71">
      <w:rPr>
        <w:rStyle w:val="PageNumber"/>
      </w:rPr>
      <w:fldChar w:fldCharType="begin"/>
    </w:r>
    <w:r w:rsidRPr="00612A71">
      <w:rPr>
        <w:rStyle w:val="PageNumber"/>
      </w:rPr>
      <w:instrText xml:space="preserve">PAGE  </w:instrText>
    </w:r>
    <w:r w:rsidRPr="00612A71">
      <w:rPr>
        <w:rStyle w:val="PageNumber"/>
      </w:rPr>
      <w:fldChar w:fldCharType="separate"/>
    </w:r>
    <w:r w:rsidR="00D623F4">
      <w:rPr>
        <w:rStyle w:val="PageNumber"/>
        <w:noProof/>
      </w:rPr>
      <w:t>8</w:t>
    </w:r>
    <w:r w:rsidRPr="00612A71">
      <w:rPr>
        <w:rStyle w:val="PageNumber"/>
      </w:rPr>
      <w:fldChar w:fldCharType="end"/>
    </w:r>
  </w:p>
  <w:p w:rsidR="00461D14" w:rsidRDefault="00461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AEE" w:rsidRDefault="007C1AEE">
      <w:r>
        <w:separator/>
      </w:r>
    </w:p>
  </w:footnote>
  <w:footnote w:type="continuationSeparator" w:id="1">
    <w:p w:rsidR="007C1AEE" w:rsidRDefault="007C1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CA57BA"/>
    <w:rsid w:val="00016C05"/>
    <w:rsid w:val="000218E1"/>
    <w:rsid w:val="00022BAA"/>
    <w:rsid w:val="0003405D"/>
    <w:rsid w:val="00034D3C"/>
    <w:rsid w:val="0003750C"/>
    <w:rsid w:val="00043466"/>
    <w:rsid w:val="000453D8"/>
    <w:rsid w:val="00051FFD"/>
    <w:rsid w:val="000539E5"/>
    <w:rsid w:val="00065204"/>
    <w:rsid w:val="00065B67"/>
    <w:rsid w:val="00066E29"/>
    <w:rsid w:val="00067E14"/>
    <w:rsid w:val="000769AE"/>
    <w:rsid w:val="0008032F"/>
    <w:rsid w:val="00080A87"/>
    <w:rsid w:val="00081933"/>
    <w:rsid w:val="00096B26"/>
    <w:rsid w:val="000A4D56"/>
    <w:rsid w:val="000B4044"/>
    <w:rsid w:val="000C6633"/>
    <w:rsid w:val="000D1160"/>
    <w:rsid w:val="000E0DDA"/>
    <w:rsid w:val="000E79FF"/>
    <w:rsid w:val="000F4D6B"/>
    <w:rsid w:val="0010040A"/>
    <w:rsid w:val="00103B9D"/>
    <w:rsid w:val="00105961"/>
    <w:rsid w:val="00111CAA"/>
    <w:rsid w:val="00116026"/>
    <w:rsid w:val="0011788E"/>
    <w:rsid w:val="0012146B"/>
    <w:rsid w:val="00125CCD"/>
    <w:rsid w:val="00130EB1"/>
    <w:rsid w:val="00133835"/>
    <w:rsid w:val="001339E0"/>
    <w:rsid w:val="00144748"/>
    <w:rsid w:val="001513EC"/>
    <w:rsid w:val="0015507B"/>
    <w:rsid w:val="00160B75"/>
    <w:rsid w:val="00161288"/>
    <w:rsid w:val="00166246"/>
    <w:rsid w:val="00166AEB"/>
    <w:rsid w:val="0018379D"/>
    <w:rsid w:val="00183F29"/>
    <w:rsid w:val="001A0701"/>
    <w:rsid w:val="001A69DB"/>
    <w:rsid w:val="001B01BC"/>
    <w:rsid w:val="001B19C2"/>
    <w:rsid w:val="001C0748"/>
    <w:rsid w:val="001C480B"/>
    <w:rsid w:val="001D3960"/>
    <w:rsid w:val="001D3E75"/>
    <w:rsid w:val="001D452B"/>
    <w:rsid w:val="001D79FF"/>
    <w:rsid w:val="001F481D"/>
    <w:rsid w:val="001F49C2"/>
    <w:rsid w:val="00200ED0"/>
    <w:rsid w:val="00201B03"/>
    <w:rsid w:val="00203A92"/>
    <w:rsid w:val="00204E04"/>
    <w:rsid w:val="00204E2E"/>
    <w:rsid w:val="00205D49"/>
    <w:rsid w:val="00206B04"/>
    <w:rsid w:val="00210F96"/>
    <w:rsid w:val="00226BE1"/>
    <w:rsid w:val="00230D97"/>
    <w:rsid w:val="00245C3F"/>
    <w:rsid w:val="00246E90"/>
    <w:rsid w:val="00263EFE"/>
    <w:rsid w:val="00265043"/>
    <w:rsid w:val="00267BDA"/>
    <w:rsid w:val="002A6AF0"/>
    <w:rsid w:val="002B4DFA"/>
    <w:rsid w:val="002C382D"/>
    <w:rsid w:val="002D5E25"/>
    <w:rsid w:val="002E5290"/>
    <w:rsid w:val="002E5A74"/>
    <w:rsid w:val="002E761C"/>
    <w:rsid w:val="00302C62"/>
    <w:rsid w:val="0031505A"/>
    <w:rsid w:val="003214C4"/>
    <w:rsid w:val="003257B2"/>
    <w:rsid w:val="003279AA"/>
    <w:rsid w:val="00333ED8"/>
    <w:rsid w:val="00356A13"/>
    <w:rsid w:val="003649AC"/>
    <w:rsid w:val="0037694C"/>
    <w:rsid w:val="00380DC6"/>
    <w:rsid w:val="00386977"/>
    <w:rsid w:val="00386D8B"/>
    <w:rsid w:val="003A6E05"/>
    <w:rsid w:val="003B3205"/>
    <w:rsid w:val="003B3A4E"/>
    <w:rsid w:val="003B7783"/>
    <w:rsid w:val="003C6C60"/>
    <w:rsid w:val="003D374F"/>
    <w:rsid w:val="003D488A"/>
    <w:rsid w:val="003D500A"/>
    <w:rsid w:val="003D5173"/>
    <w:rsid w:val="003E2BB0"/>
    <w:rsid w:val="003E2D32"/>
    <w:rsid w:val="003E32FF"/>
    <w:rsid w:val="003E60E7"/>
    <w:rsid w:val="003F1BC1"/>
    <w:rsid w:val="003F3B08"/>
    <w:rsid w:val="003F56DB"/>
    <w:rsid w:val="0040125C"/>
    <w:rsid w:val="004054DB"/>
    <w:rsid w:val="0041015D"/>
    <w:rsid w:val="0041364C"/>
    <w:rsid w:val="004139C1"/>
    <w:rsid w:val="0041738A"/>
    <w:rsid w:val="004179CB"/>
    <w:rsid w:val="00421585"/>
    <w:rsid w:val="00424A3E"/>
    <w:rsid w:val="00425E57"/>
    <w:rsid w:val="00427282"/>
    <w:rsid w:val="004279F9"/>
    <w:rsid w:val="004322BD"/>
    <w:rsid w:val="00440213"/>
    <w:rsid w:val="00440B6B"/>
    <w:rsid w:val="0044337E"/>
    <w:rsid w:val="0045048D"/>
    <w:rsid w:val="00455B05"/>
    <w:rsid w:val="00460F2E"/>
    <w:rsid w:val="00460FB3"/>
    <w:rsid w:val="00461D14"/>
    <w:rsid w:val="0046415A"/>
    <w:rsid w:val="00464CC1"/>
    <w:rsid w:val="00470AFC"/>
    <w:rsid w:val="00474C53"/>
    <w:rsid w:val="0049315E"/>
    <w:rsid w:val="004B2A02"/>
    <w:rsid w:val="004B34C6"/>
    <w:rsid w:val="004B422F"/>
    <w:rsid w:val="004B54EC"/>
    <w:rsid w:val="004D03CD"/>
    <w:rsid w:val="004D454A"/>
    <w:rsid w:val="004D6A81"/>
    <w:rsid w:val="004E3933"/>
    <w:rsid w:val="004E713D"/>
    <w:rsid w:val="004E768A"/>
    <w:rsid w:val="004F3495"/>
    <w:rsid w:val="004F52EE"/>
    <w:rsid w:val="00510ECC"/>
    <w:rsid w:val="00513D94"/>
    <w:rsid w:val="00514D1E"/>
    <w:rsid w:val="00517217"/>
    <w:rsid w:val="00522985"/>
    <w:rsid w:val="00522B6F"/>
    <w:rsid w:val="005266AA"/>
    <w:rsid w:val="00535936"/>
    <w:rsid w:val="005447FE"/>
    <w:rsid w:val="00544F7E"/>
    <w:rsid w:val="00545D25"/>
    <w:rsid w:val="005531AF"/>
    <w:rsid w:val="005642ED"/>
    <w:rsid w:val="0057115F"/>
    <w:rsid w:val="00573D53"/>
    <w:rsid w:val="005757FE"/>
    <w:rsid w:val="0058167B"/>
    <w:rsid w:val="005A0E8B"/>
    <w:rsid w:val="005A3456"/>
    <w:rsid w:val="005B4212"/>
    <w:rsid w:val="005C01A3"/>
    <w:rsid w:val="005C7C1D"/>
    <w:rsid w:val="005D12C2"/>
    <w:rsid w:val="005E6683"/>
    <w:rsid w:val="005F3117"/>
    <w:rsid w:val="005F5666"/>
    <w:rsid w:val="00601A0D"/>
    <w:rsid w:val="0061043E"/>
    <w:rsid w:val="0061233E"/>
    <w:rsid w:val="00612A71"/>
    <w:rsid w:val="00614B42"/>
    <w:rsid w:val="00616585"/>
    <w:rsid w:val="00617CBA"/>
    <w:rsid w:val="00632695"/>
    <w:rsid w:val="00633976"/>
    <w:rsid w:val="00634E09"/>
    <w:rsid w:val="0063649E"/>
    <w:rsid w:val="00641052"/>
    <w:rsid w:val="0064761B"/>
    <w:rsid w:val="00651AB0"/>
    <w:rsid w:val="006663CA"/>
    <w:rsid w:val="006771E3"/>
    <w:rsid w:val="006772A2"/>
    <w:rsid w:val="00680C3B"/>
    <w:rsid w:val="0068314B"/>
    <w:rsid w:val="006855E3"/>
    <w:rsid w:val="00685F88"/>
    <w:rsid w:val="006869B5"/>
    <w:rsid w:val="00691FDA"/>
    <w:rsid w:val="00694741"/>
    <w:rsid w:val="006954BC"/>
    <w:rsid w:val="00696EBA"/>
    <w:rsid w:val="006A1426"/>
    <w:rsid w:val="006A3267"/>
    <w:rsid w:val="006A4B65"/>
    <w:rsid w:val="006B7DE7"/>
    <w:rsid w:val="006C330C"/>
    <w:rsid w:val="006C4693"/>
    <w:rsid w:val="006C4CFE"/>
    <w:rsid w:val="006C7DC7"/>
    <w:rsid w:val="006D2E25"/>
    <w:rsid w:val="006D2F3E"/>
    <w:rsid w:val="006D7800"/>
    <w:rsid w:val="006E0E78"/>
    <w:rsid w:val="006E12A1"/>
    <w:rsid w:val="006E175B"/>
    <w:rsid w:val="006E59A8"/>
    <w:rsid w:val="006E7B48"/>
    <w:rsid w:val="007024A3"/>
    <w:rsid w:val="007053DB"/>
    <w:rsid w:val="0070739F"/>
    <w:rsid w:val="007116F8"/>
    <w:rsid w:val="007121EF"/>
    <w:rsid w:val="0071586C"/>
    <w:rsid w:val="0073170F"/>
    <w:rsid w:val="00752F46"/>
    <w:rsid w:val="00754FD3"/>
    <w:rsid w:val="00756B45"/>
    <w:rsid w:val="0077643C"/>
    <w:rsid w:val="00780273"/>
    <w:rsid w:val="0078110D"/>
    <w:rsid w:val="00783095"/>
    <w:rsid w:val="00794F1B"/>
    <w:rsid w:val="007A5552"/>
    <w:rsid w:val="007A618A"/>
    <w:rsid w:val="007A64A6"/>
    <w:rsid w:val="007C1AEE"/>
    <w:rsid w:val="007C2E0D"/>
    <w:rsid w:val="007C6302"/>
    <w:rsid w:val="007D1A05"/>
    <w:rsid w:val="007D79D2"/>
    <w:rsid w:val="007E6310"/>
    <w:rsid w:val="007E65C0"/>
    <w:rsid w:val="007E66DA"/>
    <w:rsid w:val="007E7B4E"/>
    <w:rsid w:val="007E7DBA"/>
    <w:rsid w:val="007F5FDF"/>
    <w:rsid w:val="00806E0D"/>
    <w:rsid w:val="00824890"/>
    <w:rsid w:val="008377DE"/>
    <w:rsid w:val="00842A20"/>
    <w:rsid w:val="00863CD4"/>
    <w:rsid w:val="0086657E"/>
    <w:rsid w:val="00873CEE"/>
    <w:rsid w:val="00873D8A"/>
    <w:rsid w:val="00877832"/>
    <w:rsid w:val="00877C7D"/>
    <w:rsid w:val="008927B5"/>
    <w:rsid w:val="00892A63"/>
    <w:rsid w:val="008A28F8"/>
    <w:rsid w:val="008C613D"/>
    <w:rsid w:val="008D6E2C"/>
    <w:rsid w:val="008E0D46"/>
    <w:rsid w:val="008E4FD6"/>
    <w:rsid w:val="008F05B5"/>
    <w:rsid w:val="00906628"/>
    <w:rsid w:val="009070CB"/>
    <w:rsid w:val="009403A2"/>
    <w:rsid w:val="0094142D"/>
    <w:rsid w:val="00943CC8"/>
    <w:rsid w:val="009540A4"/>
    <w:rsid w:val="009565B3"/>
    <w:rsid w:val="00966C36"/>
    <w:rsid w:val="00972B9B"/>
    <w:rsid w:val="009758FE"/>
    <w:rsid w:val="00976BE6"/>
    <w:rsid w:val="0098173B"/>
    <w:rsid w:val="009905F2"/>
    <w:rsid w:val="009A5AF8"/>
    <w:rsid w:val="009B2E8C"/>
    <w:rsid w:val="009B78EC"/>
    <w:rsid w:val="009C05E9"/>
    <w:rsid w:val="009C4526"/>
    <w:rsid w:val="009C5DB0"/>
    <w:rsid w:val="009C722F"/>
    <w:rsid w:val="009D2B67"/>
    <w:rsid w:val="009D47A5"/>
    <w:rsid w:val="009D529F"/>
    <w:rsid w:val="009E6876"/>
    <w:rsid w:val="00A03E3D"/>
    <w:rsid w:val="00A04076"/>
    <w:rsid w:val="00A10010"/>
    <w:rsid w:val="00A24F40"/>
    <w:rsid w:val="00A305C6"/>
    <w:rsid w:val="00A35B4B"/>
    <w:rsid w:val="00A374D9"/>
    <w:rsid w:val="00A46AA1"/>
    <w:rsid w:val="00A52673"/>
    <w:rsid w:val="00A532C7"/>
    <w:rsid w:val="00A5622B"/>
    <w:rsid w:val="00A801E7"/>
    <w:rsid w:val="00A80E4E"/>
    <w:rsid w:val="00A831C5"/>
    <w:rsid w:val="00A84255"/>
    <w:rsid w:val="00A86E3D"/>
    <w:rsid w:val="00A87A98"/>
    <w:rsid w:val="00A93EC0"/>
    <w:rsid w:val="00A94A48"/>
    <w:rsid w:val="00A95B3A"/>
    <w:rsid w:val="00A97ADD"/>
    <w:rsid w:val="00AA05E5"/>
    <w:rsid w:val="00AA5BF0"/>
    <w:rsid w:val="00AA70E2"/>
    <w:rsid w:val="00AB2FF3"/>
    <w:rsid w:val="00AB7BCB"/>
    <w:rsid w:val="00AC1893"/>
    <w:rsid w:val="00AC1F4C"/>
    <w:rsid w:val="00AC5246"/>
    <w:rsid w:val="00AC6EDE"/>
    <w:rsid w:val="00AD3A9D"/>
    <w:rsid w:val="00AE142F"/>
    <w:rsid w:val="00AE2077"/>
    <w:rsid w:val="00AE290D"/>
    <w:rsid w:val="00AE2F9F"/>
    <w:rsid w:val="00AE3AC2"/>
    <w:rsid w:val="00AF291F"/>
    <w:rsid w:val="00AF3DFB"/>
    <w:rsid w:val="00AF5FC0"/>
    <w:rsid w:val="00B129E2"/>
    <w:rsid w:val="00B175E8"/>
    <w:rsid w:val="00B21C34"/>
    <w:rsid w:val="00B23445"/>
    <w:rsid w:val="00B26A72"/>
    <w:rsid w:val="00B3278A"/>
    <w:rsid w:val="00B42F50"/>
    <w:rsid w:val="00B4703F"/>
    <w:rsid w:val="00B5162C"/>
    <w:rsid w:val="00B52440"/>
    <w:rsid w:val="00B53D9A"/>
    <w:rsid w:val="00B70664"/>
    <w:rsid w:val="00B70A36"/>
    <w:rsid w:val="00B7268D"/>
    <w:rsid w:val="00B74A68"/>
    <w:rsid w:val="00B915CE"/>
    <w:rsid w:val="00B94FFF"/>
    <w:rsid w:val="00B95B41"/>
    <w:rsid w:val="00BB00DE"/>
    <w:rsid w:val="00BB70B3"/>
    <w:rsid w:val="00BB7D46"/>
    <w:rsid w:val="00BC17D5"/>
    <w:rsid w:val="00BC40BB"/>
    <w:rsid w:val="00BC7DE9"/>
    <w:rsid w:val="00BF28AB"/>
    <w:rsid w:val="00BF34F4"/>
    <w:rsid w:val="00BF4A08"/>
    <w:rsid w:val="00C00415"/>
    <w:rsid w:val="00C017B3"/>
    <w:rsid w:val="00C07543"/>
    <w:rsid w:val="00C11659"/>
    <w:rsid w:val="00C1392F"/>
    <w:rsid w:val="00C13DF0"/>
    <w:rsid w:val="00C23DE7"/>
    <w:rsid w:val="00C2775B"/>
    <w:rsid w:val="00C3109E"/>
    <w:rsid w:val="00C312B4"/>
    <w:rsid w:val="00C3358D"/>
    <w:rsid w:val="00C51742"/>
    <w:rsid w:val="00C74C37"/>
    <w:rsid w:val="00C85078"/>
    <w:rsid w:val="00C862A2"/>
    <w:rsid w:val="00C908DB"/>
    <w:rsid w:val="00CA57BA"/>
    <w:rsid w:val="00CB7CEC"/>
    <w:rsid w:val="00CC069F"/>
    <w:rsid w:val="00CC4228"/>
    <w:rsid w:val="00CE0801"/>
    <w:rsid w:val="00CE1628"/>
    <w:rsid w:val="00CF3433"/>
    <w:rsid w:val="00D044C8"/>
    <w:rsid w:val="00D06B34"/>
    <w:rsid w:val="00D13F56"/>
    <w:rsid w:val="00D14C4C"/>
    <w:rsid w:val="00D254AC"/>
    <w:rsid w:val="00D26276"/>
    <w:rsid w:val="00D27CC5"/>
    <w:rsid w:val="00D417F3"/>
    <w:rsid w:val="00D425C7"/>
    <w:rsid w:val="00D42D7D"/>
    <w:rsid w:val="00D44E45"/>
    <w:rsid w:val="00D47923"/>
    <w:rsid w:val="00D52FB0"/>
    <w:rsid w:val="00D623F4"/>
    <w:rsid w:val="00D654B3"/>
    <w:rsid w:val="00D7137D"/>
    <w:rsid w:val="00D761B6"/>
    <w:rsid w:val="00D85ADB"/>
    <w:rsid w:val="00D93D99"/>
    <w:rsid w:val="00D94038"/>
    <w:rsid w:val="00D9583A"/>
    <w:rsid w:val="00DA5AEE"/>
    <w:rsid w:val="00DA7D1A"/>
    <w:rsid w:val="00DB3C3C"/>
    <w:rsid w:val="00DB52E2"/>
    <w:rsid w:val="00DB7463"/>
    <w:rsid w:val="00DC4E09"/>
    <w:rsid w:val="00DC5673"/>
    <w:rsid w:val="00DC7730"/>
    <w:rsid w:val="00DD020B"/>
    <w:rsid w:val="00DD2547"/>
    <w:rsid w:val="00DD432B"/>
    <w:rsid w:val="00DE1A73"/>
    <w:rsid w:val="00DF4B76"/>
    <w:rsid w:val="00E00F94"/>
    <w:rsid w:val="00E0755F"/>
    <w:rsid w:val="00E11F3C"/>
    <w:rsid w:val="00E12B8E"/>
    <w:rsid w:val="00E1627C"/>
    <w:rsid w:val="00E20470"/>
    <w:rsid w:val="00E26A03"/>
    <w:rsid w:val="00E40671"/>
    <w:rsid w:val="00E46350"/>
    <w:rsid w:val="00E6023E"/>
    <w:rsid w:val="00E645B5"/>
    <w:rsid w:val="00E71578"/>
    <w:rsid w:val="00E71731"/>
    <w:rsid w:val="00E73599"/>
    <w:rsid w:val="00E7573A"/>
    <w:rsid w:val="00E7797A"/>
    <w:rsid w:val="00E81752"/>
    <w:rsid w:val="00E850F0"/>
    <w:rsid w:val="00E86BB6"/>
    <w:rsid w:val="00E86D32"/>
    <w:rsid w:val="00E87C90"/>
    <w:rsid w:val="00E9731D"/>
    <w:rsid w:val="00EA1752"/>
    <w:rsid w:val="00EB2E92"/>
    <w:rsid w:val="00EC6DA3"/>
    <w:rsid w:val="00ED0A26"/>
    <w:rsid w:val="00ED623F"/>
    <w:rsid w:val="00ED65EC"/>
    <w:rsid w:val="00ED6AF6"/>
    <w:rsid w:val="00ED7A75"/>
    <w:rsid w:val="00EE1278"/>
    <w:rsid w:val="00EE746A"/>
    <w:rsid w:val="00F03EF9"/>
    <w:rsid w:val="00F258F2"/>
    <w:rsid w:val="00F27D7F"/>
    <w:rsid w:val="00F35B71"/>
    <w:rsid w:val="00F37056"/>
    <w:rsid w:val="00F40D95"/>
    <w:rsid w:val="00F420C1"/>
    <w:rsid w:val="00F425D9"/>
    <w:rsid w:val="00F650AC"/>
    <w:rsid w:val="00F744BC"/>
    <w:rsid w:val="00F92AF5"/>
    <w:rsid w:val="00F95F05"/>
    <w:rsid w:val="00FA1F58"/>
    <w:rsid w:val="00FA25F9"/>
    <w:rsid w:val="00FA7693"/>
    <w:rsid w:val="00FB0094"/>
    <w:rsid w:val="00FB08B0"/>
    <w:rsid w:val="00FC0796"/>
    <w:rsid w:val="00FC23D6"/>
    <w:rsid w:val="00FC284A"/>
    <w:rsid w:val="00FC4820"/>
    <w:rsid w:val="00FC5362"/>
    <w:rsid w:val="00FC627C"/>
    <w:rsid w:val="00FF021A"/>
    <w:rsid w:val="00FF1BCF"/>
    <w:rsid w:val="00FF3624"/>
    <w:rsid w:val="00FF4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7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link w:val="HeaderChar"/>
    <w:rsid w:val="00612A71"/>
    <w:pPr>
      <w:tabs>
        <w:tab w:val="center" w:pos="4680"/>
        <w:tab w:val="right" w:pos="9360"/>
      </w:tabs>
    </w:pPr>
  </w:style>
  <w:style w:type="character" w:customStyle="1" w:styleId="HeaderChar">
    <w:name w:val="Header Char"/>
    <w:basedOn w:val="DefaultParagraphFont"/>
    <w:link w:val="Header"/>
    <w:rsid w:val="00612A7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2</cp:revision>
  <cp:lastPrinted>2009-09-01T13:24:00Z</cp:lastPrinted>
  <dcterms:created xsi:type="dcterms:W3CDTF">2009-09-01T13:41:00Z</dcterms:created>
  <dcterms:modified xsi:type="dcterms:W3CDTF">2009-09-01T13:41:00Z</dcterms:modified>
</cp:coreProperties>
</file>