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EEB" w:rsidRPr="00CA511D" w:rsidRDefault="00972EEB" w:rsidP="00972EEB">
      <w:pPr>
        <w:tabs>
          <w:tab w:val="center" w:pos="4680"/>
        </w:tabs>
        <w:suppressAutoHyphens/>
        <w:jc w:val="both"/>
        <w:rPr>
          <w:rFonts w:ascii="Times New Roman" w:hAnsi="Times New Roman"/>
          <w:b/>
          <w:spacing w:val="-3"/>
          <w:sz w:val="26"/>
          <w:szCs w:val="26"/>
        </w:rPr>
      </w:pPr>
      <w:r w:rsidRPr="00CA511D">
        <w:rPr>
          <w:rFonts w:ascii="Times New Roman" w:hAnsi="Times New Roman"/>
          <w:b/>
          <w:spacing w:val="-3"/>
          <w:sz w:val="26"/>
          <w:szCs w:val="26"/>
        </w:rPr>
        <w:tab/>
        <w:t>PENNSYLVANIA</w:t>
      </w:r>
      <w:r w:rsidR="00F17B6F" w:rsidRPr="00CA511D">
        <w:rPr>
          <w:rFonts w:ascii="Times New Roman" w:hAnsi="Times New Roman"/>
          <w:b/>
          <w:spacing w:val="-3"/>
          <w:sz w:val="26"/>
          <w:szCs w:val="26"/>
        </w:rPr>
        <w:fldChar w:fldCharType="begin"/>
      </w:r>
      <w:r w:rsidRPr="00CA511D">
        <w:rPr>
          <w:rFonts w:ascii="Times New Roman" w:hAnsi="Times New Roman"/>
          <w:b/>
          <w:spacing w:val="-3"/>
          <w:sz w:val="26"/>
          <w:szCs w:val="26"/>
        </w:rPr>
        <w:instrText xml:space="preserve">PRIVATE </w:instrText>
      </w:r>
      <w:r w:rsidR="00F17B6F" w:rsidRPr="00CA511D">
        <w:rPr>
          <w:rFonts w:ascii="Times New Roman" w:hAnsi="Times New Roman"/>
          <w:b/>
          <w:spacing w:val="-3"/>
          <w:sz w:val="26"/>
          <w:szCs w:val="26"/>
        </w:rPr>
        <w:fldChar w:fldCharType="end"/>
      </w:r>
    </w:p>
    <w:p w:rsidR="00972EEB" w:rsidRPr="00CA511D" w:rsidRDefault="00972EEB" w:rsidP="00972EEB">
      <w:pPr>
        <w:tabs>
          <w:tab w:val="center" w:pos="4680"/>
        </w:tabs>
        <w:suppressAutoHyphens/>
        <w:jc w:val="both"/>
        <w:rPr>
          <w:rFonts w:ascii="Times New Roman" w:hAnsi="Times New Roman"/>
          <w:b/>
          <w:spacing w:val="-3"/>
          <w:sz w:val="26"/>
          <w:szCs w:val="26"/>
        </w:rPr>
      </w:pPr>
      <w:r w:rsidRPr="00CA511D">
        <w:rPr>
          <w:rFonts w:ascii="Times New Roman" w:hAnsi="Times New Roman"/>
          <w:b/>
          <w:spacing w:val="-3"/>
          <w:sz w:val="26"/>
          <w:szCs w:val="26"/>
        </w:rPr>
        <w:tab/>
        <w:t>PUBLIC UTILITY COMMISSION</w:t>
      </w:r>
    </w:p>
    <w:p w:rsidR="00972EEB" w:rsidRPr="00CA511D" w:rsidRDefault="00972EEB" w:rsidP="00972EEB">
      <w:pPr>
        <w:tabs>
          <w:tab w:val="center" w:pos="4680"/>
        </w:tabs>
        <w:suppressAutoHyphens/>
        <w:jc w:val="both"/>
        <w:rPr>
          <w:rFonts w:ascii="Times New Roman" w:hAnsi="Times New Roman"/>
          <w:b/>
          <w:spacing w:val="-3"/>
          <w:sz w:val="26"/>
          <w:szCs w:val="26"/>
        </w:rPr>
      </w:pPr>
      <w:r w:rsidRPr="00CA511D">
        <w:rPr>
          <w:rFonts w:ascii="Times New Roman" w:hAnsi="Times New Roman"/>
          <w:b/>
          <w:spacing w:val="-3"/>
          <w:sz w:val="26"/>
          <w:szCs w:val="26"/>
        </w:rPr>
        <w:tab/>
      </w:r>
      <w:smartTag w:uri="urn:schemas-microsoft-com:office:smarttags" w:element="place">
        <w:smartTag w:uri="urn:schemas-microsoft-com:office:smarttags" w:element="PlaceName">
          <w:smartTag w:uri="urn:schemas-microsoft-com:office:smarttags" w:element="City">
            <w:r w:rsidRPr="00CA511D">
              <w:rPr>
                <w:rFonts w:ascii="Times New Roman" w:hAnsi="Times New Roman"/>
                <w:b/>
                <w:spacing w:val="-3"/>
                <w:sz w:val="26"/>
                <w:szCs w:val="26"/>
              </w:rPr>
              <w:t>Harrisburg</w:t>
            </w:r>
          </w:smartTag>
          <w:r w:rsidRPr="00CA511D">
            <w:rPr>
              <w:rFonts w:ascii="Times New Roman" w:hAnsi="Times New Roman"/>
              <w:b/>
              <w:spacing w:val="-3"/>
              <w:sz w:val="26"/>
              <w:szCs w:val="26"/>
            </w:rPr>
            <w:t xml:space="preserve">, </w:t>
          </w:r>
          <w:smartTag w:uri="urn:schemas-microsoft-com:office:smarttags" w:element="State">
            <w:r w:rsidRPr="00CA511D">
              <w:rPr>
                <w:rFonts w:ascii="Times New Roman" w:hAnsi="Times New Roman"/>
                <w:b/>
                <w:spacing w:val="-3"/>
                <w:sz w:val="26"/>
                <w:szCs w:val="26"/>
              </w:rPr>
              <w:t>PA</w:t>
            </w:r>
          </w:smartTag>
          <w:r w:rsidRPr="00CA511D">
            <w:rPr>
              <w:rFonts w:ascii="Times New Roman" w:hAnsi="Times New Roman"/>
              <w:b/>
              <w:spacing w:val="-3"/>
              <w:sz w:val="26"/>
              <w:szCs w:val="26"/>
            </w:rPr>
            <w:t xml:space="preserve"> </w:t>
          </w:r>
          <w:smartTag w:uri="urn:schemas-microsoft-com:office:smarttags" w:element="PostalCode">
            <w:r w:rsidRPr="00CA511D">
              <w:rPr>
                <w:rFonts w:ascii="Times New Roman" w:hAnsi="Times New Roman"/>
                <w:b/>
                <w:spacing w:val="-3"/>
                <w:sz w:val="26"/>
                <w:szCs w:val="26"/>
              </w:rPr>
              <w:t>17105-3265</w:t>
            </w:r>
          </w:smartTag>
        </w:smartTag>
      </w:smartTag>
    </w:p>
    <w:p w:rsidR="00972EEB" w:rsidRPr="00CA511D" w:rsidRDefault="00972EEB" w:rsidP="00972EEB">
      <w:pPr>
        <w:tabs>
          <w:tab w:val="left" w:pos="-720"/>
        </w:tabs>
        <w:suppressAutoHyphens/>
        <w:jc w:val="both"/>
        <w:rPr>
          <w:rFonts w:ascii="Times New Roman" w:hAnsi="Times New Roman"/>
          <w:spacing w:val="-3"/>
          <w:sz w:val="26"/>
          <w:szCs w:val="26"/>
        </w:rPr>
      </w:pPr>
    </w:p>
    <w:p w:rsidR="00972EEB" w:rsidRPr="00CA511D" w:rsidRDefault="00972EEB" w:rsidP="00972EEB">
      <w:pPr>
        <w:tabs>
          <w:tab w:val="left" w:pos="-720"/>
        </w:tabs>
        <w:suppressAutoHyphens/>
        <w:jc w:val="right"/>
        <w:rPr>
          <w:rFonts w:ascii="Times New Roman" w:hAnsi="Times New Roman"/>
          <w:sz w:val="26"/>
          <w:szCs w:val="26"/>
        </w:rPr>
      </w:pPr>
      <w:r w:rsidRPr="00CA511D">
        <w:rPr>
          <w:rFonts w:ascii="Times New Roman" w:hAnsi="Times New Roman"/>
          <w:sz w:val="26"/>
          <w:szCs w:val="26"/>
        </w:rPr>
        <w:t xml:space="preserve">Public Meeting held </w:t>
      </w:r>
      <w:r w:rsidR="008C118F">
        <w:rPr>
          <w:rFonts w:ascii="Times New Roman" w:hAnsi="Times New Roman"/>
          <w:sz w:val="26"/>
          <w:szCs w:val="26"/>
        </w:rPr>
        <w:t>September 24</w:t>
      </w:r>
      <w:r w:rsidR="00B90AB8">
        <w:rPr>
          <w:rFonts w:ascii="Times New Roman" w:hAnsi="Times New Roman"/>
          <w:sz w:val="26"/>
          <w:szCs w:val="26"/>
        </w:rPr>
        <w:t>, 200</w:t>
      </w:r>
      <w:r w:rsidR="008C118F">
        <w:rPr>
          <w:rFonts w:ascii="Times New Roman" w:hAnsi="Times New Roman"/>
          <w:sz w:val="26"/>
          <w:szCs w:val="26"/>
        </w:rPr>
        <w:t>9</w:t>
      </w:r>
    </w:p>
    <w:p w:rsidR="00972EEB" w:rsidRPr="00CA511D" w:rsidRDefault="00972EEB" w:rsidP="00972EEB">
      <w:pPr>
        <w:tabs>
          <w:tab w:val="left" w:pos="-720"/>
        </w:tabs>
        <w:suppressAutoHyphens/>
        <w:rPr>
          <w:rFonts w:ascii="Times New Roman" w:hAnsi="Times New Roman"/>
          <w:sz w:val="26"/>
          <w:szCs w:val="26"/>
        </w:rPr>
      </w:pPr>
    </w:p>
    <w:p w:rsidR="00972EEB" w:rsidRPr="00CA511D" w:rsidRDefault="00972EEB" w:rsidP="00972EEB">
      <w:pPr>
        <w:tabs>
          <w:tab w:val="left" w:pos="-720"/>
        </w:tabs>
        <w:suppressAutoHyphens/>
        <w:rPr>
          <w:rFonts w:ascii="Times New Roman" w:hAnsi="Times New Roman"/>
          <w:sz w:val="26"/>
          <w:szCs w:val="26"/>
        </w:rPr>
      </w:pPr>
      <w:r w:rsidRPr="00CA511D">
        <w:rPr>
          <w:rFonts w:ascii="Times New Roman" w:hAnsi="Times New Roman"/>
          <w:sz w:val="26"/>
          <w:szCs w:val="26"/>
        </w:rPr>
        <w:t xml:space="preserve">Commissioners Present: </w:t>
      </w:r>
    </w:p>
    <w:p w:rsidR="00972EEB" w:rsidRPr="00CA511D" w:rsidRDefault="00972EEB" w:rsidP="00972EEB">
      <w:pPr>
        <w:tabs>
          <w:tab w:val="left" w:pos="-720"/>
        </w:tabs>
        <w:suppressAutoHyphens/>
        <w:rPr>
          <w:rFonts w:ascii="Times New Roman" w:hAnsi="Times New Roman"/>
          <w:sz w:val="26"/>
          <w:szCs w:val="26"/>
        </w:rPr>
      </w:pPr>
    </w:p>
    <w:p w:rsidR="00972EEB" w:rsidRPr="00CA511D" w:rsidRDefault="00972EEB" w:rsidP="00972EEB">
      <w:pPr>
        <w:tabs>
          <w:tab w:val="left" w:pos="-720"/>
        </w:tabs>
        <w:suppressAutoHyphens/>
        <w:rPr>
          <w:rFonts w:ascii="Times New Roman" w:hAnsi="Times New Roman"/>
          <w:sz w:val="26"/>
          <w:szCs w:val="26"/>
        </w:rPr>
      </w:pPr>
      <w:r w:rsidRPr="00CA511D">
        <w:rPr>
          <w:rFonts w:ascii="Times New Roman" w:hAnsi="Times New Roman"/>
          <w:sz w:val="26"/>
          <w:szCs w:val="26"/>
        </w:rPr>
        <w:tab/>
      </w:r>
      <w:r w:rsidR="008C118F">
        <w:rPr>
          <w:rFonts w:ascii="Times New Roman" w:hAnsi="Times New Roman"/>
          <w:sz w:val="26"/>
          <w:szCs w:val="26"/>
        </w:rPr>
        <w:t>James H. Cawley</w:t>
      </w:r>
      <w:r w:rsidR="004607F3">
        <w:rPr>
          <w:rFonts w:ascii="Times New Roman" w:hAnsi="Times New Roman"/>
          <w:sz w:val="26"/>
          <w:szCs w:val="26"/>
        </w:rPr>
        <w:t>, Chairman</w:t>
      </w:r>
    </w:p>
    <w:p w:rsidR="00972EEB" w:rsidRDefault="00972EEB" w:rsidP="00972EEB">
      <w:pPr>
        <w:tabs>
          <w:tab w:val="left" w:pos="-720"/>
        </w:tabs>
        <w:suppressAutoHyphens/>
        <w:rPr>
          <w:rFonts w:ascii="Times New Roman" w:hAnsi="Times New Roman"/>
          <w:sz w:val="26"/>
          <w:szCs w:val="26"/>
        </w:rPr>
      </w:pPr>
      <w:r w:rsidRPr="00CA511D">
        <w:rPr>
          <w:rFonts w:ascii="Times New Roman" w:hAnsi="Times New Roman"/>
          <w:sz w:val="26"/>
          <w:szCs w:val="26"/>
        </w:rPr>
        <w:tab/>
      </w:r>
      <w:r w:rsidR="008C118F">
        <w:rPr>
          <w:rFonts w:ascii="Times New Roman" w:hAnsi="Times New Roman"/>
          <w:sz w:val="26"/>
          <w:szCs w:val="26"/>
        </w:rPr>
        <w:t>Tyrone J. Christy</w:t>
      </w:r>
      <w:r w:rsidRPr="00CA511D">
        <w:rPr>
          <w:rFonts w:ascii="Times New Roman" w:hAnsi="Times New Roman"/>
          <w:sz w:val="26"/>
          <w:szCs w:val="26"/>
        </w:rPr>
        <w:t>, Vice Chairman</w:t>
      </w:r>
    </w:p>
    <w:p w:rsidR="00AD5A24" w:rsidRDefault="00AD5A24" w:rsidP="00972EEB">
      <w:pPr>
        <w:tabs>
          <w:tab w:val="left" w:pos="-720"/>
        </w:tabs>
        <w:suppressAutoHyphens/>
        <w:rPr>
          <w:rFonts w:ascii="Times New Roman" w:hAnsi="Times New Roman"/>
          <w:sz w:val="26"/>
          <w:szCs w:val="26"/>
        </w:rPr>
      </w:pPr>
      <w:r>
        <w:rPr>
          <w:rFonts w:ascii="Times New Roman" w:hAnsi="Times New Roman"/>
          <w:sz w:val="26"/>
          <w:szCs w:val="26"/>
        </w:rPr>
        <w:tab/>
      </w:r>
      <w:r w:rsidR="008C118F">
        <w:rPr>
          <w:sz w:val="26"/>
        </w:rPr>
        <w:t>Kim Pizzingrilli</w:t>
      </w:r>
    </w:p>
    <w:p w:rsidR="008C118F" w:rsidRDefault="0011450D" w:rsidP="00972EEB">
      <w:pPr>
        <w:tabs>
          <w:tab w:val="left" w:pos="-720"/>
        </w:tabs>
        <w:suppressAutoHyphens/>
        <w:rPr>
          <w:rFonts w:ascii="Times New Roman" w:hAnsi="Times New Roman"/>
          <w:sz w:val="26"/>
          <w:szCs w:val="26"/>
        </w:rPr>
      </w:pPr>
      <w:r>
        <w:rPr>
          <w:rFonts w:ascii="Times New Roman" w:hAnsi="Times New Roman"/>
          <w:sz w:val="26"/>
          <w:szCs w:val="26"/>
        </w:rPr>
        <w:tab/>
      </w:r>
      <w:r w:rsidR="008C118F">
        <w:rPr>
          <w:rFonts w:ascii="Times New Roman" w:hAnsi="Times New Roman"/>
          <w:sz w:val="26"/>
          <w:szCs w:val="26"/>
        </w:rPr>
        <w:t>Wayne E. Gardner</w:t>
      </w:r>
    </w:p>
    <w:p w:rsidR="00972EEB" w:rsidRPr="00CA511D" w:rsidRDefault="008C118F" w:rsidP="00972EEB">
      <w:pPr>
        <w:tabs>
          <w:tab w:val="left" w:pos="-720"/>
        </w:tabs>
        <w:suppressAutoHyphens/>
        <w:rPr>
          <w:rFonts w:ascii="Times New Roman" w:hAnsi="Times New Roman"/>
          <w:sz w:val="26"/>
          <w:szCs w:val="26"/>
        </w:rPr>
      </w:pPr>
      <w:r>
        <w:rPr>
          <w:rFonts w:ascii="Times New Roman" w:hAnsi="Times New Roman"/>
          <w:sz w:val="26"/>
          <w:szCs w:val="26"/>
        </w:rPr>
        <w:tab/>
        <w:t>Robert F. Powelson</w:t>
      </w:r>
      <w:r w:rsidR="00972EEB" w:rsidRPr="00CA511D">
        <w:rPr>
          <w:rFonts w:ascii="Times New Roman" w:hAnsi="Times New Roman"/>
          <w:sz w:val="26"/>
          <w:szCs w:val="26"/>
        </w:rPr>
        <w:tab/>
      </w:r>
    </w:p>
    <w:p w:rsidR="00EF5EA2" w:rsidRDefault="00EF5EA2" w:rsidP="00AC73E4">
      <w:pPr>
        <w:pStyle w:val="Heading1"/>
        <w:spacing w:line="360" w:lineRule="auto"/>
        <w:rPr>
          <w:rFonts w:ascii="Times New Roman" w:hAnsi="Times New Roman"/>
          <w:szCs w:val="26"/>
        </w:rPr>
      </w:pPr>
    </w:p>
    <w:p w:rsidR="00EF5EA2" w:rsidRDefault="00EF5EA2" w:rsidP="00AC73E4">
      <w:pPr>
        <w:pStyle w:val="Heading1"/>
        <w:spacing w:line="360" w:lineRule="auto"/>
        <w:rPr>
          <w:rFonts w:ascii="Times New Roman" w:hAnsi="Times New Roman"/>
          <w:szCs w:val="26"/>
        </w:rPr>
      </w:pPr>
    </w:p>
    <w:p w:rsidR="00EF5EA2" w:rsidRPr="00EF5EA2" w:rsidRDefault="00EF5EA2" w:rsidP="00EF5EA2">
      <w:pPr>
        <w:rPr>
          <w:rFonts w:ascii="Times New Roman" w:hAnsi="Times New Roman"/>
          <w:sz w:val="26"/>
          <w:szCs w:val="24"/>
        </w:rPr>
      </w:pPr>
      <w:r w:rsidRPr="00EF5EA2">
        <w:rPr>
          <w:rFonts w:ascii="Times New Roman" w:hAnsi="Times New Roman"/>
          <w:sz w:val="26"/>
          <w:szCs w:val="24"/>
        </w:rPr>
        <w:t>Pennsylvania Public Utility Commission</w:t>
      </w:r>
      <w:r w:rsidRPr="00EF5EA2">
        <w:rPr>
          <w:rFonts w:ascii="Times New Roman" w:hAnsi="Times New Roman"/>
          <w:sz w:val="26"/>
          <w:szCs w:val="24"/>
        </w:rPr>
        <w:tab/>
      </w:r>
      <w:r w:rsidRPr="00EF5EA2">
        <w:rPr>
          <w:rFonts w:ascii="Times New Roman" w:hAnsi="Times New Roman"/>
          <w:sz w:val="26"/>
          <w:szCs w:val="24"/>
        </w:rPr>
        <w:tab/>
        <w:t xml:space="preserve"> </w:t>
      </w:r>
      <w:r w:rsidRPr="00EF5EA2">
        <w:rPr>
          <w:rFonts w:ascii="Times New Roman" w:hAnsi="Times New Roman"/>
          <w:sz w:val="26"/>
          <w:szCs w:val="24"/>
        </w:rPr>
        <w:tab/>
      </w:r>
      <w:r w:rsidRPr="00EF5EA2">
        <w:rPr>
          <w:rFonts w:ascii="Times New Roman" w:hAnsi="Times New Roman"/>
          <w:sz w:val="26"/>
          <w:szCs w:val="24"/>
        </w:rPr>
        <w:tab/>
        <w:t>R-</w:t>
      </w:r>
      <w:r w:rsidR="008C118F">
        <w:rPr>
          <w:rFonts w:ascii="Times New Roman" w:hAnsi="Times New Roman"/>
          <w:sz w:val="26"/>
          <w:szCs w:val="24"/>
        </w:rPr>
        <w:t>2009-2088069</w:t>
      </w:r>
    </w:p>
    <w:p w:rsidR="00EF5EA2" w:rsidRPr="00EF5EA2" w:rsidRDefault="00EF5EA2" w:rsidP="00EF5EA2">
      <w:pPr>
        <w:rPr>
          <w:rFonts w:ascii="Times New Roman" w:hAnsi="Times New Roman"/>
          <w:sz w:val="26"/>
          <w:szCs w:val="24"/>
        </w:rPr>
      </w:pPr>
      <w:r w:rsidRPr="00EF5EA2">
        <w:rPr>
          <w:rFonts w:ascii="Times New Roman" w:hAnsi="Times New Roman"/>
          <w:sz w:val="26"/>
          <w:szCs w:val="24"/>
        </w:rPr>
        <w:t>Office of Consumer Advocate</w:t>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008C118F">
        <w:rPr>
          <w:rFonts w:ascii="Times New Roman" w:hAnsi="Times New Roman"/>
          <w:sz w:val="26"/>
          <w:szCs w:val="24"/>
        </w:rPr>
        <w:t>C</w:t>
      </w:r>
      <w:r w:rsidRPr="00EF5EA2">
        <w:rPr>
          <w:rFonts w:ascii="Times New Roman" w:hAnsi="Times New Roman"/>
          <w:sz w:val="26"/>
          <w:szCs w:val="24"/>
        </w:rPr>
        <w:t>-</w:t>
      </w:r>
      <w:r w:rsidR="008C118F">
        <w:rPr>
          <w:rFonts w:ascii="Times New Roman" w:hAnsi="Times New Roman"/>
          <w:sz w:val="26"/>
          <w:szCs w:val="24"/>
        </w:rPr>
        <w:t>2009-2095740</w:t>
      </w:r>
      <w:r w:rsidRPr="00EF5EA2">
        <w:rPr>
          <w:rFonts w:ascii="Times New Roman" w:hAnsi="Times New Roman"/>
          <w:sz w:val="26"/>
          <w:szCs w:val="24"/>
        </w:rPr>
        <w:tab/>
      </w:r>
    </w:p>
    <w:p w:rsidR="00EF5EA2" w:rsidRPr="00EF5EA2" w:rsidRDefault="008C118F" w:rsidP="00EF5EA2">
      <w:pPr>
        <w:rPr>
          <w:rFonts w:ascii="Times New Roman" w:hAnsi="Times New Roman"/>
          <w:sz w:val="26"/>
          <w:szCs w:val="24"/>
        </w:rPr>
      </w:pPr>
      <w:r>
        <w:rPr>
          <w:rFonts w:ascii="Times New Roman" w:hAnsi="Times New Roman"/>
          <w:sz w:val="26"/>
          <w:szCs w:val="24"/>
        </w:rPr>
        <w:t>Office of Small Business Advocate</w:t>
      </w:r>
      <w:r w:rsidR="00EF5EA2" w:rsidRPr="00EF5EA2">
        <w:rPr>
          <w:rFonts w:ascii="Times New Roman" w:hAnsi="Times New Roman"/>
          <w:sz w:val="26"/>
          <w:szCs w:val="24"/>
        </w:rPr>
        <w:tab/>
      </w:r>
      <w:r w:rsidR="00EF5EA2" w:rsidRPr="00EF5EA2">
        <w:rPr>
          <w:rFonts w:ascii="Times New Roman" w:hAnsi="Times New Roman"/>
          <w:sz w:val="26"/>
          <w:szCs w:val="24"/>
        </w:rPr>
        <w:tab/>
      </w:r>
      <w:r w:rsidR="00EF5EA2" w:rsidRPr="00EF5EA2">
        <w:rPr>
          <w:rFonts w:ascii="Times New Roman" w:hAnsi="Times New Roman"/>
          <w:sz w:val="26"/>
          <w:szCs w:val="24"/>
        </w:rPr>
        <w:tab/>
      </w:r>
      <w:r w:rsidR="00EF5EA2" w:rsidRPr="00EF5EA2">
        <w:rPr>
          <w:rFonts w:ascii="Times New Roman" w:hAnsi="Times New Roman"/>
          <w:sz w:val="26"/>
          <w:szCs w:val="24"/>
        </w:rPr>
        <w:tab/>
      </w:r>
      <w:r>
        <w:rPr>
          <w:rFonts w:ascii="Times New Roman" w:hAnsi="Times New Roman"/>
          <w:sz w:val="26"/>
          <w:szCs w:val="24"/>
        </w:rPr>
        <w:t>C-2009-2096866</w:t>
      </w:r>
    </w:p>
    <w:p w:rsidR="00EF5EA2" w:rsidRPr="00EF5EA2" w:rsidRDefault="00EF5EA2" w:rsidP="00EF5EA2">
      <w:pPr>
        <w:rPr>
          <w:rFonts w:ascii="Times New Roman" w:hAnsi="Times New Roman"/>
          <w:sz w:val="26"/>
          <w:szCs w:val="24"/>
        </w:rPr>
      </w:pP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p>
    <w:p w:rsidR="00EF5EA2" w:rsidRPr="00EF5EA2" w:rsidRDefault="00EF5EA2" w:rsidP="00EF5EA2">
      <w:pPr>
        <w:rPr>
          <w:rFonts w:ascii="Times New Roman" w:hAnsi="Times New Roman"/>
          <w:sz w:val="26"/>
          <w:szCs w:val="24"/>
        </w:rPr>
      </w:pPr>
      <w:r w:rsidRPr="00EF5EA2">
        <w:rPr>
          <w:rFonts w:ascii="Times New Roman" w:hAnsi="Times New Roman"/>
          <w:sz w:val="26"/>
          <w:szCs w:val="24"/>
        </w:rPr>
        <w:tab/>
        <w:t>v.</w:t>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t xml:space="preserve"> </w:t>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p>
    <w:p w:rsidR="00EF5EA2" w:rsidRPr="00EF5EA2" w:rsidRDefault="00EF5EA2" w:rsidP="00EF5EA2">
      <w:pPr>
        <w:rPr>
          <w:rFonts w:ascii="Times New Roman" w:hAnsi="Times New Roman"/>
          <w:sz w:val="26"/>
          <w:szCs w:val="24"/>
        </w:rPr>
      </w:pP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r w:rsidRPr="00EF5EA2">
        <w:rPr>
          <w:rFonts w:ascii="Times New Roman" w:hAnsi="Times New Roman"/>
          <w:sz w:val="26"/>
          <w:szCs w:val="24"/>
        </w:rPr>
        <w:tab/>
      </w:r>
    </w:p>
    <w:p w:rsidR="008C118F" w:rsidRDefault="00EF5EA2" w:rsidP="00EF5EA2">
      <w:pPr>
        <w:rPr>
          <w:rFonts w:ascii="Times New Roman" w:hAnsi="Times New Roman"/>
          <w:sz w:val="26"/>
          <w:szCs w:val="24"/>
        </w:rPr>
      </w:pPr>
      <w:r w:rsidRPr="00EF5EA2">
        <w:rPr>
          <w:rFonts w:ascii="Times New Roman" w:hAnsi="Times New Roman"/>
          <w:sz w:val="26"/>
          <w:szCs w:val="24"/>
        </w:rPr>
        <w:t>The Peoples Natural Gas Company</w:t>
      </w:r>
      <w:r w:rsidR="008C118F">
        <w:rPr>
          <w:rFonts w:ascii="Times New Roman" w:hAnsi="Times New Roman"/>
          <w:sz w:val="26"/>
          <w:szCs w:val="24"/>
        </w:rPr>
        <w:t>,</w:t>
      </w:r>
    </w:p>
    <w:p w:rsidR="00FE4DA8" w:rsidRDefault="00EF5EA2" w:rsidP="008C118F">
      <w:pPr>
        <w:rPr>
          <w:rFonts w:ascii="Times New Roman" w:hAnsi="Times New Roman"/>
          <w:b/>
          <w:szCs w:val="24"/>
        </w:rPr>
      </w:pPr>
      <w:r w:rsidRPr="00EF5EA2">
        <w:rPr>
          <w:rFonts w:ascii="Times New Roman" w:hAnsi="Times New Roman"/>
          <w:sz w:val="26"/>
          <w:szCs w:val="24"/>
        </w:rPr>
        <w:t>d/b/a</w:t>
      </w:r>
      <w:r w:rsidR="008C118F">
        <w:rPr>
          <w:rFonts w:ascii="Times New Roman" w:hAnsi="Times New Roman"/>
          <w:sz w:val="26"/>
          <w:szCs w:val="24"/>
        </w:rPr>
        <w:t xml:space="preserve"> </w:t>
      </w:r>
      <w:r w:rsidRPr="00316790">
        <w:rPr>
          <w:rFonts w:ascii="Times New (W1)" w:hAnsi="Times New (W1)"/>
          <w:sz w:val="26"/>
          <w:szCs w:val="24"/>
        </w:rPr>
        <w:t>Dominion Peoples</w:t>
      </w:r>
    </w:p>
    <w:p w:rsidR="008C118F" w:rsidRDefault="00EF5EA2" w:rsidP="00EF5EA2">
      <w:pPr>
        <w:pStyle w:val="Heading1"/>
        <w:spacing w:line="360" w:lineRule="auto"/>
        <w:rPr>
          <w:rFonts w:ascii="Times New Roman" w:hAnsi="Times New Roman"/>
          <w:b w:val="0"/>
          <w:szCs w:val="24"/>
        </w:rPr>
      </w:pPr>
      <w:r w:rsidRPr="00EF5EA2">
        <w:rPr>
          <w:rFonts w:ascii="Times New Roman" w:hAnsi="Times New Roman"/>
          <w:b w:val="0"/>
          <w:szCs w:val="24"/>
        </w:rPr>
        <w:tab/>
      </w:r>
    </w:p>
    <w:p w:rsidR="00EF5EA2" w:rsidRPr="00EF5EA2" w:rsidRDefault="00EF5EA2" w:rsidP="00EF5EA2">
      <w:pPr>
        <w:pStyle w:val="Heading1"/>
        <w:spacing w:line="360" w:lineRule="auto"/>
        <w:rPr>
          <w:rFonts w:ascii="Times New Roman" w:hAnsi="Times New Roman"/>
          <w:b w:val="0"/>
          <w:szCs w:val="26"/>
        </w:rPr>
      </w:pPr>
      <w:r w:rsidRPr="00EF5EA2">
        <w:rPr>
          <w:b w:val="0"/>
          <w:sz w:val="24"/>
          <w:szCs w:val="24"/>
        </w:rPr>
        <w:tab/>
      </w:r>
      <w:r w:rsidRPr="00EF5EA2">
        <w:rPr>
          <w:b w:val="0"/>
          <w:sz w:val="24"/>
          <w:szCs w:val="24"/>
        </w:rPr>
        <w:tab/>
      </w:r>
    </w:p>
    <w:p w:rsidR="00972EEB" w:rsidRPr="00AC73E4" w:rsidRDefault="00972EEB" w:rsidP="00AC73E4">
      <w:pPr>
        <w:pStyle w:val="Heading1"/>
        <w:spacing w:line="360" w:lineRule="auto"/>
        <w:rPr>
          <w:rFonts w:ascii="Times New Roman" w:hAnsi="Times New Roman"/>
          <w:b w:val="0"/>
          <w:szCs w:val="26"/>
        </w:rPr>
      </w:pPr>
      <w:r w:rsidRPr="00CA511D">
        <w:rPr>
          <w:rFonts w:ascii="Times New Roman" w:hAnsi="Times New Roman"/>
          <w:szCs w:val="26"/>
        </w:rPr>
        <w:tab/>
      </w:r>
      <w:r w:rsidR="00316790">
        <w:rPr>
          <w:rFonts w:ascii="Times New Roman" w:hAnsi="Times New Roman"/>
          <w:szCs w:val="26"/>
        </w:rPr>
        <w:t>OPINION AND</w:t>
      </w:r>
      <w:r w:rsidR="001A522A">
        <w:rPr>
          <w:rFonts w:ascii="Times New Roman" w:hAnsi="Times New Roman"/>
          <w:szCs w:val="26"/>
        </w:rPr>
        <w:t xml:space="preserve"> </w:t>
      </w:r>
      <w:r w:rsidR="00B31492">
        <w:rPr>
          <w:rFonts w:ascii="Times New Roman" w:hAnsi="Times New Roman"/>
          <w:szCs w:val="26"/>
        </w:rPr>
        <w:t>ORDER</w:t>
      </w:r>
    </w:p>
    <w:p w:rsidR="00972EEB" w:rsidRPr="00AC73E4" w:rsidRDefault="00972EEB" w:rsidP="00AC73E4">
      <w:pPr>
        <w:tabs>
          <w:tab w:val="left" w:pos="-720"/>
        </w:tabs>
        <w:suppressAutoHyphens/>
        <w:spacing w:line="360" w:lineRule="auto"/>
        <w:rPr>
          <w:rFonts w:ascii="Times New Roman" w:hAnsi="Times New Roman"/>
          <w:sz w:val="26"/>
          <w:szCs w:val="26"/>
        </w:rPr>
      </w:pPr>
    </w:p>
    <w:p w:rsidR="00972EEB" w:rsidRPr="00AC73E4" w:rsidRDefault="00972EEB" w:rsidP="00972EEB">
      <w:pPr>
        <w:tabs>
          <w:tab w:val="left" w:pos="-720"/>
        </w:tabs>
        <w:suppressAutoHyphens/>
        <w:spacing w:line="360" w:lineRule="auto"/>
        <w:rPr>
          <w:rFonts w:ascii="Times New Roman" w:hAnsi="Times New Roman"/>
          <w:sz w:val="26"/>
          <w:szCs w:val="26"/>
        </w:rPr>
      </w:pPr>
      <w:r w:rsidRPr="00CA511D">
        <w:rPr>
          <w:rFonts w:ascii="Times New Roman" w:hAnsi="Times New Roman"/>
          <w:b/>
          <w:sz w:val="26"/>
          <w:szCs w:val="26"/>
        </w:rPr>
        <w:t>BY THE COMMISSION:</w:t>
      </w:r>
    </w:p>
    <w:p w:rsidR="00972EEB" w:rsidRPr="00CA511D" w:rsidRDefault="00972EEB" w:rsidP="00972EEB">
      <w:pPr>
        <w:tabs>
          <w:tab w:val="left" w:pos="-720"/>
        </w:tabs>
        <w:suppressAutoHyphens/>
        <w:spacing w:line="360" w:lineRule="auto"/>
        <w:rPr>
          <w:rFonts w:ascii="Times New Roman" w:hAnsi="Times New Roman"/>
          <w:sz w:val="26"/>
          <w:szCs w:val="26"/>
        </w:rPr>
      </w:pPr>
    </w:p>
    <w:p w:rsidR="00F1268B" w:rsidRDefault="00972EEB" w:rsidP="00797A0E">
      <w:pPr>
        <w:tabs>
          <w:tab w:val="left" w:pos="-720"/>
        </w:tabs>
        <w:suppressAutoHyphens/>
        <w:spacing w:line="360" w:lineRule="auto"/>
        <w:rPr>
          <w:rFonts w:ascii="Times New Roman" w:hAnsi="Times New Roman"/>
          <w:sz w:val="26"/>
          <w:szCs w:val="26"/>
        </w:rPr>
      </w:pPr>
      <w:r w:rsidRPr="00CA511D">
        <w:rPr>
          <w:rFonts w:ascii="Times New Roman" w:hAnsi="Times New Roman"/>
          <w:sz w:val="26"/>
          <w:szCs w:val="26"/>
        </w:rPr>
        <w:tab/>
      </w:r>
      <w:r w:rsidRPr="00CA511D">
        <w:rPr>
          <w:rFonts w:ascii="Times New Roman" w:hAnsi="Times New Roman"/>
          <w:sz w:val="26"/>
          <w:szCs w:val="26"/>
        </w:rPr>
        <w:tab/>
      </w:r>
      <w:r w:rsidR="000D04A2" w:rsidRPr="00CA511D">
        <w:rPr>
          <w:rFonts w:ascii="Times New Roman" w:hAnsi="Times New Roman"/>
          <w:sz w:val="26"/>
          <w:szCs w:val="26"/>
        </w:rPr>
        <w:t xml:space="preserve">Before the Commission for consideration and disposition </w:t>
      </w:r>
      <w:r w:rsidR="000D04A2">
        <w:rPr>
          <w:rFonts w:ascii="Times New Roman" w:hAnsi="Times New Roman"/>
          <w:sz w:val="26"/>
          <w:szCs w:val="26"/>
        </w:rPr>
        <w:t xml:space="preserve">are the Joint Petition for Approval of Settlement filed on </w:t>
      </w:r>
      <w:r w:rsidR="00D24D96" w:rsidRPr="00D24D96">
        <w:rPr>
          <w:rFonts w:ascii="Times New Roman" w:hAnsi="Times New Roman"/>
          <w:sz w:val="26"/>
          <w:szCs w:val="26"/>
        </w:rPr>
        <w:t>June</w:t>
      </w:r>
      <w:r w:rsidR="000D04A2" w:rsidRPr="00D24D96">
        <w:rPr>
          <w:rFonts w:ascii="Times New Roman" w:hAnsi="Times New Roman"/>
          <w:sz w:val="26"/>
          <w:szCs w:val="26"/>
        </w:rPr>
        <w:t xml:space="preserve"> </w:t>
      </w:r>
      <w:r w:rsidR="00D24D96" w:rsidRPr="00D24D96">
        <w:rPr>
          <w:rFonts w:ascii="Times New Roman" w:hAnsi="Times New Roman"/>
          <w:sz w:val="26"/>
          <w:szCs w:val="26"/>
        </w:rPr>
        <w:t>23</w:t>
      </w:r>
      <w:r w:rsidR="000D04A2" w:rsidRPr="00D24D96">
        <w:rPr>
          <w:rFonts w:ascii="Times New Roman" w:hAnsi="Times New Roman"/>
          <w:sz w:val="26"/>
          <w:szCs w:val="26"/>
        </w:rPr>
        <w:t>, 200</w:t>
      </w:r>
      <w:r w:rsidR="00D24D96" w:rsidRPr="00D24D96">
        <w:rPr>
          <w:rFonts w:ascii="Times New Roman" w:hAnsi="Times New Roman"/>
          <w:sz w:val="26"/>
          <w:szCs w:val="26"/>
        </w:rPr>
        <w:t>9</w:t>
      </w:r>
      <w:r w:rsidR="000D04A2">
        <w:rPr>
          <w:rFonts w:ascii="Times New Roman" w:hAnsi="Times New Roman"/>
          <w:sz w:val="26"/>
          <w:szCs w:val="26"/>
        </w:rPr>
        <w:t xml:space="preserve"> (Joint </w:t>
      </w:r>
      <w:r w:rsidR="00E21640">
        <w:rPr>
          <w:rFonts w:ascii="Times New Roman" w:hAnsi="Times New Roman"/>
          <w:sz w:val="26"/>
          <w:szCs w:val="26"/>
        </w:rPr>
        <w:t>Settlement</w:t>
      </w:r>
      <w:r w:rsidR="000D04A2">
        <w:rPr>
          <w:rFonts w:ascii="Times New Roman" w:hAnsi="Times New Roman"/>
          <w:sz w:val="26"/>
          <w:szCs w:val="26"/>
        </w:rPr>
        <w:t xml:space="preserve">), the Recommended Decision (R.D.) of Administrative Law Judge (ALJ) </w:t>
      </w:r>
      <w:r w:rsidR="00316790">
        <w:rPr>
          <w:rFonts w:ascii="Times New Roman" w:hAnsi="Times New Roman"/>
          <w:sz w:val="26"/>
          <w:szCs w:val="26"/>
        </w:rPr>
        <w:t>John H. Corbett, Jr.</w:t>
      </w:r>
      <w:r w:rsidR="000D04A2">
        <w:rPr>
          <w:rFonts w:ascii="Times New Roman" w:hAnsi="Times New Roman"/>
          <w:sz w:val="26"/>
          <w:szCs w:val="26"/>
        </w:rPr>
        <w:t xml:space="preserve"> issued on </w:t>
      </w:r>
      <w:r w:rsidR="00D24D96" w:rsidRPr="00D24D96">
        <w:rPr>
          <w:rFonts w:ascii="Times New Roman" w:hAnsi="Times New Roman"/>
          <w:sz w:val="26"/>
          <w:szCs w:val="26"/>
        </w:rPr>
        <w:t>July 24</w:t>
      </w:r>
      <w:r w:rsidR="000D04A2" w:rsidRPr="00D24D96">
        <w:rPr>
          <w:rFonts w:ascii="Times New Roman" w:hAnsi="Times New Roman"/>
          <w:sz w:val="26"/>
          <w:szCs w:val="26"/>
        </w:rPr>
        <w:t>, 200</w:t>
      </w:r>
      <w:r w:rsidR="00D24D96" w:rsidRPr="00D24D96">
        <w:rPr>
          <w:rFonts w:ascii="Times New Roman" w:hAnsi="Times New Roman"/>
          <w:sz w:val="26"/>
          <w:szCs w:val="26"/>
        </w:rPr>
        <w:t>9</w:t>
      </w:r>
      <w:r w:rsidR="000D04A2">
        <w:rPr>
          <w:rFonts w:ascii="Times New Roman" w:hAnsi="Times New Roman"/>
          <w:sz w:val="26"/>
          <w:szCs w:val="26"/>
        </w:rPr>
        <w:t>, the Exceptions</w:t>
      </w:r>
      <w:r w:rsidR="00E55303">
        <w:rPr>
          <w:rFonts w:ascii="Times New Roman" w:hAnsi="Times New Roman"/>
          <w:sz w:val="26"/>
          <w:szCs w:val="26"/>
        </w:rPr>
        <w:t>,</w:t>
      </w:r>
      <w:r w:rsidR="000D04A2">
        <w:rPr>
          <w:rFonts w:ascii="Times New Roman" w:hAnsi="Times New Roman"/>
          <w:sz w:val="26"/>
          <w:szCs w:val="26"/>
        </w:rPr>
        <w:t xml:space="preserve"> filed on August </w:t>
      </w:r>
      <w:r w:rsidR="00F07EC2">
        <w:rPr>
          <w:rFonts w:ascii="Times New Roman" w:hAnsi="Times New Roman"/>
          <w:sz w:val="26"/>
          <w:szCs w:val="26"/>
        </w:rPr>
        <w:t>13</w:t>
      </w:r>
      <w:r w:rsidR="005A74F1">
        <w:rPr>
          <w:rFonts w:ascii="Times New Roman" w:hAnsi="Times New Roman"/>
          <w:sz w:val="26"/>
          <w:szCs w:val="26"/>
        </w:rPr>
        <w:t>, 200</w:t>
      </w:r>
      <w:r w:rsidR="00F07EC2">
        <w:rPr>
          <w:rFonts w:ascii="Times New Roman" w:hAnsi="Times New Roman"/>
          <w:sz w:val="26"/>
          <w:szCs w:val="26"/>
        </w:rPr>
        <w:t>9</w:t>
      </w:r>
      <w:r w:rsidR="005A74F1">
        <w:rPr>
          <w:rFonts w:ascii="Times New Roman" w:hAnsi="Times New Roman"/>
          <w:sz w:val="26"/>
          <w:szCs w:val="26"/>
        </w:rPr>
        <w:t xml:space="preserve">, by </w:t>
      </w:r>
      <w:r w:rsidR="00F07EC2">
        <w:rPr>
          <w:rFonts w:ascii="Times New Roman" w:hAnsi="Times New Roman"/>
          <w:sz w:val="26"/>
          <w:szCs w:val="26"/>
        </w:rPr>
        <w:t>the Office of Small Business Advocate</w:t>
      </w:r>
      <w:r w:rsidR="005A74F1">
        <w:rPr>
          <w:rFonts w:ascii="Times New Roman" w:hAnsi="Times New Roman"/>
          <w:sz w:val="26"/>
          <w:szCs w:val="26"/>
        </w:rPr>
        <w:t xml:space="preserve"> (</w:t>
      </w:r>
      <w:r w:rsidR="00F07EC2">
        <w:rPr>
          <w:rFonts w:ascii="Times New Roman" w:hAnsi="Times New Roman"/>
          <w:sz w:val="26"/>
          <w:szCs w:val="26"/>
        </w:rPr>
        <w:t>OSBA</w:t>
      </w:r>
      <w:r w:rsidR="005A74F1">
        <w:rPr>
          <w:rFonts w:ascii="Times New Roman" w:hAnsi="Times New Roman"/>
          <w:sz w:val="26"/>
          <w:szCs w:val="26"/>
        </w:rPr>
        <w:t>)</w:t>
      </w:r>
      <w:r w:rsidR="00F07EC2">
        <w:rPr>
          <w:rFonts w:ascii="Times New Roman" w:hAnsi="Times New Roman"/>
          <w:sz w:val="26"/>
          <w:szCs w:val="26"/>
        </w:rPr>
        <w:t xml:space="preserve">, and </w:t>
      </w:r>
      <w:r w:rsidR="000D04A2">
        <w:rPr>
          <w:rFonts w:ascii="Times New Roman" w:hAnsi="Times New Roman"/>
          <w:sz w:val="26"/>
          <w:szCs w:val="26"/>
        </w:rPr>
        <w:t>the Reply Exceptions</w:t>
      </w:r>
      <w:r w:rsidR="00E55303">
        <w:rPr>
          <w:rFonts w:ascii="Times New Roman" w:hAnsi="Times New Roman"/>
          <w:sz w:val="26"/>
          <w:szCs w:val="26"/>
        </w:rPr>
        <w:t>,</w:t>
      </w:r>
      <w:r w:rsidR="000D04A2">
        <w:rPr>
          <w:rFonts w:ascii="Times New Roman" w:hAnsi="Times New Roman"/>
          <w:sz w:val="26"/>
          <w:szCs w:val="26"/>
        </w:rPr>
        <w:t xml:space="preserve"> filed on August </w:t>
      </w:r>
      <w:r w:rsidR="00F07EC2">
        <w:rPr>
          <w:rFonts w:ascii="Times New Roman" w:hAnsi="Times New Roman"/>
          <w:sz w:val="26"/>
          <w:szCs w:val="26"/>
        </w:rPr>
        <w:t>24</w:t>
      </w:r>
      <w:r w:rsidR="000D04A2">
        <w:rPr>
          <w:rFonts w:ascii="Times New Roman" w:hAnsi="Times New Roman"/>
          <w:sz w:val="26"/>
          <w:szCs w:val="26"/>
        </w:rPr>
        <w:t>, 200</w:t>
      </w:r>
      <w:r w:rsidR="00F07EC2">
        <w:rPr>
          <w:rFonts w:ascii="Times New Roman" w:hAnsi="Times New Roman"/>
          <w:sz w:val="26"/>
          <w:szCs w:val="26"/>
        </w:rPr>
        <w:t>9</w:t>
      </w:r>
      <w:r w:rsidR="000D04A2">
        <w:rPr>
          <w:rFonts w:ascii="Times New Roman" w:hAnsi="Times New Roman"/>
          <w:sz w:val="26"/>
          <w:szCs w:val="26"/>
        </w:rPr>
        <w:t xml:space="preserve">, by The </w:t>
      </w:r>
      <w:r w:rsidR="000D04A2">
        <w:rPr>
          <w:rFonts w:ascii="Times New Roman" w:hAnsi="Times New Roman"/>
          <w:sz w:val="26"/>
          <w:szCs w:val="26"/>
        </w:rPr>
        <w:lastRenderedPageBreak/>
        <w:t>Peoples Natural Gas Company</w:t>
      </w:r>
      <w:r w:rsidR="00F07EC2">
        <w:rPr>
          <w:rFonts w:ascii="Times New Roman" w:hAnsi="Times New Roman"/>
          <w:sz w:val="26"/>
          <w:szCs w:val="26"/>
        </w:rPr>
        <w:t>,</w:t>
      </w:r>
      <w:r w:rsidR="000D04A2">
        <w:rPr>
          <w:rFonts w:ascii="Times New Roman" w:hAnsi="Times New Roman"/>
          <w:sz w:val="26"/>
          <w:szCs w:val="26"/>
        </w:rPr>
        <w:t xml:space="preserve"> d/b/a Dominion Peoples (Peoples)</w:t>
      </w:r>
      <w:r w:rsidR="00F07EC2">
        <w:rPr>
          <w:rFonts w:ascii="Times New Roman" w:hAnsi="Times New Roman"/>
          <w:sz w:val="26"/>
          <w:szCs w:val="26"/>
        </w:rPr>
        <w:t xml:space="preserve"> and the Office of Trial Staff (OTS)</w:t>
      </w:r>
      <w:r w:rsidR="000D04A2">
        <w:rPr>
          <w:rFonts w:ascii="Times New Roman" w:hAnsi="Times New Roman"/>
          <w:sz w:val="26"/>
          <w:szCs w:val="26"/>
        </w:rPr>
        <w:t xml:space="preserve">. </w:t>
      </w:r>
    </w:p>
    <w:p w:rsidR="004712AE" w:rsidRPr="00CA511D" w:rsidRDefault="004712AE" w:rsidP="00797A0E">
      <w:pPr>
        <w:tabs>
          <w:tab w:val="left" w:pos="-720"/>
        </w:tabs>
        <w:suppressAutoHyphens/>
        <w:spacing w:line="360" w:lineRule="auto"/>
        <w:rPr>
          <w:rFonts w:ascii="Times New Roman" w:hAnsi="Times New Roman"/>
          <w:sz w:val="26"/>
          <w:szCs w:val="26"/>
        </w:rPr>
      </w:pPr>
    </w:p>
    <w:p w:rsidR="00185CF6" w:rsidRDefault="00972EEB" w:rsidP="00797A0E">
      <w:pPr>
        <w:tabs>
          <w:tab w:val="center" w:pos="4680"/>
        </w:tabs>
        <w:suppressAutoHyphens/>
        <w:spacing w:line="360" w:lineRule="auto"/>
        <w:rPr>
          <w:rFonts w:ascii="Times New Roman" w:hAnsi="Times New Roman"/>
          <w:b/>
          <w:sz w:val="26"/>
          <w:szCs w:val="26"/>
          <w:u w:val="single"/>
        </w:rPr>
      </w:pPr>
      <w:r w:rsidRPr="00CA511D">
        <w:rPr>
          <w:rFonts w:ascii="Times New Roman" w:hAnsi="Times New Roman"/>
          <w:sz w:val="26"/>
          <w:szCs w:val="26"/>
        </w:rPr>
        <w:tab/>
      </w:r>
      <w:r w:rsidRPr="00CA511D">
        <w:rPr>
          <w:rFonts w:ascii="Times New Roman" w:hAnsi="Times New Roman"/>
          <w:b/>
          <w:sz w:val="26"/>
          <w:szCs w:val="26"/>
          <w:u w:val="single"/>
        </w:rPr>
        <w:t>History of the Proceeding</w:t>
      </w:r>
      <w:r w:rsidR="00185CF6">
        <w:rPr>
          <w:rStyle w:val="FootnoteReference"/>
          <w:rFonts w:ascii="Times New Roman" w:hAnsi="Times New Roman"/>
          <w:b/>
          <w:sz w:val="26"/>
          <w:szCs w:val="26"/>
          <w:u w:val="single"/>
        </w:rPr>
        <w:footnoteReference w:id="1"/>
      </w:r>
    </w:p>
    <w:p w:rsidR="00185CF6" w:rsidRDefault="00185CF6" w:rsidP="00797A0E">
      <w:pPr>
        <w:tabs>
          <w:tab w:val="center" w:pos="4680"/>
        </w:tabs>
        <w:suppressAutoHyphens/>
        <w:spacing w:line="360" w:lineRule="auto"/>
        <w:rPr>
          <w:rFonts w:ascii="Times New Roman" w:hAnsi="Times New Roman"/>
          <w:b/>
          <w:sz w:val="26"/>
          <w:szCs w:val="26"/>
          <w:u w:val="single"/>
        </w:rPr>
      </w:pPr>
    </w:p>
    <w:p w:rsidR="00B141C4" w:rsidRDefault="00185CF6" w:rsidP="00B141C4">
      <w:pPr>
        <w:spacing w:line="360" w:lineRule="auto"/>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r>
      <w:r w:rsidR="00B141C4" w:rsidRPr="00B141C4">
        <w:rPr>
          <w:rFonts w:ascii="Times New Roman" w:hAnsi="Times New Roman"/>
          <w:sz w:val="26"/>
          <w:szCs w:val="24"/>
        </w:rPr>
        <w:t>On March 2, 2009,</w:t>
      </w:r>
      <w:r w:rsidR="00B141C4" w:rsidRPr="00B141C4">
        <w:rPr>
          <w:rFonts w:ascii="Times New Roman" w:hAnsi="Times New Roman"/>
          <w:sz w:val="26"/>
          <w:szCs w:val="24"/>
          <w:vertAlign w:val="superscript"/>
        </w:rPr>
        <w:footnoteReference w:id="2"/>
      </w:r>
      <w:r w:rsidR="00B141C4" w:rsidRPr="00B141C4">
        <w:rPr>
          <w:rFonts w:ascii="Times New Roman" w:hAnsi="Times New Roman"/>
          <w:sz w:val="26"/>
          <w:szCs w:val="24"/>
        </w:rPr>
        <w:t xml:space="preserve"> Peoples filed with the Pennsylvania Public Utility Commission</w:t>
      </w:r>
      <w:r w:rsidR="007B2348">
        <w:rPr>
          <w:rFonts w:ascii="Times New Roman" w:hAnsi="Times New Roman"/>
          <w:sz w:val="26"/>
          <w:szCs w:val="24"/>
        </w:rPr>
        <w:t xml:space="preserve"> (Commission)</w:t>
      </w:r>
      <w:r w:rsidR="00B141C4" w:rsidRPr="00B141C4">
        <w:rPr>
          <w:rFonts w:ascii="Times New Roman" w:hAnsi="Times New Roman"/>
          <w:sz w:val="26"/>
          <w:szCs w:val="24"/>
        </w:rPr>
        <w:t xml:space="preserve"> a “reconciliation statement” pursuant to Section 1307(f)(3) of the Public Utility Code (Code), 66 Pa. C.S. §</w:t>
      </w:r>
      <w:r w:rsidR="001E1FE7">
        <w:rPr>
          <w:rFonts w:ascii="Times New Roman" w:hAnsi="Times New Roman"/>
          <w:sz w:val="26"/>
          <w:szCs w:val="24"/>
        </w:rPr>
        <w:t xml:space="preserve"> 1307(f)(3), for the twelve</w:t>
      </w:r>
      <w:r w:rsidR="00B141C4" w:rsidRPr="00B141C4">
        <w:rPr>
          <w:rFonts w:ascii="Times New Roman" w:hAnsi="Times New Roman"/>
          <w:sz w:val="26"/>
          <w:szCs w:val="24"/>
        </w:rPr>
        <w:t>-</w:t>
      </w:r>
      <w:r w:rsidR="001E1FE7">
        <w:rPr>
          <w:rFonts w:ascii="Times New Roman" w:hAnsi="Times New Roman"/>
          <w:sz w:val="26"/>
          <w:szCs w:val="24"/>
        </w:rPr>
        <w:t xml:space="preserve">month period of February 1, 2008, </w:t>
      </w:r>
      <w:r w:rsidR="00B141C4" w:rsidRPr="00B141C4">
        <w:rPr>
          <w:rFonts w:ascii="Times New Roman" w:hAnsi="Times New Roman"/>
          <w:sz w:val="26"/>
          <w:szCs w:val="24"/>
        </w:rPr>
        <w:t>through January 31, 2009</w:t>
      </w:r>
      <w:r w:rsidR="007B2348">
        <w:rPr>
          <w:rFonts w:ascii="Times New Roman" w:hAnsi="Times New Roman"/>
          <w:sz w:val="26"/>
          <w:szCs w:val="24"/>
        </w:rPr>
        <w:t xml:space="preserve">.        </w:t>
      </w:r>
    </w:p>
    <w:p w:rsidR="007B2348" w:rsidRPr="00B141C4" w:rsidRDefault="007B2348" w:rsidP="00B141C4">
      <w:pPr>
        <w:spacing w:line="360" w:lineRule="auto"/>
        <w:rPr>
          <w:rFonts w:ascii="Times New Roman" w:hAnsi="Times New Roman"/>
          <w:sz w:val="26"/>
          <w:szCs w:val="24"/>
        </w:rPr>
      </w:pPr>
    </w:p>
    <w:p w:rsidR="00B141C4" w:rsidRPr="00B141C4" w:rsidRDefault="00B141C4" w:rsidP="00B141C4">
      <w:pPr>
        <w:spacing w:line="360" w:lineRule="auto"/>
        <w:rPr>
          <w:rFonts w:ascii="Times New Roman" w:hAnsi="Times New Roman"/>
          <w:sz w:val="26"/>
          <w:szCs w:val="24"/>
        </w:rPr>
      </w:pPr>
      <w:r w:rsidRPr="00B141C4">
        <w:rPr>
          <w:rFonts w:ascii="Times New Roman" w:hAnsi="Times New Roman"/>
          <w:sz w:val="26"/>
          <w:szCs w:val="24"/>
        </w:rPr>
        <w:tab/>
      </w:r>
      <w:r w:rsidRPr="00B141C4">
        <w:rPr>
          <w:rFonts w:ascii="Times New Roman" w:hAnsi="Times New Roman"/>
          <w:sz w:val="26"/>
          <w:szCs w:val="24"/>
        </w:rPr>
        <w:tab/>
        <w:t>On April 1, 2009, Peoples filed with the Commission Supplement No. 107 to its Tariff Gas – PA PUC No. 43 (Supplement No. 107) pursuant to Section 1307(f)(3) of the Code, 66 Pa. C.S. § 1307(f)(3).</w:t>
      </w:r>
      <w:r w:rsidRPr="00B141C4">
        <w:rPr>
          <w:rFonts w:ascii="Times New Roman" w:hAnsi="Times New Roman"/>
          <w:sz w:val="26"/>
          <w:szCs w:val="24"/>
          <w:vertAlign w:val="superscript"/>
        </w:rPr>
        <w:footnoteReference w:id="3"/>
      </w:r>
      <w:r w:rsidRPr="00B141C4">
        <w:rPr>
          <w:rFonts w:ascii="Times New Roman" w:hAnsi="Times New Roman"/>
          <w:sz w:val="26"/>
          <w:szCs w:val="24"/>
        </w:rPr>
        <w:t xml:space="preserve">  In it, Peoples proposed rates for its recovery of natural gas costs for the period of October 1, 2009</w:t>
      </w:r>
      <w:r w:rsidR="001E1FE7">
        <w:rPr>
          <w:rFonts w:ascii="Times New Roman" w:hAnsi="Times New Roman"/>
          <w:sz w:val="26"/>
          <w:szCs w:val="24"/>
        </w:rPr>
        <w:t>,</w:t>
      </w:r>
      <w:r w:rsidRPr="00B141C4">
        <w:rPr>
          <w:rFonts w:ascii="Times New Roman" w:hAnsi="Times New Roman"/>
          <w:sz w:val="26"/>
          <w:szCs w:val="24"/>
        </w:rPr>
        <w:t xml:space="preserve"> through September 30, 2010.  The natural gas supply rates that Peoples propose</w:t>
      </w:r>
      <w:r w:rsidR="002043E6">
        <w:rPr>
          <w:rFonts w:ascii="Times New Roman" w:hAnsi="Times New Roman"/>
          <w:sz w:val="26"/>
          <w:szCs w:val="24"/>
        </w:rPr>
        <w:t>d</w:t>
      </w:r>
      <w:r w:rsidRPr="00B141C4">
        <w:rPr>
          <w:rFonts w:ascii="Times New Roman" w:hAnsi="Times New Roman"/>
          <w:sz w:val="26"/>
          <w:szCs w:val="24"/>
        </w:rPr>
        <w:t xml:space="preserve"> in Supplement No. 107 are based on Peoples’ projected natural gas costs through September 30, 2010, as well as the reconciliation of past costs and revenues.  Those natural gas supply rates include capacity </w:t>
      </w:r>
      <w:r w:rsidRPr="00B141C4">
        <w:rPr>
          <w:rFonts w:ascii="Times New Roman" w:hAnsi="Times New Roman"/>
          <w:sz w:val="26"/>
          <w:szCs w:val="24"/>
        </w:rPr>
        <w:lastRenderedPageBreak/>
        <w:t>charges, commodity charges, gas cost adjustment charges, standby charges, and ban</w:t>
      </w:r>
      <w:r w:rsidR="002043E6">
        <w:rPr>
          <w:rFonts w:ascii="Times New Roman" w:hAnsi="Times New Roman"/>
          <w:sz w:val="26"/>
          <w:szCs w:val="24"/>
        </w:rPr>
        <w:t>king, balancing and advancing (BB&amp;A</w:t>
      </w:r>
      <w:r w:rsidRPr="00B141C4">
        <w:rPr>
          <w:rFonts w:ascii="Times New Roman" w:hAnsi="Times New Roman"/>
          <w:sz w:val="26"/>
          <w:szCs w:val="24"/>
        </w:rPr>
        <w:t>) charges, which are payable either by customers who purchase their natural gas supplies from Peoples or by customers who purchase their natural gas supplies from alternative natural gas suppliers.</w:t>
      </w:r>
    </w:p>
    <w:p w:rsidR="00B141C4" w:rsidRPr="00B141C4" w:rsidRDefault="00B141C4" w:rsidP="00B141C4">
      <w:pPr>
        <w:spacing w:line="360" w:lineRule="auto"/>
        <w:rPr>
          <w:rFonts w:ascii="Times New Roman" w:hAnsi="Times New Roman"/>
          <w:sz w:val="26"/>
          <w:szCs w:val="24"/>
        </w:rPr>
      </w:pPr>
    </w:p>
    <w:p w:rsidR="00B141C4" w:rsidRPr="00B141C4" w:rsidRDefault="00B141C4" w:rsidP="00B141C4">
      <w:pPr>
        <w:spacing w:line="360" w:lineRule="auto"/>
        <w:rPr>
          <w:rFonts w:ascii="Times New Roman" w:hAnsi="Times New Roman"/>
          <w:sz w:val="26"/>
          <w:szCs w:val="24"/>
        </w:rPr>
      </w:pPr>
      <w:r w:rsidRPr="00B141C4">
        <w:rPr>
          <w:rFonts w:ascii="Times New Roman" w:hAnsi="Times New Roman"/>
          <w:sz w:val="26"/>
          <w:szCs w:val="24"/>
        </w:rPr>
        <w:tab/>
      </w:r>
      <w:r w:rsidRPr="00B141C4">
        <w:rPr>
          <w:rFonts w:ascii="Times New Roman" w:hAnsi="Times New Roman"/>
          <w:sz w:val="26"/>
          <w:szCs w:val="24"/>
        </w:rPr>
        <w:tab/>
      </w:r>
      <w:r w:rsidR="00AD13DD">
        <w:rPr>
          <w:rFonts w:ascii="Times New Roman" w:hAnsi="Times New Roman"/>
          <w:sz w:val="26"/>
          <w:szCs w:val="24"/>
        </w:rPr>
        <w:t>By operation of Section 1307(f)(2) of the Code, 66 Pa. C.S. §</w:t>
      </w:r>
      <w:r w:rsidR="00FA3169">
        <w:rPr>
          <w:rFonts w:ascii="Times New Roman" w:hAnsi="Times New Roman"/>
          <w:sz w:val="26"/>
          <w:szCs w:val="24"/>
        </w:rPr>
        <w:t xml:space="preserve"> </w:t>
      </w:r>
      <w:r w:rsidR="00AD13DD">
        <w:rPr>
          <w:rFonts w:ascii="Times New Roman" w:hAnsi="Times New Roman"/>
          <w:sz w:val="26"/>
          <w:szCs w:val="24"/>
        </w:rPr>
        <w:t>1307(f)(2), the Commission commenced an investigation of this filing and assigned the matter to the Office</w:t>
      </w:r>
      <w:r w:rsidR="00A96128">
        <w:rPr>
          <w:rFonts w:ascii="Times New Roman" w:hAnsi="Times New Roman"/>
          <w:sz w:val="26"/>
          <w:szCs w:val="24"/>
        </w:rPr>
        <w:t xml:space="preserve"> of Administrative Law Judge for hearings.  The </w:t>
      </w:r>
      <w:r w:rsidR="00A96128" w:rsidRPr="00B141C4">
        <w:rPr>
          <w:rFonts w:ascii="Times New Roman" w:hAnsi="Times New Roman"/>
          <w:sz w:val="26"/>
          <w:szCs w:val="24"/>
        </w:rPr>
        <w:t xml:space="preserve">OTS </w:t>
      </w:r>
      <w:r w:rsidR="00A96128">
        <w:rPr>
          <w:rFonts w:ascii="Times New Roman" w:hAnsi="Times New Roman"/>
          <w:sz w:val="26"/>
          <w:szCs w:val="24"/>
        </w:rPr>
        <w:t>entered its Notice of Appearance in this proceeding pursuant to the provisions of 52 Pa. Code §</w:t>
      </w:r>
      <w:r w:rsidR="00FA3169">
        <w:rPr>
          <w:rFonts w:ascii="Times New Roman" w:hAnsi="Times New Roman"/>
          <w:sz w:val="26"/>
          <w:szCs w:val="24"/>
        </w:rPr>
        <w:t xml:space="preserve"> </w:t>
      </w:r>
      <w:r w:rsidR="00A96128">
        <w:rPr>
          <w:rFonts w:ascii="Times New Roman" w:hAnsi="Times New Roman"/>
          <w:sz w:val="26"/>
          <w:szCs w:val="24"/>
        </w:rPr>
        <w:t xml:space="preserve">5.71(a)(1).  </w:t>
      </w:r>
      <w:r w:rsidR="00A96128" w:rsidRPr="00B141C4">
        <w:rPr>
          <w:rFonts w:ascii="Times New Roman" w:hAnsi="Times New Roman"/>
          <w:sz w:val="26"/>
          <w:szCs w:val="24"/>
        </w:rPr>
        <w:t xml:space="preserve"> </w:t>
      </w:r>
      <w:r w:rsidR="00620111">
        <w:rPr>
          <w:rFonts w:ascii="Times New Roman" w:hAnsi="Times New Roman"/>
          <w:sz w:val="26"/>
          <w:szCs w:val="24"/>
        </w:rPr>
        <w:t xml:space="preserve">The </w:t>
      </w:r>
      <w:r w:rsidRPr="00B141C4">
        <w:rPr>
          <w:rFonts w:ascii="Times New Roman" w:hAnsi="Times New Roman"/>
          <w:sz w:val="26"/>
          <w:szCs w:val="24"/>
        </w:rPr>
        <w:t>Office of Consumer Advocate (OCA)</w:t>
      </w:r>
      <w:r w:rsidR="00620111">
        <w:rPr>
          <w:rFonts w:ascii="Times New Roman" w:hAnsi="Times New Roman"/>
          <w:sz w:val="26"/>
          <w:szCs w:val="24"/>
        </w:rPr>
        <w:t xml:space="preserve"> and the OSBA filed Complai</w:t>
      </w:r>
      <w:r w:rsidR="00B745C2">
        <w:rPr>
          <w:rFonts w:ascii="Times New Roman" w:hAnsi="Times New Roman"/>
          <w:sz w:val="26"/>
          <w:szCs w:val="24"/>
        </w:rPr>
        <w:t>nt</w:t>
      </w:r>
      <w:r w:rsidR="00620111">
        <w:rPr>
          <w:rFonts w:ascii="Times New Roman" w:hAnsi="Times New Roman"/>
          <w:sz w:val="26"/>
          <w:szCs w:val="24"/>
        </w:rPr>
        <w:t xml:space="preserve">s, docketed by the Commission at </w:t>
      </w:r>
      <w:r w:rsidRPr="00B141C4">
        <w:rPr>
          <w:rFonts w:ascii="Times New Roman" w:hAnsi="Times New Roman"/>
          <w:sz w:val="26"/>
          <w:szCs w:val="24"/>
        </w:rPr>
        <w:t>C-2009-2095740</w:t>
      </w:r>
      <w:r w:rsidR="00620111">
        <w:rPr>
          <w:rFonts w:ascii="Times New Roman" w:hAnsi="Times New Roman"/>
          <w:sz w:val="26"/>
          <w:szCs w:val="24"/>
        </w:rPr>
        <w:t xml:space="preserve"> and</w:t>
      </w:r>
      <w:r w:rsidRPr="00B141C4">
        <w:rPr>
          <w:rFonts w:ascii="Times New Roman" w:hAnsi="Times New Roman"/>
          <w:sz w:val="26"/>
          <w:szCs w:val="24"/>
        </w:rPr>
        <w:t xml:space="preserve"> C-2009-2096866,</w:t>
      </w:r>
      <w:r w:rsidR="00620111">
        <w:rPr>
          <w:rFonts w:ascii="Times New Roman" w:hAnsi="Times New Roman"/>
          <w:sz w:val="26"/>
          <w:szCs w:val="24"/>
        </w:rPr>
        <w:t xml:space="preserve"> respectively</w:t>
      </w:r>
      <w:r w:rsidR="001B5B75">
        <w:rPr>
          <w:rFonts w:ascii="Times New Roman" w:hAnsi="Times New Roman"/>
          <w:sz w:val="26"/>
          <w:szCs w:val="24"/>
        </w:rPr>
        <w:t xml:space="preserve">.  </w:t>
      </w:r>
      <w:r w:rsidRPr="00B141C4">
        <w:rPr>
          <w:rFonts w:ascii="Times New Roman" w:hAnsi="Times New Roman"/>
          <w:sz w:val="26"/>
          <w:szCs w:val="24"/>
        </w:rPr>
        <w:t>The Retail E</w:t>
      </w:r>
      <w:r w:rsidR="000C1524">
        <w:rPr>
          <w:rFonts w:ascii="Times New Roman" w:hAnsi="Times New Roman"/>
          <w:sz w:val="26"/>
          <w:szCs w:val="24"/>
        </w:rPr>
        <w:t>nergy Supply Association (RESA)</w:t>
      </w:r>
      <w:r w:rsidRPr="00B141C4">
        <w:rPr>
          <w:rFonts w:ascii="Times New Roman" w:hAnsi="Times New Roman"/>
          <w:sz w:val="26"/>
          <w:szCs w:val="24"/>
        </w:rPr>
        <w:t xml:space="preserve"> and Dominion Retail Inc. (Dominion Retail) both</w:t>
      </w:r>
      <w:r w:rsidR="001B5B75">
        <w:rPr>
          <w:rFonts w:ascii="Times New Roman" w:hAnsi="Times New Roman"/>
          <w:sz w:val="26"/>
          <w:szCs w:val="24"/>
        </w:rPr>
        <w:t xml:space="preserve"> </w:t>
      </w:r>
      <w:r w:rsidRPr="00B141C4">
        <w:rPr>
          <w:rFonts w:ascii="Times New Roman" w:hAnsi="Times New Roman"/>
          <w:sz w:val="26"/>
          <w:szCs w:val="24"/>
        </w:rPr>
        <w:t>became active parties to this consolidated proceeding</w:t>
      </w:r>
      <w:r w:rsidR="001B5B75">
        <w:rPr>
          <w:rFonts w:ascii="Times New Roman" w:hAnsi="Times New Roman"/>
          <w:sz w:val="26"/>
          <w:szCs w:val="24"/>
        </w:rPr>
        <w:t xml:space="preserve"> through Petitions to Intervene</w:t>
      </w:r>
      <w:r w:rsidRPr="00B141C4">
        <w:rPr>
          <w:rFonts w:ascii="Times New Roman" w:hAnsi="Times New Roman"/>
          <w:sz w:val="26"/>
          <w:szCs w:val="24"/>
        </w:rPr>
        <w:t>.</w:t>
      </w:r>
    </w:p>
    <w:p w:rsidR="00B141C4" w:rsidRPr="00B141C4" w:rsidRDefault="00B141C4" w:rsidP="00B141C4">
      <w:pPr>
        <w:spacing w:line="360" w:lineRule="auto"/>
        <w:rPr>
          <w:rFonts w:ascii="Times New Roman" w:hAnsi="Times New Roman"/>
          <w:sz w:val="26"/>
          <w:szCs w:val="24"/>
        </w:rPr>
      </w:pPr>
    </w:p>
    <w:p w:rsidR="00D40147" w:rsidRDefault="001D73E2" w:rsidP="00B141C4">
      <w:pPr>
        <w:spacing w:line="360" w:lineRule="auto"/>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t xml:space="preserve">On June 5, 2009, </w:t>
      </w:r>
      <w:r w:rsidR="00AD5187">
        <w:rPr>
          <w:rFonts w:ascii="Times New Roman" w:hAnsi="Times New Roman"/>
          <w:sz w:val="26"/>
          <w:szCs w:val="24"/>
        </w:rPr>
        <w:t xml:space="preserve">Peoples, OTS, OCA, OSBA and RESA (collectively, Petitioners) notified the ALJ that </w:t>
      </w:r>
      <w:r w:rsidR="00B141C4" w:rsidRPr="00B141C4">
        <w:rPr>
          <w:rFonts w:ascii="Times New Roman" w:hAnsi="Times New Roman"/>
          <w:sz w:val="26"/>
          <w:szCs w:val="24"/>
        </w:rPr>
        <w:t xml:space="preserve">a settlement </w:t>
      </w:r>
      <w:r w:rsidR="00AD5187">
        <w:rPr>
          <w:rFonts w:ascii="Times New Roman" w:hAnsi="Times New Roman"/>
          <w:sz w:val="26"/>
          <w:szCs w:val="24"/>
        </w:rPr>
        <w:t xml:space="preserve">had been reached which resolved </w:t>
      </w:r>
      <w:r w:rsidR="00B141C4" w:rsidRPr="00B141C4">
        <w:rPr>
          <w:rFonts w:ascii="Times New Roman" w:hAnsi="Times New Roman"/>
          <w:sz w:val="26"/>
          <w:szCs w:val="24"/>
        </w:rPr>
        <w:t>the various issues raised by this proceeding, save one.  The Petitioners thereafter agreed to stipulate to the identification and authenticity of their respective prepared written statements and exhibits (as corrected on the record at the June 11, 2009 hearing) for admission into the record without cross-examination.  Thereafter, a Joint Settlement</w:t>
      </w:r>
      <w:r w:rsidR="00B141C4" w:rsidRPr="00B141C4">
        <w:rPr>
          <w:rFonts w:ascii="Times New Roman" w:hAnsi="Times New Roman"/>
          <w:sz w:val="26"/>
          <w:szCs w:val="24"/>
          <w:vertAlign w:val="superscript"/>
        </w:rPr>
        <w:footnoteReference w:id="4"/>
      </w:r>
      <w:r w:rsidR="00B141C4" w:rsidRPr="00B141C4">
        <w:rPr>
          <w:rFonts w:ascii="Times New Roman" w:hAnsi="Times New Roman"/>
          <w:sz w:val="26"/>
          <w:szCs w:val="24"/>
        </w:rPr>
        <w:t xml:space="preserve"> was filed and served on all parties on June 23, 2009.</w:t>
      </w:r>
      <w:r w:rsidR="00B141C4" w:rsidRPr="00B141C4">
        <w:rPr>
          <w:rFonts w:ascii="Times New Roman" w:hAnsi="Times New Roman"/>
          <w:sz w:val="26"/>
          <w:szCs w:val="24"/>
          <w:vertAlign w:val="superscript"/>
        </w:rPr>
        <w:footnoteReference w:id="5"/>
      </w:r>
      <w:r w:rsidR="00B141C4" w:rsidRPr="00B141C4">
        <w:rPr>
          <w:rFonts w:ascii="Times New Roman" w:hAnsi="Times New Roman"/>
          <w:sz w:val="26"/>
          <w:szCs w:val="24"/>
        </w:rPr>
        <w:t xml:space="preserve">  Peoples, OTS and OSBA each filed main and reply briefs on the issue of unaccounted-for gas and Company-use gas</w:t>
      </w:r>
      <w:r w:rsidR="001E630E">
        <w:rPr>
          <w:rFonts w:ascii="Times New Roman" w:hAnsi="Times New Roman"/>
          <w:sz w:val="26"/>
          <w:szCs w:val="24"/>
        </w:rPr>
        <w:t xml:space="preserve"> </w:t>
      </w:r>
      <w:r w:rsidR="001E630E">
        <w:rPr>
          <w:rFonts w:ascii="Times New Roman" w:hAnsi="Times New Roman"/>
          <w:sz w:val="26"/>
          <w:szCs w:val="24"/>
        </w:rPr>
        <w:lastRenderedPageBreak/>
        <w:t>(LUFG/CU)</w:t>
      </w:r>
      <w:r w:rsidR="00B141C4" w:rsidRPr="00B141C4">
        <w:rPr>
          <w:rFonts w:ascii="Times New Roman" w:hAnsi="Times New Roman"/>
          <w:sz w:val="26"/>
          <w:szCs w:val="24"/>
        </w:rPr>
        <w:t xml:space="preserve">.  The record closed on July 2, 2009.  No comments or objections to the proposed </w:t>
      </w:r>
      <w:r w:rsidR="00D7211C">
        <w:rPr>
          <w:rFonts w:ascii="Times New Roman" w:hAnsi="Times New Roman"/>
          <w:sz w:val="26"/>
          <w:szCs w:val="24"/>
        </w:rPr>
        <w:t xml:space="preserve">Joint </w:t>
      </w:r>
      <w:r w:rsidR="00B141C4" w:rsidRPr="00B141C4">
        <w:rPr>
          <w:rFonts w:ascii="Times New Roman" w:hAnsi="Times New Roman"/>
          <w:sz w:val="26"/>
          <w:szCs w:val="24"/>
        </w:rPr>
        <w:t xml:space="preserve">Settlement were received by the established deadline of July 2, 2009. </w:t>
      </w:r>
    </w:p>
    <w:p w:rsidR="00D40147" w:rsidRDefault="00D40147" w:rsidP="00B141C4">
      <w:pPr>
        <w:spacing w:line="360" w:lineRule="auto"/>
        <w:rPr>
          <w:rFonts w:ascii="Times New Roman" w:hAnsi="Times New Roman"/>
          <w:sz w:val="26"/>
          <w:szCs w:val="24"/>
        </w:rPr>
      </w:pPr>
    </w:p>
    <w:p w:rsidR="00F41157" w:rsidRDefault="00D40147" w:rsidP="00B141C4">
      <w:pPr>
        <w:spacing w:line="360" w:lineRule="auto"/>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t xml:space="preserve">The proposed GCR pursuant to Appendix A of the Joint Settlement is $7.4117 per Mcf.  This represents a decrease </w:t>
      </w:r>
      <w:r w:rsidR="00507613">
        <w:rPr>
          <w:rFonts w:ascii="Times New Roman" w:hAnsi="Times New Roman"/>
          <w:sz w:val="26"/>
          <w:szCs w:val="24"/>
        </w:rPr>
        <w:t xml:space="preserve">of $41 million </w:t>
      </w:r>
      <w:r>
        <w:rPr>
          <w:rFonts w:ascii="Times New Roman" w:hAnsi="Times New Roman"/>
          <w:sz w:val="26"/>
          <w:szCs w:val="24"/>
        </w:rPr>
        <w:t>from Peoples’</w:t>
      </w:r>
      <w:r w:rsidR="00507613">
        <w:rPr>
          <w:rFonts w:ascii="Times New Roman" w:hAnsi="Times New Roman"/>
          <w:sz w:val="26"/>
          <w:szCs w:val="24"/>
        </w:rPr>
        <w:t xml:space="preserve"> GCR effective April 1, 2009.  It represents an increase of $11.5 million from Peoples’ GCR effective July 1, 2009.  </w:t>
      </w:r>
    </w:p>
    <w:p w:rsidR="00FA3169" w:rsidRDefault="00FA3169" w:rsidP="00B141C4">
      <w:pPr>
        <w:spacing w:line="360" w:lineRule="auto"/>
        <w:rPr>
          <w:rFonts w:ascii="Times New Roman" w:hAnsi="Times New Roman"/>
          <w:sz w:val="26"/>
          <w:szCs w:val="24"/>
        </w:rPr>
      </w:pPr>
    </w:p>
    <w:p w:rsidR="00FA3169" w:rsidRDefault="00F41157" w:rsidP="00FA3169">
      <w:pPr>
        <w:spacing w:line="360" w:lineRule="auto"/>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t xml:space="preserve">By the Recommended Decision dated July 24, 2009, ALJ Corbett recommended approval of the Joint Settlement.  With regard to the only litigated issue in this proceeding, </w:t>
      </w:r>
      <w:r w:rsidR="00626580">
        <w:rPr>
          <w:rFonts w:ascii="Times New Roman" w:hAnsi="Times New Roman"/>
          <w:sz w:val="26"/>
          <w:szCs w:val="24"/>
        </w:rPr>
        <w:t xml:space="preserve">the level of </w:t>
      </w:r>
      <w:r w:rsidR="00E110FB">
        <w:rPr>
          <w:rFonts w:ascii="Times New Roman" w:hAnsi="Times New Roman"/>
          <w:sz w:val="26"/>
          <w:szCs w:val="24"/>
        </w:rPr>
        <w:t>LUFG/</w:t>
      </w:r>
      <w:r w:rsidR="00A33E6D">
        <w:rPr>
          <w:rFonts w:ascii="Times New Roman" w:hAnsi="Times New Roman"/>
          <w:sz w:val="26"/>
          <w:szCs w:val="24"/>
        </w:rPr>
        <w:t>CU</w:t>
      </w:r>
      <w:r w:rsidR="00626580">
        <w:rPr>
          <w:rFonts w:ascii="Times New Roman" w:hAnsi="Times New Roman"/>
          <w:sz w:val="26"/>
          <w:szCs w:val="24"/>
        </w:rPr>
        <w:t xml:space="preserve">, the ALJ recommended </w:t>
      </w:r>
      <w:r w:rsidR="00D7211C">
        <w:rPr>
          <w:rFonts w:ascii="Times New Roman" w:hAnsi="Times New Roman"/>
          <w:sz w:val="26"/>
          <w:szCs w:val="24"/>
        </w:rPr>
        <w:t xml:space="preserve">adoption of the Joint Settlement position and the </w:t>
      </w:r>
      <w:r w:rsidR="00A33E6D">
        <w:rPr>
          <w:rFonts w:ascii="Times New Roman" w:hAnsi="Times New Roman"/>
          <w:sz w:val="26"/>
          <w:szCs w:val="24"/>
        </w:rPr>
        <w:t>rejection of the position advanced by the OSBA</w:t>
      </w:r>
      <w:r w:rsidR="00D7211C">
        <w:rPr>
          <w:rFonts w:ascii="Times New Roman" w:hAnsi="Times New Roman"/>
          <w:sz w:val="26"/>
          <w:szCs w:val="24"/>
        </w:rPr>
        <w:t>.</w:t>
      </w:r>
      <w:r w:rsidR="00A33E6D">
        <w:rPr>
          <w:rFonts w:ascii="Times New Roman" w:hAnsi="Times New Roman"/>
          <w:sz w:val="26"/>
          <w:szCs w:val="24"/>
        </w:rPr>
        <w:t xml:space="preserve"> </w:t>
      </w:r>
      <w:r w:rsidR="00A138BE">
        <w:rPr>
          <w:rFonts w:ascii="Times New Roman" w:hAnsi="Times New Roman"/>
          <w:sz w:val="26"/>
          <w:szCs w:val="24"/>
        </w:rPr>
        <w:t>Timely Exceptions were filed by OSBA solely with regard to the issue of LUFG/CU.  Reply Exceptions were filed by Peoples and OTS.</w:t>
      </w:r>
      <w:r w:rsidR="00A33E6D">
        <w:rPr>
          <w:rFonts w:ascii="Times New Roman" w:hAnsi="Times New Roman"/>
          <w:sz w:val="26"/>
          <w:szCs w:val="24"/>
        </w:rPr>
        <w:t xml:space="preserve"> </w:t>
      </w:r>
    </w:p>
    <w:p w:rsidR="00FA3169" w:rsidRDefault="00FA3169" w:rsidP="00FA3169">
      <w:pPr>
        <w:spacing w:line="360" w:lineRule="auto"/>
        <w:rPr>
          <w:rFonts w:ascii="Times New Roman" w:hAnsi="Times New Roman"/>
          <w:sz w:val="26"/>
          <w:szCs w:val="24"/>
        </w:rPr>
      </w:pPr>
    </w:p>
    <w:p w:rsidR="00A6097F" w:rsidRPr="00FA3169" w:rsidRDefault="00972EEB" w:rsidP="00FA3169">
      <w:pPr>
        <w:spacing w:line="360" w:lineRule="auto"/>
        <w:jc w:val="center"/>
        <w:rPr>
          <w:rFonts w:ascii="Times New Roman" w:hAnsi="Times New Roman"/>
          <w:sz w:val="26"/>
          <w:szCs w:val="24"/>
        </w:rPr>
      </w:pPr>
      <w:r w:rsidRPr="00CA511D">
        <w:rPr>
          <w:rFonts w:ascii="Times New Roman" w:hAnsi="Times New Roman"/>
          <w:b/>
          <w:sz w:val="26"/>
          <w:szCs w:val="26"/>
          <w:u w:val="single"/>
        </w:rPr>
        <w:t>Discussion</w:t>
      </w:r>
    </w:p>
    <w:p w:rsidR="0035317A" w:rsidRDefault="0035317A" w:rsidP="00ED41D3">
      <w:pPr>
        <w:keepNext/>
        <w:keepLines/>
        <w:tabs>
          <w:tab w:val="center" w:pos="720"/>
        </w:tabs>
        <w:suppressAutoHyphens/>
        <w:spacing w:line="360" w:lineRule="auto"/>
        <w:rPr>
          <w:rFonts w:ascii="Times New Roman" w:hAnsi="Times New Roman"/>
          <w:b/>
          <w:sz w:val="26"/>
          <w:szCs w:val="26"/>
          <w:u w:val="single"/>
        </w:rPr>
      </w:pPr>
    </w:p>
    <w:p w:rsidR="004B624C" w:rsidRDefault="0035317A" w:rsidP="00ED41D3">
      <w:pPr>
        <w:keepNext/>
        <w:keepLines/>
        <w:tabs>
          <w:tab w:val="center" w:pos="720"/>
        </w:tabs>
        <w:suppressAutoHyphens/>
        <w:spacing w:line="360" w:lineRule="auto"/>
        <w:rPr>
          <w:rFonts w:ascii="Times New (W1)" w:hAnsi="Times New (W1)"/>
          <w:sz w:val="26"/>
          <w:szCs w:val="26"/>
        </w:rPr>
      </w:pPr>
      <w:r w:rsidRPr="00EA1D62">
        <w:rPr>
          <w:rFonts w:ascii="Times New (W1)" w:hAnsi="Times New (W1)"/>
          <w:sz w:val="26"/>
          <w:szCs w:val="26"/>
        </w:rPr>
        <w:tab/>
      </w:r>
      <w:r w:rsidRPr="00EA1D62">
        <w:rPr>
          <w:rFonts w:ascii="Times New (W1)" w:hAnsi="Times New (W1)"/>
          <w:sz w:val="26"/>
          <w:szCs w:val="26"/>
        </w:rPr>
        <w:tab/>
      </w:r>
      <w:r w:rsidR="00B96DA1">
        <w:rPr>
          <w:rFonts w:ascii="Times New (W1)" w:hAnsi="Times New (W1)"/>
          <w:sz w:val="26"/>
          <w:szCs w:val="26"/>
        </w:rPr>
        <w:t>W</w:t>
      </w:r>
      <w:r w:rsidRPr="00EA1D62">
        <w:rPr>
          <w:rFonts w:ascii="Times New (W1)" w:hAnsi="Times New (W1)"/>
          <w:sz w:val="26"/>
          <w:szCs w:val="26"/>
        </w:rPr>
        <w:t>e note that any issue or Exception</w:t>
      </w:r>
      <w:r w:rsidR="00B96DA1">
        <w:rPr>
          <w:rFonts w:ascii="Times New (W1)" w:hAnsi="Times New (W1)"/>
          <w:sz w:val="26"/>
          <w:szCs w:val="26"/>
        </w:rPr>
        <w:t>, which</w:t>
      </w:r>
      <w:r w:rsidRPr="00EA1D62">
        <w:rPr>
          <w:rFonts w:ascii="Times New (W1)" w:hAnsi="Times New (W1)"/>
          <w:sz w:val="26"/>
          <w:szCs w:val="26"/>
        </w:rPr>
        <w:t xml:space="preserve"> we do not specifically address </w:t>
      </w:r>
      <w:r w:rsidR="002067F2">
        <w:rPr>
          <w:rFonts w:ascii="Times New (W1)" w:hAnsi="Times New (W1)"/>
          <w:sz w:val="26"/>
          <w:szCs w:val="26"/>
        </w:rPr>
        <w:t xml:space="preserve">herein, </w:t>
      </w:r>
      <w:r w:rsidRPr="00EA1D62">
        <w:rPr>
          <w:rFonts w:ascii="Times New (W1)" w:hAnsi="Times New (W1)"/>
          <w:sz w:val="26"/>
          <w:szCs w:val="26"/>
        </w:rPr>
        <w:t xml:space="preserve">has been duly considered and will be denied without further discussion.  It is well settled that we are not required to consider, expressly or at length, each contention or argument raised by the parties.  </w:t>
      </w:r>
      <w:r w:rsidR="002067F2">
        <w:rPr>
          <w:rFonts w:ascii="Times New (W1)" w:hAnsi="Times New (W1)"/>
          <w:i/>
          <w:sz w:val="26"/>
          <w:szCs w:val="26"/>
        </w:rPr>
        <w:t>Wheeling &amp; Lake Erie Railway Co.</w:t>
      </w:r>
      <w:r w:rsidRPr="00EA1D62">
        <w:rPr>
          <w:rFonts w:ascii="Times New (W1)" w:hAnsi="Times New (W1)"/>
          <w:i/>
          <w:sz w:val="26"/>
          <w:szCs w:val="26"/>
        </w:rPr>
        <w:t> v. Pa</w:t>
      </w:r>
      <w:r w:rsidR="002067F2">
        <w:rPr>
          <w:rFonts w:ascii="Times New (W1)" w:hAnsi="Times New (W1)"/>
          <w:i/>
          <w:sz w:val="26"/>
          <w:szCs w:val="26"/>
        </w:rPr>
        <w:t>.</w:t>
      </w:r>
      <w:r w:rsidRPr="00EA1D62">
        <w:rPr>
          <w:rFonts w:ascii="Times New (W1)" w:hAnsi="Times New (W1)"/>
          <w:i/>
          <w:sz w:val="26"/>
          <w:szCs w:val="26"/>
        </w:rPr>
        <w:t xml:space="preserve"> PUC</w:t>
      </w:r>
      <w:r w:rsidRPr="00EA1D62">
        <w:rPr>
          <w:rFonts w:ascii="Times New (W1)" w:hAnsi="Times New (W1)"/>
          <w:sz w:val="26"/>
          <w:szCs w:val="26"/>
        </w:rPr>
        <w:t xml:space="preserve">, </w:t>
      </w:r>
      <w:r w:rsidR="002067F2">
        <w:rPr>
          <w:rFonts w:ascii="Times New (W1)" w:hAnsi="Times New (W1)"/>
          <w:sz w:val="26"/>
          <w:szCs w:val="26"/>
        </w:rPr>
        <w:t>778 A.2d 785, 794 (Pa. Cmwlth. 2001</w:t>
      </w:r>
      <w:r w:rsidRPr="00EA1D62">
        <w:rPr>
          <w:rFonts w:ascii="Times New (W1)" w:hAnsi="Times New (W1)"/>
          <w:sz w:val="26"/>
          <w:szCs w:val="26"/>
        </w:rPr>
        <w:t>)</w:t>
      </w:r>
      <w:r w:rsidR="002067F2">
        <w:rPr>
          <w:rFonts w:ascii="Times New (W1)" w:hAnsi="Times New (W1)"/>
          <w:sz w:val="26"/>
          <w:szCs w:val="26"/>
        </w:rPr>
        <w:t>, also</w:t>
      </w:r>
      <w:r w:rsidRPr="00EA1D62">
        <w:rPr>
          <w:rFonts w:ascii="Times New (W1)" w:hAnsi="Times New (W1)"/>
          <w:sz w:val="26"/>
          <w:szCs w:val="26"/>
        </w:rPr>
        <w:t xml:space="preserve"> </w:t>
      </w:r>
      <w:r w:rsidRPr="00EA1D62">
        <w:rPr>
          <w:rFonts w:ascii="Times New (W1)" w:hAnsi="Times New (W1)"/>
          <w:i/>
          <w:sz w:val="26"/>
          <w:szCs w:val="26"/>
        </w:rPr>
        <w:t>se</w:t>
      </w:r>
      <w:r w:rsidR="002067F2">
        <w:rPr>
          <w:rFonts w:ascii="Times New (W1)" w:hAnsi="Times New (W1)"/>
          <w:i/>
          <w:sz w:val="26"/>
          <w:szCs w:val="26"/>
        </w:rPr>
        <w:t>e</w:t>
      </w:r>
      <w:r w:rsidRPr="00EA1D62">
        <w:rPr>
          <w:rFonts w:ascii="Times New (W1)" w:hAnsi="Times New (W1)"/>
          <w:sz w:val="26"/>
          <w:szCs w:val="26"/>
        </w:rPr>
        <w:t xml:space="preserve">, </w:t>
      </w:r>
      <w:r w:rsidR="002067F2">
        <w:rPr>
          <w:rFonts w:ascii="Times New (W1)" w:hAnsi="Times New (W1)"/>
          <w:i/>
          <w:sz w:val="26"/>
          <w:szCs w:val="26"/>
        </w:rPr>
        <w:t xml:space="preserve">generally, </w:t>
      </w:r>
      <w:r w:rsidRPr="00EA1D62">
        <w:rPr>
          <w:rFonts w:ascii="Times New (W1)" w:hAnsi="Times New (W1)"/>
          <w:i/>
          <w:sz w:val="26"/>
          <w:szCs w:val="26"/>
        </w:rPr>
        <w:t>University of Pennsylvania v. P</w:t>
      </w:r>
      <w:r w:rsidR="002067F2">
        <w:rPr>
          <w:rFonts w:ascii="Times New (W1)" w:hAnsi="Times New (W1)"/>
          <w:i/>
          <w:sz w:val="26"/>
          <w:szCs w:val="26"/>
        </w:rPr>
        <w:t>a. P</w:t>
      </w:r>
      <w:r w:rsidRPr="00EA1D62">
        <w:rPr>
          <w:rFonts w:ascii="Times New (W1)" w:hAnsi="Times New (W1)"/>
          <w:i/>
          <w:sz w:val="26"/>
          <w:szCs w:val="26"/>
        </w:rPr>
        <w:t>UC</w:t>
      </w:r>
      <w:r w:rsidRPr="00EA1D62">
        <w:rPr>
          <w:rFonts w:ascii="Times New (W1)" w:hAnsi="Times New (W1)"/>
          <w:sz w:val="26"/>
          <w:szCs w:val="26"/>
        </w:rPr>
        <w:t>, 485 A.2d 1217 (Pa. Cmwlth. 1984).</w:t>
      </w:r>
      <w:r w:rsidRPr="00EA1D62">
        <w:rPr>
          <w:rFonts w:ascii="Times New (W1)" w:hAnsi="Times New (W1)"/>
          <w:sz w:val="26"/>
          <w:szCs w:val="26"/>
        </w:rPr>
        <w:tab/>
      </w:r>
    </w:p>
    <w:p w:rsidR="004341BA" w:rsidRDefault="004341BA" w:rsidP="00797A0E">
      <w:pPr>
        <w:tabs>
          <w:tab w:val="center" w:pos="720"/>
        </w:tabs>
        <w:suppressAutoHyphens/>
        <w:spacing w:line="360" w:lineRule="auto"/>
        <w:rPr>
          <w:rFonts w:ascii="Times New (W1)" w:hAnsi="Times New (W1)"/>
          <w:sz w:val="26"/>
          <w:szCs w:val="26"/>
        </w:rPr>
      </w:pPr>
    </w:p>
    <w:p w:rsidR="00682147" w:rsidRDefault="00682147" w:rsidP="00797A0E">
      <w:pPr>
        <w:tabs>
          <w:tab w:val="left" w:pos="-720"/>
        </w:tabs>
        <w:suppressAutoHyphens/>
        <w:spacing w:line="360" w:lineRule="auto"/>
        <w:rPr>
          <w:snapToGrid w:val="0"/>
          <w:sz w:val="26"/>
          <w:szCs w:val="26"/>
        </w:rPr>
      </w:pPr>
      <w:r>
        <w:rPr>
          <w:snapToGrid w:val="0"/>
          <w:sz w:val="26"/>
          <w:szCs w:val="26"/>
        </w:rPr>
        <w:tab/>
      </w:r>
      <w:r>
        <w:rPr>
          <w:snapToGrid w:val="0"/>
          <w:sz w:val="26"/>
          <w:szCs w:val="26"/>
        </w:rPr>
        <w:tab/>
        <w:t xml:space="preserve">As we review the Exceptions, </w:t>
      </w:r>
      <w:r w:rsidR="00ED41D3">
        <w:rPr>
          <w:snapToGrid w:val="0"/>
          <w:sz w:val="26"/>
          <w:szCs w:val="26"/>
        </w:rPr>
        <w:t xml:space="preserve">the Joint </w:t>
      </w:r>
      <w:r w:rsidR="00D123EA">
        <w:rPr>
          <w:snapToGrid w:val="0"/>
          <w:sz w:val="26"/>
          <w:szCs w:val="26"/>
        </w:rPr>
        <w:t>Settlement</w:t>
      </w:r>
      <w:r w:rsidR="00ED41D3">
        <w:rPr>
          <w:snapToGrid w:val="0"/>
          <w:sz w:val="26"/>
          <w:szCs w:val="26"/>
        </w:rPr>
        <w:t xml:space="preserve">, </w:t>
      </w:r>
      <w:r>
        <w:rPr>
          <w:snapToGrid w:val="0"/>
          <w:sz w:val="26"/>
          <w:szCs w:val="26"/>
        </w:rPr>
        <w:t>the ALJ’s recommendation and the arguments of the Parties, we are guided by the standards set forth</w:t>
      </w:r>
      <w:r w:rsidR="00467C9A">
        <w:rPr>
          <w:snapToGrid w:val="0"/>
          <w:sz w:val="26"/>
          <w:szCs w:val="26"/>
        </w:rPr>
        <w:t xml:space="preserve"> in Section 1318(a) of the Code</w:t>
      </w:r>
      <w:r>
        <w:rPr>
          <w:snapToGrid w:val="0"/>
          <w:sz w:val="26"/>
          <w:szCs w:val="26"/>
        </w:rPr>
        <w:t xml:space="preserve">, 66 Pa. C.S. § 1318(a).  Section 1318 of the Code </w:t>
      </w:r>
      <w:r>
        <w:rPr>
          <w:snapToGrid w:val="0"/>
          <w:sz w:val="26"/>
          <w:szCs w:val="26"/>
        </w:rPr>
        <w:lastRenderedPageBreak/>
        <w:t>provides that no rates proposed under Section 1307(f) can be deemed just and reasonable unless this Commission finds that the utility has pursued a least cost fuel procurement policy, consistent with the utility’s duty to provide safe, adequate and reliable service.  In order to make that determination, Section 1318(a) requires that we make the following specific findings:</w:t>
      </w:r>
    </w:p>
    <w:p w:rsidR="00682147" w:rsidRDefault="00682147" w:rsidP="00797A0E">
      <w:pPr>
        <w:tabs>
          <w:tab w:val="left" w:pos="-720"/>
        </w:tabs>
        <w:suppressAutoHyphens/>
        <w:spacing w:line="360" w:lineRule="auto"/>
        <w:rPr>
          <w:snapToGrid w:val="0"/>
          <w:sz w:val="26"/>
          <w:szCs w:val="26"/>
        </w:rPr>
      </w:pPr>
    </w:p>
    <w:p w:rsidR="00682147" w:rsidRDefault="00682147" w:rsidP="00797A0E">
      <w:pPr>
        <w:tabs>
          <w:tab w:val="left" w:pos="-720"/>
        </w:tabs>
        <w:suppressAutoHyphens/>
        <w:ind w:left="1440" w:right="1440"/>
        <w:rPr>
          <w:snapToGrid w:val="0"/>
          <w:sz w:val="26"/>
          <w:szCs w:val="26"/>
        </w:rPr>
      </w:pPr>
      <w:r>
        <w:rPr>
          <w:snapToGrid w:val="0"/>
          <w:sz w:val="26"/>
          <w:szCs w:val="26"/>
        </w:rPr>
        <w:t>(1)  The utility has fully and vigorously represented the interests of its ratepayers in proceedings before the Federal Energy Regulatory Commission.</w:t>
      </w:r>
    </w:p>
    <w:p w:rsidR="00682147" w:rsidRDefault="00682147" w:rsidP="00797A0E">
      <w:pPr>
        <w:tabs>
          <w:tab w:val="left" w:pos="-720"/>
        </w:tabs>
        <w:suppressAutoHyphens/>
        <w:ind w:left="1440" w:right="1440"/>
        <w:rPr>
          <w:snapToGrid w:val="0"/>
          <w:sz w:val="26"/>
          <w:szCs w:val="26"/>
        </w:rPr>
      </w:pPr>
    </w:p>
    <w:p w:rsidR="00682147" w:rsidRDefault="00682147" w:rsidP="00797A0E">
      <w:pPr>
        <w:tabs>
          <w:tab w:val="left" w:pos="-720"/>
        </w:tabs>
        <w:suppressAutoHyphens/>
        <w:ind w:left="1440" w:right="1440"/>
        <w:rPr>
          <w:snapToGrid w:val="0"/>
          <w:sz w:val="26"/>
          <w:szCs w:val="26"/>
        </w:rPr>
      </w:pPr>
      <w:r>
        <w:rPr>
          <w:snapToGrid w:val="0"/>
          <w:sz w:val="26"/>
          <w:szCs w:val="26"/>
        </w:rPr>
        <w:t>(2)  The utility has taken all prudent steps necessary to negotiate favorable gas supply contracts and to relieve the utility from terms in existing contracts with its gas suppliers which are or may be adverse to the interest of the utility’s ratepayers.</w:t>
      </w:r>
    </w:p>
    <w:p w:rsidR="00682147" w:rsidRDefault="00682147" w:rsidP="00797A0E">
      <w:pPr>
        <w:tabs>
          <w:tab w:val="left" w:pos="-720"/>
        </w:tabs>
        <w:suppressAutoHyphens/>
        <w:ind w:left="1440" w:right="1440"/>
        <w:rPr>
          <w:snapToGrid w:val="0"/>
          <w:sz w:val="26"/>
          <w:szCs w:val="26"/>
        </w:rPr>
      </w:pPr>
    </w:p>
    <w:p w:rsidR="00682147" w:rsidRDefault="00682147" w:rsidP="00797A0E">
      <w:pPr>
        <w:tabs>
          <w:tab w:val="left" w:pos="-720"/>
        </w:tabs>
        <w:suppressAutoHyphens/>
        <w:ind w:left="1440" w:right="1440"/>
        <w:rPr>
          <w:snapToGrid w:val="0"/>
          <w:sz w:val="26"/>
          <w:szCs w:val="26"/>
        </w:rPr>
      </w:pPr>
      <w:r>
        <w:rPr>
          <w:snapToGrid w:val="0"/>
          <w:sz w:val="26"/>
          <w:szCs w:val="26"/>
        </w:rPr>
        <w:t>(3)  The utility has taken all prudent steps necessary to obtain lower cost gas supplies on both short-term and long-term bases both within and outside the Commonwealth, including the use of gas transportation arrangements with pipelines and other distribution companies.</w:t>
      </w:r>
    </w:p>
    <w:p w:rsidR="00682147" w:rsidRDefault="00682147" w:rsidP="00797A0E">
      <w:pPr>
        <w:tabs>
          <w:tab w:val="left" w:pos="-720"/>
        </w:tabs>
        <w:suppressAutoHyphens/>
        <w:ind w:left="1440" w:right="1440"/>
        <w:rPr>
          <w:snapToGrid w:val="0"/>
          <w:sz w:val="26"/>
          <w:szCs w:val="26"/>
        </w:rPr>
      </w:pPr>
    </w:p>
    <w:p w:rsidR="00682147" w:rsidRDefault="00682147" w:rsidP="00797A0E">
      <w:pPr>
        <w:tabs>
          <w:tab w:val="left" w:pos="-720"/>
        </w:tabs>
        <w:suppressAutoHyphens/>
        <w:ind w:left="1440" w:right="1440"/>
        <w:rPr>
          <w:snapToGrid w:val="0"/>
          <w:sz w:val="26"/>
          <w:szCs w:val="26"/>
        </w:rPr>
      </w:pPr>
      <w:r>
        <w:rPr>
          <w:snapToGrid w:val="0"/>
          <w:sz w:val="26"/>
          <w:szCs w:val="26"/>
        </w:rPr>
        <w:t>(4)  The utility has not withheld from the market or caused to be withheld from the market any gas supplies which should have been utilized as part of a least cost fuel procurement policy.</w:t>
      </w:r>
    </w:p>
    <w:p w:rsidR="00682147" w:rsidRDefault="00682147" w:rsidP="00797A0E">
      <w:pPr>
        <w:tabs>
          <w:tab w:val="left" w:pos="-720"/>
        </w:tabs>
        <w:suppressAutoHyphens/>
        <w:spacing w:line="360" w:lineRule="auto"/>
        <w:rPr>
          <w:snapToGrid w:val="0"/>
          <w:sz w:val="26"/>
          <w:szCs w:val="26"/>
        </w:rPr>
      </w:pPr>
    </w:p>
    <w:p w:rsidR="00682147" w:rsidRDefault="00682147" w:rsidP="00797A0E">
      <w:pPr>
        <w:tabs>
          <w:tab w:val="left" w:pos="-720"/>
        </w:tabs>
        <w:suppressAutoHyphens/>
        <w:spacing w:line="360" w:lineRule="auto"/>
        <w:rPr>
          <w:snapToGrid w:val="0"/>
          <w:sz w:val="26"/>
          <w:szCs w:val="26"/>
        </w:rPr>
      </w:pPr>
      <w:r>
        <w:rPr>
          <w:snapToGrid w:val="0"/>
          <w:sz w:val="26"/>
          <w:szCs w:val="26"/>
        </w:rPr>
        <w:t xml:space="preserve">66 </w:t>
      </w:r>
      <w:smartTag w:uri="urn:schemas-microsoft-com:office:smarttags" w:element="place">
        <w:smartTag w:uri="urn:schemas-microsoft-com:office:smarttags" w:element="State">
          <w:r>
            <w:rPr>
              <w:snapToGrid w:val="0"/>
              <w:sz w:val="26"/>
              <w:szCs w:val="26"/>
            </w:rPr>
            <w:t>Pa.</w:t>
          </w:r>
        </w:smartTag>
      </w:smartTag>
      <w:r>
        <w:rPr>
          <w:snapToGrid w:val="0"/>
          <w:sz w:val="26"/>
          <w:szCs w:val="26"/>
        </w:rPr>
        <w:t xml:space="preserve"> C.S. § 1318(a).  </w:t>
      </w:r>
    </w:p>
    <w:p w:rsidR="00E158D0" w:rsidRDefault="00E158D0" w:rsidP="00797A0E">
      <w:pPr>
        <w:tabs>
          <w:tab w:val="left" w:pos="-720"/>
        </w:tabs>
        <w:suppressAutoHyphens/>
        <w:spacing w:line="360" w:lineRule="auto"/>
        <w:rPr>
          <w:snapToGrid w:val="0"/>
          <w:sz w:val="26"/>
          <w:szCs w:val="26"/>
        </w:rPr>
      </w:pPr>
    </w:p>
    <w:p w:rsidR="00901140" w:rsidRDefault="00E158D0" w:rsidP="00797A0E">
      <w:pPr>
        <w:spacing w:line="360" w:lineRule="auto"/>
        <w:rPr>
          <w:rFonts w:ascii="Times New Roman" w:hAnsi="Times New Roman"/>
          <w:iCs/>
          <w:sz w:val="26"/>
        </w:rPr>
      </w:pPr>
      <w:r>
        <w:rPr>
          <w:snapToGrid w:val="0"/>
          <w:sz w:val="26"/>
          <w:szCs w:val="26"/>
        </w:rPr>
        <w:tab/>
      </w:r>
      <w:r>
        <w:rPr>
          <w:snapToGrid w:val="0"/>
          <w:sz w:val="26"/>
          <w:szCs w:val="26"/>
        </w:rPr>
        <w:tab/>
        <w:t>In addition to the foregoing</w:t>
      </w:r>
      <w:r w:rsidR="00D8568E">
        <w:rPr>
          <w:snapToGrid w:val="0"/>
          <w:sz w:val="26"/>
          <w:szCs w:val="26"/>
        </w:rPr>
        <w:t>, Section 33</w:t>
      </w:r>
      <w:r w:rsidR="00E9367E">
        <w:rPr>
          <w:snapToGrid w:val="0"/>
          <w:sz w:val="26"/>
          <w:szCs w:val="26"/>
        </w:rPr>
        <w:t>2(a) of the Code, 66 Pa. C.S. § </w:t>
      </w:r>
      <w:r w:rsidR="00D8568E">
        <w:rPr>
          <w:snapToGrid w:val="0"/>
          <w:sz w:val="26"/>
          <w:szCs w:val="26"/>
        </w:rPr>
        <w:t xml:space="preserve">332(a), provides that the party seeking a rule or order from the Commission has the burden of proof in that proceeding.  It is axiomatic that “[a] litigant’s burden of proof before administrative tribunals as well as before most civil proceedings is satisfied by </w:t>
      </w:r>
      <w:r w:rsidR="00D8568E">
        <w:rPr>
          <w:snapToGrid w:val="0"/>
          <w:sz w:val="26"/>
          <w:szCs w:val="26"/>
        </w:rPr>
        <w:lastRenderedPageBreak/>
        <w:t xml:space="preserve">establishing a preponderance of evidence which is substantial and legally credible.”  </w:t>
      </w:r>
      <w:r w:rsidR="00D8568E">
        <w:rPr>
          <w:i/>
          <w:snapToGrid w:val="0"/>
          <w:sz w:val="26"/>
          <w:szCs w:val="26"/>
        </w:rPr>
        <w:t xml:space="preserve">Samuel J. Lansberry, Inc. </w:t>
      </w:r>
      <w:r w:rsidR="00797A0E">
        <w:rPr>
          <w:i/>
          <w:snapToGrid w:val="0"/>
          <w:sz w:val="26"/>
          <w:szCs w:val="26"/>
        </w:rPr>
        <w:t>v. Pa</w:t>
      </w:r>
      <w:r w:rsidR="00901140">
        <w:rPr>
          <w:i/>
          <w:snapToGrid w:val="0"/>
          <w:sz w:val="26"/>
          <w:szCs w:val="26"/>
        </w:rPr>
        <w:t>.</w:t>
      </w:r>
      <w:r w:rsidR="00797A0E">
        <w:rPr>
          <w:i/>
          <w:snapToGrid w:val="0"/>
          <w:sz w:val="26"/>
          <w:szCs w:val="26"/>
        </w:rPr>
        <w:t xml:space="preserve"> PUC</w:t>
      </w:r>
      <w:r w:rsidR="00797A0E">
        <w:rPr>
          <w:snapToGrid w:val="0"/>
          <w:sz w:val="26"/>
          <w:szCs w:val="26"/>
        </w:rPr>
        <w:t xml:space="preserve">, </w:t>
      </w:r>
      <w:r w:rsidR="00901140">
        <w:rPr>
          <w:snapToGrid w:val="0"/>
          <w:sz w:val="26"/>
          <w:szCs w:val="26"/>
        </w:rPr>
        <w:t>578</w:t>
      </w:r>
      <w:r w:rsidR="00797A0E" w:rsidRPr="00797A0E">
        <w:rPr>
          <w:rFonts w:ascii="Times New Roman" w:hAnsi="Times New Roman" w:cs="Arial"/>
          <w:bCs/>
          <w:sz w:val="26"/>
          <w:szCs w:val="18"/>
        </w:rPr>
        <w:t xml:space="preserve"> A.2d 6</w:t>
      </w:r>
      <w:r w:rsidR="00901140">
        <w:rPr>
          <w:rFonts w:ascii="Times New Roman" w:hAnsi="Times New Roman" w:cs="Arial"/>
          <w:bCs/>
          <w:sz w:val="26"/>
          <w:szCs w:val="18"/>
        </w:rPr>
        <w:t>00, 602</w:t>
      </w:r>
      <w:r w:rsidR="00797A0E">
        <w:rPr>
          <w:rFonts w:ascii="Times New Roman" w:hAnsi="Times New Roman" w:cs="Arial"/>
          <w:bCs/>
          <w:sz w:val="26"/>
          <w:szCs w:val="18"/>
        </w:rPr>
        <w:t xml:space="preserve"> (Pa. Cmwlth. </w:t>
      </w:r>
      <w:r w:rsidR="00901140">
        <w:rPr>
          <w:rFonts w:ascii="Times New Roman" w:hAnsi="Times New Roman" w:cs="Arial"/>
          <w:bCs/>
          <w:sz w:val="26"/>
          <w:szCs w:val="18"/>
        </w:rPr>
        <w:t>1990).  T</w:t>
      </w:r>
      <w:r w:rsidR="00797A0E">
        <w:rPr>
          <w:rFonts w:ascii="Times New Roman" w:hAnsi="Times New Roman"/>
          <w:iCs/>
          <w:sz w:val="26"/>
        </w:rPr>
        <w:t xml:space="preserve">he </w:t>
      </w:r>
      <w:r w:rsidR="00901140">
        <w:rPr>
          <w:rFonts w:ascii="Times New Roman" w:hAnsi="Times New Roman"/>
          <w:iCs/>
          <w:sz w:val="26"/>
        </w:rPr>
        <w:t xml:space="preserve">term “preponderance of the evidence” means that one party has presented evidence that is more convincing, by even the smallest amount, than the evidence presented by the other party.  </w:t>
      </w:r>
      <w:r w:rsidR="00901140">
        <w:rPr>
          <w:rFonts w:ascii="Times New Roman" w:hAnsi="Times New Roman"/>
          <w:i/>
          <w:iCs/>
          <w:sz w:val="26"/>
        </w:rPr>
        <w:t xml:space="preserve">Se-ling Hosiery v. Margulies, </w:t>
      </w:r>
      <w:r w:rsidR="00901140">
        <w:rPr>
          <w:rFonts w:ascii="Times New Roman" w:hAnsi="Times New Roman"/>
          <w:iCs/>
          <w:sz w:val="26"/>
        </w:rPr>
        <w:t>364 Pa. 45.70 A.2d</w:t>
      </w:r>
      <w:r w:rsidR="00F757A6">
        <w:rPr>
          <w:rFonts w:ascii="Times New Roman" w:hAnsi="Times New Roman"/>
          <w:iCs/>
          <w:sz w:val="26"/>
        </w:rPr>
        <w:t xml:space="preserve"> 857 (1950).</w:t>
      </w:r>
      <w:r w:rsidR="0051720D">
        <w:rPr>
          <w:rFonts w:ascii="Times New Roman" w:hAnsi="Times New Roman"/>
          <w:iCs/>
          <w:sz w:val="26"/>
        </w:rPr>
        <w:t xml:space="preserve">  In this instance, Peoples has the burden of proof.</w:t>
      </w:r>
    </w:p>
    <w:p w:rsidR="004539CA" w:rsidRDefault="004539CA" w:rsidP="00797A0E">
      <w:pPr>
        <w:spacing w:line="360" w:lineRule="auto"/>
        <w:rPr>
          <w:rFonts w:ascii="Times New Roman" w:hAnsi="Times New Roman"/>
          <w:iCs/>
          <w:sz w:val="26"/>
        </w:rPr>
      </w:pPr>
    </w:p>
    <w:p w:rsidR="00ED41D3" w:rsidRDefault="00ED41D3" w:rsidP="00797A0E">
      <w:pPr>
        <w:spacing w:line="360" w:lineRule="auto"/>
        <w:rPr>
          <w:rFonts w:ascii="Times New Roman" w:hAnsi="Times New Roman"/>
          <w:iCs/>
          <w:sz w:val="26"/>
        </w:rPr>
      </w:pPr>
      <w:r>
        <w:rPr>
          <w:rFonts w:ascii="Times New Roman" w:hAnsi="Times New Roman"/>
          <w:iCs/>
          <w:sz w:val="26"/>
        </w:rPr>
        <w:tab/>
      </w:r>
      <w:r>
        <w:rPr>
          <w:rFonts w:ascii="Times New Roman" w:hAnsi="Times New Roman"/>
          <w:iCs/>
          <w:sz w:val="26"/>
        </w:rPr>
        <w:tab/>
        <w:t xml:space="preserve">We will first address </w:t>
      </w:r>
      <w:r w:rsidR="00F757A6">
        <w:rPr>
          <w:rFonts w:ascii="Times New Roman" w:hAnsi="Times New Roman"/>
          <w:iCs/>
          <w:sz w:val="26"/>
        </w:rPr>
        <w:t>the only litigated issue in this proceeding, the level of</w:t>
      </w:r>
      <w:r>
        <w:rPr>
          <w:rFonts w:ascii="Times New Roman" w:hAnsi="Times New Roman"/>
          <w:iCs/>
          <w:sz w:val="26"/>
        </w:rPr>
        <w:t xml:space="preserve"> </w:t>
      </w:r>
      <w:r w:rsidR="00F757A6">
        <w:rPr>
          <w:rFonts w:ascii="Times New Roman" w:hAnsi="Times New Roman"/>
          <w:sz w:val="26"/>
          <w:szCs w:val="24"/>
        </w:rPr>
        <w:t>LUFG/CU</w:t>
      </w:r>
      <w:r w:rsidR="00F757A6">
        <w:rPr>
          <w:rFonts w:ascii="Times New Roman" w:hAnsi="Times New Roman"/>
          <w:iCs/>
          <w:sz w:val="26"/>
        </w:rPr>
        <w:t>,</w:t>
      </w:r>
      <w:r w:rsidR="00436F23">
        <w:rPr>
          <w:rFonts w:ascii="Times New Roman" w:hAnsi="Times New Roman"/>
          <w:iCs/>
          <w:sz w:val="26"/>
        </w:rPr>
        <w:t xml:space="preserve"> </w:t>
      </w:r>
      <w:r w:rsidR="00F757A6">
        <w:rPr>
          <w:rFonts w:ascii="Times New Roman" w:hAnsi="Times New Roman"/>
          <w:iCs/>
          <w:sz w:val="26"/>
        </w:rPr>
        <w:t>then move to a co</w:t>
      </w:r>
      <w:r>
        <w:rPr>
          <w:rFonts w:ascii="Times New Roman" w:hAnsi="Times New Roman"/>
          <w:iCs/>
          <w:sz w:val="26"/>
        </w:rPr>
        <w:t>nsider</w:t>
      </w:r>
      <w:r w:rsidR="00F757A6">
        <w:rPr>
          <w:rFonts w:ascii="Times New Roman" w:hAnsi="Times New Roman"/>
          <w:iCs/>
          <w:sz w:val="26"/>
        </w:rPr>
        <w:t>ation</w:t>
      </w:r>
      <w:r>
        <w:rPr>
          <w:rFonts w:ascii="Times New Roman" w:hAnsi="Times New Roman"/>
          <w:iCs/>
          <w:sz w:val="26"/>
        </w:rPr>
        <w:t xml:space="preserve"> </w:t>
      </w:r>
      <w:r w:rsidR="00436F23">
        <w:rPr>
          <w:rFonts w:ascii="Times New Roman" w:hAnsi="Times New Roman"/>
          <w:iCs/>
          <w:sz w:val="26"/>
        </w:rPr>
        <w:t xml:space="preserve">of </w:t>
      </w:r>
      <w:r>
        <w:rPr>
          <w:rFonts w:ascii="Times New Roman" w:hAnsi="Times New Roman"/>
          <w:iCs/>
          <w:sz w:val="26"/>
        </w:rPr>
        <w:t xml:space="preserve">the Joint </w:t>
      </w:r>
      <w:r w:rsidR="00F757A6">
        <w:rPr>
          <w:rFonts w:ascii="Times New Roman" w:hAnsi="Times New Roman"/>
          <w:iCs/>
          <w:sz w:val="26"/>
        </w:rPr>
        <w:t>Settlement</w:t>
      </w:r>
      <w:r>
        <w:rPr>
          <w:rFonts w:ascii="Times New Roman" w:hAnsi="Times New Roman"/>
          <w:iCs/>
          <w:sz w:val="26"/>
        </w:rPr>
        <w:t>.</w:t>
      </w:r>
      <w:r w:rsidR="002F6DBD">
        <w:rPr>
          <w:rFonts w:ascii="Times New Roman" w:hAnsi="Times New Roman"/>
          <w:iCs/>
          <w:sz w:val="26"/>
        </w:rPr>
        <w:t xml:space="preserve">  </w:t>
      </w:r>
    </w:p>
    <w:p w:rsidR="00405EA9" w:rsidRDefault="00405EA9" w:rsidP="00797A0E">
      <w:pPr>
        <w:spacing w:line="360" w:lineRule="auto"/>
        <w:rPr>
          <w:rFonts w:ascii="Times New Roman" w:hAnsi="Times New Roman"/>
          <w:iCs/>
          <w:sz w:val="26"/>
        </w:rPr>
      </w:pPr>
    </w:p>
    <w:p w:rsidR="00405EA9" w:rsidRPr="00405EA9" w:rsidRDefault="00405EA9" w:rsidP="00797A0E">
      <w:pPr>
        <w:spacing w:line="360" w:lineRule="auto"/>
        <w:rPr>
          <w:rFonts w:ascii="Times New Roman" w:hAnsi="Times New Roman"/>
          <w:b/>
          <w:iCs/>
          <w:sz w:val="26"/>
          <w:u w:val="single"/>
        </w:rPr>
      </w:pPr>
      <w:r>
        <w:rPr>
          <w:rFonts w:ascii="Times New Roman" w:hAnsi="Times New Roman"/>
          <w:b/>
          <w:iCs/>
          <w:sz w:val="26"/>
          <w:u w:val="single"/>
        </w:rPr>
        <w:t>Lost and Unaccounted for Gas/Company used Gas (LUFG/CU)</w:t>
      </w:r>
    </w:p>
    <w:p w:rsidR="00405EA9" w:rsidRDefault="00405EA9" w:rsidP="00797A0E">
      <w:pPr>
        <w:spacing w:line="360" w:lineRule="auto"/>
        <w:rPr>
          <w:rFonts w:ascii="Times New Roman" w:hAnsi="Times New Roman"/>
          <w:iCs/>
          <w:sz w:val="26"/>
        </w:rPr>
      </w:pPr>
    </w:p>
    <w:p w:rsidR="00AD5B43" w:rsidRDefault="00900C93" w:rsidP="00797A0E">
      <w:pPr>
        <w:spacing w:line="360" w:lineRule="auto"/>
        <w:rPr>
          <w:rFonts w:ascii="Times New Roman" w:hAnsi="Times New Roman"/>
          <w:iCs/>
          <w:sz w:val="26"/>
        </w:rPr>
      </w:pPr>
      <w:r>
        <w:rPr>
          <w:rFonts w:ascii="Times New Roman" w:hAnsi="Times New Roman"/>
          <w:iCs/>
          <w:sz w:val="26"/>
        </w:rPr>
        <w:tab/>
      </w:r>
      <w:r>
        <w:rPr>
          <w:rFonts w:ascii="Times New Roman" w:hAnsi="Times New Roman"/>
          <w:iCs/>
          <w:sz w:val="26"/>
        </w:rPr>
        <w:tab/>
        <w:t>The Joint Settlemen</w:t>
      </w:r>
      <w:r w:rsidR="0051720D">
        <w:rPr>
          <w:rFonts w:ascii="Times New Roman" w:hAnsi="Times New Roman"/>
          <w:iCs/>
          <w:sz w:val="26"/>
        </w:rPr>
        <w:t>t stated that, based upon a two-</w:t>
      </w:r>
      <w:r>
        <w:rPr>
          <w:rFonts w:ascii="Times New Roman" w:hAnsi="Times New Roman"/>
          <w:iCs/>
          <w:sz w:val="26"/>
        </w:rPr>
        <w:t xml:space="preserve">year average, Peoples’ LUFG is </w:t>
      </w:r>
      <w:r w:rsidR="0051720D">
        <w:rPr>
          <w:rFonts w:ascii="Times New Roman" w:hAnsi="Times New Roman"/>
          <w:iCs/>
          <w:sz w:val="26"/>
        </w:rPr>
        <w:t>5.8%.  Also based upon a two-</w:t>
      </w:r>
      <w:r>
        <w:rPr>
          <w:rFonts w:ascii="Times New Roman" w:hAnsi="Times New Roman"/>
          <w:iCs/>
          <w:sz w:val="26"/>
        </w:rPr>
        <w:t>year average, the Joint Petition stated that CU was 2.6%.  While noting that OSBA did not join in this portion of the Joint Settlement (relating to LUFG/CU), the Joint Petitioners determined these levels to be reasonable, subject to several commitments made by Peoples set forth in testimony and in Append</w:t>
      </w:r>
      <w:r w:rsidR="00AD5B43">
        <w:rPr>
          <w:rFonts w:ascii="Times New Roman" w:hAnsi="Times New Roman"/>
          <w:iCs/>
          <w:sz w:val="26"/>
        </w:rPr>
        <w:t xml:space="preserve">ix B to the Joint Settlement.  </w:t>
      </w:r>
      <w:r w:rsidR="00A766A0">
        <w:rPr>
          <w:rFonts w:ascii="Times New Roman" w:hAnsi="Times New Roman"/>
          <w:iCs/>
          <w:sz w:val="26"/>
        </w:rPr>
        <w:t xml:space="preserve">R.D. at 35-36, 40; </w:t>
      </w:r>
      <w:r w:rsidR="00AD5B43">
        <w:rPr>
          <w:rFonts w:ascii="Times New Roman" w:hAnsi="Times New Roman"/>
          <w:iCs/>
          <w:sz w:val="26"/>
        </w:rPr>
        <w:t>Joint Settlement at 7-8.</w:t>
      </w:r>
    </w:p>
    <w:p w:rsidR="00AD5B43" w:rsidRDefault="00AD5B43" w:rsidP="00797A0E">
      <w:pPr>
        <w:spacing w:line="360" w:lineRule="auto"/>
        <w:rPr>
          <w:rFonts w:ascii="Times New Roman" w:hAnsi="Times New Roman"/>
          <w:iCs/>
          <w:sz w:val="26"/>
        </w:rPr>
      </w:pPr>
    </w:p>
    <w:p w:rsidR="00AD5B43" w:rsidRDefault="00AD5B43" w:rsidP="00797A0E">
      <w:pPr>
        <w:spacing w:line="360" w:lineRule="auto"/>
        <w:rPr>
          <w:rFonts w:ascii="Times New Roman" w:hAnsi="Times New Roman"/>
          <w:iCs/>
          <w:sz w:val="26"/>
        </w:rPr>
      </w:pPr>
      <w:r>
        <w:rPr>
          <w:rFonts w:ascii="Times New Roman" w:hAnsi="Times New Roman"/>
          <w:iCs/>
          <w:sz w:val="26"/>
        </w:rPr>
        <w:tab/>
      </w:r>
      <w:r>
        <w:rPr>
          <w:rFonts w:ascii="Times New Roman" w:hAnsi="Times New Roman"/>
          <w:iCs/>
          <w:sz w:val="26"/>
        </w:rPr>
        <w:tab/>
        <w:t>As part of the Joint Settlement, Peoples agreed to calcul</w:t>
      </w:r>
      <w:r w:rsidR="0051720D">
        <w:rPr>
          <w:rFonts w:ascii="Times New Roman" w:hAnsi="Times New Roman"/>
          <w:iCs/>
          <w:sz w:val="26"/>
        </w:rPr>
        <w:t>ate LUFG/CU levels over a three-</w:t>
      </w:r>
      <w:r>
        <w:rPr>
          <w:rFonts w:ascii="Times New Roman" w:hAnsi="Times New Roman"/>
          <w:iCs/>
          <w:sz w:val="26"/>
        </w:rPr>
        <w:t xml:space="preserve">year average.  </w:t>
      </w:r>
      <w:r w:rsidR="00A766A0">
        <w:rPr>
          <w:rFonts w:ascii="Times New Roman" w:hAnsi="Times New Roman"/>
          <w:iCs/>
          <w:sz w:val="26"/>
        </w:rPr>
        <w:t xml:space="preserve">Joint Settlement at 7-8.  </w:t>
      </w:r>
      <w:r>
        <w:rPr>
          <w:rFonts w:ascii="Times New Roman" w:hAnsi="Times New Roman"/>
          <w:iCs/>
          <w:sz w:val="26"/>
        </w:rPr>
        <w:t xml:space="preserve">The commitments contained in Appendix B to the Joint Settlement are detailed monitoring and </w:t>
      </w:r>
      <w:r w:rsidR="00A766A0">
        <w:rPr>
          <w:rFonts w:ascii="Times New Roman" w:hAnsi="Times New Roman"/>
          <w:iCs/>
          <w:sz w:val="26"/>
        </w:rPr>
        <w:t>mitigation measures together with timelines for completion as appropriate.</w:t>
      </w:r>
      <w:r w:rsidR="00F039F5">
        <w:rPr>
          <w:rFonts w:ascii="Times New Roman" w:hAnsi="Times New Roman"/>
          <w:iCs/>
          <w:sz w:val="26"/>
        </w:rPr>
        <w:t xml:space="preserve">  A summary of the mitigation measures provides that Peoples will undertake the following:  Storage Inventory Verification; Measurement of Local Production; Gas Used in Company Operations; Leak Survey Program; Damage Prevention Program; Unauthorized Use of Gas; </w:t>
      </w:r>
      <w:r w:rsidR="00056979">
        <w:rPr>
          <w:rFonts w:ascii="Times New Roman" w:hAnsi="Times New Roman"/>
          <w:iCs/>
          <w:sz w:val="26"/>
        </w:rPr>
        <w:t xml:space="preserve">Customer Billing; Closure of Colvin Storage Pool; Estimation of Monthly Customer Usage and </w:t>
      </w:r>
      <w:r w:rsidR="00056979">
        <w:rPr>
          <w:rFonts w:ascii="Times New Roman" w:hAnsi="Times New Roman"/>
          <w:iCs/>
          <w:sz w:val="26"/>
        </w:rPr>
        <w:lastRenderedPageBreak/>
        <w:t xml:space="preserve">Unbilled Volumes; Statistical Meter Sampling Program.  Joint Settlement, Appendix B at 1-2.  Each of these measures are said to include monitoring and mitigation steps on Peoples’ system in an effort to reduce LUFG/CU.  </w:t>
      </w:r>
      <w:r w:rsidR="00056979" w:rsidRPr="00056979">
        <w:rPr>
          <w:rFonts w:ascii="Times New Roman" w:hAnsi="Times New Roman"/>
          <w:i/>
          <w:iCs/>
          <w:sz w:val="26"/>
        </w:rPr>
        <w:t>Id.</w:t>
      </w:r>
      <w:r w:rsidR="00056979">
        <w:rPr>
          <w:rFonts w:ascii="Times New Roman" w:hAnsi="Times New Roman"/>
          <w:iCs/>
          <w:sz w:val="26"/>
        </w:rPr>
        <w:t xml:space="preserve">  Additional monitoring steps include:  Storage measurement; Customer usage measurement on the distribution system; </w:t>
      </w:r>
      <w:r w:rsidR="003C1ED8">
        <w:rPr>
          <w:rFonts w:ascii="Times New Roman" w:hAnsi="Times New Roman"/>
          <w:iCs/>
          <w:sz w:val="26"/>
        </w:rPr>
        <w:t xml:space="preserve">Production measurement; Examination of gathering system leaks.  Each of the foregoing programs is designed to monitor various aspects of Peoples’ system.  Each of these programs is intended to lead to mitigation steps when indicated.  </w:t>
      </w:r>
      <w:r w:rsidR="003C1ED8" w:rsidRPr="003C1ED8">
        <w:rPr>
          <w:rFonts w:ascii="Times New Roman" w:hAnsi="Times New Roman"/>
          <w:i/>
          <w:iCs/>
          <w:sz w:val="26"/>
        </w:rPr>
        <w:t>Id.</w:t>
      </w:r>
      <w:r w:rsidR="003C1ED8">
        <w:rPr>
          <w:rFonts w:ascii="Times New Roman" w:hAnsi="Times New Roman"/>
          <w:iCs/>
          <w:sz w:val="26"/>
        </w:rPr>
        <w:t xml:space="preserve"> at 2-5.</w:t>
      </w:r>
    </w:p>
    <w:p w:rsidR="00CA0C1D" w:rsidRDefault="00CA0C1D" w:rsidP="00797A0E">
      <w:pPr>
        <w:spacing w:line="360" w:lineRule="auto"/>
        <w:rPr>
          <w:rFonts w:ascii="Times New Roman" w:hAnsi="Times New Roman"/>
          <w:iCs/>
          <w:sz w:val="26"/>
        </w:rPr>
      </w:pPr>
    </w:p>
    <w:p w:rsidR="00CA0C1D" w:rsidRDefault="00CA0C1D" w:rsidP="00797A0E">
      <w:pPr>
        <w:spacing w:line="360" w:lineRule="auto"/>
        <w:rPr>
          <w:rFonts w:ascii="Times New Roman" w:hAnsi="Times New Roman"/>
          <w:iCs/>
          <w:sz w:val="26"/>
        </w:rPr>
      </w:pPr>
      <w:r>
        <w:rPr>
          <w:rFonts w:ascii="Times New Roman" w:hAnsi="Times New Roman"/>
          <w:iCs/>
          <w:sz w:val="26"/>
        </w:rPr>
        <w:tab/>
      </w:r>
      <w:r>
        <w:rPr>
          <w:rFonts w:ascii="Times New Roman" w:hAnsi="Times New Roman"/>
          <w:iCs/>
          <w:sz w:val="26"/>
        </w:rPr>
        <w:tab/>
        <w:t>OSBA responded to the Joint Settlement provisions regarding LUFG/CU and argued that those measures were inadequate to address Peoples</w:t>
      </w:r>
      <w:r w:rsidR="0088449D">
        <w:rPr>
          <w:rFonts w:ascii="Times New Roman" w:hAnsi="Times New Roman"/>
          <w:iCs/>
          <w:sz w:val="26"/>
        </w:rPr>
        <w:t xml:space="preserve">’ problems in this area.  OSBA argued that Peoples’ data reveals that the combined LUFG/CU rate for the twelve months ending September 30, 2008, is higher than the combined rate for the twelve months ending September 30, 2007.  R.D. at 35-36.  </w:t>
      </w:r>
    </w:p>
    <w:p w:rsidR="00344DDB" w:rsidRDefault="00344DDB" w:rsidP="00797A0E">
      <w:pPr>
        <w:spacing w:line="360" w:lineRule="auto"/>
        <w:rPr>
          <w:rFonts w:ascii="Times New Roman" w:hAnsi="Times New Roman"/>
          <w:iCs/>
          <w:sz w:val="26"/>
        </w:rPr>
      </w:pPr>
    </w:p>
    <w:p w:rsidR="00344DDB" w:rsidRDefault="00344DDB" w:rsidP="00797A0E">
      <w:pPr>
        <w:spacing w:line="360" w:lineRule="auto"/>
        <w:rPr>
          <w:rFonts w:ascii="Times New Roman" w:hAnsi="Times New Roman"/>
          <w:iCs/>
          <w:sz w:val="26"/>
        </w:rPr>
      </w:pPr>
      <w:r>
        <w:rPr>
          <w:rFonts w:ascii="Times New Roman" w:hAnsi="Times New Roman"/>
          <w:iCs/>
          <w:sz w:val="26"/>
        </w:rPr>
        <w:tab/>
      </w:r>
      <w:r>
        <w:rPr>
          <w:rFonts w:ascii="Times New Roman" w:hAnsi="Times New Roman"/>
          <w:iCs/>
          <w:sz w:val="26"/>
        </w:rPr>
        <w:tab/>
        <w:t xml:space="preserve">OSBA asserted that an appropriate mechanism to address this issue is to provide for a rebuttable presumption to be used in Peoples’ next </w:t>
      </w:r>
      <w:r w:rsidR="00C00B53">
        <w:rPr>
          <w:rFonts w:ascii="Times New Roman" w:hAnsi="Times New Roman"/>
          <w:iCs/>
          <w:sz w:val="26"/>
        </w:rPr>
        <w:t xml:space="preserve">Section 1307(f) proceeding.  Pursuant to that rebuttable presumption, Peoples would be denied recovery for any amounts of LUFG/CU which are above those claimed in this proceeding, </w:t>
      </w:r>
      <w:r w:rsidR="00C00B53" w:rsidRPr="00C00B53">
        <w:rPr>
          <w:rFonts w:ascii="Times New Roman" w:hAnsi="Times New Roman"/>
          <w:i/>
          <w:iCs/>
          <w:sz w:val="26"/>
        </w:rPr>
        <w:t>i.e.</w:t>
      </w:r>
      <w:r w:rsidR="00C00B53">
        <w:rPr>
          <w:rFonts w:ascii="Times New Roman" w:hAnsi="Times New Roman"/>
          <w:iCs/>
          <w:sz w:val="26"/>
        </w:rPr>
        <w:t xml:space="preserve"> for the twelve months ending July 31, 2008.  R.D. at 38.</w:t>
      </w:r>
    </w:p>
    <w:p w:rsidR="00C00B53" w:rsidRDefault="00C00B53" w:rsidP="00797A0E">
      <w:pPr>
        <w:spacing w:line="360" w:lineRule="auto"/>
        <w:rPr>
          <w:rFonts w:ascii="Times New Roman" w:hAnsi="Times New Roman"/>
          <w:iCs/>
          <w:sz w:val="26"/>
        </w:rPr>
      </w:pPr>
    </w:p>
    <w:p w:rsidR="00EF553E" w:rsidRDefault="00C00B53" w:rsidP="00797A0E">
      <w:pPr>
        <w:spacing w:line="360" w:lineRule="auto"/>
        <w:rPr>
          <w:rFonts w:ascii="Times New Roman" w:hAnsi="Times New Roman"/>
          <w:iCs/>
          <w:sz w:val="26"/>
        </w:rPr>
      </w:pPr>
      <w:r>
        <w:rPr>
          <w:rFonts w:ascii="Times New Roman" w:hAnsi="Times New Roman"/>
          <w:iCs/>
          <w:sz w:val="26"/>
        </w:rPr>
        <w:tab/>
      </w:r>
      <w:r>
        <w:rPr>
          <w:rFonts w:ascii="Times New Roman" w:hAnsi="Times New Roman"/>
          <w:iCs/>
          <w:sz w:val="26"/>
        </w:rPr>
        <w:tab/>
        <w:t xml:space="preserve">The ALJ recommended adoption of the Joint Settlement and rejection of OSBA proposal.  The ALJ found that no Party has shown “that the Company’s </w:t>
      </w:r>
      <w:r w:rsidR="009C2154">
        <w:rPr>
          <w:rFonts w:ascii="Times New Roman" w:hAnsi="Times New Roman"/>
          <w:iCs/>
          <w:sz w:val="26"/>
        </w:rPr>
        <w:t xml:space="preserve">current LUFG/CU levels are unreasonable.  On the contrary, the evidence tends to support the opposite conclusion.”  R.D. at 38.  </w:t>
      </w:r>
      <w:r w:rsidR="00456D91">
        <w:rPr>
          <w:rFonts w:ascii="Times New Roman" w:hAnsi="Times New Roman"/>
          <w:iCs/>
          <w:sz w:val="26"/>
        </w:rPr>
        <w:t xml:space="preserve">The ALJ noted that Peoples had responded to prior </w:t>
      </w:r>
    </w:p>
    <w:p w:rsidR="00EF553E" w:rsidRDefault="00EF553E" w:rsidP="00797A0E">
      <w:pPr>
        <w:spacing w:line="360" w:lineRule="auto"/>
        <w:rPr>
          <w:rFonts w:ascii="Times New Roman" w:hAnsi="Times New Roman"/>
          <w:iCs/>
          <w:sz w:val="26"/>
        </w:rPr>
      </w:pPr>
    </w:p>
    <w:p w:rsidR="00EF553E" w:rsidRDefault="00EF553E" w:rsidP="00797A0E">
      <w:pPr>
        <w:spacing w:line="360" w:lineRule="auto"/>
        <w:rPr>
          <w:rFonts w:ascii="Times New Roman" w:hAnsi="Times New Roman"/>
          <w:iCs/>
          <w:sz w:val="26"/>
        </w:rPr>
      </w:pPr>
    </w:p>
    <w:p w:rsidR="00EF553E" w:rsidRDefault="00EF553E" w:rsidP="00797A0E">
      <w:pPr>
        <w:spacing w:line="360" w:lineRule="auto"/>
        <w:rPr>
          <w:rFonts w:ascii="Times New Roman" w:hAnsi="Times New Roman"/>
          <w:iCs/>
          <w:sz w:val="26"/>
        </w:rPr>
      </w:pPr>
    </w:p>
    <w:p w:rsidR="00EF553E" w:rsidRDefault="00456D91" w:rsidP="00797A0E">
      <w:pPr>
        <w:spacing w:line="360" w:lineRule="auto"/>
        <w:rPr>
          <w:rFonts w:ascii="Times New Roman" w:hAnsi="Times New Roman"/>
          <w:iCs/>
          <w:sz w:val="26"/>
        </w:rPr>
      </w:pPr>
      <w:r>
        <w:rPr>
          <w:rFonts w:ascii="Times New Roman" w:hAnsi="Times New Roman"/>
          <w:iCs/>
          <w:sz w:val="26"/>
        </w:rPr>
        <w:lastRenderedPageBreak/>
        <w:t>concerns on this issue</w:t>
      </w:r>
      <w:r>
        <w:rPr>
          <w:rStyle w:val="FootnoteReference"/>
          <w:rFonts w:ascii="Times New Roman" w:hAnsi="Times New Roman"/>
          <w:iCs/>
          <w:sz w:val="26"/>
        </w:rPr>
        <w:footnoteReference w:id="6"/>
      </w:r>
      <w:r w:rsidR="007246FF">
        <w:rPr>
          <w:rFonts w:ascii="Times New Roman" w:hAnsi="Times New Roman"/>
          <w:iCs/>
          <w:sz w:val="26"/>
        </w:rPr>
        <w:t xml:space="preserve"> by showing that “its LUFG levels are reasonable for a system that </w:t>
      </w:r>
    </w:p>
    <w:p w:rsidR="00E13866" w:rsidRDefault="007246FF" w:rsidP="00797A0E">
      <w:pPr>
        <w:spacing w:line="360" w:lineRule="auto"/>
        <w:rPr>
          <w:rFonts w:ascii="Times New Roman" w:hAnsi="Times New Roman"/>
          <w:iCs/>
          <w:sz w:val="26"/>
        </w:rPr>
      </w:pPr>
      <w:r>
        <w:rPr>
          <w:rFonts w:ascii="Times New Roman" w:hAnsi="Times New Roman"/>
          <w:iCs/>
          <w:sz w:val="26"/>
        </w:rPr>
        <w:t xml:space="preserve">is quite different from the vast majority of other NGDCs in Pennsylvania.”  </w:t>
      </w:r>
      <w:r w:rsidRPr="007246FF">
        <w:rPr>
          <w:rFonts w:ascii="Times New Roman" w:hAnsi="Times New Roman"/>
          <w:i/>
          <w:iCs/>
          <w:sz w:val="26"/>
        </w:rPr>
        <w:t>Id.</w:t>
      </w:r>
      <w:r>
        <w:rPr>
          <w:rFonts w:ascii="Times New Roman" w:hAnsi="Times New Roman"/>
          <w:iCs/>
          <w:sz w:val="26"/>
        </w:rPr>
        <w:t xml:space="preserve">  The ALJ observed that </w:t>
      </w:r>
      <w:r w:rsidR="0051720D">
        <w:rPr>
          <w:rFonts w:ascii="Times New Roman" w:hAnsi="Times New Roman"/>
          <w:iCs/>
          <w:sz w:val="26"/>
        </w:rPr>
        <w:t xml:space="preserve">the </w:t>
      </w:r>
      <w:r>
        <w:rPr>
          <w:rFonts w:ascii="Times New Roman" w:hAnsi="Times New Roman"/>
          <w:iCs/>
          <w:sz w:val="26"/>
        </w:rPr>
        <w:t xml:space="preserve">Peoples system includes a </w:t>
      </w:r>
      <w:r w:rsidR="00677BD2">
        <w:rPr>
          <w:rFonts w:ascii="Times New Roman" w:hAnsi="Times New Roman"/>
          <w:iCs/>
          <w:sz w:val="26"/>
        </w:rPr>
        <w:t>gathering system containing approximately 855 miles of pipeline which receives approximately 42 Bcf per year.  R.D. at 39.  In addition, Peoples operates five active storage facilities “for a combined total storage capacity of 33</w:t>
      </w:r>
      <w:r w:rsidR="005F01DB">
        <w:rPr>
          <w:rFonts w:ascii="Times New Roman" w:hAnsi="Times New Roman"/>
          <w:iCs/>
          <w:sz w:val="26"/>
        </w:rPr>
        <w:t> </w:t>
      </w:r>
      <w:r w:rsidR="00677BD2">
        <w:rPr>
          <w:rFonts w:ascii="Times New Roman" w:hAnsi="Times New Roman"/>
          <w:iCs/>
          <w:sz w:val="26"/>
        </w:rPr>
        <w:t>Bcf and provide for a total combined annual working gas capacity of 10.5 Bcf with a maximum withdrawal deliverability of 300,000 Mcf/Day.</w:t>
      </w:r>
      <w:r w:rsidR="00393991">
        <w:rPr>
          <w:rFonts w:ascii="Times New Roman" w:hAnsi="Times New Roman"/>
          <w:iCs/>
          <w:sz w:val="26"/>
        </w:rPr>
        <w:t xml:space="preserve">”  </w:t>
      </w:r>
      <w:r w:rsidR="00393991" w:rsidRPr="00393991">
        <w:rPr>
          <w:rFonts w:ascii="Times New Roman" w:hAnsi="Times New Roman"/>
          <w:i/>
          <w:iCs/>
          <w:sz w:val="26"/>
        </w:rPr>
        <w:t>Id.</w:t>
      </w:r>
      <w:r w:rsidR="00393991">
        <w:rPr>
          <w:rFonts w:ascii="Times New Roman" w:hAnsi="Times New Roman"/>
          <w:iCs/>
          <w:sz w:val="26"/>
        </w:rPr>
        <w:t xml:space="preserve">  Peoples’ system also includes in excess of 400 miles of high-pressure intrastate transmission pipelines that are used to move local and intrastate gas supplies to the various distribution pipelines on the system.  R.D. at 39.</w:t>
      </w:r>
    </w:p>
    <w:p w:rsidR="00393991" w:rsidRDefault="00393991" w:rsidP="00797A0E">
      <w:pPr>
        <w:spacing w:line="360" w:lineRule="auto"/>
        <w:rPr>
          <w:rFonts w:ascii="Times New Roman" w:hAnsi="Times New Roman"/>
          <w:iCs/>
          <w:sz w:val="26"/>
        </w:rPr>
      </w:pPr>
    </w:p>
    <w:p w:rsidR="00751798" w:rsidRDefault="00393991" w:rsidP="00797A0E">
      <w:pPr>
        <w:spacing w:line="360" w:lineRule="auto"/>
        <w:rPr>
          <w:rFonts w:ascii="Times New Roman" w:hAnsi="Times New Roman"/>
          <w:iCs/>
          <w:sz w:val="26"/>
        </w:rPr>
      </w:pPr>
      <w:r>
        <w:rPr>
          <w:rFonts w:ascii="Times New Roman" w:hAnsi="Times New Roman"/>
          <w:iCs/>
          <w:sz w:val="26"/>
        </w:rPr>
        <w:tab/>
      </w:r>
      <w:r>
        <w:rPr>
          <w:rFonts w:ascii="Times New Roman" w:hAnsi="Times New Roman"/>
          <w:iCs/>
          <w:sz w:val="26"/>
        </w:rPr>
        <w:tab/>
        <w:t xml:space="preserve">The ALJ pointed to evidence of record that Peoples’ system, including the gathering system, served to use a substantial amount of local gas production.  This, in turn, benefits PGC customers because locally produced gas is usually less expensive than sources off of interstate pipelines.  </w:t>
      </w:r>
      <w:r w:rsidR="00751798">
        <w:rPr>
          <w:rFonts w:ascii="Times New Roman" w:hAnsi="Times New Roman"/>
          <w:iCs/>
          <w:sz w:val="26"/>
        </w:rPr>
        <w:t>R.D. at 39.  The ALJ stated:</w:t>
      </w:r>
    </w:p>
    <w:p w:rsidR="00E13866" w:rsidRDefault="00751798" w:rsidP="00751798">
      <w:pPr>
        <w:ind w:left="1440" w:right="1440"/>
        <w:rPr>
          <w:rFonts w:ascii="Times New Roman" w:hAnsi="Times New Roman"/>
          <w:iCs/>
          <w:sz w:val="26"/>
        </w:rPr>
      </w:pPr>
      <w:r>
        <w:rPr>
          <w:rFonts w:ascii="Times New Roman" w:hAnsi="Times New Roman"/>
          <w:iCs/>
          <w:sz w:val="26"/>
        </w:rPr>
        <w:t>Thus, [Peoples] purchases local supplies because the pricing comports with its least cost purchasing obligation and it has gathering facilities and on-system storage that foster that local production.  Obviously, such large gathering and storage facilities add to system LUFG/CU levels and gathering facilities have a higher incidence of LUFG/CU.</w:t>
      </w:r>
    </w:p>
    <w:p w:rsidR="00751798" w:rsidRDefault="00751798" w:rsidP="00751798">
      <w:pPr>
        <w:spacing w:line="360" w:lineRule="auto"/>
        <w:rPr>
          <w:rFonts w:ascii="Times New Roman" w:hAnsi="Times New Roman"/>
          <w:iCs/>
          <w:sz w:val="26"/>
        </w:rPr>
      </w:pPr>
    </w:p>
    <w:p w:rsidR="00751798" w:rsidRDefault="00751798" w:rsidP="00751798">
      <w:pPr>
        <w:spacing w:line="360" w:lineRule="auto"/>
        <w:rPr>
          <w:rFonts w:ascii="Times New Roman" w:hAnsi="Times New Roman"/>
          <w:iCs/>
          <w:sz w:val="26"/>
        </w:rPr>
      </w:pPr>
      <w:r>
        <w:rPr>
          <w:rFonts w:ascii="Times New Roman" w:hAnsi="Times New Roman"/>
          <w:iCs/>
          <w:sz w:val="26"/>
        </w:rPr>
        <w:t>R.D. at 40.</w:t>
      </w:r>
    </w:p>
    <w:p w:rsidR="00623EA4" w:rsidRDefault="00623EA4" w:rsidP="00751798">
      <w:pPr>
        <w:spacing w:line="360" w:lineRule="auto"/>
        <w:rPr>
          <w:rFonts w:ascii="Times New Roman" w:hAnsi="Times New Roman"/>
          <w:iCs/>
          <w:sz w:val="26"/>
        </w:rPr>
      </w:pPr>
    </w:p>
    <w:p w:rsidR="00623EA4" w:rsidRDefault="00623EA4" w:rsidP="00751798">
      <w:pPr>
        <w:spacing w:line="360" w:lineRule="auto"/>
        <w:rPr>
          <w:rFonts w:ascii="Times New Roman" w:hAnsi="Times New Roman"/>
          <w:iCs/>
          <w:sz w:val="26"/>
        </w:rPr>
      </w:pPr>
      <w:r>
        <w:rPr>
          <w:rFonts w:ascii="Times New Roman" w:hAnsi="Times New Roman"/>
          <w:iCs/>
          <w:sz w:val="26"/>
        </w:rPr>
        <w:lastRenderedPageBreak/>
        <w:tab/>
      </w:r>
      <w:r>
        <w:rPr>
          <w:rFonts w:ascii="Times New Roman" w:hAnsi="Times New Roman"/>
          <w:iCs/>
          <w:sz w:val="26"/>
        </w:rPr>
        <w:tab/>
        <w:t>Based on the foregoing, the ALJ determined that the current LUFG/CU levels were reasonable.  With regard to the Joint Settlement, the ALJ stated:</w:t>
      </w:r>
    </w:p>
    <w:p w:rsidR="00623EA4" w:rsidRDefault="00623EA4" w:rsidP="00D10DE8">
      <w:pPr>
        <w:ind w:left="1440" w:right="1440"/>
        <w:rPr>
          <w:rFonts w:ascii="Times New Roman" w:hAnsi="Times New Roman"/>
          <w:iCs/>
          <w:sz w:val="26"/>
        </w:rPr>
      </w:pPr>
      <w:r>
        <w:rPr>
          <w:rFonts w:ascii="Times New Roman" w:hAnsi="Times New Roman"/>
          <w:iCs/>
          <w:sz w:val="26"/>
        </w:rPr>
        <w:t xml:space="preserve">Furthermore, despite showing reasonable levels of LUFG on the system at present, the LUFG Settlement term incorporates an extensive listing of LUFG mitigation measures that the Company is presently and will in the future undertake with target completion dates (Joint Petition, Appendix B).  For this reason, the LUFG Settlement term </w:t>
      </w:r>
      <w:r w:rsidR="00D10DE8">
        <w:rPr>
          <w:rFonts w:ascii="Times New Roman" w:hAnsi="Times New Roman"/>
          <w:iCs/>
          <w:sz w:val="26"/>
        </w:rPr>
        <w:t>that goes far beyond simply acknowledging the reasonableness of the current LUFG levels is in the public interest.  Accordingly, OSBA’s proposal on this issue should be rejected.</w:t>
      </w:r>
    </w:p>
    <w:p w:rsidR="00E13866" w:rsidRDefault="00E13866" w:rsidP="00623EA4">
      <w:pPr>
        <w:ind w:left="1440" w:right="1440"/>
        <w:rPr>
          <w:rFonts w:ascii="Times New Roman" w:hAnsi="Times New Roman"/>
          <w:iCs/>
          <w:sz w:val="26"/>
        </w:rPr>
      </w:pPr>
    </w:p>
    <w:p w:rsidR="004905A4" w:rsidRDefault="00D10DE8" w:rsidP="00797A0E">
      <w:pPr>
        <w:spacing w:line="360" w:lineRule="auto"/>
        <w:rPr>
          <w:rFonts w:ascii="Times New Roman" w:hAnsi="Times New Roman"/>
          <w:iCs/>
          <w:sz w:val="26"/>
        </w:rPr>
      </w:pPr>
      <w:r>
        <w:rPr>
          <w:rFonts w:ascii="Times New Roman" w:hAnsi="Times New Roman"/>
          <w:iCs/>
          <w:sz w:val="26"/>
        </w:rPr>
        <w:t>R.D. at 41.</w:t>
      </w:r>
    </w:p>
    <w:p w:rsidR="00D863CF" w:rsidRDefault="00D863CF" w:rsidP="00797A0E">
      <w:pPr>
        <w:spacing w:line="360" w:lineRule="auto"/>
        <w:rPr>
          <w:rFonts w:ascii="Times New Roman" w:hAnsi="Times New Roman"/>
          <w:iCs/>
          <w:sz w:val="26"/>
        </w:rPr>
      </w:pPr>
    </w:p>
    <w:p w:rsidR="00D863CF" w:rsidRDefault="00D863CF" w:rsidP="00797A0E">
      <w:pPr>
        <w:spacing w:line="360" w:lineRule="auto"/>
        <w:rPr>
          <w:rFonts w:ascii="Times New Roman" w:hAnsi="Times New Roman"/>
          <w:iCs/>
          <w:sz w:val="26"/>
        </w:rPr>
      </w:pPr>
      <w:r>
        <w:rPr>
          <w:rFonts w:ascii="Times New Roman" w:hAnsi="Times New Roman"/>
          <w:iCs/>
          <w:sz w:val="26"/>
        </w:rPr>
        <w:tab/>
      </w:r>
      <w:r>
        <w:rPr>
          <w:rFonts w:ascii="Times New Roman" w:hAnsi="Times New Roman"/>
          <w:iCs/>
          <w:sz w:val="26"/>
        </w:rPr>
        <w:tab/>
        <w:t>In its Exceptions, OSBA states that the ALJ erred in concluding that OSBA proposal rests on a position that anything higher than current LUFG/CU rates would be unreasonable.  OSBA asserts that its proposal simply establishes that, absent a contrary showing by Peoples at the next Section 1307(f) proceeding, current levels are presumed to be the ceiling.  However,</w:t>
      </w:r>
      <w:r w:rsidR="008F6396">
        <w:rPr>
          <w:rFonts w:ascii="Times New Roman" w:hAnsi="Times New Roman"/>
          <w:iCs/>
          <w:sz w:val="26"/>
        </w:rPr>
        <w:t xml:space="preserve"> if next year’s levels are shown to be higher than this year’s, Peoples has every opportunity to prove that those higher levels are, in fact, reasonable.  OSBA Exc. at 6.  </w:t>
      </w:r>
    </w:p>
    <w:p w:rsidR="008F6396" w:rsidRDefault="008F6396" w:rsidP="00797A0E">
      <w:pPr>
        <w:spacing w:line="360" w:lineRule="auto"/>
        <w:rPr>
          <w:rFonts w:ascii="Times New Roman" w:hAnsi="Times New Roman"/>
          <w:iCs/>
          <w:sz w:val="26"/>
        </w:rPr>
      </w:pPr>
    </w:p>
    <w:p w:rsidR="008F6396" w:rsidRPr="00460164" w:rsidRDefault="008F6396" w:rsidP="00797A0E">
      <w:pPr>
        <w:spacing w:line="360" w:lineRule="auto"/>
        <w:rPr>
          <w:rFonts w:ascii="Times New Roman" w:hAnsi="Times New Roman"/>
          <w:iCs/>
          <w:sz w:val="26"/>
        </w:rPr>
      </w:pPr>
      <w:r>
        <w:rPr>
          <w:rFonts w:ascii="Times New Roman" w:hAnsi="Times New Roman"/>
          <w:iCs/>
          <w:sz w:val="26"/>
        </w:rPr>
        <w:tab/>
      </w:r>
      <w:r>
        <w:rPr>
          <w:rFonts w:ascii="Times New Roman" w:hAnsi="Times New Roman"/>
          <w:iCs/>
          <w:sz w:val="26"/>
        </w:rPr>
        <w:tab/>
        <w:t>OSBA also argues that the mitigation and monitoring measures contained in Appendix B to the Joint Settlement are inadequate.  OSBA observes that most of those measures have been in force for many years.  Given Peoples’ inability to stop the increase in LUFG/CU rates, OSBA asserts that the mitigation plan is unlikely to reverse that trend.  OSBA Exc. at 7.</w:t>
      </w:r>
      <w:r w:rsidR="00460164">
        <w:rPr>
          <w:rFonts w:ascii="Times New Roman" w:hAnsi="Times New Roman"/>
          <w:iCs/>
          <w:sz w:val="26"/>
        </w:rPr>
        <w:t xml:space="preserve">  OSBA notes that</w:t>
      </w:r>
      <w:r w:rsidR="0051720D">
        <w:rPr>
          <w:rFonts w:ascii="Times New Roman" w:hAnsi="Times New Roman"/>
          <w:iCs/>
          <w:sz w:val="26"/>
        </w:rPr>
        <w:t>,</w:t>
      </w:r>
      <w:r w:rsidR="00460164">
        <w:rPr>
          <w:rFonts w:ascii="Times New Roman" w:hAnsi="Times New Roman"/>
          <w:iCs/>
          <w:sz w:val="26"/>
        </w:rPr>
        <w:t xml:space="preserve"> in the event that the mitigation plan does work, then the proposed presumption will not be triggered and the Company will not be denied any claim for LUFG/CU.  </w:t>
      </w:r>
      <w:r w:rsidR="00460164" w:rsidRPr="00460164">
        <w:rPr>
          <w:rFonts w:ascii="Times New Roman" w:hAnsi="Times New Roman"/>
          <w:i/>
          <w:iCs/>
          <w:sz w:val="26"/>
        </w:rPr>
        <w:t>Id.</w:t>
      </w:r>
    </w:p>
    <w:p w:rsidR="004905A4" w:rsidRDefault="004905A4" w:rsidP="00797A0E">
      <w:pPr>
        <w:spacing w:line="360" w:lineRule="auto"/>
        <w:rPr>
          <w:rFonts w:ascii="Times New Roman" w:hAnsi="Times New Roman"/>
          <w:iCs/>
          <w:sz w:val="26"/>
        </w:rPr>
      </w:pPr>
    </w:p>
    <w:p w:rsidR="009C14C9" w:rsidRDefault="00460164" w:rsidP="00797A0E">
      <w:pPr>
        <w:spacing w:line="360" w:lineRule="auto"/>
        <w:rPr>
          <w:rFonts w:ascii="Times New Roman" w:hAnsi="Times New Roman"/>
          <w:iCs/>
          <w:sz w:val="26"/>
        </w:rPr>
      </w:pPr>
      <w:r>
        <w:rPr>
          <w:rFonts w:ascii="Times New Roman" w:hAnsi="Times New Roman"/>
          <w:iCs/>
          <w:sz w:val="26"/>
        </w:rPr>
        <w:lastRenderedPageBreak/>
        <w:tab/>
      </w:r>
      <w:r>
        <w:rPr>
          <w:rFonts w:ascii="Times New Roman" w:hAnsi="Times New Roman"/>
          <w:iCs/>
          <w:sz w:val="26"/>
        </w:rPr>
        <w:tab/>
      </w:r>
      <w:r w:rsidR="00043280">
        <w:rPr>
          <w:rFonts w:ascii="Times New Roman" w:hAnsi="Times New Roman"/>
          <w:iCs/>
          <w:sz w:val="26"/>
        </w:rPr>
        <w:t>OTS responds and argues that OSBA rebuttable presumption proposal was first introduced into the proceeding during the Surrebuttal phase.  OTS asserts that this late presentation violates this Commission’</w:t>
      </w:r>
      <w:r w:rsidR="008D38DB">
        <w:rPr>
          <w:rFonts w:ascii="Times New Roman" w:hAnsi="Times New Roman"/>
          <w:iCs/>
          <w:sz w:val="26"/>
        </w:rPr>
        <w:t>s Regulations at 52 Pa. Code § </w:t>
      </w:r>
      <w:r w:rsidR="00043280">
        <w:rPr>
          <w:rFonts w:ascii="Times New Roman" w:hAnsi="Times New Roman"/>
          <w:iCs/>
          <w:sz w:val="26"/>
        </w:rPr>
        <w:t>5.243(e) which provides that no evidence may be introduced for the first time in the rebuttal phase which could have been introduc</w:t>
      </w:r>
      <w:r w:rsidR="0051720D">
        <w:rPr>
          <w:rFonts w:ascii="Times New Roman" w:hAnsi="Times New Roman"/>
          <w:iCs/>
          <w:sz w:val="26"/>
        </w:rPr>
        <w:t>ed in that party’s initial case-</w:t>
      </w:r>
      <w:r w:rsidR="00043280">
        <w:rPr>
          <w:rFonts w:ascii="Times New Roman" w:hAnsi="Times New Roman"/>
          <w:iCs/>
          <w:sz w:val="26"/>
        </w:rPr>
        <w:t>in</w:t>
      </w:r>
      <w:r w:rsidR="0051720D">
        <w:rPr>
          <w:rFonts w:ascii="Times New Roman" w:hAnsi="Times New Roman"/>
          <w:iCs/>
          <w:sz w:val="26"/>
        </w:rPr>
        <w:t>-</w:t>
      </w:r>
      <w:r w:rsidR="00043280">
        <w:rPr>
          <w:rFonts w:ascii="Times New Roman" w:hAnsi="Times New Roman"/>
          <w:iCs/>
          <w:sz w:val="26"/>
        </w:rPr>
        <w:t>chief.</w:t>
      </w:r>
      <w:r w:rsidR="0037334C">
        <w:rPr>
          <w:rFonts w:ascii="Times New Roman" w:hAnsi="Times New Roman"/>
          <w:iCs/>
          <w:sz w:val="26"/>
        </w:rPr>
        <w:t xml:space="preserve">  OTS Exc. at 3-4, </w:t>
      </w:r>
      <w:r w:rsidR="0037334C" w:rsidRPr="0037334C">
        <w:rPr>
          <w:rFonts w:ascii="Times New Roman" w:hAnsi="Times New Roman"/>
          <w:i/>
          <w:iCs/>
          <w:sz w:val="26"/>
        </w:rPr>
        <w:t>n</w:t>
      </w:r>
      <w:r w:rsidR="0037334C">
        <w:rPr>
          <w:rFonts w:ascii="Times New Roman" w:hAnsi="Times New Roman"/>
          <w:iCs/>
          <w:sz w:val="26"/>
        </w:rPr>
        <w:t xml:space="preserve">. 6.  OTS also argues that there is no evidence in support of OSBA proposal, a result of having introduced the proposal so late in the proceeding.  </w:t>
      </w:r>
      <w:r w:rsidR="0037334C" w:rsidRPr="0037334C">
        <w:rPr>
          <w:rFonts w:ascii="Times New Roman" w:hAnsi="Times New Roman"/>
          <w:i/>
          <w:iCs/>
          <w:sz w:val="26"/>
        </w:rPr>
        <w:t>Id</w:t>
      </w:r>
      <w:r w:rsidR="0037334C">
        <w:rPr>
          <w:rFonts w:ascii="Times New Roman" w:hAnsi="Times New Roman"/>
          <w:iCs/>
          <w:sz w:val="26"/>
        </w:rPr>
        <w:t xml:space="preserve">. at 4.  </w:t>
      </w:r>
    </w:p>
    <w:p w:rsidR="0037334C" w:rsidRDefault="0037334C" w:rsidP="00797A0E">
      <w:pPr>
        <w:spacing w:line="360" w:lineRule="auto"/>
        <w:rPr>
          <w:rFonts w:ascii="Times New Roman" w:hAnsi="Times New Roman"/>
          <w:iCs/>
          <w:sz w:val="26"/>
        </w:rPr>
      </w:pPr>
      <w:r>
        <w:rPr>
          <w:rFonts w:ascii="Times New Roman" w:hAnsi="Times New Roman"/>
          <w:iCs/>
          <w:sz w:val="26"/>
        </w:rPr>
        <w:tab/>
      </w:r>
      <w:r>
        <w:rPr>
          <w:rFonts w:ascii="Times New Roman" w:hAnsi="Times New Roman"/>
          <w:iCs/>
          <w:sz w:val="26"/>
        </w:rPr>
        <w:tab/>
      </w:r>
      <w:r>
        <w:rPr>
          <w:rFonts w:ascii="Times New Roman" w:hAnsi="Times New Roman"/>
          <w:iCs/>
          <w:sz w:val="26"/>
        </w:rPr>
        <w:tab/>
      </w:r>
    </w:p>
    <w:p w:rsidR="004905A4" w:rsidRDefault="0037334C" w:rsidP="00797A0E">
      <w:pPr>
        <w:spacing w:line="360" w:lineRule="auto"/>
        <w:rPr>
          <w:rFonts w:ascii="Times New Roman" w:hAnsi="Times New Roman"/>
          <w:iCs/>
          <w:sz w:val="26"/>
        </w:rPr>
      </w:pPr>
      <w:r>
        <w:rPr>
          <w:rFonts w:ascii="Times New Roman" w:hAnsi="Times New Roman"/>
          <w:iCs/>
          <w:sz w:val="26"/>
        </w:rPr>
        <w:tab/>
      </w:r>
      <w:r>
        <w:rPr>
          <w:rFonts w:ascii="Times New Roman" w:hAnsi="Times New Roman"/>
          <w:iCs/>
          <w:sz w:val="26"/>
        </w:rPr>
        <w:tab/>
        <w:t xml:space="preserve">OTS also argues that OSBA proposal ignores the use of a three-year average methodology for LUFG in favor of a one-year model.  </w:t>
      </w:r>
      <w:r w:rsidR="0051720D">
        <w:rPr>
          <w:rFonts w:ascii="Times New Roman" w:hAnsi="Times New Roman"/>
          <w:iCs/>
          <w:sz w:val="26"/>
        </w:rPr>
        <w:t xml:space="preserve">The </w:t>
      </w:r>
      <w:r>
        <w:rPr>
          <w:rFonts w:ascii="Times New Roman" w:hAnsi="Times New Roman"/>
          <w:iCs/>
          <w:sz w:val="26"/>
        </w:rPr>
        <w:t xml:space="preserve">OSBA proposal necessarily </w:t>
      </w:r>
      <w:r w:rsidR="00F165A4">
        <w:rPr>
          <w:rFonts w:ascii="Times New Roman" w:hAnsi="Times New Roman"/>
          <w:iCs/>
          <w:sz w:val="26"/>
        </w:rPr>
        <w:t xml:space="preserve">reviews only one year of data to determine whether a presumption arises.  However, the Joint Settlement provides for a three-year average of that data which will produce superior results.  OTS concludes that the evidentiary record establishes the appropriate methodology for developing the LUFG rate and supports the recommendation of the ALJ.  Conversely, there is no evidence in support of OSBA proposal.  OTS Exc. at </w:t>
      </w:r>
      <w:r w:rsidR="0061084C">
        <w:rPr>
          <w:rFonts w:ascii="Times New Roman" w:hAnsi="Times New Roman"/>
          <w:iCs/>
          <w:sz w:val="26"/>
        </w:rPr>
        <w:t>4-6.</w:t>
      </w:r>
    </w:p>
    <w:p w:rsidR="0061084C" w:rsidRDefault="0061084C" w:rsidP="00797A0E">
      <w:pPr>
        <w:spacing w:line="360" w:lineRule="auto"/>
        <w:rPr>
          <w:rFonts w:ascii="Times New Roman" w:hAnsi="Times New Roman"/>
          <w:iCs/>
          <w:sz w:val="26"/>
        </w:rPr>
      </w:pPr>
    </w:p>
    <w:p w:rsidR="0061084C" w:rsidRDefault="0061084C" w:rsidP="00797A0E">
      <w:pPr>
        <w:spacing w:line="360" w:lineRule="auto"/>
        <w:rPr>
          <w:rFonts w:ascii="Times New Roman" w:hAnsi="Times New Roman"/>
          <w:iCs/>
          <w:sz w:val="26"/>
        </w:rPr>
      </w:pPr>
      <w:r>
        <w:rPr>
          <w:rFonts w:ascii="Times New Roman" w:hAnsi="Times New Roman"/>
          <w:iCs/>
          <w:sz w:val="26"/>
        </w:rPr>
        <w:tab/>
      </w:r>
      <w:r>
        <w:rPr>
          <w:rFonts w:ascii="Times New Roman" w:hAnsi="Times New Roman"/>
          <w:iCs/>
          <w:sz w:val="26"/>
        </w:rPr>
        <w:tab/>
        <w:t xml:space="preserve">Peoples responds and argues that OSBA proposal amounts to placing a higher standard on Peoples than is provided for in the Code.  Peoples points out that the ALJ has found that the current levels of LUFG and CU are reasonable for the nature of Peoples’ system.  Peoples observes that no Party has questioned that finding, but the OSBA proposes to </w:t>
      </w:r>
      <w:r w:rsidR="000E265A">
        <w:rPr>
          <w:rFonts w:ascii="Times New Roman" w:hAnsi="Times New Roman"/>
          <w:iCs/>
          <w:sz w:val="26"/>
        </w:rPr>
        <w:t xml:space="preserve">mandate a  higher standard, the rebuttable presumption, despite the unrebutted evidence which shows that Peoples’ LUFG and CU rates are at reasonable levels.  Peoples also argues that OSBA ignores the evidence which establishes that Peoples’ system contains a gathering system and storage facilities which make that system different from other gas distribution systems.  </w:t>
      </w:r>
      <w:r w:rsidR="00381FA8">
        <w:rPr>
          <w:rFonts w:ascii="Times New Roman" w:hAnsi="Times New Roman"/>
          <w:iCs/>
          <w:sz w:val="26"/>
        </w:rPr>
        <w:t xml:space="preserve">Peoples’ Exc. at 1-7.  Peoples also points to commitments it makes in Appendix B to the Joint Settlement.  </w:t>
      </w:r>
      <w:r w:rsidR="008D38DB" w:rsidRPr="008D38DB">
        <w:rPr>
          <w:rFonts w:ascii="Times New Roman" w:hAnsi="Times New Roman"/>
          <w:i/>
          <w:iCs/>
          <w:sz w:val="26"/>
        </w:rPr>
        <w:t>Id</w:t>
      </w:r>
      <w:r w:rsidR="008D38DB">
        <w:rPr>
          <w:rFonts w:ascii="Times New Roman" w:hAnsi="Times New Roman"/>
          <w:iCs/>
          <w:sz w:val="26"/>
        </w:rPr>
        <w:t>. at 7-8.</w:t>
      </w:r>
    </w:p>
    <w:p w:rsidR="008D38DB" w:rsidRDefault="008D38DB" w:rsidP="00797A0E">
      <w:pPr>
        <w:spacing w:line="360" w:lineRule="auto"/>
        <w:rPr>
          <w:rFonts w:ascii="Times New Roman" w:hAnsi="Times New Roman"/>
          <w:iCs/>
          <w:sz w:val="26"/>
        </w:rPr>
      </w:pPr>
    </w:p>
    <w:p w:rsidR="008D38DB" w:rsidRDefault="008D38DB" w:rsidP="00797A0E">
      <w:pPr>
        <w:spacing w:line="360" w:lineRule="auto"/>
        <w:rPr>
          <w:rFonts w:ascii="Times New Roman" w:hAnsi="Times New Roman"/>
          <w:iCs/>
          <w:sz w:val="26"/>
        </w:rPr>
      </w:pPr>
      <w:r>
        <w:rPr>
          <w:rFonts w:ascii="Times New Roman" w:hAnsi="Times New Roman"/>
          <w:iCs/>
          <w:sz w:val="26"/>
        </w:rPr>
        <w:tab/>
      </w:r>
      <w:r>
        <w:rPr>
          <w:rFonts w:ascii="Times New Roman" w:hAnsi="Times New Roman"/>
          <w:iCs/>
          <w:sz w:val="26"/>
        </w:rPr>
        <w:tab/>
        <w:t>We will deny OSBA</w:t>
      </w:r>
      <w:r w:rsidR="009C14C9">
        <w:rPr>
          <w:rFonts w:ascii="Times New Roman" w:hAnsi="Times New Roman"/>
          <w:iCs/>
          <w:sz w:val="26"/>
        </w:rPr>
        <w:t>’s</w:t>
      </w:r>
      <w:r>
        <w:rPr>
          <w:rFonts w:ascii="Times New Roman" w:hAnsi="Times New Roman"/>
          <w:iCs/>
          <w:sz w:val="26"/>
        </w:rPr>
        <w:t xml:space="preserve"> proposal.  As noted by </w:t>
      </w:r>
      <w:r w:rsidR="009C14C9">
        <w:rPr>
          <w:rFonts w:ascii="Times New Roman" w:hAnsi="Times New Roman"/>
          <w:iCs/>
          <w:sz w:val="26"/>
        </w:rPr>
        <w:t>O</w:t>
      </w:r>
      <w:r>
        <w:rPr>
          <w:rFonts w:ascii="Times New Roman" w:hAnsi="Times New Roman"/>
          <w:iCs/>
          <w:sz w:val="26"/>
        </w:rPr>
        <w:t>TS, OSBA</w:t>
      </w:r>
      <w:r w:rsidR="00E051CA">
        <w:rPr>
          <w:rFonts w:ascii="Times New Roman" w:hAnsi="Times New Roman"/>
          <w:iCs/>
          <w:sz w:val="26"/>
        </w:rPr>
        <w:t>’s</w:t>
      </w:r>
      <w:r>
        <w:rPr>
          <w:rFonts w:ascii="Times New Roman" w:hAnsi="Times New Roman"/>
          <w:iCs/>
          <w:sz w:val="26"/>
        </w:rPr>
        <w:t xml:space="preserve"> proposal was entered far too late in the proceeding to permit a full examination of the proposal or for OSBA to provide evidentiary support.  See 52 Pa. Code § 5.234(e).  More importantly, we have reviewed the record and the ALJ’s description of Peoples’ system, including the gathering system and storage facilities.  There is ample evidence upon which to base a conclusion that Peoples’ LUFG/CU rates are, at present, reasonable.  We emphasize that our determination here is </w:t>
      </w:r>
      <w:r w:rsidR="00A51119">
        <w:rPr>
          <w:rFonts w:ascii="Times New Roman" w:hAnsi="Times New Roman"/>
          <w:iCs/>
          <w:sz w:val="26"/>
        </w:rPr>
        <w:t xml:space="preserve">also </w:t>
      </w:r>
      <w:r>
        <w:rPr>
          <w:rFonts w:ascii="Times New Roman" w:hAnsi="Times New Roman"/>
          <w:iCs/>
          <w:sz w:val="26"/>
        </w:rPr>
        <w:t xml:space="preserve">based upon Peoples’ commitments in the Joint Settlement and Appendix B to the Joint Settlement regarding monitoring </w:t>
      </w:r>
      <w:r w:rsidR="00E051CA">
        <w:rPr>
          <w:rFonts w:ascii="Times New Roman" w:hAnsi="Times New Roman"/>
          <w:iCs/>
          <w:sz w:val="26"/>
        </w:rPr>
        <w:t>and mitigation measures as well as the three-year average methodology adopted in this proceeding.</w:t>
      </w:r>
      <w:r w:rsidR="00A51119">
        <w:rPr>
          <w:rFonts w:ascii="Times New Roman" w:hAnsi="Times New Roman"/>
          <w:iCs/>
          <w:sz w:val="26"/>
        </w:rPr>
        <w:t xml:space="preserve">  For the reasons set forth by the ALJ, including Peoples’ commitments in the Joint Settlement, we will deny </w:t>
      </w:r>
      <w:r w:rsidR="00E051CA">
        <w:rPr>
          <w:rFonts w:ascii="Times New Roman" w:hAnsi="Times New Roman"/>
          <w:iCs/>
          <w:sz w:val="26"/>
        </w:rPr>
        <w:t xml:space="preserve">OSBA’s </w:t>
      </w:r>
      <w:r w:rsidR="00A51119">
        <w:rPr>
          <w:rFonts w:ascii="Times New Roman" w:hAnsi="Times New Roman"/>
          <w:iCs/>
          <w:sz w:val="26"/>
        </w:rPr>
        <w:t>Exception and adopt the recommendation of the ALJ on this issue.</w:t>
      </w:r>
    </w:p>
    <w:p w:rsidR="00E13866" w:rsidRDefault="00E13866" w:rsidP="00797A0E">
      <w:pPr>
        <w:spacing w:line="360" w:lineRule="auto"/>
        <w:rPr>
          <w:rFonts w:ascii="Times New Roman" w:hAnsi="Times New Roman"/>
          <w:iCs/>
          <w:sz w:val="26"/>
        </w:rPr>
      </w:pPr>
    </w:p>
    <w:p w:rsidR="00E13866" w:rsidRPr="00405EA9" w:rsidRDefault="00E13866" w:rsidP="000167C3">
      <w:pPr>
        <w:keepNext/>
        <w:keepLines/>
        <w:spacing w:line="360" w:lineRule="auto"/>
        <w:rPr>
          <w:rFonts w:ascii="Times New Roman" w:hAnsi="Times New Roman"/>
          <w:b/>
          <w:iCs/>
          <w:sz w:val="26"/>
          <w:u w:val="single"/>
        </w:rPr>
      </w:pPr>
      <w:r w:rsidRPr="00405EA9">
        <w:rPr>
          <w:rFonts w:ascii="Times New Roman" w:hAnsi="Times New Roman"/>
          <w:b/>
          <w:iCs/>
          <w:sz w:val="26"/>
          <w:u w:val="single"/>
        </w:rPr>
        <w:t>Joint Settlement</w:t>
      </w:r>
    </w:p>
    <w:p w:rsidR="004905A4" w:rsidRDefault="004905A4" w:rsidP="000167C3">
      <w:pPr>
        <w:keepNext/>
        <w:keepLines/>
        <w:spacing w:line="360" w:lineRule="auto"/>
        <w:rPr>
          <w:rFonts w:ascii="Times New Roman" w:hAnsi="Times New Roman"/>
          <w:b/>
          <w:iCs/>
          <w:sz w:val="26"/>
        </w:rPr>
      </w:pPr>
    </w:p>
    <w:p w:rsidR="004905A4" w:rsidRDefault="004905A4" w:rsidP="000167C3">
      <w:pPr>
        <w:keepNext/>
        <w:keepLines/>
        <w:spacing w:line="360" w:lineRule="auto"/>
        <w:rPr>
          <w:rFonts w:ascii="Times New (W1)" w:hAnsi="Times New (W1)"/>
          <w:sz w:val="26"/>
        </w:rPr>
      </w:pPr>
      <w:r>
        <w:rPr>
          <w:rFonts w:ascii="Times New Roman" w:hAnsi="Times New Roman"/>
          <w:b/>
          <w:iCs/>
          <w:sz w:val="26"/>
        </w:rPr>
        <w:tab/>
      </w:r>
      <w:r>
        <w:rPr>
          <w:rFonts w:ascii="Times New Roman" w:hAnsi="Times New Roman"/>
          <w:iCs/>
          <w:sz w:val="26"/>
        </w:rPr>
        <w:tab/>
        <w:t xml:space="preserve">The OTS, OCA, OSBA, Peoples and RESA reached agreement </w:t>
      </w:r>
      <w:r w:rsidR="002F6DBD">
        <w:rPr>
          <w:rFonts w:ascii="Times New Roman" w:hAnsi="Times New Roman"/>
          <w:iCs/>
          <w:sz w:val="26"/>
        </w:rPr>
        <w:t xml:space="preserve">on several issues involved in Peoples’ 1307(f) filing.  </w:t>
      </w:r>
      <w:r w:rsidR="00433399">
        <w:rPr>
          <w:rFonts w:ascii="Times New Roman" w:hAnsi="Times New Roman"/>
          <w:iCs/>
          <w:sz w:val="26"/>
        </w:rPr>
        <w:t>It is noted</w:t>
      </w:r>
      <w:r w:rsidR="00EE42D2">
        <w:rPr>
          <w:rFonts w:ascii="Times New Roman" w:hAnsi="Times New Roman"/>
          <w:iCs/>
          <w:sz w:val="26"/>
        </w:rPr>
        <w:t xml:space="preserve"> that</w:t>
      </w:r>
      <w:r w:rsidR="00433399">
        <w:rPr>
          <w:rFonts w:ascii="Times New Roman" w:hAnsi="Times New Roman"/>
          <w:iCs/>
          <w:sz w:val="26"/>
        </w:rPr>
        <w:t>,</w:t>
      </w:r>
      <w:r w:rsidR="002F6DBD">
        <w:rPr>
          <w:rFonts w:ascii="Times New Roman" w:hAnsi="Times New Roman"/>
          <w:iCs/>
          <w:sz w:val="26"/>
        </w:rPr>
        <w:t xml:space="preserve"> w</w:t>
      </w:r>
      <w:r w:rsidR="002F6DBD" w:rsidRPr="001E630E">
        <w:rPr>
          <w:rFonts w:ascii="Times New (W1)" w:hAnsi="Times New (W1)"/>
          <w:sz w:val="26"/>
        </w:rPr>
        <w:t xml:space="preserve">hile </w:t>
      </w:r>
      <w:r w:rsidR="002F6DBD">
        <w:rPr>
          <w:rFonts w:ascii="Times New (W1)" w:hAnsi="Times New (W1)"/>
          <w:sz w:val="26"/>
        </w:rPr>
        <w:t xml:space="preserve">OSBA is </w:t>
      </w:r>
      <w:r w:rsidR="002F6DBD" w:rsidRPr="001E630E">
        <w:rPr>
          <w:rFonts w:ascii="Times New (W1)" w:hAnsi="Times New (W1)"/>
          <w:sz w:val="26"/>
        </w:rPr>
        <w:t xml:space="preserve">a party to the </w:t>
      </w:r>
      <w:r w:rsidR="00EE42D2">
        <w:rPr>
          <w:rFonts w:ascii="Times New (W1)" w:hAnsi="Times New (W1)"/>
          <w:sz w:val="26"/>
        </w:rPr>
        <w:t xml:space="preserve">Joint </w:t>
      </w:r>
      <w:r w:rsidR="002F6DBD" w:rsidRPr="001E630E">
        <w:rPr>
          <w:rFonts w:ascii="Times New (W1)" w:hAnsi="Times New (W1)"/>
          <w:sz w:val="26"/>
        </w:rPr>
        <w:t>Settlement as a whole, OSBA does not join in the section dealing with Peoples’ unaccounted-for gas and Company-use gas.</w:t>
      </w:r>
      <w:r w:rsidR="002D5902">
        <w:rPr>
          <w:rFonts w:ascii="Times New (W1)" w:hAnsi="Times New (W1)"/>
          <w:sz w:val="26"/>
        </w:rPr>
        <w:t xml:space="preserve">  We also note that Dominion Retail did not object to the Joint Settlement.</w:t>
      </w:r>
    </w:p>
    <w:p w:rsidR="00AC2448" w:rsidRDefault="00AC2448" w:rsidP="00797A0E">
      <w:pPr>
        <w:spacing w:line="360" w:lineRule="auto"/>
        <w:rPr>
          <w:rFonts w:ascii="Times New (W1)" w:hAnsi="Times New (W1)"/>
          <w:sz w:val="26"/>
        </w:rPr>
      </w:pPr>
    </w:p>
    <w:p w:rsidR="00AC2448" w:rsidRPr="004905A4" w:rsidRDefault="00AC2448" w:rsidP="00797A0E">
      <w:pPr>
        <w:spacing w:line="360" w:lineRule="auto"/>
        <w:rPr>
          <w:rFonts w:ascii="Times New Roman" w:hAnsi="Times New Roman"/>
          <w:iCs/>
          <w:sz w:val="26"/>
        </w:rPr>
      </w:pPr>
      <w:r>
        <w:rPr>
          <w:rFonts w:ascii="Times New (W1)" w:hAnsi="Times New (W1)"/>
          <w:sz w:val="26"/>
        </w:rPr>
        <w:tab/>
      </w:r>
      <w:r>
        <w:rPr>
          <w:rFonts w:ascii="Times New (W1)" w:hAnsi="Times New (W1)"/>
          <w:sz w:val="26"/>
        </w:rPr>
        <w:tab/>
        <w:t>The ALJ found that the Joint Settlement “constitutes a fair, just and reasonable resolution of the Commission’s investigation, and, therefore, the Joint Settlement Agreement is in the public interest and should be approved.”  R.D. at 35.  The ALJ provided a</w:t>
      </w:r>
      <w:r w:rsidR="00474E8C">
        <w:rPr>
          <w:rFonts w:ascii="Times New (W1)" w:hAnsi="Times New (W1)"/>
          <w:sz w:val="26"/>
        </w:rPr>
        <w:t xml:space="preserve"> description of each</w:t>
      </w:r>
      <w:r w:rsidR="008A4B62">
        <w:rPr>
          <w:rFonts w:ascii="Times New (W1)" w:hAnsi="Times New (W1)"/>
          <w:sz w:val="26"/>
        </w:rPr>
        <w:t xml:space="preserve"> of the specific provisions of the Joint Settlement.  We will discuss each of those provisions.</w:t>
      </w:r>
    </w:p>
    <w:p w:rsidR="00E13866" w:rsidRDefault="00E13866" w:rsidP="00797A0E">
      <w:pPr>
        <w:spacing w:line="360" w:lineRule="auto"/>
        <w:rPr>
          <w:rFonts w:ascii="Times New Roman" w:hAnsi="Times New Roman"/>
          <w:b/>
          <w:iCs/>
          <w:sz w:val="26"/>
        </w:rPr>
      </w:pPr>
    </w:p>
    <w:p w:rsidR="004905A4" w:rsidRPr="004905A4" w:rsidRDefault="00E13866" w:rsidP="0028478B">
      <w:pPr>
        <w:keepNext/>
        <w:keepLines/>
        <w:spacing w:line="360" w:lineRule="auto"/>
        <w:rPr>
          <w:rFonts w:ascii="Times New (W1)" w:hAnsi="Times New (W1)"/>
          <w:sz w:val="26"/>
        </w:rPr>
      </w:pPr>
      <w:r>
        <w:rPr>
          <w:rFonts w:ascii="Times New Roman" w:hAnsi="Times New Roman"/>
          <w:iCs/>
          <w:sz w:val="26"/>
        </w:rPr>
        <w:lastRenderedPageBreak/>
        <w:tab/>
      </w:r>
      <w:r w:rsidR="004905A4" w:rsidRPr="004905A4">
        <w:rPr>
          <w:rFonts w:ascii="Times New (W1)" w:hAnsi="Times New (W1)"/>
          <w:sz w:val="26"/>
          <w:u w:val="single"/>
        </w:rPr>
        <w:t>Least Cost Fuel Procurement Policy – Reconciliation Period</w:t>
      </w:r>
    </w:p>
    <w:p w:rsidR="004905A4" w:rsidRPr="004905A4" w:rsidRDefault="004905A4" w:rsidP="0028478B">
      <w:pPr>
        <w:keepNext/>
        <w:keepLines/>
        <w:spacing w:line="360" w:lineRule="auto"/>
        <w:rPr>
          <w:rFonts w:ascii="Times New (W1)" w:hAnsi="Times New (W1)"/>
          <w:sz w:val="26"/>
        </w:rPr>
      </w:pPr>
    </w:p>
    <w:p w:rsidR="004905A4" w:rsidRDefault="004905A4" w:rsidP="0028478B">
      <w:pPr>
        <w:keepNext/>
        <w:keepLines/>
        <w:spacing w:line="360" w:lineRule="auto"/>
        <w:rPr>
          <w:rFonts w:ascii="Times New (W1)" w:hAnsi="Times New (W1)"/>
          <w:sz w:val="26"/>
        </w:rPr>
      </w:pPr>
      <w:r w:rsidRPr="004905A4">
        <w:rPr>
          <w:rFonts w:ascii="Times New (W1)" w:hAnsi="Times New (W1)"/>
          <w:sz w:val="26"/>
        </w:rPr>
        <w:tab/>
      </w:r>
      <w:r w:rsidRPr="004905A4">
        <w:rPr>
          <w:rFonts w:ascii="Times New (W1)" w:hAnsi="Times New (W1)"/>
          <w:sz w:val="26"/>
        </w:rPr>
        <w:tab/>
        <w:t>Each of the seven specific findings set forth in Section 1318(a) and (b) of the Code, 66 Pa. C.S</w:t>
      </w:r>
      <w:r w:rsidR="000F4D0D">
        <w:rPr>
          <w:rFonts w:ascii="Times New (W1)" w:hAnsi="Times New (W1)"/>
          <w:sz w:val="26"/>
        </w:rPr>
        <w:t>. §</w:t>
      </w:r>
      <w:r w:rsidR="00433399">
        <w:rPr>
          <w:rFonts w:ascii="Times New (W1)" w:hAnsi="Times New (W1)"/>
          <w:sz w:val="26"/>
        </w:rPr>
        <w:t xml:space="preserve"> </w:t>
      </w:r>
      <w:r w:rsidR="000F4D0D">
        <w:rPr>
          <w:rFonts w:ascii="Times New (W1)" w:hAnsi="Times New (W1)"/>
          <w:sz w:val="26"/>
        </w:rPr>
        <w:t xml:space="preserve">1318(a) and (b), applies to </w:t>
      </w:r>
      <w:r w:rsidRPr="004905A4">
        <w:rPr>
          <w:rFonts w:ascii="Times New (W1)" w:hAnsi="Times New (W1)"/>
          <w:sz w:val="26"/>
        </w:rPr>
        <w:t xml:space="preserve">Peoples for the </w:t>
      </w:r>
      <w:r w:rsidR="00433399">
        <w:rPr>
          <w:rFonts w:ascii="Times New (W1)" w:hAnsi="Times New (W1)"/>
          <w:sz w:val="26"/>
        </w:rPr>
        <w:t>twelve</w:t>
      </w:r>
      <w:r w:rsidRPr="004905A4">
        <w:rPr>
          <w:rFonts w:ascii="Times New (W1)" w:hAnsi="Times New (W1)"/>
          <w:sz w:val="26"/>
        </w:rPr>
        <w:t>-month period of February 1, 2008</w:t>
      </w:r>
      <w:r w:rsidR="00433399">
        <w:rPr>
          <w:rFonts w:ascii="Times New (W1)" w:hAnsi="Times New (W1)"/>
          <w:sz w:val="26"/>
        </w:rPr>
        <w:t>,</w:t>
      </w:r>
      <w:r w:rsidRPr="004905A4">
        <w:rPr>
          <w:rFonts w:ascii="Times New (W1)" w:hAnsi="Times New (W1)"/>
          <w:sz w:val="26"/>
        </w:rPr>
        <w:t xml:space="preserve"> through January 31, 2009</w:t>
      </w:r>
      <w:r w:rsidR="00433399">
        <w:rPr>
          <w:rFonts w:ascii="Times New (W1)" w:hAnsi="Times New (W1)"/>
          <w:sz w:val="26"/>
        </w:rPr>
        <w:t>,</w:t>
      </w:r>
      <w:r w:rsidRPr="004905A4">
        <w:rPr>
          <w:rFonts w:ascii="Times New (W1)" w:hAnsi="Times New (W1)"/>
          <w:sz w:val="26"/>
        </w:rPr>
        <w:t xml:space="preserve"> and, as a result, the natural gas costs that Peoples incurred over the </w:t>
      </w:r>
      <w:r w:rsidR="00433399">
        <w:rPr>
          <w:rFonts w:ascii="Times New (W1)" w:hAnsi="Times New (W1)"/>
          <w:sz w:val="26"/>
        </w:rPr>
        <w:t>twelve-</w:t>
      </w:r>
      <w:r w:rsidRPr="004905A4">
        <w:rPr>
          <w:rFonts w:ascii="Times New (W1)" w:hAnsi="Times New (W1)"/>
          <w:sz w:val="26"/>
        </w:rPr>
        <w:t>month period of February 1, 2008</w:t>
      </w:r>
      <w:r w:rsidR="00433399">
        <w:rPr>
          <w:rFonts w:ascii="Times New (W1)" w:hAnsi="Times New (W1)"/>
          <w:sz w:val="26"/>
        </w:rPr>
        <w:t xml:space="preserve">, through January 31, 2009, </w:t>
      </w:r>
      <w:r w:rsidRPr="004905A4">
        <w:rPr>
          <w:rFonts w:ascii="Times New (W1)" w:hAnsi="Times New (W1)"/>
          <w:sz w:val="26"/>
        </w:rPr>
        <w:t>were incurred under a “least cost fuel procurement policy, consistent with [Peoples’] obligation to provide safe, adequate and reliable service to its customers.”</w:t>
      </w:r>
      <w:r w:rsidR="00E45E61">
        <w:rPr>
          <w:rFonts w:ascii="Times New (W1)" w:hAnsi="Times New (W1)"/>
          <w:sz w:val="26"/>
        </w:rPr>
        <w:t xml:space="preserve">  R.D. at 3.</w:t>
      </w:r>
      <w:r w:rsidR="00A77EE1">
        <w:rPr>
          <w:rFonts w:ascii="Times New (W1)" w:hAnsi="Times New (W1)"/>
          <w:sz w:val="26"/>
        </w:rPr>
        <w:t xml:space="preserve">  Peoples presented evidence that supported </w:t>
      </w:r>
      <w:r w:rsidR="00A10D0C">
        <w:rPr>
          <w:rFonts w:ascii="Times New (W1)" w:hAnsi="Times New (W1)"/>
          <w:sz w:val="26"/>
        </w:rPr>
        <w:t>that it was following a least cost fuel procurement policy as set forth in Section 1318(a) an</w:t>
      </w:r>
      <w:r w:rsidR="00433399">
        <w:rPr>
          <w:rFonts w:ascii="Times New (W1)" w:hAnsi="Times New (W1)"/>
          <w:sz w:val="26"/>
        </w:rPr>
        <w:t>d (b) of the Code, 66 Pa. C.S. § </w:t>
      </w:r>
      <w:r w:rsidR="00A10D0C">
        <w:rPr>
          <w:rFonts w:ascii="Times New (W1)" w:hAnsi="Times New (W1)"/>
          <w:sz w:val="26"/>
        </w:rPr>
        <w:t>1318(a) and (b).  R.D. at 11-18.</w:t>
      </w:r>
    </w:p>
    <w:p w:rsidR="0028478B" w:rsidRDefault="0028478B" w:rsidP="0028478B">
      <w:pPr>
        <w:keepNext/>
        <w:keepLines/>
        <w:spacing w:line="360" w:lineRule="auto"/>
        <w:rPr>
          <w:rFonts w:ascii="Times New (W1)" w:hAnsi="Times New (W1)"/>
          <w:sz w:val="26"/>
        </w:rPr>
      </w:pPr>
    </w:p>
    <w:p w:rsidR="004905A4" w:rsidRPr="004905A4" w:rsidRDefault="004905A4" w:rsidP="004905A4">
      <w:pPr>
        <w:spacing w:line="360" w:lineRule="auto"/>
        <w:ind w:firstLine="720"/>
        <w:rPr>
          <w:rFonts w:ascii="Times New (W1)" w:hAnsi="Times New (W1)"/>
          <w:sz w:val="26"/>
        </w:rPr>
      </w:pPr>
      <w:r w:rsidRPr="004905A4">
        <w:rPr>
          <w:rFonts w:ascii="Times New (W1)" w:hAnsi="Times New (W1)"/>
          <w:sz w:val="26"/>
          <w:u w:val="single"/>
        </w:rPr>
        <w:t>Least Cost Fuel Procurement Policy – Projected Period</w:t>
      </w:r>
    </w:p>
    <w:p w:rsidR="004905A4" w:rsidRPr="004905A4" w:rsidRDefault="004905A4" w:rsidP="004905A4">
      <w:pPr>
        <w:spacing w:line="360" w:lineRule="auto"/>
        <w:rPr>
          <w:rFonts w:ascii="Times New (W1)" w:hAnsi="Times New (W1)"/>
          <w:sz w:val="26"/>
        </w:rPr>
      </w:pPr>
    </w:p>
    <w:p w:rsidR="00A10D0C" w:rsidRDefault="004905A4" w:rsidP="00A10D0C">
      <w:pPr>
        <w:spacing w:line="360" w:lineRule="auto"/>
        <w:rPr>
          <w:rFonts w:ascii="Times New (W1)" w:hAnsi="Times New (W1)"/>
          <w:sz w:val="26"/>
        </w:rPr>
      </w:pPr>
      <w:r w:rsidRPr="004905A4">
        <w:rPr>
          <w:rFonts w:ascii="Times New (W1)" w:hAnsi="Times New (W1)"/>
          <w:sz w:val="26"/>
        </w:rPr>
        <w:tab/>
      </w:r>
      <w:r w:rsidRPr="004905A4">
        <w:rPr>
          <w:rFonts w:ascii="Times New (W1)" w:hAnsi="Times New (W1)"/>
          <w:sz w:val="26"/>
        </w:rPr>
        <w:tab/>
        <w:t>Each of the seven specific findings set forth in Section 1318(a) an</w:t>
      </w:r>
      <w:r w:rsidR="00433399">
        <w:rPr>
          <w:rFonts w:ascii="Times New (W1)" w:hAnsi="Times New (W1)"/>
          <w:sz w:val="26"/>
        </w:rPr>
        <w:t xml:space="preserve">d (b) of the Code, 66 Pa. C.S. § </w:t>
      </w:r>
      <w:r w:rsidRPr="004905A4">
        <w:rPr>
          <w:rFonts w:ascii="Times New (W1)" w:hAnsi="Times New (W1)"/>
          <w:sz w:val="26"/>
        </w:rPr>
        <w:t xml:space="preserve">1318(a) and (b), appears to apply to Peoples for the </w:t>
      </w:r>
      <w:r w:rsidR="00433399">
        <w:rPr>
          <w:rFonts w:ascii="Times New (W1)" w:hAnsi="Times New (W1)"/>
          <w:sz w:val="26"/>
        </w:rPr>
        <w:t>twenty</w:t>
      </w:r>
      <w:r w:rsidRPr="004905A4">
        <w:rPr>
          <w:rFonts w:ascii="Times New (W1)" w:hAnsi="Times New (W1)"/>
          <w:sz w:val="26"/>
        </w:rPr>
        <w:t>-month period of February 1, 2009</w:t>
      </w:r>
      <w:r w:rsidR="00433399">
        <w:rPr>
          <w:rFonts w:ascii="Times New (W1)" w:hAnsi="Times New (W1)"/>
          <w:sz w:val="26"/>
        </w:rPr>
        <w:t>,</w:t>
      </w:r>
      <w:r w:rsidRPr="004905A4">
        <w:rPr>
          <w:rFonts w:ascii="Times New (W1)" w:hAnsi="Times New (W1)"/>
          <w:sz w:val="26"/>
        </w:rPr>
        <w:t xml:space="preserve"> through September 30, 2010</w:t>
      </w:r>
      <w:r w:rsidR="00433399">
        <w:rPr>
          <w:rFonts w:ascii="Times New (W1)" w:hAnsi="Times New (W1)"/>
          <w:sz w:val="26"/>
        </w:rPr>
        <w:t>,</w:t>
      </w:r>
      <w:r w:rsidRPr="004905A4">
        <w:rPr>
          <w:rFonts w:ascii="Times New (W1)" w:hAnsi="Times New (W1)"/>
          <w:sz w:val="26"/>
        </w:rPr>
        <w:t xml:space="preserve"> and, as a result, the natural gas costs that Peoples will incur over the </w:t>
      </w:r>
      <w:r w:rsidR="00433399">
        <w:rPr>
          <w:rFonts w:ascii="Times New (W1)" w:hAnsi="Times New (W1)"/>
          <w:sz w:val="26"/>
        </w:rPr>
        <w:t>twenty</w:t>
      </w:r>
      <w:r w:rsidRPr="004905A4">
        <w:rPr>
          <w:rFonts w:ascii="Times New (W1)" w:hAnsi="Times New (W1)"/>
          <w:sz w:val="26"/>
        </w:rPr>
        <w:t>-month period of February 1, 2009</w:t>
      </w:r>
      <w:r w:rsidR="00433399">
        <w:rPr>
          <w:rFonts w:ascii="Times New (W1)" w:hAnsi="Times New (W1)"/>
          <w:sz w:val="26"/>
        </w:rPr>
        <w:t>,</w:t>
      </w:r>
      <w:r w:rsidRPr="004905A4">
        <w:rPr>
          <w:rFonts w:ascii="Times New (W1)" w:hAnsi="Times New (W1)"/>
          <w:sz w:val="26"/>
        </w:rPr>
        <w:t xml:space="preserve"> through September 30, 2010</w:t>
      </w:r>
      <w:r w:rsidR="00433399">
        <w:rPr>
          <w:rFonts w:ascii="Times New (W1)" w:hAnsi="Times New (W1)"/>
          <w:sz w:val="26"/>
        </w:rPr>
        <w:t>,</w:t>
      </w:r>
      <w:r w:rsidRPr="004905A4">
        <w:rPr>
          <w:rFonts w:ascii="Times New (W1)" w:hAnsi="Times New (W1)"/>
          <w:sz w:val="26"/>
        </w:rPr>
        <w:t xml:space="preserve"> appear that they will be incurred under a “least cost fuel procurement policy, consistent with [Peoples’] obligation to provide safe, adequate and reliable service to its customers.”</w:t>
      </w:r>
      <w:r w:rsidR="00E45E61">
        <w:rPr>
          <w:rFonts w:ascii="Times New (W1)" w:hAnsi="Times New (W1)"/>
          <w:sz w:val="26"/>
        </w:rPr>
        <w:t xml:space="preserve">  </w:t>
      </w:r>
      <w:r w:rsidR="001A6A7A" w:rsidRPr="001A6A7A">
        <w:rPr>
          <w:rFonts w:ascii="Times New (W1)" w:hAnsi="Times New (W1)"/>
          <w:sz w:val="26"/>
        </w:rPr>
        <w:t xml:space="preserve">The Petitioners understand and agree </w:t>
      </w:r>
      <w:r w:rsidR="00433399">
        <w:rPr>
          <w:rFonts w:ascii="Times New (W1)" w:hAnsi="Times New (W1)"/>
          <w:sz w:val="26"/>
        </w:rPr>
        <w:t xml:space="preserve">that </w:t>
      </w:r>
      <w:r w:rsidR="001A6A7A" w:rsidRPr="001A6A7A">
        <w:rPr>
          <w:rFonts w:ascii="Times New (W1)" w:hAnsi="Times New (W1)"/>
          <w:sz w:val="26"/>
        </w:rPr>
        <w:t xml:space="preserve">the Commission’s findings and conclusions relating to the projected </w:t>
      </w:r>
      <w:r w:rsidR="00433399">
        <w:rPr>
          <w:rFonts w:ascii="Times New (W1)" w:hAnsi="Times New (W1)"/>
          <w:sz w:val="26"/>
        </w:rPr>
        <w:t>twenty</w:t>
      </w:r>
      <w:r w:rsidR="001A6A7A" w:rsidRPr="001A6A7A">
        <w:rPr>
          <w:rFonts w:ascii="Times New (W1)" w:hAnsi="Times New (W1)"/>
          <w:sz w:val="26"/>
        </w:rPr>
        <w:t>-month period of February 1, 2009</w:t>
      </w:r>
      <w:r w:rsidR="00433399">
        <w:rPr>
          <w:rFonts w:ascii="Times New (W1)" w:hAnsi="Times New (W1)"/>
          <w:sz w:val="26"/>
        </w:rPr>
        <w:t>,</w:t>
      </w:r>
      <w:r w:rsidR="001A6A7A" w:rsidRPr="001A6A7A">
        <w:rPr>
          <w:rFonts w:ascii="Times New (W1)" w:hAnsi="Times New (W1)"/>
          <w:sz w:val="26"/>
        </w:rPr>
        <w:t xml:space="preserve"> through September 30, 2010, are made solely for the purpose of setting prospective rates.</w:t>
      </w:r>
      <w:r w:rsidR="00E45E61">
        <w:rPr>
          <w:rFonts w:ascii="Times New (W1)" w:hAnsi="Times New (W1)"/>
          <w:sz w:val="26"/>
        </w:rPr>
        <w:t xml:space="preserve">  R.D. at 4.</w:t>
      </w:r>
      <w:r w:rsidR="00A10D0C">
        <w:rPr>
          <w:rFonts w:ascii="Times New (W1)" w:hAnsi="Times New (W1)"/>
          <w:sz w:val="26"/>
        </w:rPr>
        <w:t xml:space="preserve">  Peoples presented evidence that supported that it was following a least cost fuel procurement policy as set forth in Section 1318(a) and (b) of the Code, 66 Pa. C.S. §</w:t>
      </w:r>
      <w:r w:rsidR="00312FE2">
        <w:rPr>
          <w:rFonts w:ascii="Times New (W1)" w:hAnsi="Times New (W1)"/>
          <w:sz w:val="26"/>
        </w:rPr>
        <w:t xml:space="preserve"> </w:t>
      </w:r>
      <w:r w:rsidR="00A10D0C">
        <w:rPr>
          <w:rFonts w:ascii="Times New (W1)" w:hAnsi="Times New (W1)"/>
          <w:sz w:val="26"/>
        </w:rPr>
        <w:t>1318(a) and (b).  R.D. at 11-18.</w:t>
      </w:r>
    </w:p>
    <w:p w:rsidR="005770FB" w:rsidRDefault="005770FB" w:rsidP="00E45E61">
      <w:pPr>
        <w:spacing w:line="360" w:lineRule="auto"/>
        <w:rPr>
          <w:rFonts w:ascii="Times New (W1)" w:hAnsi="Times New (W1)"/>
          <w:sz w:val="26"/>
        </w:rPr>
      </w:pPr>
    </w:p>
    <w:p w:rsidR="00E45E61" w:rsidRPr="00E45E61" w:rsidRDefault="00E45E61" w:rsidP="0028478B">
      <w:pPr>
        <w:keepNext/>
        <w:keepLines/>
        <w:spacing w:line="360" w:lineRule="auto"/>
        <w:rPr>
          <w:rFonts w:ascii="Times New (W1)" w:hAnsi="Times New (W1)"/>
          <w:sz w:val="26"/>
        </w:rPr>
      </w:pPr>
      <w:r>
        <w:rPr>
          <w:rFonts w:ascii="Times New (W1)" w:hAnsi="Times New (W1)"/>
          <w:sz w:val="26"/>
        </w:rPr>
        <w:lastRenderedPageBreak/>
        <w:tab/>
      </w:r>
      <w:r w:rsidR="005770FB">
        <w:rPr>
          <w:rFonts w:ascii="Times New (W1)" w:hAnsi="Times New (W1)"/>
          <w:sz w:val="26"/>
        </w:rPr>
        <w:t xml:space="preserve"> </w:t>
      </w:r>
      <w:r w:rsidRPr="00E45E61">
        <w:rPr>
          <w:rFonts w:ascii="Times New (W1)" w:hAnsi="Times New (W1)"/>
          <w:sz w:val="26"/>
          <w:u w:val="single"/>
        </w:rPr>
        <w:t>Natural Gas Supply Rates As of October 1, 2009</w:t>
      </w:r>
    </w:p>
    <w:p w:rsidR="00E45E61" w:rsidRPr="00E45E61" w:rsidRDefault="00E45E61" w:rsidP="0028478B">
      <w:pPr>
        <w:keepNext/>
        <w:keepLines/>
        <w:spacing w:line="360" w:lineRule="auto"/>
        <w:rPr>
          <w:rFonts w:ascii="Times New (W1)" w:hAnsi="Times New (W1)"/>
          <w:sz w:val="26"/>
        </w:rPr>
      </w:pPr>
    </w:p>
    <w:p w:rsidR="00F97C70" w:rsidRDefault="00E45E61" w:rsidP="0028478B">
      <w:pPr>
        <w:keepNext/>
        <w:keepLines/>
        <w:spacing w:line="360" w:lineRule="auto"/>
        <w:rPr>
          <w:rFonts w:ascii="Times New (W1)" w:hAnsi="Times New (W1)"/>
          <w:sz w:val="26"/>
        </w:rPr>
      </w:pPr>
      <w:r w:rsidRPr="00E45E61">
        <w:rPr>
          <w:rFonts w:ascii="Times New (W1)" w:hAnsi="Times New (W1)"/>
          <w:sz w:val="26"/>
        </w:rPr>
        <w:tab/>
      </w:r>
      <w:r w:rsidRPr="00E45E61">
        <w:rPr>
          <w:rFonts w:ascii="Times New (W1)" w:hAnsi="Times New (W1)"/>
          <w:sz w:val="26"/>
        </w:rPr>
        <w:tab/>
      </w:r>
      <w:r w:rsidR="00F97C70" w:rsidRPr="00F13514">
        <w:rPr>
          <w:rFonts w:ascii="Times New (W1)" w:hAnsi="Times New (W1)"/>
          <w:sz w:val="26"/>
        </w:rPr>
        <w:t xml:space="preserve">Peoples </w:t>
      </w:r>
      <w:r w:rsidR="00434324">
        <w:rPr>
          <w:rFonts w:ascii="Times New (W1)" w:hAnsi="Times New (W1)"/>
          <w:sz w:val="26"/>
        </w:rPr>
        <w:t>provided,</w:t>
      </w:r>
      <w:r w:rsidR="00F97C70" w:rsidRPr="00F13514">
        <w:rPr>
          <w:rFonts w:ascii="Times New (W1)" w:hAnsi="Times New (W1)"/>
          <w:sz w:val="26"/>
        </w:rPr>
        <w:t xml:space="preserve"> in detail</w:t>
      </w:r>
      <w:r w:rsidR="00434324">
        <w:rPr>
          <w:rFonts w:ascii="Times New (W1)" w:hAnsi="Times New (W1)"/>
          <w:sz w:val="26"/>
        </w:rPr>
        <w:t>,</w:t>
      </w:r>
      <w:r w:rsidR="00F97C70" w:rsidRPr="00F13514">
        <w:rPr>
          <w:rFonts w:ascii="Times New (W1)" w:hAnsi="Times New (W1)"/>
          <w:sz w:val="26"/>
        </w:rPr>
        <w:t xml:space="preserve"> the development of the natural gas supply rates that Peoples proposes to place into effect on October 1, 2009, utilizing cost projections, sales projections</w:t>
      </w:r>
      <w:r w:rsidR="00434324">
        <w:rPr>
          <w:rFonts w:ascii="Times New (W1)" w:hAnsi="Times New (W1)"/>
          <w:sz w:val="26"/>
        </w:rPr>
        <w:t xml:space="preserve"> and the reconciliation process.  Accordingly, Petitioners agree that it is appropriate for</w:t>
      </w:r>
      <w:r w:rsidRPr="00E45E61">
        <w:rPr>
          <w:rFonts w:ascii="Times New (W1)" w:hAnsi="Times New (W1)"/>
          <w:sz w:val="26"/>
        </w:rPr>
        <w:t xml:space="preserve"> Peoples </w:t>
      </w:r>
      <w:r w:rsidR="005E1876">
        <w:rPr>
          <w:rFonts w:ascii="Times New (W1)" w:hAnsi="Times New (W1)"/>
          <w:sz w:val="26"/>
        </w:rPr>
        <w:t>to</w:t>
      </w:r>
      <w:r w:rsidRPr="00E45E61">
        <w:rPr>
          <w:rFonts w:ascii="Times New (W1)" w:hAnsi="Times New (W1)"/>
          <w:sz w:val="26"/>
        </w:rPr>
        <w:t xml:space="preserve"> place into effect </w:t>
      </w:r>
      <w:r w:rsidR="005E1876">
        <w:rPr>
          <w:rFonts w:ascii="Times New (W1)" w:hAnsi="Times New (W1)"/>
          <w:sz w:val="26"/>
        </w:rPr>
        <w:t>o</w:t>
      </w:r>
      <w:r w:rsidR="005E1876" w:rsidRPr="00E45E61">
        <w:rPr>
          <w:rFonts w:ascii="Times New (W1)" w:hAnsi="Times New (W1)"/>
          <w:sz w:val="26"/>
        </w:rPr>
        <w:t>n October 1, 2009</w:t>
      </w:r>
      <w:r w:rsidR="005E1876">
        <w:rPr>
          <w:rFonts w:ascii="Times New (W1)" w:hAnsi="Times New (W1)"/>
          <w:sz w:val="26"/>
        </w:rPr>
        <w:t xml:space="preserve">, </w:t>
      </w:r>
      <w:r w:rsidRPr="00E45E61">
        <w:rPr>
          <w:rFonts w:ascii="Times New (W1)" w:hAnsi="Times New (W1)"/>
          <w:sz w:val="26"/>
        </w:rPr>
        <w:t>the natu</w:t>
      </w:r>
      <w:r w:rsidR="00312FE2">
        <w:rPr>
          <w:rFonts w:ascii="Times New (W1)" w:hAnsi="Times New (W1)"/>
          <w:sz w:val="26"/>
        </w:rPr>
        <w:t>ral gas supply rates set forth i</w:t>
      </w:r>
      <w:r w:rsidRPr="00E45E61">
        <w:rPr>
          <w:rFonts w:ascii="Times New (W1)" w:hAnsi="Times New (W1)"/>
          <w:sz w:val="26"/>
        </w:rPr>
        <w:t>n Appendix</w:t>
      </w:r>
      <w:r w:rsidR="00F97C70">
        <w:rPr>
          <w:rFonts w:ascii="Times New (W1)" w:hAnsi="Times New (W1)"/>
          <w:sz w:val="26"/>
        </w:rPr>
        <w:t xml:space="preserve"> </w:t>
      </w:r>
      <w:r w:rsidRPr="00E45E61">
        <w:rPr>
          <w:rFonts w:ascii="Times New (W1)" w:hAnsi="Times New (W1)"/>
          <w:sz w:val="26"/>
        </w:rPr>
        <w:t xml:space="preserve">A to the Joint </w:t>
      </w:r>
      <w:r>
        <w:rPr>
          <w:rFonts w:ascii="Times New (W1)" w:hAnsi="Times New (W1)"/>
          <w:sz w:val="26"/>
        </w:rPr>
        <w:t>Settlement</w:t>
      </w:r>
      <w:r w:rsidRPr="00E45E61">
        <w:rPr>
          <w:rFonts w:ascii="Times New (W1)" w:hAnsi="Times New (W1)"/>
          <w:sz w:val="26"/>
        </w:rPr>
        <w:t>.   Petitioners recognize and acknowledge that, except for the banking, balancing and advancing (BB&amp;A) charges, the natural gas supply rates set forth on Appendix</w:t>
      </w:r>
      <w:r w:rsidR="00F97C70">
        <w:rPr>
          <w:rFonts w:ascii="Times New (W1)" w:hAnsi="Times New (W1)"/>
          <w:sz w:val="26"/>
        </w:rPr>
        <w:t xml:space="preserve"> </w:t>
      </w:r>
      <w:r w:rsidRPr="00E45E61">
        <w:rPr>
          <w:rFonts w:ascii="Times New (W1)" w:hAnsi="Times New (W1)"/>
          <w:sz w:val="26"/>
        </w:rPr>
        <w:t xml:space="preserve">A to the </w:t>
      </w:r>
      <w:r>
        <w:rPr>
          <w:rFonts w:ascii="Times New (W1)" w:hAnsi="Times New (W1)"/>
          <w:sz w:val="26"/>
        </w:rPr>
        <w:t xml:space="preserve">Joint </w:t>
      </w:r>
      <w:r w:rsidRPr="00E45E61">
        <w:rPr>
          <w:rFonts w:ascii="Times New (W1)" w:hAnsi="Times New (W1)"/>
          <w:sz w:val="26"/>
        </w:rPr>
        <w:t>Settlement</w:t>
      </w:r>
      <w:r w:rsidR="00312FE2">
        <w:rPr>
          <w:rFonts w:ascii="Times New (W1)" w:hAnsi="Times New (W1)"/>
          <w:sz w:val="26"/>
        </w:rPr>
        <w:t xml:space="preserve">: </w:t>
      </w:r>
      <w:r w:rsidRPr="00E45E61">
        <w:rPr>
          <w:rFonts w:ascii="Times New (W1)" w:hAnsi="Times New (W1)"/>
          <w:sz w:val="26"/>
        </w:rPr>
        <w:t xml:space="preserve"> (1) may be superseded by Peoples’ October 1, 2009 quarterly recalculation of its natural gas cost recovery levels, in accordance with the Commission’s regulation at </w:t>
      </w:r>
    </w:p>
    <w:p w:rsidR="0091112C" w:rsidRDefault="00312FE2" w:rsidP="0028478B">
      <w:pPr>
        <w:keepNext/>
        <w:keepLines/>
        <w:spacing w:line="360" w:lineRule="auto"/>
        <w:rPr>
          <w:rFonts w:ascii="Times New (W1)" w:hAnsi="Times New (W1)"/>
          <w:sz w:val="26"/>
        </w:rPr>
      </w:pPr>
      <w:r>
        <w:rPr>
          <w:rFonts w:ascii="Times New (W1)" w:hAnsi="Times New (W1)"/>
          <w:sz w:val="26"/>
        </w:rPr>
        <w:t>52 Pa. Code § 53.64(i)(5); and</w:t>
      </w:r>
      <w:r w:rsidR="00E45E61" w:rsidRPr="00E45E61">
        <w:rPr>
          <w:rFonts w:ascii="Times New (W1)" w:hAnsi="Times New (W1)"/>
          <w:sz w:val="26"/>
        </w:rPr>
        <w:t xml:space="preserve"> (2) will be updated to reflect the latest NYMEX prices for the projected portion of the </w:t>
      </w:r>
      <w:r>
        <w:rPr>
          <w:rFonts w:ascii="Times New (W1)" w:hAnsi="Times New (W1)"/>
          <w:sz w:val="26"/>
        </w:rPr>
        <w:t>twenty</w:t>
      </w:r>
      <w:r w:rsidR="00E45E61" w:rsidRPr="00E45E61">
        <w:rPr>
          <w:rFonts w:ascii="Times New (W1)" w:hAnsi="Times New (W1)"/>
          <w:sz w:val="26"/>
        </w:rPr>
        <w:t>-month period of February 1, 2009</w:t>
      </w:r>
      <w:r>
        <w:rPr>
          <w:rFonts w:ascii="Times New (W1)" w:hAnsi="Times New (W1)"/>
          <w:sz w:val="26"/>
        </w:rPr>
        <w:t>,</w:t>
      </w:r>
      <w:r w:rsidR="00E45E61" w:rsidRPr="00E45E61">
        <w:rPr>
          <w:rFonts w:ascii="Times New (W1)" w:hAnsi="Times New (W1)"/>
          <w:sz w:val="26"/>
        </w:rPr>
        <w:t xml:space="preserve"> through September 30, 2010.</w:t>
      </w:r>
      <w:r w:rsidR="0091112C">
        <w:rPr>
          <w:rFonts w:ascii="Times New (W1)" w:hAnsi="Times New (W1)"/>
          <w:sz w:val="26"/>
        </w:rPr>
        <w:t xml:space="preserve">  R.D. at </w:t>
      </w:r>
      <w:r w:rsidR="005E1876">
        <w:rPr>
          <w:rFonts w:ascii="Times New (W1)" w:hAnsi="Times New (W1)"/>
          <w:sz w:val="26"/>
        </w:rPr>
        <w:t>18-19</w:t>
      </w:r>
      <w:r w:rsidR="0091112C">
        <w:rPr>
          <w:rFonts w:ascii="Times New (W1)" w:hAnsi="Times New (W1)"/>
          <w:sz w:val="26"/>
        </w:rPr>
        <w:t>.</w:t>
      </w:r>
    </w:p>
    <w:p w:rsidR="0028478B" w:rsidRDefault="0028478B" w:rsidP="0028478B">
      <w:pPr>
        <w:keepNext/>
        <w:keepLines/>
        <w:spacing w:line="360" w:lineRule="auto"/>
        <w:rPr>
          <w:rFonts w:ascii="Times New (W1)" w:hAnsi="Times New (W1)"/>
          <w:sz w:val="26"/>
        </w:rPr>
      </w:pPr>
    </w:p>
    <w:p w:rsidR="0091112C" w:rsidRDefault="0091112C" w:rsidP="0091112C">
      <w:pPr>
        <w:spacing w:line="360" w:lineRule="auto"/>
        <w:rPr>
          <w:rFonts w:ascii="Times New (W1)" w:hAnsi="Times New (W1)"/>
          <w:sz w:val="26"/>
          <w:u w:val="single"/>
        </w:rPr>
      </w:pPr>
      <w:r>
        <w:tab/>
      </w:r>
      <w:r w:rsidRPr="0091112C">
        <w:rPr>
          <w:rFonts w:ascii="Times New (W1)" w:hAnsi="Times New (W1)"/>
          <w:sz w:val="26"/>
          <w:u w:val="single"/>
        </w:rPr>
        <w:t>Unaccounted-For Gas</w:t>
      </w:r>
    </w:p>
    <w:p w:rsidR="00DB2A3B" w:rsidRPr="0091112C" w:rsidRDefault="00DB2A3B" w:rsidP="0091112C">
      <w:pPr>
        <w:spacing w:line="360" w:lineRule="auto"/>
        <w:rPr>
          <w:rFonts w:ascii="Times New (W1)" w:hAnsi="Times New (W1)"/>
          <w:sz w:val="26"/>
        </w:rPr>
      </w:pPr>
    </w:p>
    <w:p w:rsidR="00DB2A3B" w:rsidRDefault="00DB2A3B" w:rsidP="00DB2A3B">
      <w:pPr>
        <w:spacing w:line="360" w:lineRule="auto"/>
        <w:ind w:firstLine="1440"/>
        <w:rPr>
          <w:rFonts w:ascii="Times New (W1)" w:hAnsi="Times New (W1)"/>
          <w:sz w:val="26"/>
        </w:rPr>
      </w:pPr>
      <w:r w:rsidRPr="00DB2A3B">
        <w:rPr>
          <w:rFonts w:ascii="Times New (W1)" w:hAnsi="Times New (W1)"/>
          <w:sz w:val="26"/>
        </w:rPr>
        <w:t>With regard to lost and unaccounted-for gas (LUFG), in accordance with Chairman Cawley’s requests in his Statements issued in prior 1307(f) proceedings at Docket Nos. R-00072109 and R-2008-2022206, Peoples explained the results of the Company’s gathering system LUFG study that was required by Peoples’ 2008 1307(f) Settlement and identif</w:t>
      </w:r>
      <w:r w:rsidR="00312FE2">
        <w:rPr>
          <w:rFonts w:ascii="Times New (W1)" w:hAnsi="Times New (W1)"/>
          <w:sz w:val="26"/>
        </w:rPr>
        <w:t>ied</w:t>
      </w:r>
      <w:r w:rsidRPr="00DB2A3B">
        <w:rPr>
          <w:rFonts w:ascii="Times New (W1)" w:hAnsi="Times New (W1)"/>
          <w:sz w:val="26"/>
        </w:rPr>
        <w:t xml:space="preserve"> steps that Peoples has taken and will take to m</w:t>
      </w:r>
      <w:r>
        <w:rPr>
          <w:rFonts w:ascii="Times New (W1)" w:hAnsi="Times New (W1)"/>
          <w:sz w:val="26"/>
        </w:rPr>
        <w:t xml:space="preserve">itigate and manage those levels.  </w:t>
      </w:r>
      <w:r w:rsidRPr="00DB2A3B">
        <w:rPr>
          <w:rFonts w:ascii="Times New (W1)" w:hAnsi="Times New (W1)"/>
          <w:sz w:val="26"/>
        </w:rPr>
        <w:t xml:space="preserve">Peoples then provided evidence of additional measures it will undertake to further attempt to reduce LUFG levels on its system to the distinct benefit of its customers. </w:t>
      </w:r>
      <w:r w:rsidR="00617200">
        <w:rPr>
          <w:rFonts w:ascii="Times New (W1)" w:hAnsi="Times New (W1)"/>
          <w:sz w:val="26"/>
        </w:rPr>
        <w:t xml:space="preserve">  R.D. at 19.</w:t>
      </w:r>
    </w:p>
    <w:p w:rsidR="00617200" w:rsidRDefault="00617200" w:rsidP="00DB2A3B">
      <w:pPr>
        <w:spacing w:line="360" w:lineRule="auto"/>
        <w:ind w:firstLine="1440"/>
        <w:rPr>
          <w:rFonts w:ascii="Times New (W1)" w:hAnsi="Times New (W1)"/>
          <w:sz w:val="26"/>
        </w:rPr>
      </w:pPr>
    </w:p>
    <w:p w:rsidR="00617200" w:rsidRPr="00617200" w:rsidRDefault="00617200" w:rsidP="00617200">
      <w:pPr>
        <w:spacing w:line="360" w:lineRule="auto"/>
        <w:rPr>
          <w:rFonts w:ascii="Times New (W1)" w:hAnsi="Times New (W1)"/>
          <w:sz w:val="26"/>
        </w:rPr>
      </w:pPr>
      <w:r>
        <w:rPr>
          <w:rFonts w:ascii="Times New (W1)" w:hAnsi="Times New (W1)"/>
          <w:sz w:val="26"/>
        </w:rPr>
        <w:lastRenderedPageBreak/>
        <w:tab/>
      </w:r>
      <w:r>
        <w:rPr>
          <w:rFonts w:ascii="Times New (W1)" w:hAnsi="Times New (W1)"/>
          <w:sz w:val="26"/>
        </w:rPr>
        <w:tab/>
      </w:r>
      <w:r w:rsidRPr="00617200">
        <w:rPr>
          <w:rFonts w:ascii="Times New (W1)" w:hAnsi="Times New (W1)"/>
          <w:sz w:val="26"/>
        </w:rPr>
        <w:t>OTS concluded that Peoples’ L</w:t>
      </w:r>
      <w:r>
        <w:rPr>
          <w:rFonts w:ascii="Times New (W1)" w:hAnsi="Times New (W1)"/>
          <w:sz w:val="26"/>
        </w:rPr>
        <w:t>UFG level was reasonable</w:t>
      </w:r>
      <w:r w:rsidRPr="00617200">
        <w:rPr>
          <w:rFonts w:ascii="Times New (W1)" w:hAnsi="Times New (W1)"/>
          <w:sz w:val="26"/>
        </w:rPr>
        <w:t xml:space="preserve">.   OSBA did not challenge the reasonableness of the LUFG level, but instead recommended that Peoples identify LUFG reduction measures that would produce “measurable improvement” in LUFG levels.  No party recommended any gas </w:t>
      </w:r>
      <w:r w:rsidR="00165C9D">
        <w:rPr>
          <w:rFonts w:ascii="Times New (W1)" w:hAnsi="Times New (W1)"/>
          <w:sz w:val="26"/>
        </w:rPr>
        <w:t>cost disallowance regarding Peoples’</w:t>
      </w:r>
      <w:r w:rsidRPr="00617200">
        <w:rPr>
          <w:rFonts w:ascii="Times New (W1)" w:hAnsi="Times New (W1)"/>
          <w:sz w:val="26"/>
        </w:rPr>
        <w:t xml:space="preserve"> current LUFG levels.</w:t>
      </w:r>
      <w:r w:rsidR="00165C9D">
        <w:rPr>
          <w:rFonts w:ascii="Times New (W1)" w:hAnsi="Times New (W1)"/>
          <w:sz w:val="26"/>
        </w:rPr>
        <w:t xml:space="preserve">  R.D. at 19.</w:t>
      </w:r>
    </w:p>
    <w:p w:rsidR="0091112C" w:rsidRPr="0091112C" w:rsidRDefault="0091112C" w:rsidP="0091112C">
      <w:pPr>
        <w:spacing w:line="360" w:lineRule="auto"/>
        <w:rPr>
          <w:rFonts w:ascii="Times New (W1)" w:hAnsi="Times New (W1)"/>
          <w:sz w:val="26"/>
        </w:rPr>
      </w:pPr>
    </w:p>
    <w:p w:rsidR="0091112C" w:rsidRPr="0091112C" w:rsidRDefault="0091112C" w:rsidP="0091112C">
      <w:pPr>
        <w:spacing w:line="360" w:lineRule="auto"/>
        <w:rPr>
          <w:rFonts w:ascii="Times New (W1)" w:hAnsi="Times New (W1)"/>
          <w:sz w:val="26"/>
        </w:rPr>
      </w:pPr>
      <w:r w:rsidRPr="0091112C">
        <w:rPr>
          <w:rFonts w:ascii="Times New (W1)" w:hAnsi="Times New (W1)"/>
          <w:sz w:val="26"/>
        </w:rPr>
        <w:tab/>
      </w:r>
      <w:r w:rsidRPr="0091112C">
        <w:rPr>
          <w:rFonts w:ascii="Times New (W1)" w:hAnsi="Times New (W1)"/>
          <w:sz w:val="26"/>
        </w:rPr>
        <w:tab/>
        <w:t>Since Peoples’ system is configured of distribution, transmission, gathering and storage facilities, Petitioners</w:t>
      </w:r>
      <w:r w:rsidRPr="0091112C">
        <w:rPr>
          <w:rStyle w:val="FootnoteReference"/>
          <w:rFonts w:ascii="Times New (W1)" w:hAnsi="Times New (W1)"/>
          <w:sz w:val="26"/>
        </w:rPr>
        <w:footnoteReference w:id="7"/>
      </w:r>
      <w:r w:rsidRPr="0091112C">
        <w:rPr>
          <w:rFonts w:ascii="Times New (W1)" w:hAnsi="Times New (W1)"/>
          <w:sz w:val="26"/>
        </w:rPr>
        <w:t xml:space="preserve"> agree that in next year’s 1307(f) filing, Peoples w</w:t>
      </w:r>
      <w:r w:rsidR="00312FE2">
        <w:rPr>
          <w:rFonts w:ascii="Times New (W1)" w:hAnsi="Times New (W1)"/>
          <w:sz w:val="26"/>
        </w:rPr>
        <w:t>ill calculate, based on a three-</w:t>
      </w:r>
      <w:r w:rsidRPr="0091112C">
        <w:rPr>
          <w:rFonts w:ascii="Times New (W1)" w:hAnsi="Times New (W1)"/>
          <w:sz w:val="26"/>
        </w:rPr>
        <w:t>year average:</w:t>
      </w:r>
    </w:p>
    <w:p w:rsidR="0091112C" w:rsidRPr="0091112C" w:rsidRDefault="0091112C" w:rsidP="0091112C">
      <w:pPr>
        <w:spacing w:line="360" w:lineRule="auto"/>
        <w:rPr>
          <w:rFonts w:ascii="Times New (W1)" w:hAnsi="Times New (W1)"/>
          <w:sz w:val="26"/>
        </w:rPr>
      </w:pPr>
    </w:p>
    <w:p w:rsidR="0091112C" w:rsidRPr="0091112C" w:rsidRDefault="0091112C" w:rsidP="0091112C">
      <w:pPr>
        <w:pStyle w:val="ListParagraph"/>
        <w:numPr>
          <w:ilvl w:val="0"/>
          <w:numId w:val="5"/>
        </w:numPr>
        <w:ind w:left="1440" w:hanging="720"/>
        <w:rPr>
          <w:rFonts w:ascii="Times New (W1)" w:hAnsi="Times New (W1)"/>
          <w:sz w:val="26"/>
        </w:rPr>
      </w:pPr>
      <w:r w:rsidRPr="0091112C">
        <w:rPr>
          <w:rFonts w:ascii="Times New (W1)" w:hAnsi="Times New (W1)"/>
          <w:sz w:val="26"/>
        </w:rPr>
        <w:t xml:space="preserve">Gathering System LUFG, based on the methodology as filed in Peoples’ Exhibit No. 19. The current </w:t>
      </w:r>
      <w:r w:rsidR="00312FE2">
        <w:rPr>
          <w:rFonts w:ascii="Times New (W1)" w:hAnsi="Times New (W1)"/>
          <w:sz w:val="26"/>
        </w:rPr>
        <w:t>two</w:t>
      </w:r>
      <w:r w:rsidRPr="0091112C">
        <w:rPr>
          <w:rFonts w:ascii="Times New (W1)" w:hAnsi="Times New (W1)"/>
          <w:sz w:val="26"/>
        </w:rPr>
        <w:t>-year average is 5.8% and is below the maximum gathering system LUFG level of 8%  as recommended by OTS;</w:t>
      </w:r>
      <w:r w:rsidRPr="0091112C">
        <w:rPr>
          <w:rStyle w:val="FootnoteReference"/>
          <w:rFonts w:ascii="Times New (W1)" w:hAnsi="Times New (W1)"/>
          <w:sz w:val="26"/>
        </w:rPr>
        <w:footnoteReference w:id="8"/>
      </w:r>
    </w:p>
    <w:p w:rsidR="0091112C" w:rsidRPr="0091112C" w:rsidRDefault="0091112C" w:rsidP="0091112C">
      <w:pPr>
        <w:pStyle w:val="ListParagraph"/>
        <w:ind w:left="1440"/>
        <w:rPr>
          <w:rFonts w:ascii="Times New (W1)" w:hAnsi="Times New (W1)"/>
          <w:sz w:val="26"/>
        </w:rPr>
      </w:pPr>
    </w:p>
    <w:p w:rsidR="0091112C" w:rsidRPr="0091112C" w:rsidRDefault="0091112C" w:rsidP="0091112C">
      <w:pPr>
        <w:pStyle w:val="ListParagraph"/>
        <w:numPr>
          <w:ilvl w:val="0"/>
          <w:numId w:val="5"/>
        </w:numPr>
        <w:ind w:left="1440" w:hanging="720"/>
        <w:rPr>
          <w:rFonts w:ascii="Times New (W1)" w:hAnsi="Times New (W1)"/>
          <w:sz w:val="26"/>
        </w:rPr>
      </w:pPr>
      <w:r w:rsidRPr="0091112C">
        <w:rPr>
          <w:rFonts w:ascii="Times New (W1)" w:hAnsi="Times New (W1)"/>
          <w:sz w:val="26"/>
        </w:rPr>
        <w:t>Storage System LUFG -  For purposes of calculating and reporting LUFG levels in future 1307(f) filings, Peoples agrees to no longer classify storage losses as company-use gas and will report storage gas losses as storage system LUFG; and</w:t>
      </w:r>
    </w:p>
    <w:p w:rsidR="0091112C" w:rsidRPr="0091112C" w:rsidRDefault="0091112C" w:rsidP="0091112C">
      <w:pPr>
        <w:pStyle w:val="ListParagraph"/>
        <w:rPr>
          <w:rFonts w:ascii="Times New (W1)" w:hAnsi="Times New (W1)"/>
          <w:sz w:val="26"/>
        </w:rPr>
      </w:pPr>
    </w:p>
    <w:p w:rsidR="0091112C" w:rsidRPr="0091112C" w:rsidRDefault="0091112C" w:rsidP="0091112C">
      <w:pPr>
        <w:pStyle w:val="ListParagraph"/>
        <w:numPr>
          <w:ilvl w:val="0"/>
          <w:numId w:val="5"/>
        </w:numPr>
        <w:ind w:left="1440" w:hanging="720"/>
        <w:rPr>
          <w:rFonts w:ascii="Times New (W1)" w:hAnsi="Times New (W1)"/>
          <w:sz w:val="26"/>
        </w:rPr>
      </w:pPr>
      <w:r w:rsidRPr="0091112C">
        <w:rPr>
          <w:rFonts w:ascii="Times New (W1)" w:hAnsi="Times New (W1)"/>
          <w:sz w:val="26"/>
        </w:rPr>
        <w:t xml:space="preserve">Distribution/Transmission System LUFG - As calculated by the Company, the current </w:t>
      </w:r>
      <w:r w:rsidR="00312FE2">
        <w:rPr>
          <w:rFonts w:ascii="Times New (W1)" w:hAnsi="Times New (W1)"/>
          <w:sz w:val="26"/>
        </w:rPr>
        <w:t>two</w:t>
      </w:r>
      <w:r w:rsidRPr="0091112C">
        <w:rPr>
          <w:rFonts w:ascii="Times New (W1)" w:hAnsi="Times New (W1)"/>
          <w:sz w:val="26"/>
        </w:rPr>
        <w:t>-year average is 2.6% and is below the maximum distribution system LUFG level of 5% as recommended by OTS.</w:t>
      </w:r>
      <w:r w:rsidRPr="0091112C">
        <w:rPr>
          <w:rStyle w:val="FootnoteReference"/>
          <w:rFonts w:ascii="Times New (W1)" w:hAnsi="Times New (W1)"/>
          <w:sz w:val="26"/>
        </w:rPr>
        <w:footnoteReference w:id="9"/>
      </w:r>
    </w:p>
    <w:p w:rsidR="0091112C" w:rsidRPr="0091112C" w:rsidRDefault="0091112C" w:rsidP="0091112C">
      <w:pPr>
        <w:pStyle w:val="ListParagraph"/>
        <w:rPr>
          <w:rFonts w:ascii="Times New (W1)" w:hAnsi="Times New (W1)"/>
          <w:sz w:val="26"/>
        </w:rPr>
      </w:pPr>
    </w:p>
    <w:p w:rsidR="0091112C" w:rsidRPr="0091112C" w:rsidRDefault="0091112C" w:rsidP="0091112C">
      <w:pPr>
        <w:rPr>
          <w:rFonts w:ascii="Times New (W1)" w:hAnsi="Times New (W1)"/>
          <w:sz w:val="26"/>
        </w:rPr>
      </w:pPr>
    </w:p>
    <w:p w:rsidR="0091112C" w:rsidRDefault="0091112C" w:rsidP="00F2683D">
      <w:pPr>
        <w:spacing w:line="360" w:lineRule="auto"/>
        <w:rPr>
          <w:rFonts w:ascii="Times New (W1)" w:hAnsi="Times New (W1)"/>
          <w:sz w:val="26"/>
        </w:rPr>
      </w:pPr>
      <w:r w:rsidRPr="0091112C">
        <w:rPr>
          <w:rFonts w:ascii="Times New (W1)" w:hAnsi="Times New (W1)"/>
          <w:sz w:val="26"/>
        </w:rPr>
        <w:t xml:space="preserve">Peoples further agrees to report, in its next 1307(f) filing, on the progress of its LUFG mitigation measures.  Peoples attached to the Joint </w:t>
      </w:r>
      <w:r w:rsidR="000E1AA7">
        <w:rPr>
          <w:rFonts w:ascii="Times New (W1)" w:hAnsi="Times New (W1)"/>
          <w:sz w:val="26"/>
        </w:rPr>
        <w:t>Settlement,</w:t>
      </w:r>
      <w:r w:rsidRPr="0091112C">
        <w:rPr>
          <w:rFonts w:ascii="Times New (W1)" w:hAnsi="Times New (W1)"/>
          <w:sz w:val="26"/>
        </w:rPr>
        <w:t xml:space="preserve"> as Appendix B, a summary of the mitigation measures and approximate completion dates.</w:t>
      </w:r>
      <w:r w:rsidR="000E1AA7">
        <w:rPr>
          <w:rFonts w:ascii="Times New (W1)" w:hAnsi="Times New (W1)"/>
          <w:sz w:val="26"/>
        </w:rPr>
        <w:t xml:space="preserve">  R.D. at 5.</w:t>
      </w:r>
      <w:r w:rsidR="00165C9D">
        <w:rPr>
          <w:rFonts w:ascii="Times New (W1)" w:hAnsi="Times New (W1)"/>
          <w:sz w:val="26"/>
        </w:rPr>
        <w:t xml:space="preserve">  </w:t>
      </w:r>
      <w:r w:rsidR="00A43655">
        <w:rPr>
          <w:rFonts w:ascii="Times New (W1)" w:hAnsi="Times New (W1)"/>
          <w:sz w:val="26"/>
        </w:rPr>
        <w:t>The ALJ conclude</w:t>
      </w:r>
      <w:r w:rsidR="002D5902">
        <w:rPr>
          <w:rFonts w:ascii="Times New (W1)" w:hAnsi="Times New (W1)"/>
          <w:sz w:val="26"/>
        </w:rPr>
        <w:t>d</w:t>
      </w:r>
      <w:r w:rsidR="00A43655">
        <w:rPr>
          <w:rFonts w:ascii="Times New (W1)" w:hAnsi="Times New (W1)"/>
          <w:sz w:val="26"/>
        </w:rPr>
        <w:t xml:space="preserve"> that a</w:t>
      </w:r>
      <w:r w:rsidR="00165C9D" w:rsidRPr="00165C9D">
        <w:rPr>
          <w:rFonts w:ascii="Times New (W1)" w:hAnsi="Times New (W1)"/>
          <w:sz w:val="26"/>
        </w:rPr>
        <w:t xml:space="preserve">ll of these agreed-upon steps, </w:t>
      </w:r>
      <w:r w:rsidR="00312FE2">
        <w:rPr>
          <w:rFonts w:ascii="Times New (W1)" w:hAnsi="Times New (W1)"/>
          <w:sz w:val="26"/>
        </w:rPr>
        <w:t>which</w:t>
      </w:r>
      <w:r w:rsidR="00165C9D" w:rsidRPr="00165C9D">
        <w:rPr>
          <w:rFonts w:ascii="Times New (W1)" w:hAnsi="Times New (W1)"/>
          <w:sz w:val="26"/>
        </w:rPr>
        <w:t xml:space="preserve"> are in addition to those it already has undertaken to study LUFG and to reduce LUFG on its system, are designed to further redu</w:t>
      </w:r>
      <w:r w:rsidR="00365ADD">
        <w:rPr>
          <w:rFonts w:ascii="Times New (W1)" w:hAnsi="Times New (W1)"/>
          <w:sz w:val="26"/>
        </w:rPr>
        <w:t>ce gas costs on Peoples’ system</w:t>
      </w:r>
      <w:r w:rsidR="00165C9D" w:rsidRPr="00165C9D">
        <w:rPr>
          <w:rFonts w:ascii="Times New (W1)" w:hAnsi="Times New (W1)"/>
          <w:sz w:val="26"/>
        </w:rPr>
        <w:t xml:space="preserve"> and, thus, should be approved, without modification, as being in the public interest.</w:t>
      </w:r>
      <w:r w:rsidR="00A43655">
        <w:rPr>
          <w:rFonts w:ascii="Times New (W1)" w:hAnsi="Times New (W1)"/>
          <w:sz w:val="26"/>
        </w:rPr>
        <w:t xml:space="preserve">  R.D. at 20.  </w:t>
      </w:r>
    </w:p>
    <w:p w:rsidR="000E1AA7" w:rsidRDefault="000E1AA7" w:rsidP="0091112C">
      <w:pPr>
        <w:spacing w:line="360" w:lineRule="auto"/>
        <w:ind w:firstLine="1440"/>
        <w:rPr>
          <w:rFonts w:ascii="Times New (W1)" w:hAnsi="Times New (W1)"/>
          <w:sz w:val="26"/>
        </w:rPr>
      </w:pPr>
    </w:p>
    <w:p w:rsidR="000E1AA7" w:rsidRPr="000E1AA7" w:rsidRDefault="000E1AA7" w:rsidP="000E1AA7">
      <w:pPr>
        <w:spacing w:line="360" w:lineRule="auto"/>
        <w:rPr>
          <w:rFonts w:ascii="Times New (W1)" w:hAnsi="Times New (W1)"/>
          <w:sz w:val="26"/>
        </w:rPr>
      </w:pPr>
      <w:r>
        <w:rPr>
          <w:rFonts w:ascii="Times New (W1)" w:hAnsi="Times New (W1)"/>
          <w:sz w:val="26"/>
        </w:rPr>
        <w:tab/>
      </w:r>
      <w:r w:rsidRPr="000E1AA7">
        <w:rPr>
          <w:rFonts w:ascii="Times New (W1)" w:hAnsi="Times New (W1)"/>
          <w:sz w:val="26"/>
          <w:u w:val="single"/>
        </w:rPr>
        <w:t>Retainage Levels</w:t>
      </w:r>
    </w:p>
    <w:p w:rsidR="000E1AA7" w:rsidRPr="000E1AA7" w:rsidRDefault="000E1AA7" w:rsidP="000E1AA7">
      <w:pPr>
        <w:spacing w:line="360" w:lineRule="auto"/>
        <w:rPr>
          <w:rFonts w:ascii="Times New (W1)" w:hAnsi="Times New (W1)"/>
          <w:sz w:val="26"/>
        </w:rPr>
      </w:pPr>
    </w:p>
    <w:p w:rsidR="000E1AA7" w:rsidRDefault="000E1AA7" w:rsidP="0002402B">
      <w:pPr>
        <w:spacing w:line="360" w:lineRule="auto"/>
        <w:rPr>
          <w:rFonts w:ascii="Times New (W1)" w:hAnsi="Times New (W1)"/>
          <w:sz w:val="26"/>
        </w:rPr>
      </w:pPr>
      <w:r w:rsidRPr="000E1AA7">
        <w:rPr>
          <w:rFonts w:ascii="Times New (W1)" w:hAnsi="Times New (W1)"/>
          <w:sz w:val="26"/>
        </w:rPr>
        <w:tab/>
      </w:r>
      <w:r w:rsidRPr="000E1AA7">
        <w:rPr>
          <w:rFonts w:ascii="Times New (W1)" w:hAnsi="Times New (W1)"/>
          <w:sz w:val="26"/>
        </w:rPr>
        <w:tab/>
      </w:r>
      <w:r w:rsidR="00F72801" w:rsidRPr="00F72801">
        <w:rPr>
          <w:rFonts w:ascii="Times New (W1)" w:hAnsi="Times New (W1)"/>
          <w:sz w:val="26"/>
        </w:rPr>
        <w:t xml:space="preserve">Peoples originally proposed to continue the current tariffed retainage levels for all classes of customers that track the actual LUFG levels experienced by the respective customer classes on </w:t>
      </w:r>
      <w:r w:rsidR="00F72801">
        <w:rPr>
          <w:rFonts w:ascii="Times New (W1)" w:hAnsi="Times New (W1)"/>
          <w:sz w:val="26"/>
        </w:rPr>
        <w:t xml:space="preserve">Peoples’ system.  </w:t>
      </w:r>
      <w:r w:rsidR="00F72801" w:rsidRPr="00F72801">
        <w:rPr>
          <w:rFonts w:ascii="Times New (W1)" w:hAnsi="Times New (W1)"/>
          <w:sz w:val="26"/>
        </w:rPr>
        <w:t>OTS advocat</w:t>
      </w:r>
      <w:r w:rsidR="00F72801">
        <w:rPr>
          <w:rFonts w:ascii="Times New (W1)" w:hAnsi="Times New (W1)"/>
          <w:sz w:val="26"/>
        </w:rPr>
        <w:t>ed</w:t>
      </w:r>
      <w:r w:rsidR="00F72801" w:rsidRPr="00F72801">
        <w:rPr>
          <w:rFonts w:ascii="Times New (W1)" w:hAnsi="Times New (W1)"/>
          <w:sz w:val="26"/>
        </w:rPr>
        <w:t xml:space="preserve"> a reduction in the current retainage percentages for Rate T and Rate GS-T so that they track the current LUFG levels on Peoples’ system.  </w:t>
      </w:r>
      <w:r w:rsidR="00F72801" w:rsidRPr="00974BD6">
        <w:t xml:space="preserve"> </w:t>
      </w:r>
      <w:r w:rsidR="00F72801">
        <w:t>Under the Settlement, e</w:t>
      </w:r>
      <w:r w:rsidRPr="000E1AA7">
        <w:rPr>
          <w:rFonts w:ascii="Times New (W1)" w:hAnsi="Times New (W1)"/>
          <w:sz w:val="26"/>
        </w:rPr>
        <w:t xml:space="preserve">ffective October 1, 2009, the retainage rate under Rate GS-T will be decreased from 7.5% to 7.3% and the retainage rate under Rate T will be decreased from 5.4% to 5.2%.  </w:t>
      </w:r>
      <w:r w:rsidR="00F06952">
        <w:rPr>
          <w:rFonts w:ascii="Times New (W1)" w:hAnsi="Times New (W1)"/>
          <w:sz w:val="26"/>
        </w:rPr>
        <w:t xml:space="preserve">R.D. at 26.  </w:t>
      </w:r>
      <w:r w:rsidR="0002402B">
        <w:rPr>
          <w:rFonts w:ascii="Times New (W1)" w:hAnsi="Times New (W1)"/>
          <w:sz w:val="26"/>
        </w:rPr>
        <w:t>Peoples also agreed to provide u</w:t>
      </w:r>
      <w:r w:rsidRPr="000E1AA7">
        <w:rPr>
          <w:rFonts w:ascii="Times New (W1)" w:hAnsi="Times New (W1)"/>
          <w:sz w:val="26"/>
        </w:rPr>
        <w:t>pdated LUFG/Company-use data in the 2010 1307(f) proceeding in order to examine a possible change to the class-based retainage rates</w:t>
      </w:r>
      <w:r w:rsidR="0034179C">
        <w:rPr>
          <w:rFonts w:ascii="Times New (W1)" w:hAnsi="Times New (W1)"/>
          <w:sz w:val="26"/>
        </w:rPr>
        <w:t xml:space="preserve">.  R.D. at 20.  </w:t>
      </w:r>
    </w:p>
    <w:p w:rsidR="002F29A2" w:rsidRDefault="002F29A2" w:rsidP="000E1AA7">
      <w:pPr>
        <w:spacing w:line="360" w:lineRule="auto"/>
        <w:rPr>
          <w:rFonts w:ascii="Times New (W1)" w:hAnsi="Times New (W1)"/>
          <w:sz w:val="26"/>
        </w:rPr>
      </w:pPr>
    </w:p>
    <w:p w:rsidR="002F29A2" w:rsidRPr="002F29A2" w:rsidRDefault="002F29A2" w:rsidP="002F29A2">
      <w:pPr>
        <w:spacing w:line="360" w:lineRule="auto"/>
        <w:rPr>
          <w:rFonts w:ascii="Times New (W1)" w:hAnsi="Times New (W1)"/>
          <w:sz w:val="26"/>
        </w:rPr>
      </w:pPr>
      <w:r>
        <w:rPr>
          <w:rFonts w:ascii="Times New (W1)" w:hAnsi="Times New (W1)"/>
          <w:sz w:val="26"/>
        </w:rPr>
        <w:tab/>
      </w:r>
      <w:r w:rsidRPr="002F29A2">
        <w:rPr>
          <w:rFonts w:ascii="Times New (W1)" w:hAnsi="Times New (W1)"/>
          <w:sz w:val="26"/>
          <w:u w:val="single"/>
        </w:rPr>
        <w:t>Sharing Mechanisms</w:t>
      </w:r>
    </w:p>
    <w:p w:rsidR="002F29A2" w:rsidRPr="002F29A2" w:rsidRDefault="002F29A2" w:rsidP="002F29A2">
      <w:pPr>
        <w:spacing w:line="360" w:lineRule="auto"/>
        <w:rPr>
          <w:rFonts w:ascii="Times New (W1)" w:hAnsi="Times New (W1)"/>
          <w:sz w:val="26"/>
        </w:rPr>
      </w:pPr>
    </w:p>
    <w:p w:rsidR="002F29A2" w:rsidRPr="002F29A2" w:rsidRDefault="002F29A2" w:rsidP="002F29A2">
      <w:pPr>
        <w:spacing w:line="360" w:lineRule="auto"/>
        <w:rPr>
          <w:rFonts w:ascii="Times New (W1)" w:hAnsi="Times New (W1)"/>
          <w:sz w:val="26"/>
        </w:rPr>
      </w:pPr>
      <w:r w:rsidRPr="002F29A2">
        <w:rPr>
          <w:rFonts w:ascii="Times New (W1)" w:hAnsi="Times New (W1)"/>
          <w:sz w:val="26"/>
        </w:rPr>
        <w:tab/>
      </w:r>
      <w:r w:rsidRPr="002F29A2">
        <w:rPr>
          <w:rFonts w:ascii="Times New (W1)" w:hAnsi="Times New (W1)"/>
          <w:sz w:val="26"/>
        </w:rPr>
        <w:tab/>
        <w:t>Capacity Releases –</w:t>
      </w:r>
      <w:r w:rsidR="001F0B8D">
        <w:rPr>
          <w:rFonts w:ascii="Times New (W1)" w:hAnsi="Times New (W1)"/>
          <w:sz w:val="26"/>
        </w:rPr>
        <w:t xml:space="preserve">The Petitioners agreed to the continuation of Peoples’ Capacity Release Sharing Mechanism with slight adjustments.  </w:t>
      </w:r>
      <w:r w:rsidRPr="002F29A2">
        <w:rPr>
          <w:rFonts w:ascii="Times New (W1)" w:hAnsi="Times New (W1)"/>
          <w:sz w:val="26"/>
        </w:rPr>
        <w:t>Peoples agree</w:t>
      </w:r>
      <w:r w:rsidR="001F0B8D">
        <w:rPr>
          <w:rFonts w:ascii="Times New (W1)" w:hAnsi="Times New (W1)"/>
          <w:sz w:val="26"/>
        </w:rPr>
        <w:t>d</w:t>
      </w:r>
      <w:r w:rsidRPr="002F29A2">
        <w:rPr>
          <w:rFonts w:ascii="Times New (W1)" w:hAnsi="Times New (W1)"/>
          <w:sz w:val="26"/>
        </w:rPr>
        <w:t xml:space="preserve"> to replace </w:t>
      </w:r>
      <w:r w:rsidR="00412836">
        <w:rPr>
          <w:rFonts w:ascii="Times New (W1)" w:hAnsi="Times New (W1)"/>
          <w:sz w:val="26"/>
        </w:rPr>
        <w:t>the current sharing mechanism with the mechanism that the OSBA proposed.  T</w:t>
      </w:r>
      <w:r w:rsidRPr="002F29A2">
        <w:rPr>
          <w:rFonts w:ascii="Times New (W1)" w:hAnsi="Times New (W1)"/>
          <w:sz w:val="26"/>
        </w:rPr>
        <w:t>he current sharing mechanism</w:t>
      </w:r>
      <w:r w:rsidR="00144A88">
        <w:rPr>
          <w:rFonts w:ascii="Times New (W1)" w:hAnsi="Times New (W1)"/>
          <w:sz w:val="26"/>
        </w:rPr>
        <w:t xml:space="preserve"> credits the first $200,000 of revenue from priority or P-1, </w:t>
      </w:r>
      <w:r w:rsidR="00144A88">
        <w:rPr>
          <w:rFonts w:ascii="Times New (W1)" w:hAnsi="Times New (W1)"/>
          <w:i/>
          <w:sz w:val="26"/>
        </w:rPr>
        <w:t>i.e.,</w:t>
      </w:r>
      <w:r w:rsidR="00144A88">
        <w:rPr>
          <w:rFonts w:ascii="Times New (W1)" w:hAnsi="Times New (W1)"/>
          <w:sz w:val="26"/>
        </w:rPr>
        <w:t xml:space="preserve"> </w:t>
      </w:r>
      <w:r w:rsidR="00144A88">
        <w:rPr>
          <w:rFonts w:ascii="Times New (W1)" w:hAnsi="Times New (W1)"/>
          <w:sz w:val="26"/>
        </w:rPr>
        <w:lastRenderedPageBreak/>
        <w:t>mandatory capacity assignment, customers to the PGC customers.  Any revenue in excess of the $200,000 is divided so that PGC customers receive 70% and the Company receives 30%.</w:t>
      </w:r>
      <w:r w:rsidRPr="002F29A2">
        <w:rPr>
          <w:rFonts w:ascii="Times New (W1)" w:hAnsi="Times New (W1)"/>
          <w:sz w:val="26"/>
        </w:rPr>
        <w:t xml:space="preserve"> </w:t>
      </w:r>
      <w:r w:rsidR="00412836">
        <w:rPr>
          <w:rFonts w:ascii="Times New (W1)" w:hAnsi="Times New (W1)"/>
          <w:sz w:val="26"/>
        </w:rPr>
        <w:t xml:space="preserve"> T</w:t>
      </w:r>
      <w:r w:rsidRPr="002F29A2">
        <w:rPr>
          <w:rFonts w:ascii="Times New (W1)" w:hAnsi="Times New (W1)"/>
          <w:sz w:val="26"/>
        </w:rPr>
        <w:t>he OSBA proposed</w:t>
      </w:r>
      <w:r w:rsidR="00412836">
        <w:rPr>
          <w:rFonts w:ascii="Times New (W1)" w:hAnsi="Times New (W1)"/>
          <w:sz w:val="26"/>
        </w:rPr>
        <w:t xml:space="preserve"> that</w:t>
      </w:r>
      <w:r w:rsidRPr="002F29A2">
        <w:rPr>
          <w:rFonts w:ascii="Times New (W1)" w:hAnsi="Times New (W1)"/>
          <w:sz w:val="26"/>
        </w:rPr>
        <w:t xml:space="preserve"> all Non-Priori</w:t>
      </w:r>
      <w:r w:rsidR="00412836">
        <w:rPr>
          <w:rFonts w:ascii="Times New (W1)" w:hAnsi="Times New (W1)"/>
          <w:sz w:val="26"/>
        </w:rPr>
        <w:t xml:space="preserve">ty 1 capacity release revenues </w:t>
      </w:r>
      <w:r w:rsidRPr="002F29A2">
        <w:rPr>
          <w:rFonts w:ascii="Times New (W1)" w:hAnsi="Times New (W1)"/>
          <w:sz w:val="26"/>
        </w:rPr>
        <w:t xml:space="preserve">be shared 75%/25% (customer/Company), effectively eliminating the $200,000 threshold element.  </w:t>
      </w:r>
      <w:r w:rsidR="00412836">
        <w:rPr>
          <w:rFonts w:ascii="Times New (W1)" w:hAnsi="Times New (W1)"/>
          <w:sz w:val="26"/>
        </w:rPr>
        <w:t xml:space="preserve">R.D. at 31.  </w:t>
      </w:r>
      <w:r w:rsidRPr="002F29A2">
        <w:rPr>
          <w:rFonts w:ascii="Times New (W1)" w:hAnsi="Times New (W1)"/>
          <w:sz w:val="26"/>
        </w:rPr>
        <w:t>Peoples</w:t>
      </w:r>
      <w:r w:rsidR="00412836">
        <w:rPr>
          <w:rFonts w:ascii="Times New (W1)" w:hAnsi="Times New (W1)"/>
          <w:sz w:val="26"/>
        </w:rPr>
        <w:t xml:space="preserve"> also</w:t>
      </w:r>
      <w:r w:rsidRPr="002F29A2">
        <w:rPr>
          <w:rFonts w:ascii="Times New (W1)" w:hAnsi="Times New (W1)"/>
          <w:sz w:val="26"/>
        </w:rPr>
        <w:t xml:space="preserve"> agree</w:t>
      </w:r>
      <w:r>
        <w:rPr>
          <w:rFonts w:ascii="Times New (W1)" w:hAnsi="Times New (W1)"/>
          <w:sz w:val="26"/>
        </w:rPr>
        <w:t>d</w:t>
      </w:r>
      <w:r w:rsidRPr="002F29A2">
        <w:rPr>
          <w:rFonts w:ascii="Times New (W1)" w:hAnsi="Times New (W1)"/>
          <w:sz w:val="26"/>
        </w:rPr>
        <w:t xml:space="preserve"> to extend this program for a two-year </w:t>
      </w:r>
      <w:r w:rsidR="001F0B8D">
        <w:rPr>
          <w:rFonts w:ascii="Times New (W1)" w:hAnsi="Times New (W1)"/>
          <w:sz w:val="26"/>
        </w:rPr>
        <w:t xml:space="preserve">period that will end </w:t>
      </w:r>
      <w:r w:rsidR="00187E54">
        <w:rPr>
          <w:rFonts w:ascii="Times New (W1)" w:hAnsi="Times New (W1)"/>
          <w:sz w:val="26"/>
        </w:rPr>
        <w:t>September 30, 2011</w:t>
      </w:r>
      <w:r w:rsidR="001F0B8D">
        <w:rPr>
          <w:rFonts w:ascii="Times New (W1)" w:hAnsi="Times New (W1)"/>
          <w:sz w:val="26"/>
        </w:rPr>
        <w:t>.  This extension period is a compromise of competing positions of the parties as to the appropriate term.  Some parties</w:t>
      </w:r>
      <w:r w:rsidR="006E7D28">
        <w:rPr>
          <w:rFonts w:ascii="Times New (W1)" w:hAnsi="Times New (W1)"/>
          <w:sz w:val="26"/>
        </w:rPr>
        <w:t xml:space="preserve"> </w:t>
      </w:r>
      <w:r w:rsidR="00351AC2">
        <w:rPr>
          <w:rFonts w:ascii="Times New (W1)" w:hAnsi="Times New (W1)"/>
          <w:sz w:val="26"/>
        </w:rPr>
        <w:t>sought a shorter term and some parties preferred a longer term.</w:t>
      </w:r>
      <w:r w:rsidRPr="002F29A2">
        <w:rPr>
          <w:rFonts w:ascii="Times New (W1)" w:hAnsi="Times New (W1)"/>
          <w:sz w:val="26"/>
        </w:rPr>
        <w:t xml:space="preserve"> </w:t>
      </w:r>
      <w:r w:rsidR="00351AC2">
        <w:rPr>
          <w:rFonts w:ascii="Times New (W1)" w:hAnsi="Times New (W1)"/>
          <w:sz w:val="26"/>
        </w:rPr>
        <w:t xml:space="preserve"> </w:t>
      </w:r>
      <w:r>
        <w:rPr>
          <w:rFonts w:ascii="Times New (W1)" w:hAnsi="Times New (W1)"/>
          <w:sz w:val="26"/>
        </w:rPr>
        <w:t>P</w:t>
      </w:r>
      <w:r w:rsidRPr="002F29A2">
        <w:rPr>
          <w:rFonts w:ascii="Times New (W1)" w:hAnsi="Times New (W1)"/>
          <w:sz w:val="26"/>
        </w:rPr>
        <w:t xml:space="preserve">eoples maintains the burden of proving that any proposed sharing mechanism beyond </w:t>
      </w:r>
      <w:r w:rsidR="00187E54">
        <w:rPr>
          <w:rFonts w:ascii="Times New (W1)" w:hAnsi="Times New (W1)"/>
          <w:sz w:val="26"/>
        </w:rPr>
        <w:t>September 30, 2011,</w:t>
      </w:r>
      <w:r w:rsidRPr="002F29A2">
        <w:rPr>
          <w:rFonts w:ascii="Times New (W1)" w:hAnsi="Times New (W1)"/>
          <w:sz w:val="26"/>
        </w:rPr>
        <w:t xml:space="preserve"> is in the public interest.</w:t>
      </w:r>
      <w:r w:rsidR="00351AC2">
        <w:rPr>
          <w:rFonts w:ascii="Times New (W1)" w:hAnsi="Times New (W1)"/>
          <w:sz w:val="26"/>
        </w:rPr>
        <w:t xml:space="preserve">  R.D. at 21.</w:t>
      </w:r>
    </w:p>
    <w:p w:rsidR="002F29A2" w:rsidRPr="002F29A2" w:rsidRDefault="002F29A2" w:rsidP="002F29A2">
      <w:pPr>
        <w:spacing w:line="360" w:lineRule="auto"/>
        <w:rPr>
          <w:rFonts w:ascii="Times New (W1)" w:hAnsi="Times New (W1)"/>
          <w:sz w:val="26"/>
        </w:rPr>
      </w:pPr>
    </w:p>
    <w:p w:rsidR="002F29A2" w:rsidRDefault="002F29A2" w:rsidP="002F29A2">
      <w:pPr>
        <w:spacing w:line="360" w:lineRule="auto"/>
        <w:rPr>
          <w:rFonts w:ascii="Times New (W1)" w:hAnsi="Times New (W1)"/>
          <w:sz w:val="26"/>
        </w:rPr>
      </w:pPr>
      <w:r w:rsidRPr="002F29A2">
        <w:rPr>
          <w:rFonts w:ascii="Times New (W1)" w:hAnsi="Times New (W1)"/>
          <w:sz w:val="26"/>
        </w:rPr>
        <w:tab/>
      </w:r>
      <w:r w:rsidRPr="002F29A2">
        <w:rPr>
          <w:rFonts w:ascii="Times New (W1)" w:hAnsi="Times New (W1)"/>
          <w:sz w:val="26"/>
        </w:rPr>
        <w:tab/>
        <w:t xml:space="preserve">Off-System Sales/Parks/Loans – </w:t>
      </w:r>
      <w:r w:rsidR="00AA27AB">
        <w:rPr>
          <w:rFonts w:ascii="Times New (W1)" w:hAnsi="Times New (W1)"/>
          <w:sz w:val="26"/>
        </w:rPr>
        <w:t xml:space="preserve">Petitioners agreed to the continuation of Peoples’ Off System Sales Sharing Mechanism with a slight adjustment. </w:t>
      </w:r>
      <w:r w:rsidRPr="002F29A2">
        <w:rPr>
          <w:rFonts w:ascii="Times New (W1)" w:hAnsi="Times New (W1)"/>
          <w:sz w:val="26"/>
        </w:rPr>
        <w:t>The current sharing mechanism, which was approved in Peoples’</w:t>
      </w:r>
      <w:r w:rsidR="00365ADD">
        <w:rPr>
          <w:rFonts w:ascii="Times New (W1)" w:hAnsi="Times New (W1)"/>
          <w:sz w:val="26"/>
        </w:rPr>
        <w:t xml:space="preserve"> 2006</w:t>
      </w:r>
      <w:r w:rsidRPr="002F29A2">
        <w:rPr>
          <w:rFonts w:ascii="Times New (W1)" w:hAnsi="Times New (W1)"/>
          <w:sz w:val="26"/>
        </w:rPr>
        <w:t xml:space="preserve"> 1307(f) case, established that proceeds from off-system sales, parks and loans that utilize off-system assets paid for by 1307(f) customers will be shared 75%/25% (customer/Company).  </w:t>
      </w:r>
      <w:r w:rsidR="00AA27AB">
        <w:rPr>
          <w:rFonts w:ascii="Times New (W1)" w:hAnsi="Times New (W1)"/>
          <w:sz w:val="26"/>
        </w:rPr>
        <w:t xml:space="preserve">R.D. at 6.  </w:t>
      </w:r>
      <w:r>
        <w:rPr>
          <w:rFonts w:ascii="Times New (W1)" w:hAnsi="Times New (W1)"/>
          <w:sz w:val="26"/>
        </w:rPr>
        <w:t>P</w:t>
      </w:r>
      <w:r w:rsidRPr="002F29A2">
        <w:rPr>
          <w:rFonts w:ascii="Times New (W1)" w:hAnsi="Times New (W1)"/>
          <w:sz w:val="26"/>
        </w:rPr>
        <w:t>eoples agree</w:t>
      </w:r>
      <w:r w:rsidR="0044688C">
        <w:rPr>
          <w:rFonts w:ascii="Times New (W1)" w:hAnsi="Times New (W1)"/>
          <w:sz w:val="26"/>
        </w:rPr>
        <w:t>d</w:t>
      </w:r>
      <w:r w:rsidRPr="002F29A2">
        <w:rPr>
          <w:rFonts w:ascii="Times New (W1)" w:hAnsi="Times New (W1)"/>
          <w:sz w:val="26"/>
        </w:rPr>
        <w:t xml:space="preserve"> to extend this program for </w:t>
      </w:r>
      <w:r w:rsidR="00365ADD">
        <w:rPr>
          <w:rFonts w:ascii="Times New (W1)" w:hAnsi="Times New (W1)"/>
          <w:sz w:val="26"/>
        </w:rPr>
        <w:t>a two-year period that will end</w:t>
      </w:r>
      <w:r w:rsidR="00187E54" w:rsidRPr="00187E54">
        <w:rPr>
          <w:rFonts w:ascii="Times New (W1)" w:hAnsi="Times New (W1)"/>
          <w:sz w:val="26"/>
        </w:rPr>
        <w:t xml:space="preserve"> </w:t>
      </w:r>
      <w:r w:rsidR="00650220">
        <w:rPr>
          <w:rFonts w:ascii="Times New (W1)" w:hAnsi="Times New (W1)"/>
          <w:sz w:val="26"/>
        </w:rPr>
        <w:t>September 30, 2011.</w:t>
      </w:r>
      <w:r w:rsidRPr="002F29A2">
        <w:rPr>
          <w:rFonts w:ascii="Times New (W1)" w:hAnsi="Times New (W1)"/>
          <w:sz w:val="26"/>
        </w:rPr>
        <w:t xml:space="preserve">  </w:t>
      </w:r>
      <w:r w:rsidR="00AA27AB">
        <w:rPr>
          <w:rFonts w:ascii="Times New (W1)" w:hAnsi="Times New (W1)"/>
          <w:sz w:val="26"/>
        </w:rPr>
        <w:t xml:space="preserve">This extension period is a compromise of competing positions of the parties as to the appropriate term.  Some parties sought a shorter term and some parties preferred a longer term.  </w:t>
      </w:r>
      <w:r w:rsidRPr="002F29A2">
        <w:rPr>
          <w:rFonts w:ascii="Times New (W1)" w:hAnsi="Times New (W1)"/>
          <w:sz w:val="26"/>
        </w:rPr>
        <w:t>Peoples maintains the burden of proving that any proposed sharing mechanism beyond</w:t>
      </w:r>
      <w:r w:rsidR="00187E54" w:rsidRPr="00187E54">
        <w:rPr>
          <w:rFonts w:ascii="Times New (W1)" w:hAnsi="Times New (W1)"/>
          <w:sz w:val="26"/>
        </w:rPr>
        <w:t xml:space="preserve"> </w:t>
      </w:r>
      <w:r w:rsidR="00187E54">
        <w:rPr>
          <w:rFonts w:ascii="Times New (W1)" w:hAnsi="Times New (W1)"/>
          <w:sz w:val="26"/>
        </w:rPr>
        <w:t>September 30, 2011,</w:t>
      </w:r>
      <w:r w:rsidRPr="002F29A2">
        <w:rPr>
          <w:rFonts w:ascii="Times New (W1)" w:hAnsi="Times New (W1)"/>
          <w:sz w:val="26"/>
        </w:rPr>
        <w:t xml:space="preserve"> is in the public interest.</w:t>
      </w:r>
      <w:r w:rsidR="00AA27AB">
        <w:rPr>
          <w:rFonts w:ascii="Times New (W1)" w:hAnsi="Times New (W1)"/>
          <w:sz w:val="26"/>
        </w:rPr>
        <w:t xml:space="preserve">  R.D. at 21</w:t>
      </w:r>
      <w:r w:rsidR="006438A0">
        <w:rPr>
          <w:rFonts w:ascii="Times New (W1)" w:hAnsi="Times New (W1)"/>
          <w:sz w:val="26"/>
        </w:rPr>
        <w:t>.</w:t>
      </w:r>
      <w:r w:rsidR="00956BA1">
        <w:rPr>
          <w:rFonts w:ascii="Times New (W1)" w:hAnsi="Times New (W1)"/>
          <w:sz w:val="26"/>
        </w:rPr>
        <w:t xml:space="preserve">  </w:t>
      </w:r>
    </w:p>
    <w:p w:rsidR="00C978FD" w:rsidRDefault="00C978FD" w:rsidP="002F29A2">
      <w:pPr>
        <w:spacing w:line="360" w:lineRule="auto"/>
        <w:rPr>
          <w:rFonts w:ascii="Times New (W1)" w:hAnsi="Times New (W1)"/>
          <w:sz w:val="26"/>
        </w:rPr>
      </w:pPr>
    </w:p>
    <w:p w:rsidR="00C978FD" w:rsidRPr="00C978FD" w:rsidRDefault="00C978FD" w:rsidP="00C978FD">
      <w:pPr>
        <w:spacing w:line="360" w:lineRule="auto"/>
        <w:rPr>
          <w:rFonts w:ascii="Times New (W1)" w:hAnsi="Times New (W1)"/>
          <w:sz w:val="26"/>
        </w:rPr>
      </w:pPr>
      <w:r>
        <w:rPr>
          <w:rFonts w:ascii="Times New (W1)" w:hAnsi="Times New (W1)"/>
          <w:sz w:val="26"/>
        </w:rPr>
        <w:tab/>
      </w:r>
      <w:r w:rsidRPr="00C978FD">
        <w:rPr>
          <w:rFonts w:ascii="Times New (W1)" w:hAnsi="Times New (W1)"/>
          <w:sz w:val="26"/>
          <w:u w:val="single"/>
        </w:rPr>
        <w:t>Energy Information Administration/DTI November 2004 Reporting Error</w:t>
      </w:r>
    </w:p>
    <w:p w:rsidR="00C978FD" w:rsidRPr="00C978FD" w:rsidRDefault="00C978FD" w:rsidP="00C978FD">
      <w:pPr>
        <w:spacing w:line="360" w:lineRule="auto"/>
        <w:rPr>
          <w:rFonts w:ascii="Times New (W1)" w:hAnsi="Times New (W1)"/>
          <w:sz w:val="26"/>
        </w:rPr>
      </w:pPr>
    </w:p>
    <w:p w:rsidR="00C978FD" w:rsidRDefault="00C978FD" w:rsidP="00C978FD">
      <w:pPr>
        <w:spacing w:line="360" w:lineRule="auto"/>
        <w:rPr>
          <w:rFonts w:ascii="Times New (W1)" w:hAnsi="Times New (W1)"/>
          <w:sz w:val="26"/>
        </w:rPr>
      </w:pPr>
      <w:r w:rsidRPr="00C978FD">
        <w:rPr>
          <w:rFonts w:ascii="Times New (W1)" w:hAnsi="Times New (W1)"/>
          <w:sz w:val="26"/>
        </w:rPr>
        <w:tab/>
      </w:r>
      <w:r w:rsidRPr="00C978FD">
        <w:rPr>
          <w:rFonts w:ascii="Times New (W1)" w:hAnsi="Times New (W1)"/>
          <w:sz w:val="26"/>
        </w:rPr>
        <w:tab/>
        <w:t>Peoples will continue to monitor the status of West Virginia Civil Action No. 05-C-351 related to the Dominion storage reporting error.  If class action status is granted, Peoples will seek intervention in that proceeding.</w:t>
      </w:r>
      <w:r w:rsidR="00431CF2">
        <w:rPr>
          <w:rFonts w:ascii="Times New (W1)" w:hAnsi="Times New (W1)"/>
          <w:sz w:val="26"/>
        </w:rPr>
        <w:t xml:space="preserve">  R.D. at 6.</w:t>
      </w:r>
    </w:p>
    <w:p w:rsidR="00C978FD" w:rsidRPr="00C978FD" w:rsidRDefault="00C978FD" w:rsidP="00C978FD">
      <w:pPr>
        <w:spacing w:line="360" w:lineRule="auto"/>
        <w:rPr>
          <w:rFonts w:ascii="Times New (W1)" w:hAnsi="Times New (W1)"/>
          <w:sz w:val="26"/>
        </w:rPr>
      </w:pPr>
      <w:r w:rsidRPr="00C978FD">
        <w:rPr>
          <w:rFonts w:ascii="Times New (W1)" w:hAnsi="Times New (W1)"/>
          <w:sz w:val="26"/>
        </w:rPr>
        <w:lastRenderedPageBreak/>
        <w:tab/>
      </w:r>
      <w:r w:rsidRPr="00C978FD">
        <w:rPr>
          <w:rFonts w:ascii="Times New (W1)" w:hAnsi="Times New (W1)"/>
          <w:sz w:val="26"/>
          <w:u w:val="single"/>
        </w:rPr>
        <w:t>Retail Tariff Revision</w:t>
      </w:r>
    </w:p>
    <w:p w:rsidR="00C978FD" w:rsidRPr="00C978FD" w:rsidRDefault="00C978FD" w:rsidP="00C978FD">
      <w:pPr>
        <w:spacing w:line="360" w:lineRule="auto"/>
        <w:rPr>
          <w:rFonts w:ascii="Times New (W1)" w:hAnsi="Times New (W1)"/>
          <w:sz w:val="26"/>
        </w:rPr>
      </w:pPr>
    </w:p>
    <w:p w:rsidR="00C978FD" w:rsidRDefault="00C978FD" w:rsidP="00C978FD">
      <w:pPr>
        <w:spacing w:line="360" w:lineRule="auto"/>
        <w:rPr>
          <w:rFonts w:ascii="Times New (W1)" w:hAnsi="Times New (W1)"/>
          <w:sz w:val="26"/>
        </w:rPr>
      </w:pPr>
      <w:r w:rsidRPr="00C978FD">
        <w:rPr>
          <w:rFonts w:ascii="Times New (W1)" w:hAnsi="Times New (W1)"/>
          <w:sz w:val="26"/>
        </w:rPr>
        <w:tab/>
      </w:r>
      <w:r w:rsidRPr="00C978FD">
        <w:rPr>
          <w:rFonts w:ascii="Times New (W1)" w:hAnsi="Times New (W1)"/>
          <w:sz w:val="26"/>
        </w:rPr>
        <w:tab/>
        <w:t xml:space="preserve">Peoples will revise its Rate T to make the same terms and conditions that are applicable to power generation also applicable to steam generation.  The relevant tariff sheet is attached to the Joint </w:t>
      </w:r>
      <w:r w:rsidR="00915F5B">
        <w:rPr>
          <w:rFonts w:ascii="Times New (W1)" w:hAnsi="Times New (W1)"/>
          <w:sz w:val="26"/>
        </w:rPr>
        <w:t>Settlement</w:t>
      </w:r>
      <w:r w:rsidRPr="00C978FD">
        <w:rPr>
          <w:rFonts w:ascii="Times New (W1)" w:hAnsi="Times New (W1)"/>
          <w:sz w:val="26"/>
        </w:rPr>
        <w:t xml:space="preserve"> as Appendix D</w:t>
      </w:r>
      <w:r w:rsidR="00915F5B">
        <w:rPr>
          <w:rFonts w:ascii="Times New (W1)" w:hAnsi="Times New (W1)"/>
          <w:sz w:val="26"/>
        </w:rPr>
        <w:t>.  R.D. at 7.</w:t>
      </w:r>
    </w:p>
    <w:p w:rsidR="009E309A" w:rsidRPr="00C978FD" w:rsidRDefault="009E309A" w:rsidP="00C978FD">
      <w:pPr>
        <w:spacing w:line="360" w:lineRule="auto"/>
        <w:rPr>
          <w:rFonts w:ascii="Times New (W1)" w:hAnsi="Times New (W1)"/>
          <w:sz w:val="26"/>
        </w:rPr>
      </w:pPr>
    </w:p>
    <w:p w:rsidR="00C978FD" w:rsidRPr="00C978FD" w:rsidRDefault="00C978FD" w:rsidP="0028478B">
      <w:pPr>
        <w:keepNext/>
        <w:keepLines/>
        <w:spacing w:line="360" w:lineRule="auto"/>
        <w:rPr>
          <w:rFonts w:ascii="Times New (W1)" w:hAnsi="Times New (W1)"/>
          <w:sz w:val="26"/>
        </w:rPr>
      </w:pPr>
      <w:r w:rsidRPr="00C978FD">
        <w:rPr>
          <w:rFonts w:ascii="Times New (W1)" w:hAnsi="Times New (W1)"/>
          <w:sz w:val="26"/>
        </w:rPr>
        <w:tab/>
      </w:r>
      <w:r w:rsidRPr="00C978FD">
        <w:rPr>
          <w:rFonts w:ascii="Times New (W1)" w:hAnsi="Times New (W1)"/>
          <w:sz w:val="26"/>
          <w:u w:val="single"/>
        </w:rPr>
        <w:t>Rockies Express Pipeline</w:t>
      </w:r>
    </w:p>
    <w:p w:rsidR="00C978FD" w:rsidRPr="00C978FD" w:rsidRDefault="00C978FD" w:rsidP="0028478B">
      <w:pPr>
        <w:keepNext/>
        <w:keepLines/>
        <w:spacing w:line="360" w:lineRule="auto"/>
        <w:rPr>
          <w:rFonts w:ascii="Times New (W1)" w:hAnsi="Times New (W1)"/>
          <w:sz w:val="26"/>
        </w:rPr>
      </w:pPr>
    </w:p>
    <w:p w:rsidR="00C978FD" w:rsidRPr="00C978FD" w:rsidRDefault="00C978FD" w:rsidP="0028478B">
      <w:pPr>
        <w:keepNext/>
        <w:keepLines/>
        <w:spacing w:line="360" w:lineRule="auto"/>
        <w:rPr>
          <w:rFonts w:ascii="Times New (W1)" w:hAnsi="Times New (W1)"/>
          <w:sz w:val="26"/>
        </w:rPr>
      </w:pPr>
      <w:r w:rsidRPr="00C978FD">
        <w:rPr>
          <w:rFonts w:ascii="Times New (W1)" w:hAnsi="Times New (W1)"/>
          <w:sz w:val="26"/>
        </w:rPr>
        <w:tab/>
      </w:r>
      <w:r w:rsidRPr="00C978FD">
        <w:rPr>
          <w:rFonts w:ascii="Times New (W1)" w:hAnsi="Times New (W1)"/>
          <w:sz w:val="26"/>
        </w:rPr>
        <w:tab/>
      </w:r>
      <w:r w:rsidR="008F2DF7">
        <w:rPr>
          <w:rFonts w:ascii="Times New (W1)" w:hAnsi="Times New (W1)"/>
          <w:sz w:val="26"/>
        </w:rPr>
        <w:t xml:space="preserve">OCA questioned whether Peoples was adequately prepared to take advantage of the lower-cost gas the Rockies Express (REX) pipeline is expected to bring to Eastern U.S. markets, including Pennsylvania.  R.D. at 30.  The Joint Settlement provides that </w:t>
      </w:r>
      <w:r w:rsidR="00915F5B">
        <w:rPr>
          <w:rFonts w:ascii="Times New (W1)" w:hAnsi="Times New (W1)"/>
          <w:sz w:val="26"/>
        </w:rPr>
        <w:t>P</w:t>
      </w:r>
      <w:r w:rsidRPr="00C978FD">
        <w:rPr>
          <w:rFonts w:ascii="Times New (W1)" w:hAnsi="Times New (W1)"/>
          <w:sz w:val="26"/>
        </w:rPr>
        <w:t>eoples will monitor the construction ac</w:t>
      </w:r>
      <w:r w:rsidR="00C503EC">
        <w:rPr>
          <w:rFonts w:ascii="Times New (W1)" w:hAnsi="Times New (W1)"/>
          <w:sz w:val="26"/>
        </w:rPr>
        <w:t xml:space="preserve">tivity of </w:t>
      </w:r>
      <w:r w:rsidRPr="00C978FD">
        <w:rPr>
          <w:rFonts w:ascii="Times New (W1)" w:hAnsi="Times New (W1)"/>
          <w:sz w:val="26"/>
        </w:rPr>
        <w:t>REX on a going-forward basis.  The Company will also commence continued analysis exploring the possibility of REX interconnections.  Peoples will report on the analysis at its Operational and Capacity Council (</w:t>
      </w:r>
      <w:r w:rsidR="00915F5B">
        <w:rPr>
          <w:rFonts w:ascii="Times New (W1)" w:hAnsi="Times New (W1)"/>
          <w:sz w:val="26"/>
        </w:rPr>
        <w:t>OCC</w:t>
      </w:r>
      <w:r w:rsidRPr="00C978FD">
        <w:rPr>
          <w:rFonts w:ascii="Times New (W1)" w:hAnsi="Times New (W1)"/>
          <w:sz w:val="26"/>
        </w:rPr>
        <w:t xml:space="preserve">) meetings for a period of </w:t>
      </w:r>
      <w:r w:rsidR="00915F5B">
        <w:rPr>
          <w:rFonts w:ascii="Times New (W1)" w:hAnsi="Times New (W1)"/>
          <w:sz w:val="26"/>
        </w:rPr>
        <w:t xml:space="preserve">two </w:t>
      </w:r>
      <w:r w:rsidRPr="00C978FD">
        <w:rPr>
          <w:rFonts w:ascii="Times New (W1)" w:hAnsi="Times New (W1)"/>
          <w:sz w:val="26"/>
        </w:rPr>
        <w:t>years, commencing with its fourth quarter 2009 OCC meeting.</w:t>
      </w:r>
      <w:r w:rsidR="00C503EC">
        <w:rPr>
          <w:rFonts w:ascii="Times New (W1)" w:hAnsi="Times New (W1)"/>
          <w:sz w:val="26"/>
        </w:rPr>
        <w:t xml:space="preserve">  R.D. at 7.</w:t>
      </w:r>
    </w:p>
    <w:p w:rsidR="00C978FD" w:rsidRPr="00C978FD" w:rsidRDefault="00C978FD" w:rsidP="00C978FD">
      <w:pPr>
        <w:spacing w:line="360" w:lineRule="auto"/>
        <w:rPr>
          <w:rFonts w:ascii="Times New (W1)" w:hAnsi="Times New (W1)"/>
          <w:sz w:val="26"/>
        </w:rPr>
      </w:pPr>
    </w:p>
    <w:p w:rsidR="00C978FD" w:rsidRPr="00C978FD" w:rsidRDefault="00C978FD" w:rsidP="00160A15">
      <w:pPr>
        <w:keepNext/>
        <w:keepLines/>
        <w:spacing w:line="360" w:lineRule="auto"/>
        <w:rPr>
          <w:rFonts w:ascii="Times New (W1)" w:hAnsi="Times New (W1)"/>
          <w:sz w:val="26"/>
        </w:rPr>
      </w:pPr>
      <w:r w:rsidRPr="00C978FD">
        <w:rPr>
          <w:rFonts w:ascii="Times New (W1)" w:hAnsi="Times New (W1)"/>
          <w:sz w:val="26"/>
        </w:rPr>
        <w:tab/>
      </w:r>
      <w:r w:rsidRPr="00C978FD">
        <w:rPr>
          <w:rFonts w:ascii="Times New (W1)" w:hAnsi="Times New (W1)"/>
          <w:sz w:val="26"/>
          <w:u w:val="single"/>
        </w:rPr>
        <w:t>Tennessee Gas</w:t>
      </w:r>
    </w:p>
    <w:p w:rsidR="00C978FD" w:rsidRPr="00C978FD" w:rsidRDefault="00C978FD" w:rsidP="00160A15">
      <w:pPr>
        <w:keepNext/>
        <w:keepLines/>
        <w:spacing w:line="360" w:lineRule="auto"/>
        <w:rPr>
          <w:rFonts w:ascii="Times New (W1)" w:hAnsi="Times New (W1)"/>
          <w:sz w:val="26"/>
        </w:rPr>
      </w:pPr>
    </w:p>
    <w:p w:rsidR="00C978FD" w:rsidRDefault="00C978FD" w:rsidP="00160A15">
      <w:pPr>
        <w:keepNext/>
        <w:keepLines/>
        <w:spacing w:line="360" w:lineRule="auto"/>
        <w:rPr>
          <w:rFonts w:ascii="Times New (W1)" w:hAnsi="Times New (W1)"/>
          <w:sz w:val="26"/>
        </w:rPr>
      </w:pPr>
      <w:r w:rsidRPr="00C978FD">
        <w:rPr>
          <w:rFonts w:ascii="Times New (W1)" w:hAnsi="Times New (W1)"/>
          <w:sz w:val="26"/>
        </w:rPr>
        <w:tab/>
      </w:r>
      <w:r w:rsidRPr="00C978FD">
        <w:rPr>
          <w:rFonts w:ascii="Times New (W1)" w:hAnsi="Times New (W1)"/>
          <w:sz w:val="26"/>
        </w:rPr>
        <w:tab/>
        <w:t xml:space="preserve">Peoples will open discussions with Tennessee Gas Pipeline aimed at exploring the possible relocation of its current Zone L </w:t>
      </w:r>
      <w:r w:rsidR="00365ADD">
        <w:rPr>
          <w:rFonts w:ascii="Times New (W1)" w:hAnsi="Times New (W1)"/>
          <w:sz w:val="26"/>
        </w:rPr>
        <w:t>P</w:t>
      </w:r>
      <w:r w:rsidRPr="00C978FD">
        <w:rPr>
          <w:rFonts w:ascii="Times New (W1)" w:hAnsi="Times New (W1)"/>
          <w:sz w:val="26"/>
        </w:rPr>
        <w:t>rimary Receipt Point to Ohio.  The Company will provide OCA, OTS, and OSBA with the results of such discussions during its OCC meetings.</w:t>
      </w:r>
      <w:r w:rsidR="00C503EC">
        <w:rPr>
          <w:rFonts w:ascii="Times New (W1)" w:hAnsi="Times New (W1)"/>
          <w:sz w:val="26"/>
        </w:rPr>
        <w:t xml:space="preserve">  R.D at 7.</w:t>
      </w:r>
    </w:p>
    <w:p w:rsidR="00D00A4B" w:rsidRDefault="00D00A4B" w:rsidP="00C978FD">
      <w:pPr>
        <w:spacing w:line="360" w:lineRule="auto"/>
        <w:rPr>
          <w:rFonts w:ascii="Times New (W1)" w:hAnsi="Times New (W1)"/>
          <w:sz w:val="26"/>
        </w:rPr>
      </w:pPr>
    </w:p>
    <w:p w:rsidR="00C978FD" w:rsidRPr="00C978FD" w:rsidRDefault="00C978FD" w:rsidP="00C07A4A">
      <w:pPr>
        <w:keepNext/>
        <w:keepLines/>
        <w:spacing w:line="360" w:lineRule="auto"/>
        <w:rPr>
          <w:rFonts w:ascii="Times New (W1)" w:hAnsi="Times New (W1)"/>
          <w:sz w:val="26"/>
        </w:rPr>
      </w:pPr>
      <w:r w:rsidRPr="00C978FD">
        <w:rPr>
          <w:rFonts w:ascii="Times New (W1)" w:hAnsi="Times New (W1)"/>
          <w:sz w:val="26"/>
        </w:rPr>
        <w:lastRenderedPageBreak/>
        <w:tab/>
      </w:r>
      <w:r w:rsidRPr="00C978FD">
        <w:rPr>
          <w:rFonts w:ascii="Times New (W1)" w:hAnsi="Times New (W1)"/>
          <w:sz w:val="26"/>
          <w:u w:val="single"/>
        </w:rPr>
        <w:t>SEARCH Directive/POR</w:t>
      </w:r>
    </w:p>
    <w:p w:rsidR="00C978FD" w:rsidRPr="00C978FD" w:rsidRDefault="00C978FD" w:rsidP="00C07A4A">
      <w:pPr>
        <w:keepNext/>
        <w:keepLines/>
        <w:spacing w:line="360" w:lineRule="auto"/>
        <w:rPr>
          <w:rFonts w:ascii="Times New (W1)" w:hAnsi="Times New (W1)"/>
          <w:sz w:val="26"/>
        </w:rPr>
      </w:pPr>
    </w:p>
    <w:p w:rsidR="00DF3E51" w:rsidRDefault="00C978FD" w:rsidP="00C07A4A">
      <w:pPr>
        <w:keepNext/>
        <w:keepLines/>
        <w:spacing w:line="360" w:lineRule="auto"/>
        <w:rPr>
          <w:rFonts w:ascii="Times New (W1)" w:hAnsi="Times New (W1)"/>
          <w:sz w:val="26"/>
        </w:rPr>
      </w:pPr>
      <w:r w:rsidRPr="00C978FD">
        <w:rPr>
          <w:rFonts w:ascii="Times New (W1)" w:hAnsi="Times New (W1)"/>
          <w:sz w:val="26"/>
        </w:rPr>
        <w:tab/>
      </w:r>
      <w:r w:rsidRPr="00C978FD">
        <w:rPr>
          <w:rFonts w:ascii="Times New (W1)" w:hAnsi="Times New (W1)"/>
          <w:sz w:val="26"/>
        </w:rPr>
        <w:tab/>
      </w:r>
      <w:r w:rsidR="00DF3E51" w:rsidRPr="00DF3E51">
        <w:rPr>
          <w:rFonts w:ascii="Times New (W1)" w:hAnsi="Times New (W1)"/>
          <w:sz w:val="26"/>
        </w:rPr>
        <w:t xml:space="preserve">OCA </w:t>
      </w:r>
      <w:r w:rsidR="00DF3E51">
        <w:rPr>
          <w:rFonts w:ascii="Times New (W1)" w:hAnsi="Times New (W1)"/>
          <w:sz w:val="26"/>
        </w:rPr>
        <w:t>questioned</w:t>
      </w:r>
      <w:r w:rsidR="00DF3E51" w:rsidRPr="00DF3E51">
        <w:rPr>
          <w:rFonts w:ascii="Times New (W1)" w:hAnsi="Times New (W1)"/>
          <w:sz w:val="26"/>
        </w:rPr>
        <w:t xml:space="preserve"> whether the information Peoples provided in response to the Commission’s SEARCH Order was useful to achieve the goals the Commission outlined in that Order.</w:t>
      </w:r>
      <w:r w:rsidR="00FD2380">
        <w:rPr>
          <w:rFonts w:ascii="Times New (W1)" w:hAnsi="Times New (W1)"/>
          <w:sz w:val="26"/>
        </w:rPr>
        <w:t xml:space="preserve">  R.D. at 29.</w:t>
      </w:r>
      <w:r w:rsidR="00DF3E51" w:rsidRPr="00DF3E51">
        <w:rPr>
          <w:rFonts w:ascii="Times New (W1)" w:hAnsi="Times New (W1)"/>
          <w:sz w:val="26"/>
        </w:rPr>
        <w:t xml:space="preserve">  </w:t>
      </w:r>
      <w:r w:rsidR="00EB1808" w:rsidRPr="00C978FD">
        <w:rPr>
          <w:rFonts w:ascii="Times New (W1)" w:hAnsi="Times New (W1)"/>
          <w:sz w:val="26"/>
        </w:rPr>
        <w:t xml:space="preserve">To address the concerns of the parties, </w:t>
      </w:r>
      <w:r w:rsidR="00EB1808">
        <w:rPr>
          <w:rFonts w:ascii="Times New (W1)" w:hAnsi="Times New (W1)"/>
          <w:sz w:val="26"/>
        </w:rPr>
        <w:t xml:space="preserve">Peoples provided supplemental information </w:t>
      </w:r>
      <w:r w:rsidR="00EB1808" w:rsidRPr="00C978FD">
        <w:rPr>
          <w:rFonts w:ascii="Times New (W1)" w:hAnsi="Times New (W1)"/>
          <w:sz w:val="26"/>
        </w:rPr>
        <w:t xml:space="preserve">with the explicit understanding that the supplemental information is not reflective of the costs in currently effective base rates, as Appendix E to the Joint </w:t>
      </w:r>
      <w:r w:rsidR="00EB1808">
        <w:rPr>
          <w:rFonts w:ascii="Times New (W1)" w:hAnsi="Times New (W1)"/>
          <w:sz w:val="26"/>
        </w:rPr>
        <w:t>Settlement</w:t>
      </w:r>
      <w:r w:rsidR="00EB1808" w:rsidRPr="00C978FD">
        <w:rPr>
          <w:rFonts w:ascii="Times New (W1)" w:hAnsi="Times New (W1)"/>
          <w:sz w:val="26"/>
        </w:rPr>
        <w:t xml:space="preserve">.  </w:t>
      </w:r>
      <w:r w:rsidR="000A5F2C" w:rsidRPr="00C978FD">
        <w:rPr>
          <w:rFonts w:ascii="Times New (W1)" w:hAnsi="Times New (W1)"/>
          <w:sz w:val="26"/>
        </w:rPr>
        <w:t xml:space="preserve">The Supplemental materials consist of: </w:t>
      </w:r>
      <w:r w:rsidR="00365ADD">
        <w:rPr>
          <w:rFonts w:ascii="Times New (W1)" w:hAnsi="Times New (W1)"/>
          <w:sz w:val="26"/>
        </w:rPr>
        <w:t>(</w:t>
      </w:r>
      <w:r w:rsidR="000A5F2C" w:rsidRPr="00C978FD">
        <w:rPr>
          <w:rFonts w:ascii="Times New (W1)" w:hAnsi="Times New (W1)"/>
          <w:sz w:val="26"/>
        </w:rPr>
        <w:t>1) current cost estimates for the storage inventory balances and cash working capital costs; and</w:t>
      </w:r>
      <w:r w:rsidR="00365ADD">
        <w:rPr>
          <w:rFonts w:ascii="Times New (W1)" w:hAnsi="Times New (W1)"/>
          <w:sz w:val="26"/>
        </w:rPr>
        <w:t xml:space="preserve"> (</w:t>
      </w:r>
      <w:r w:rsidR="000A5F2C" w:rsidRPr="00C978FD">
        <w:rPr>
          <w:rFonts w:ascii="Times New (W1)" w:hAnsi="Times New (W1)"/>
          <w:sz w:val="26"/>
        </w:rPr>
        <w:t>2) current throughput and peak day allocation factors for each sales and transportation rate class</w:t>
      </w:r>
      <w:r w:rsidR="000A5F2C">
        <w:rPr>
          <w:rFonts w:ascii="Times New (W1)" w:hAnsi="Times New (W1)"/>
          <w:sz w:val="26"/>
        </w:rPr>
        <w:t xml:space="preserve">.  </w:t>
      </w:r>
    </w:p>
    <w:p w:rsidR="000A5F2C" w:rsidRDefault="000A5F2C" w:rsidP="00C07A4A">
      <w:pPr>
        <w:keepNext/>
        <w:keepLines/>
        <w:spacing w:line="360" w:lineRule="auto"/>
        <w:rPr>
          <w:rFonts w:ascii="Times New (W1)" w:hAnsi="Times New (W1)"/>
          <w:sz w:val="26"/>
        </w:rPr>
      </w:pPr>
      <w:r>
        <w:rPr>
          <w:rFonts w:ascii="Times New (W1)" w:hAnsi="Times New (W1)"/>
          <w:sz w:val="26"/>
        </w:rPr>
        <w:t>Also, t</w:t>
      </w:r>
      <w:r w:rsidR="00DF3E51" w:rsidRPr="00DF3E51">
        <w:rPr>
          <w:rFonts w:ascii="Times New (W1)" w:hAnsi="Times New (W1)"/>
          <w:sz w:val="26"/>
        </w:rPr>
        <w:t xml:space="preserve">he </w:t>
      </w:r>
      <w:r>
        <w:rPr>
          <w:rFonts w:ascii="Times New (W1)" w:hAnsi="Times New (W1)"/>
          <w:sz w:val="26"/>
        </w:rPr>
        <w:t xml:space="preserve">Joint </w:t>
      </w:r>
      <w:r w:rsidR="00DF3E51" w:rsidRPr="00DF3E51">
        <w:rPr>
          <w:rFonts w:ascii="Times New (W1)" w:hAnsi="Times New (W1)"/>
          <w:sz w:val="26"/>
        </w:rPr>
        <w:t xml:space="preserve">Settlement provides that within </w:t>
      </w:r>
      <w:r w:rsidR="00365ADD">
        <w:rPr>
          <w:rFonts w:ascii="Times New (W1)" w:hAnsi="Times New (W1)"/>
          <w:sz w:val="26"/>
        </w:rPr>
        <w:t xml:space="preserve">thirty </w:t>
      </w:r>
      <w:r w:rsidR="00DF3E51" w:rsidRPr="00DF3E51">
        <w:rPr>
          <w:rFonts w:ascii="Times New (W1)" w:hAnsi="Times New (W1)"/>
          <w:sz w:val="26"/>
        </w:rPr>
        <w:t xml:space="preserve">days of a final Order at </w:t>
      </w:r>
    </w:p>
    <w:p w:rsidR="00C978FD" w:rsidRDefault="00DF3E51" w:rsidP="00C07A4A">
      <w:pPr>
        <w:keepNext/>
        <w:keepLines/>
        <w:spacing w:line="360" w:lineRule="auto"/>
        <w:rPr>
          <w:rFonts w:ascii="Times New (W1)" w:hAnsi="Times New (W1)"/>
          <w:sz w:val="26"/>
        </w:rPr>
      </w:pPr>
      <w:r w:rsidRPr="00DF3E51">
        <w:rPr>
          <w:rFonts w:ascii="Times New (W1)" w:hAnsi="Times New (W1)"/>
          <w:sz w:val="26"/>
        </w:rPr>
        <w:t xml:space="preserve">Docket No. A-2008-2063737, </w:t>
      </w:r>
      <w:r w:rsidRPr="00365ADD">
        <w:rPr>
          <w:rFonts w:ascii="Times New (W1)" w:hAnsi="Times New (W1)"/>
          <w:i/>
          <w:sz w:val="26"/>
        </w:rPr>
        <w:t xml:space="preserve">Peoples Joint Application for </w:t>
      </w:r>
      <w:r w:rsidR="00365ADD" w:rsidRPr="00365ADD">
        <w:rPr>
          <w:rFonts w:ascii="Times New (W1)" w:hAnsi="Times New (W1)"/>
          <w:i/>
          <w:sz w:val="26"/>
        </w:rPr>
        <w:t>Its T</w:t>
      </w:r>
      <w:r w:rsidRPr="00365ADD">
        <w:rPr>
          <w:rFonts w:ascii="Times New (W1)" w:hAnsi="Times New (W1)"/>
          <w:i/>
          <w:sz w:val="26"/>
        </w:rPr>
        <w:t xml:space="preserve">ransfer of </w:t>
      </w:r>
      <w:r w:rsidR="00365ADD" w:rsidRPr="00365ADD">
        <w:rPr>
          <w:rFonts w:ascii="Times New (W1)" w:hAnsi="Times New (W1)"/>
          <w:i/>
          <w:sz w:val="26"/>
        </w:rPr>
        <w:t>O</w:t>
      </w:r>
      <w:r w:rsidRPr="00365ADD">
        <w:rPr>
          <w:rFonts w:ascii="Times New (W1)" w:hAnsi="Times New (W1)"/>
          <w:i/>
          <w:sz w:val="26"/>
        </w:rPr>
        <w:t>wnership to SteelRiver</w:t>
      </w:r>
      <w:r w:rsidRPr="00DF3E51">
        <w:rPr>
          <w:rFonts w:ascii="Times New (W1)" w:hAnsi="Times New (W1)"/>
          <w:sz w:val="26"/>
        </w:rPr>
        <w:t>, Peoples will either file its notice of intent to establish a Purchase of Receivables (</w:t>
      </w:r>
      <w:r w:rsidR="000E25E5">
        <w:rPr>
          <w:rFonts w:ascii="Times New (W1)" w:hAnsi="Times New (W1)"/>
          <w:sz w:val="26"/>
        </w:rPr>
        <w:t>POR) program or update its cost-</w:t>
      </w:r>
      <w:r w:rsidRPr="00DF3E51">
        <w:rPr>
          <w:rFonts w:ascii="Times New (W1)" w:hAnsi="Times New (W1)"/>
          <w:sz w:val="26"/>
        </w:rPr>
        <w:t>of</w:t>
      </w:r>
      <w:r w:rsidR="000E25E5">
        <w:rPr>
          <w:rFonts w:ascii="Times New (W1)" w:hAnsi="Times New (W1)"/>
          <w:sz w:val="26"/>
        </w:rPr>
        <w:t>-</w:t>
      </w:r>
      <w:r w:rsidRPr="00DF3E51">
        <w:rPr>
          <w:rFonts w:ascii="Times New (W1)" w:hAnsi="Times New (W1)"/>
          <w:sz w:val="26"/>
        </w:rPr>
        <w:t xml:space="preserve">service information related to the POR issue.  If Peoples proceeds with a POR program, it will file its plan within </w:t>
      </w:r>
      <w:r w:rsidR="000E25E5">
        <w:rPr>
          <w:rFonts w:ascii="Times New (W1)" w:hAnsi="Times New (W1)"/>
          <w:sz w:val="26"/>
        </w:rPr>
        <w:t>ninety</w:t>
      </w:r>
      <w:r w:rsidRPr="00DF3E51">
        <w:rPr>
          <w:rFonts w:ascii="Times New (W1)" w:hAnsi="Times New (W1)"/>
          <w:sz w:val="26"/>
        </w:rPr>
        <w:t xml:space="preserve"> days of a final Order at the above docket.  If</w:t>
      </w:r>
      <w:r w:rsidR="000A5F2C">
        <w:rPr>
          <w:rFonts w:ascii="Times New (W1)" w:hAnsi="Times New (W1)"/>
          <w:sz w:val="26"/>
        </w:rPr>
        <w:t xml:space="preserve"> </w:t>
      </w:r>
      <w:r w:rsidR="000E25E5">
        <w:rPr>
          <w:rFonts w:ascii="Times New (W1)" w:hAnsi="Times New (W1)"/>
          <w:sz w:val="26"/>
        </w:rPr>
        <w:t>Peoples elects the cost-</w:t>
      </w:r>
      <w:r w:rsidRPr="00DF3E51">
        <w:rPr>
          <w:rFonts w:ascii="Times New (W1)" w:hAnsi="Times New (W1)"/>
          <w:sz w:val="26"/>
        </w:rPr>
        <w:t>of</w:t>
      </w:r>
      <w:r w:rsidR="000E25E5">
        <w:rPr>
          <w:rFonts w:ascii="Times New (W1)" w:hAnsi="Times New (W1)"/>
          <w:sz w:val="26"/>
        </w:rPr>
        <w:t>-</w:t>
      </w:r>
      <w:r w:rsidRPr="00DF3E51">
        <w:rPr>
          <w:rFonts w:ascii="Times New (W1)" w:hAnsi="Times New (W1)"/>
          <w:sz w:val="26"/>
        </w:rPr>
        <w:t>service study option</w:t>
      </w:r>
      <w:r w:rsidR="000E25E5">
        <w:rPr>
          <w:rFonts w:ascii="Times New (W1)" w:hAnsi="Times New (W1)"/>
          <w:sz w:val="26"/>
        </w:rPr>
        <w:t>, it will file an updated cost-</w:t>
      </w:r>
      <w:r w:rsidRPr="00DF3E51">
        <w:rPr>
          <w:rFonts w:ascii="Times New (W1)" w:hAnsi="Times New (W1)"/>
          <w:sz w:val="26"/>
        </w:rPr>
        <w:t>of</w:t>
      </w:r>
      <w:r w:rsidR="000E25E5">
        <w:rPr>
          <w:rFonts w:ascii="Times New (W1)" w:hAnsi="Times New (W1)"/>
          <w:sz w:val="26"/>
        </w:rPr>
        <w:t>-</w:t>
      </w:r>
      <w:r w:rsidRPr="00DF3E51">
        <w:rPr>
          <w:rFonts w:ascii="Times New (W1)" w:hAnsi="Times New (W1)"/>
          <w:sz w:val="26"/>
        </w:rPr>
        <w:t xml:space="preserve">service study as a part of its 2011 1307(f) proceeding or in its next base rate proceeding, whichever is earlier.  </w:t>
      </w:r>
      <w:r w:rsidR="00FD2380">
        <w:rPr>
          <w:rFonts w:ascii="Times New (W1)" w:hAnsi="Times New (W1)"/>
          <w:sz w:val="26"/>
        </w:rPr>
        <w:t xml:space="preserve">R.D. at 7-8.  </w:t>
      </w:r>
      <w:r w:rsidR="00935E30">
        <w:rPr>
          <w:rFonts w:ascii="Times New (W1)" w:hAnsi="Times New (W1)"/>
          <w:sz w:val="26"/>
        </w:rPr>
        <w:t xml:space="preserve">The Parties are satisfied with the resolution of this issue.  </w:t>
      </w:r>
    </w:p>
    <w:p w:rsidR="00F2683D" w:rsidRDefault="00F2683D" w:rsidP="00FB0283">
      <w:pPr>
        <w:spacing w:line="360" w:lineRule="auto"/>
        <w:rPr>
          <w:rFonts w:ascii="Times New (W1)" w:hAnsi="Times New (W1)"/>
          <w:sz w:val="26"/>
        </w:rPr>
      </w:pPr>
    </w:p>
    <w:p w:rsidR="00C978FD" w:rsidRPr="00C978FD" w:rsidRDefault="00C978FD" w:rsidP="00517566">
      <w:pPr>
        <w:spacing w:line="360" w:lineRule="auto"/>
        <w:rPr>
          <w:rFonts w:ascii="Times New (W1)" w:hAnsi="Times New (W1)"/>
          <w:sz w:val="26"/>
        </w:rPr>
      </w:pPr>
      <w:r w:rsidRPr="00C978FD">
        <w:rPr>
          <w:rFonts w:ascii="Times New (W1)" w:hAnsi="Times New (W1)"/>
          <w:sz w:val="26"/>
        </w:rPr>
        <w:tab/>
      </w:r>
      <w:r w:rsidRPr="00C978FD">
        <w:rPr>
          <w:rFonts w:ascii="Times New (W1)" w:hAnsi="Times New (W1)"/>
          <w:sz w:val="26"/>
          <w:u w:val="single"/>
        </w:rPr>
        <w:t>Hedging Program</w:t>
      </w:r>
    </w:p>
    <w:p w:rsidR="00C978FD" w:rsidRPr="00C978FD" w:rsidRDefault="00C978FD" w:rsidP="00517566">
      <w:pPr>
        <w:spacing w:line="360" w:lineRule="auto"/>
        <w:rPr>
          <w:rFonts w:ascii="Times New (W1)" w:hAnsi="Times New (W1)"/>
          <w:sz w:val="26"/>
        </w:rPr>
      </w:pPr>
    </w:p>
    <w:p w:rsidR="00C978FD" w:rsidRDefault="00C978FD" w:rsidP="00517566">
      <w:pPr>
        <w:spacing w:line="360" w:lineRule="auto"/>
        <w:rPr>
          <w:rFonts w:ascii="Times New (W1)" w:hAnsi="Times New (W1)"/>
          <w:sz w:val="26"/>
        </w:rPr>
      </w:pPr>
      <w:r w:rsidRPr="00C978FD">
        <w:rPr>
          <w:rFonts w:ascii="Times New (W1)" w:hAnsi="Times New (W1)"/>
          <w:sz w:val="26"/>
        </w:rPr>
        <w:tab/>
      </w:r>
      <w:r w:rsidRPr="00C978FD">
        <w:rPr>
          <w:rFonts w:ascii="Times New (W1)" w:hAnsi="Times New (W1)"/>
          <w:sz w:val="26"/>
        </w:rPr>
        <w:tab/>
      </w:r>
      <w:r w:rsidR="008852D4" w:rsidRPr="008852D4">
        <w:rPr>
          <w:rFonts w:ascii="Times New (W1)" w:hAnsi="Times New (W1)"/>
          <w:sz w:val="26"/>
        </w:rPr>
        <w:t>OCA argued that Peoples’ hedging efforts were too focused on gas supply.  It contended that Peoples should focus on minimizing costs, as well as obtaining an adequate gas supply</w:t>
      </w:r>
      <w:r w:rsidR="008852D4">
        <w:rPr>
          <w:rFonts w:ascii="Times New (W1)" w:hAnsi="Times New (W1)"/>
          <w:sz w:val="26"/>
        </w:rPr>
        <w:t xml:space="preserve">.  </w:t>
      </w:r>
      <w:r w:rsidR="00135BEE">
        <w:rPr>
          <w:rFonts w:ascii="Times New (W1)" w:hAnsi="Times New (W1)"/>
          <w:sz w:val="26"/>
        </w:rPr>
        <w:t xml:space="preserve">R.D. at 29.  </w:t>
      </w:r>
      <w:r w:rsidR="00245208" w:rsidRPr="00245208">
        <w:rPr>
          <w:rFonts w:ascii="Times New (W1)" w:hAnsi="Times New (W1)"/>
          <w:sz w:val="26"/>
        </w:rPr>
        <w:t>OCA proposed modifications to the Company’s current hedging program, which would have required the Company to “time the market” with regard to its gas purchases in an effort to produce lower average commodity costs</w:t>
      </w:r>
      <w:r w:rsidR="00245208">
        <w:rPr>
          <w:rFonts w:ascii="Times New (W1)" w:hAnsi="Times New (W1)"/>
          <w:sz w:val="26"/>
        </w:rPr>
        <w:t xml:space="preserve">.  </w:t>
      </w:r>
      <w:r w:rsidR="00245208" w:rsidRPr="00625EA9">
        <w:rPr>
          <w:rFonts w:ascii="Times New (W1)" w:hAnsi="Times New (W1)"/>
          <w:sz w:val="26"/>
        </w:rPr>
        <w:t xml:space="preserve">OSBA </w:t>
      </w:r>
      <w:r w:rsidR="00245208" w:rsidRPr="00625EA9">
        <w:rPr>
          <w:rFonts w:ascii="Times New (W1)" w:hAnsi="Times New (W1)"/>
          <w:sz w:val="26"/>
        </w:rPr>
        <w:lastRenderedPageBreak/>
        <w:t xml:space="preserve">argued </w:t>
      </w:r>
      <w:r w:rsidR="00625EA9">
        <w:rPr>
          <w:rFonts w:ascii="Times New (W1)" w:hAnsi="Times New (W1)"/>
          <w:sz w:val="26"/>
        </w:rPr>
        <w:t xml:space="preserve">that </w:t>
      </w:r>
      <w:r w:rsidR="00245208" w:rsidRPr="00625EA9">
        <w:rPr>
          <w:rFonts w:ascii="Times New (W1)" w:hAnsi="Times New (W1)"/>
          <w:sz w:val="26"/>
        </w:rPr>
        <w:t>OCA’s suggested modifications to the Company’s hedging program were not likely to result in lower commodity costs over time</w:t>
      </w:r>
      <w:r w:rsidR="00625EA9">
        <w:rPr>
          <w:rFonts w:ascii="Times New (W1)" w:hAnsi="Times New (W1)"/>
          <w:sz w:val="26"/>
        </w:rPr>
        <w:t xml:space="preserve"> and therefore</w:t>
      </w:r>
      <w:r w:rsidR="00245208" w:rsidRPr="00625EA9">
        <w:rPr>
          <w:rFonts w:ascii="Times New (W1)" w:hAnsi="Times New (W1)"/>
          <w:sz w:val="26"/>
        </w:rPr>
        <w:t xml:space="preserve"> recommended rejection of OCA’s suggested modifications. </w:t>
      </w:r>
      <w:r w:rsidR="00245208" w:rsidRPr="00982637">
        <w:t xml:space="preserve"> </w:t>
      </w:r>
      <w:r w:rsidR="00245208">
        <w:rPr>
          <w:rFonts w:ascii="Times New (W1)" w:hAnsi="Times New (W1)"/>
          <w:sz w:val="26"/>
        </w:rPr>
        <w:t xml:space="preserve">R.D. at 33.  </w:t>
      </w:r>
      <w:r w:rsidR="00625EA9">
        <w:rPr>
          <w:rFonts w:ascii="Times New (W1)" w:hAnsi="Times New (W1)"/>
          <w:sz w:val="26"/>
        </w:rPr>
        <w:t>The Joint Settlement is a compromise with t</w:t>
      </w:r>
      <w:r w:rsidR="00245208">
        <w:rPr>
          <w:rFonts w:ascii="Times New (W1)" w:hAnsi="Times New (W1)"/>
          <w:sz w:val="26"/>
        </w:rPr>
        <w:t xml:space="preserve">he </w:t>
      </w:r>
      <w:r w:rsidRPr="00C978FD">
        <w:rPr>
          <w:rFonts w:ascii="Times New (W1)" w:hAnsi="Times New (W1)"/>
          <w:sz w:val="26"/>
        </w:rPr>
        <w:t>Petitioners agree</w:t>
      </w:r>
      <w:r w:rsidR="00625EA9">
        <w:rPr>
          <w:rFonts w:ascii="Times New (W1)" w:hAnsi="Times New (W1)"/>
          <w:sz w:val="26"/>
        </w:rPr>
        <w:t>ing</w:t>
      </w:r>
      <w:r w:rsidRPr="00C978FD">
        <w:rPr>
          <w:rFonts w:ascii="Times New (W1)" w:hAnsi="Times New (W1)"/>
          <w:sz w:val="26"/>
        </w:rPr>
        <w:t xml:space="preserve"> that Peoples will contin</w:t>
      </w:r>
      <w:r w:rsidR="008852D4">
        <w:rPr>
          <w:rFonts w:ascii="Times New (W1)" w:hAnsi="Times New (W1)"/>
          <w:sz w:val="26"/>
        </w:rPr>
        <w:t>ue its current hedging program</w:t>
      </w:r>
      <w:r w:rsidRPr="00C978FD">
        <w:rPr>
          <w:rFonts w:ascii="Times New (W1)" w:hAnsi="Times New (W1)"/>
          <w:sz w:val="26"/>
        </w:rPr>
        <w:t>.  The parties also agree that Peoples will develop a study to assess a hedging program based on prices and price movements.  Peoples will present the study to OCA, OTS, and OSBA by February 1, 2010.</w:t>
      </w:r>
      <w:r w:rsidR="00B1165B">
        <w:rPr>
          <w:rFonts w:ascii="Times New (W1)" w:hAnsi="Times New (W1)"/>
          <w:sz w:val="26"/>
        </w:rPr>
        <w:t xml:space="preserve">  </w:t>
      </w:r>
      <w:r w:rsidR="00135BEE">
        <w:rPr>
          <w:rFonts w:ascii="Times New (W1)" w:hAnsi="Times New (W1)"/>
          <w:sz w:val="26"/>
        </w:rPr>
        <w:t xml:space="preserve">R.D. at 8.  </w:t>
      </w:r>
    </w:p>
    <w:p w:rsidR="00BF4639" w:rsidRPr="00C978FD" w:rsidRDefault="00BF4639" w:rsidP="00C978FD">
      <w:pPr>
        <w:spacing w:line="360" w:lineRule="auto"/>
        <w:rPr>
          <w:rFonts w:ascii="Times New (W1)" w:hAnsi="Times New (W1)"/>
          <w:sz w:val="26"/>
        </w:rPr>
      </w:pPr>
    </w:p>
    <w:p w:rsidR="00C978FD" w:rsidRPr="00C978FD" w:rsidRDefault="00C978FD" w:rsidP="00C978FD">
      <w:pPr>
        <w:spacing w:line="360" w:lineRule="auto"/>
        <w:rPr>
          <w:rFonts w:ascii="Times New (W1)" w:hAnsi="Times New (W1)"/>
          <w:sz w:val="26"/>
        </w:rPr>
      </w:pPr>
      <w:r w:rsidRPr="00C978FD">
        <w:rPr>
          <w:rFonts w:ascii="Times New (W1)" w:hAnsi="Times New (W1)"/>
          <w:sz w:val="26"/>
        </w:rPr>
        <w:tab/>
      </w:r>
      <w:r w:rsidRPr="00C978FD">
        <w:rPr>
          <w:rFonts w:ascii="Times New (W1)" w:hAnsi="Times New (W1)"/>
          <w:sz w:val="26"/>
          <w:u w:val="single"/>
        </w:rPr>
        <w:t>Uncontested Issues</w:t>
      </w:r>
    </w:p>
    <w:p w:rsidR="00C978FD" w:rsidRPr="00C978FD" w:rsidRDefault="00C978FD" w:rsidP="00C978FD">
      <w:pPr>
        <w:spacing w:line="360" w:lineRule="auto"/>
        <w:rPr>
          <w:rFonts w:ascii="Times New (W1)" w:hAnsi="Times New (W1)"/>
          <w:sz w:val="26"/>
        </w:rPr>
      </w:pPr>
    </w:p>
    <w:p w:rsidR="00C978FD" w:rsidRDefault="00C978FD" w:rsidP="00C978FD">
      <w:pPr>
        <w:spacing w:line="360" w:lineRule="auto"/>
        <w:rPr>
          <w:rFonts w:ascii="Times New (W1)" w:hAnsi="Times New (W1)"/>
          <w:sz w:val="26"/>
        </w:rPr>
      </w:pPr>
      <w:r w:rsidRPr="00C978FD">
        <w:rPr>
          <w:rFonts w:ascii="Times New (W1)" w:hAnsi="Times New (W1)"/>
          <w:sz w:val="26"/>
        </w:rPr>
        <w:tab/>
      </w:r>
      <w:r w:rsidRPr="00C978FD">
        <w:rPr>
          <w:rFonts w:ascii="Times New (W1)" w:hAnsi="Times New (W1)"/>
          <w:sz w:val="26"/>
        </w:rPr>
        <w:tab/>
        <w:t xml:space="preserve">The parties contested only a limited number of issues in this case and all of them have been addressed in the </w:t>
      </w:r>
      <w:r w:rsidR="00135BEE">
        <w:rPr>
          <w:rFonts w:ascii="Times New (W1)" w:hAnsi="Times New (W1)"/>
          <w:sz w:val="26"/>
        </w:rPr>
        <w:t xml:space="preserve">Joint </w:t>
      </w:r>
      <w:r w:rsidRPr="00C978FD">
        <w:rPr>
          <w:rFonts w:ascii="Times New (W1)" w:hAnsi="Times New (W1)"/>
          <w:sz w:val="26"/>
        </w:rPr>
        <w:t>Settlement, in briefing, or withdrawn by the proponent in on-the-record corrections to the admitted evidence at the hearing on June 11, 2009.  To the extent Peoples raised issues in its March 2, 2009 and April 1, 2009</w:t>
      </w:r>
      <w:r w:rsidR="000E25E5">
        <w:rPr>
          <w:rFonts w:ascii="Times New (W1)" w:hAnsi="Times New (W1)"/>
          <w:sz w:val="26"/>
        </w:rPr>
        <w:t xml:space="preserve"> </w:t>
      </w:r>
      <w:r w:rsidRPr="00C978FD">
        <w:rPr>
          <w:rFonts w:ascii="Times New (W1)" w:hAnsi="Times New (W1)"/>
          <w:sz w:val="26"/>
        </w:rPr>
        <w:t>submissions</w:t>
      </w:r>
      <w:r w:rsidRPr="00C978FD">
        <w:rPr>
          <w:rStyle w:val="FootnoteReference"/>
          <w:rFonts w:ascii="Times New (W1)" w:hAnsi="Times New (W1)"/>
          <w:sz w:val="26"/>
        </w:rPr>
        <w:footnoteReference w:id="10"/>
      </w:r>
      <w:r w:rsidRPr="00C978FD">
        <w:rPr>
          <w:rFonts w:ascii="Times New (W1)" w:hAnsi="Times New (W1)"/>
          <w:sz w:val="26"/>
        </w:rPr>
        <w:t xml:space="preserve"> that were </w:t>
      </w:r>
      <w:r w:rsidR="000E25E5">
        <w:rPr>
          <w:rFonts w:ascii="Times New (W1)" w:hAnsi="Times New (W1)"/>
          <w:sz w:val="26"/>
        </w:rPr>
        <w:t xml:space="preserve">uncontested, </w:t>
      </w:r>
      <w:r w:rsidRPr="00C978FD">
        <w:rPr>
          <w:rFonts w:ascii="Times New (W1)" w:hAnsi="Times New (W1)"/>
          <w:sz w:val="26"/>
        </w:rPr>
        <w:t>the Petitioners do not oppose the Company’s filings as to those issues.</w:t>
      </w:r>
      <w:r w:rsidR="008F2BCF">
        <w:rPr>
          <w:rFonts w:ascii="Times New (W1)" w:hAnsi="Times New (W1)"/>
          <w:sz w:val="26"/>
        </w:rPr>
        <w:t xml:space="preserve">  R.D. at 8.</w:t>
      </w:r>
    </w:p>
    <w:p w:rsidR="009E309A" w:rsidRDefault="009E309A" w:rsidP="00C978FD">
      <w:pPr>
        <w:spacing w:line="360" w:lineRule="auto"/>
        <w:rPr>
          <w:rFonts w:ascii="Times New (W1)" w:hAnsi="Times New (W1)"/>
          <w:sz w:val="26"/>
        </w:rPr>
      </w:pPr>
    </w:p>
    <w:p w:rsidR="009E309A" w:rsidRDefault="009E309A" w:rsidP="00C978FD">
      <w:pPr>
        <w:spacing w:line="360" w:lineRule="auto"/>
        <w:rPr>
          <w:rFonts w:ascii="Times New (W1)" w:hAnsi="Times New (W1)"/>
          <w:sz w:val="26"/>
        </w:rPr>
      </w:pPr>
      <w:r>
        <w:rPr>
          <w:rFonts w:ascii="Times New (W1)" w:hAnsi="Times New (W1)"/>
          <w:sz w:val="26"/>
        </w:rPr>
        <w:tab/>
      </w:r>
      <w:r>
        <w:rPr>
          <w:rFonts w:ascii="Times New (W1)" w:hAnsi="Times New (W1)"/>
          <w:sz w:val="26"/>
        </w:rPr>
        <w:tab/>
        <w:t>The ALJ recommends approval of the Joint Settlement.  He observed that the evidentiary record</w:t>
      </w:r>
      <w:r w:rsidR="00374EDE">
        <w:rPr>
          <w:rFonts w:ascii="Times New (W1)" w:hAnsi="Times New (W1)"/>
          <w:sz w:val="26"/>
        </w:rPr>
        <w:t>,</w:t>
      </w:r>
      <w:r>
        <w:rPr>
          <w:rFonts w:ascii="Times New (W1)" w:hAnsi="Times New (W1)"/>
          <w:sz w:val="26"/>
        </w:rPr>
        <w:t xml:space="preserve"> as well as the statements in support of the Joint Settlement</w:t>
      </w:r>
      <w:r w:rsidR="00374EDE">
        <w:rPr>
          <w:rFonts w:ascii="Times New (W1)" w:hAnsi="Times New (W1)"/>
          <w:sz w:val="26"/>
        </w:rPr>
        <w:t>,</w:t>
      </w:r>
      <w:r>
        <w:rPr>
          <w:rFonts w:ascii="Times New (W1)" w:hAnsi="Times New (W1)"/>
          <w:sz w:val="26"/>
        </w:rPr>
        <w:t xml:space="preserve"> provided a strong basis upon which to recommend approval.  The ALJ concluded that “this Settlement constitutes a fair, just and reasonable resolution of the Commission’s investigation and, therefore, the Joint Settlement Agreement is in the public interest and should be approved.”  R.D. at 35.  </w:t>
      </w:r>
      <w:r w:rsidR="00160A15">
        <w:rPr>
          <w:rFonts w:ascii="Times New (W1)" w:hAnsi="Times New (W1)"/>
          <w:sz w:val="26"/>
        </w:rPr>
        <w:t>For the reasons expressed by the ALJ we will adopt his recommendation and find that the Joint Settlement is in the public interest</w:t>
      </w:r>
      <w:r>
        <w:rPr>
          <w:rFonts w:ascii="Times New (W1)" w:hAnsi="Times New (W1)"/>
          <w:sz w:val="26"/>
        </w:rPr>
        <w:t>.</w:t>
      </w:r>
    </w:p>
    <w:p w:rsidR="00160A15" w:rsidRDefault="00160A15" w:rsidP="00C978FD">
      <w:pPr>
        <w:spacing w:line="360" w:lineRule="auto"/>
        <w:rPr>
          <w:rFonts w:ascii="Times New (W1)" w:hAnsi="Times New (W1)"/>
          <w:sz w:val="26"/>
        </w:rPr>
      </w:pPr>
    </w:p>
    <w:p w:rsidR="009E309A" w:rsidRPr="00C978FD" w:rsidRDefault="00190238" w:rsidP="00C978FD">
      <w:pPr>
        <w:spacing w:line="360" w:lineRule="auto"/>
        <w:rPr>
          <w:rFonts w:ascii="Times New (W1)" w:hAnsi="Times New (W1)"/>
          <w:sz w:val="26"/>
        </w:rPr>
      </w:pPr>
      <w:r>
        <w:rPr>
          <w:rFonts w:ascii="Times New (W1)" w:hAnsi="Times New (W1)"/>
          <w:sz w:val="26"/>
        </w:rPr>
        <w:lastRenderedPageBreak/>
        <w:tab/>
      </w:r>
      <w:r>
        <w:rPr>
          <w:rFonts w:ascii="Times New (W1)" w:hAnsi="Times New (W1)"/>
          <w:sz w:val="26"/>
        </w:rPr>
        <w:tab/>
        <w:t>Based upon the foregoing discussion and our review of the evidentiary record, the arguments of the Parties, the ALJ’s Recommended Decision and the Exceptions and Replies thereto, we find:</w:t>
      </w:r>
    </w:p>
    <w:p w:rsidR="00C978FD" w:rsidRPr="00C978FD" w:rsidRDefault="00C978FD" w:rsidP="00C978FD">
      <w:pPr>
        <w:spacing w:line="360" w:lineRule="auto"/>
        <w:rPr>
          <w:rFonts w:ascii="Times New (W1)" w:hAnsi="Times New (W1)"/>
          <w:sz w:val="26"/>
        </w:rPr>
      </w:pPr>
    </w:p>
    <w:p w:rsidR="00563D7E" w:rsidRPr="00563D7E" w:rsidRDefault="00563D7E" w:rsidP="00563D7E">
      <w:pPr>
        <w:pStyle w:val="ListParagraph"/>
        <w:numPr>
          <w:ilvl w:val="0"/>
          <w:numId w:val="6"/>
        </w:numPr>
        <w:spacing w:line="360" w:lineRule="auto"/>
        <w:ind w:left="0" w:firstLine="1440"/>
        <w:rPr>
          <w:sz w:val="26"/>
        </w:rPr>
      </w:pPr>
      <w:r w:rsidRPr="00563D7E">
        <w:rPr>
          <w:sz w:val="26"/>
        </w:rPr>
        <w:t>The Peoples Natural Gas Company, d/b/a Dominion Peoples, is pursuing a least cost fuel procurement policy during the relevant time period consistent with its obligation to provide safe, adequate and reliable service to its customers in compliance with Section 1318 of the Public Utility Code, 66 Pa. C.S. §1318.</w:t>
      </w:r>
    </w:p>
    <w:p w:rsidR="00563D7E" w:rsidRPr="00563D7E" w:rsidRDefault="00563D7E" w:rsidP="00563D7E">
      <w:pPr>
        <w:pStyle w:val="ListParagraph"/>
        <w:rPr>
          <w:sz w:val="26"/>
        </w:rPr>
      </w:pPr>
    </w:p>
    <w:p w:rsidR="00563D7E" w:rsidRPr="00563D7E" w:rsidRDefault="00563D7E" w:rsidP="00563D7E">
      <w:pPr>
        <w:pStyle w:val="ListParagraph"/>
        <w:numPr>
          <w:ilvl w:val="0"/>
          <w:numId w:val="6"/>
        </w:numPr>
        <w:spacing w:line="360" w:lineRule="auto"/>
        <w:ind w:left="0" w:firstLine="1440"/>
        <w:rPr>
          <w:sz w:val="26"/>
        </w:rPr>
      </w:pPr>
      <w:r w:rsidRPr="00563D7E">
        <w:rPr>
          <w:sz w:val="26"/>
        </w:rPr>
        <w:t>The Peoples Natural Gas Company, d/b/a Dominion Peoples</w:t>
      </w:r>
      <w:r w:rsidR="000E25E5">
        <w:rPr>
          <w:sz w:val="26"/>
        </w:rPr>
        <w:t>’</w:t>
      </w:r>
      <w:r w:rsidRPr="00563D7E">
        <w:rPr>
          <w:sz w:val="26"/>
        </w:rPr>
        <w:t xml:space="preserve"> rates for purchased gas costs, as the parties have agreed upon in this proceeding, during the relevant time period are just and reasonable and in compliance with Section 1318 of the Public Utility Code, 66 Pa. C.S. §</w:t>
      </w:r>
      <w:r w:rsidR="006578CE">
        <w:rPr>
          <w:sz w:val="26"/>
        </w:rPr>
        <w:t xml:space="preserve"> </w:t>
      </w:r>
      <w:r w:rsidRPr="00563D7E">
        <w:rPr>
          <w:sz w:val="26"/>
        </w:rPr>
        <w:t>1318.</w:t>
      </w:r>
    </w:p>
    <w:p w:rsidR="00563D7E" w:rsidRPr="00563D7E" w:rsidRDefault="00563D7E" w:rsidP="00563D7E">
      <w:pPr>
        <w:pStyle w:val="ListParagraph"/>
        <w:rPr>
          <w:sz w:val="26"/>
        </w:rPr>
      </w:pPr>
    </w:p>
    <w:p w:rsidR="00563D7E" w:rsidRPr="00563D7E" w:rsidRDefault="00563D7E" w:rsidP="00563D7E">
      <w:pPr>
        <w:pStyle w:val="ListParagraph"/>
        <w:numPr>
          <w:ilvl w:val="0"/>
          <w:numId w:val="6"/>
        </w:numPr>
        <w:spacing w:line="360" w:lineRule="auto"/>
        <w:ind w:left="0" w:firstLine="1440"/>
        <w:rPr>
          <w:sz w:val="26"/>
        </w:rPr>
      </w:pPr>
      <w:r w:rsidRPr="00563D7E">
        <w:rPr>
          <w:sz w:val="26"/>
        </w:rPr>
        <w:t>The Peoples Natural Gas Company, d/b/a Dominion Peoples, has fully and vigorously represented the interests of its ratepayers in proceedings before the FERC and other relevant non-PUC proceedings during the relevant time period in compliance with Section 1318(a)(1) of the Public Utility Code, 66 Pa. C.S. §</w:t>
      </w:r>
      <w:r w:rsidR="000E25E5">
        <w:rPr>
          <w:sz w:val="26"/>
        </w:rPr>
        <w:t xml:space="preserve"> </w:t>
      </w:r>
      <w:r w:rsidRPr="00563D7E">
        <w:rPr>
          <w:sz w:val="26"/>
        </w:rPr>
        <w:t>1318(a)(1).</w:t>
      </w:r>
    </w:p>
    <w:p w:rsidR="00563D7E" w:rsidRPr="00563D7E" w:rsidRDefault="00563D7E" w:rsidP="00563D7E">
      <w:pPr>
        <w:pStyle w:val="ListParagraph"/>
        <w:rPr>
          <w:sz w:val="26"/>
        </w:rPr>
      </w:pPr>
    </w:p>
    <w:p w:rsidR="00563D7E" w:rsidRPr="005419EA" w:rsidRDefault="00563D7E" w:rsidP="00563D7E">
      <w:pPr>
        <w:pStyle w:val="ListParagraph"/>
        <w:numPr>
          <w:ilvl w:val="0"/>
          <w:numId w:val="6"/>
        </w:numPr>
        <w:spacing w:line="360" w:lineRule="auto"/>
        <w:ind w:left="0" w:firstLine="1440"/>
        <w:rPr>
          <w:sz w:val="26"/>
        </w:rPr>
      </w:pPr>
      <w:r w:rsidRPr="005419EA">
        <w:rPr>
          <w:sz w:val="26"/>
        </w:rPr>
        <w:t>The Peoples Natural Gas Company, d/b/a Dominion Peoples, has taken all prudent steps necessary to negotiate favorable gas supply contracts and to relieve itself from terms in existing contracts with its gas suppliers, which are or may be adverse to the interests of its ratepayers, during the relevant time period in compliance with Section 1318(a)(2) of the Public Utility Code, 66 Pa. C.S. §</w:t>
      </w:r>
      <w:r w:rsidR="00F07515">
        <w:rPr>
          <w:sz w:val="26"/>
        </w:rPr>
        <w:t xml:space="preserve"> </w:t>
      </w:r>
      <w:r w:rsidRPr="005419EA">
        <w:rPr>
          <w:sz w:val="26"/>
        </w:rPr>
        <w:t>1318(a)(2).</w:t>
      </w:r>
    </w:p>
    <w:p w:rsidR="00563D7E" w:rsidRPr="00563D7E" w:rsidRDefault="00563D7E" w:rsidP="00563D7E">
      <w:pPr>
        <w:pStyle w:val="ListParagraph"/>
        <w:rPr>
          <w:sz w:val="26"/>
        </w:rPr>
      </w:pPr>
    </w:p>
    <w:p w:rsidR="00563D7E" w:rsidRPr="00563D7E" w:rsidRDefault="00563D7E" w:rsidP="00563D7E">
      <w:pPr>
        <w:pStyle w:val="ListParagraph"/>
        <w:numPr>
          <w:ilvl w:val="0"/>
          <w:numId w:val="6"/>
        </w:numPr>
        <w:spacing w:line="360" w:lineRule="auto"/>
        <w:ind w:left="0" w:firstLine="1440"/>
        <w:rPr>
          <w:sz w:val="26"/>
        </w:rPr>
      </w:pPr>
      <w:r w:rsidRPr="00563D7E">
        <w:rPr>
          <w:sz w:val="26"/>
        </w:rPr>
        <w:t xml:space="preserve">The Peoples Natural Gas Company, d/b/a Dominion Peoples, has taken all prudent steps necessary during the relevant time period to obtain lower cost gas supplies on both short-term and long-term bases both within and outside the </w:t>
      </w:r>
      <w:r w:rsidRPr="00563D7E">
        <w:rPr>
          <w:sz w:val="26"/>
        </w:rPr>
        <w:lastRenderedPageBreak/>
        <w:t>Commonwealth, including the use of gas transportation arrangements with pipelines and other distribution companies in compliance with Section 1318(a)(3) of the Public Utility Code, 66 Pa. C.S. §</w:t>
      </w:r>
      <w:r w:rsidR="00F07515">
        <w:rPr>
          <w:sz w:val="26"/>
        </w:rPr>
        <w:t xml:space="preserve"> </w:t>
      </w:r>
      <w:r w:rsidRPr="00563D7E">
        <w:rPr>
          <w:sz w:val="26"/>
        </w:rPr>
        <w:t>1318(a)(3).</w:t>
      </w:r>
    </w:p>
    <w:p w:rsidR="00563D7E" w:rsidRPr="00563D7E" w:rsidRDefault="00563D7E" w:rsidP="00563D7E">
      <w:pPr>
        <w:pStyle w:val="ListParagraph"/>
        <w:rPr>
          <w:sz w:val="26"/>
        </w:rPr>
      </w:pPr>
    </w:p>
    <w:p w:rsidR="00563D7E" w:rsidRPr="00563D7E" w:rsidRDefault="00563D7E" w:rsidP="00563D7E">
      <w:pPr>
        <w:pStyle w:val="ListParagraph"/>
        <w:numPr>
          <w:ilvl w:val="0"/>
          <w:numId w:val="6"/>
        </w:numPr>
        <w:spacing w:line="360" w:lineRule="auto"/>
        <w:ind w:left="0" w:firstLine="1440"/>
        <w:rPr>
          <w:sz w:val="26"/>
        </w:rPr>
      </w:pPr>
      <w:r w:rsidRPr="00563D7E">
        <w:rPr>
          <w:sz w:val="26"/>
        </w:rPr>
        <w:t>The Peoples Natural Gas Company, d/b/a Dominion Peoples, has not withheld from the market or caused to be withheld from the market during the relevant time period any gas supplies, which should have been used as part of a least cost fuel procurement policy in compliance with Section 1318(a)(4) of the Pu</w:t>
      </w:r>
      <w:r w:rsidR="000E3F1A">
        <w:rPr>
          <w:sz w:val="26"/>
        </w:rPr>
        <w:t xml:space="preserve">blic Utility Code, 66 Pa. C.S. § </w:t>
      </w:r>
      <w:r w:rsidRPr="00563D7E">
        <w:rPr>
          <w:sz w:val="26"/>
        </w:rPr>
        <w:t>1318(a)(4).</w:t>
      </w:r>
    </w:p>
    <w:p w:rsidR="00563D7E" w:rsidRPr="00563D7E" w:rsidRDefault="00563D7E" w:rsidP="00563D7E">
      <w:pPr>
        <w:pStyle w:val="ListParagraph"/>
        <w:rPr>
          <w:sz w:val="26"/>
        </w:rPr>
      </w:pPr>
    </w:p>
    <w:p w:rsidR="00563D7E" w:rsidRPr="00563D7E" w:rsidRDefault="00563D7E" w:rsidP="00563D7E">
      <w:pPr>
        <w:pStyle w:val="ListParagraph"/>
        <w:numPr>
          <w:ilvl w:val="0"/>
          <w:numId w:val="6"/>
        </w:numPr>
        <w:spacing w:line="360" w:lineRule="auto"/>
        <w:ind w:left="0" w:firstLine="1440"/>
        <w:rPr>
          <w:sz w:val="26"/>
        </w:rPr>
      </w:pPr>
      <w:r w:rsidRPr="00563D7E">
        <w:rPr>
          <w:sz w:val="26"/>
        </w:rPr>
        <w:t>The Peoples Natural Gas Company, d/b/a Dominion Peoples, has fully and vigorously attempted to obtain less costly gas supplies on both short-term and long-term bases from nonaffiliated interests during the relevant time period in compliance with Section 1318(b)(1) of the Public Utility Code, 66 Pa. C.S. §</w:t>
      </w:r>
      <w:r w:rsidR="000E3F1A">
        <w:rPr>
          <w:sz w:val="26"/>
        </w:rPr>
        <w:t xml:space="preserve"> </w:t>
      </w:r>
      <w:r w:rsidRPr="00563D7E">
        <w:rPr>
          <w:sz w:val="26"/>
        </w:rPr>
        <w:t>1318(b)(1).</w:t>
      </w:r>
    </w:p>
    <w:p w:rsidR="00563D7E" w:rsidRPr="00563D7E" w:rsidRDefault="00563D7E" w:rsidP="00563D7E">
      <w:pPr>
        <w:pStyle w:val="ListParagraph"/>
        <w:numPr>
          <w:ilvl w:val="0"/>
          <w:numId w:val="6"/>
        </w:numPr>
        <w:spacing w:line="360" w:lineRule="auto"/>
        <w:ind w:left="0" w:firstLine="1440"/>
        <w:rPr>
          <w:sz w:val="26"/>
        </w:rPr>
      </w:pPr>
      <w:r w:rsidRPr="00563D7E">
        <w:rPr>
          <w:sz w:val="26"/>
        </w:rPr>
        <w:t>The Peoples Natural Gas Company, d/b</w:t>
      </w:r>
      <w:r w:rsidR="00F07515">
        <w:rPr>
          <w:sz w:val="26"/>
        </w:rPr>
        <w:t xml:space="preserve">/a Dominion Peoples, contracts </w:t>
      </w:r>
      <w:r w:rsidRPr="00563D7E">
        <w:rPr>
          <w:sz w:val="26"/>
        </w:rPr>
        <w:t>for the purchase of gas from any affiliated interest during the relevant time period are consistent with a least cost fuel procurement policy in compliance with Section 1318(b)(2) of the Public Utility Code, 66 Pa. C.S. §</w:t>
      </w:r>
      <w:r w:rsidR="00F07515">
        <w:rPr>
          <w:sz w:val="26"/>
        </w:rPr>
        <w:t xml:space="preserve"> </w:t>
      </w:r>
      <w:r w:rsidRPr="00563D7E">
        <w:rPr>
          <w:sz w:val="26"/>
        </w:rPr>
        <w:t>1318(b)(2).</w:t>
      </w:r>
    </w:p>
    <w:p w:rsidR="00563D7E" w:rsidRPr="00563D7E" w:rsidRDefault="00563D7E" w:rsidP="00563D7E">
      <w:pPr>
        <w:pStyle w:val="ListParagraph"/>
        <w:rPr>
          <w:sz w:val="26"/>
        </w:rPr>
      </w:pPr>
    </w:p>
    <w:p w:rsidR="00F07515" w:rsidRDefault="00563D7E" w:rsidP="00F07515">
      <w:pPr>
        <w:pStyle w:val="ListParagraph"/>
        <w:numPr>
          <w:ilvl w:val="0"/>
          <w:numId w:val="6"/>
        </w:numPr>
        <w:spacing w:line="360" w:lineRule="auto"/>
        <w:ind w:left="0" w:firstLine="1440"/>
        <w:rPr>
          <w:sz w:val="26"/>
        </w:rPr>
      </w:pPr>
      <w:r w:rsidRPr="00563D7E">
        <w:rPr>
          <w:sz w:val="26"/>
        </w:rPr>
        <w:t>Neither The Peoples Natural Gas Company, d/b/a Dominion Peoples, nor any affiliated interest during the relevant time period has withheld from the market any gas supplies, which should have been used as part of a least cost fuel procurement policy in compliance with Section 1318(b)(3) of the Public Utility Code, 66 Pa. C.S. §</w:t>
      </w:r>
      <w:r w:rsidR="00F07515">
        <w:rPr>
          <w:sz w:val="26"/>
        </w:rPr>
        <w:t> </w:t>
      </w:r>
      <w:r w:rsidRPr="00563D7E">
        <w:rPr>
          <w:sz w:val="26"/>
        </w:rPr>
        <w:t>1318(b)(3).</w:t>
      </w:r>
    </w:p>
    <w:p w:rsidR="00F07515" w:rsidRDefault="00F07515" w:rsidP="00F07515">
      <w:pPr>
        <w:pStyle w:val="ListParagraph"/>
        <w:spacing w:line="360" w:lineRule="auto"/>
        <w:ind w:left="0"/>
        <w:jc w:val="both"/>
        <w:rPr>
          <w:sz w:val="26"/>
        </w:rPr>
      </w:pPr>
    </w:p>
    <w:p w:rsidR="00563D7E" w:rsidRPr="00F07515" w:rsidRDefault="00563D7E" w:rsidP="00377966">
      <w:pPr>
        <w:pStyle w:val="ListParagraph"/>
        <w:keepNext/>
        <w:keepLines/>
        <w:spacing w:line="360" w:lineRule="auto"/>
        <w:ind w:left="0"/>
        <w:jc w:val="center"/>
        <w:rPr>
          <w:sz w:val="26"/>
          <w:u w:val="single"/>
        </w:rPr>
      </w:pPr>
      <w:r w:rsidRPr="00F07515">
        <w:rPr>
          <w:b/>
          <w:sz w:val="26"/>
          <w:u w:val="single"/>
        </w:rPr>
        <w:lastRenderedPageBreak/>
        <w:t>Conclusion</w:t>
      </w:r>
    </w:p>
    <w:p w:rsidR="00F07515" w:rsidRDefault="00F07515" w:rsidP="00377966">
      <w:pPr>
        <w:pStyle w:val="ListParagraph"/>
        <w:keepNext/>
        <w:keepLines/>
        <w:spacing w:line="360" w:lineRule="auto"/>
        <w:ind w:left="0"/>
        <w:rPr>
          <w:sz w:val="26"/>
        </w:rPr>
      </w:pPr>
    </w:p>
    <w:p w:rsidR="00563D7E" w:rsidRDefault="00563D7E" w:rsidP="00377966">
      <w:pPr>
        <w:pStyle w:val="ListParagraph"/>
        <w:keepNext/>
        <w:keepLines/>
        <w:spacing w:line="360" w:lineRule="auto"/>
        <w:ind w:left="0"/>
        <w:rPr>
          <w:b/>
          <w:sz w:val="26"/>
        </w:rPr>
      </w:pPr>
      <w:r>
        <w:rPr>
          <w:sz w:val="26"/>
        </w:rPr>
        <w:tab/>
      </w:r>
      <w:r>
        <w:rPr>
          <w:sz w:val="26"/>
        </w:rPr>
        <w:tab/>
        <w:t>Base on the foregoing discussion, we will deny the Exceptions of OSBA, adopt the Joint Settlement of the Parties and adopt the Recommended Decision of the ALJ, consistent with this Opinion and Order;</w:t>
      </w:r>
      <w:r w:rsidR="00AD5DAC">
        <w:rPr>
          <w:sz w:val="26"/>
        </w:rPr>
        <w:t xml:space="preserve"> </w:t>
      </w:r>
      <w:r w:rsidR="00AD5DAC" w:rsidRPr="00AD5DAC">
        <w:rPr>
          <w:b/>
          <w:sz w:val="26"/>
        </w:rPr>
        <w:t>THEREFORE,</w:t>
      </w:r>
    </w:p>
    <w:p w:rsidR="00AD5DAC" w:rsidRDefault="00AD5DAC" w:rsidP="00563D7E">
      <w:pPr>
        <w:pStyle w:val="ListParagraph"/>
        <w:spacing w:line="360" w:lineRule="auto"/>
        <w:ind w:left="0"/>
        <w:rPr>
          <w:b/>
          <w:sz w:val="26"/>
        </w:rPr>
      </w:pPr>
    </w:p>
    <w:p w:rsidR="00AD5DAC" w:rsidRDefault="00AD5DAC" w:rsidP="00563D7E">
      <w:pPr>
        <w:pStyle w:val="ListParagraph"/>
        <w:spacing w:line="360" w:lineRule="auto"/>
        <w:ind w:left="0"/>
        <w:rPr>
          <w:b/>
          <w:sz w:val="26"/>
        </w:rPr>
      </w:pPr>
      <w:r>
        <w:rPr>
          <w:b/>
          <w:sz w:val="26"/>
        </w:rPr>
        <w:tab/>
      </w:r>
      <w:r>
        <w:rPr>
          <w:b/>
          <w:sz w:val="26"/>
        </w:rPr>
        <w:tab/>
        <w:t>IT IS ORDERED:</w:t>
      </w:r>
    </w:p>
    <w:p w:rsidR="00A06351" w:rsidRDefault="00A06351" w:rsidP="00A06351">
      <w:pPr>
        <w:pStyle w:val="ListParagraph"/>
        <w:spacing w:line="360" w:lineRule="auto"/>
        <w:rPr>
          <w:b/>
          <w:sz w:val="26"/>
        </w:rPr>
      </w:pPr>
    </w:p>
    <w:p w:rsidR="00A06351" w:rsidRDefault="006304EC" w:rsidP="006304EC">
      <w:pPr>
        <w:pStyle w:val="ListParagraph"/>
        <w:spacing w:line="360" w:lineRule="auto"/>
        <w:ind w:left="0"/>
        <w:rPr>
          <w:sz w:val="26"/>
        </w:rPr>
      </w:pPr>
      <w:r w:rsidRPr="006304EC">
        <w:rPr>
          <w:sz w:val="26"/>
        </w:rPr>
        <w:tab/>
      </w:r>
      <w:r w:rsidRPr="006304EC">
        <w:rPr>
          <w:sz w:val="26"/>
        </w:rPr>
        <w:tab/>
      </w:r>
      <w:r>
        <w:rPr>
          <w:sz w:val="26"/>
        </w:rPr>
        <w:t>1.</w:t>
      </w:r>
      <w:r>
        <w:rPr>
          <w:sz w:val="26"/>
        </w:rPr>
        <w:tab/>
      </w:r>
      <w:r w:rsidR="00A06351">
        <w:rPr>
          <w:sz w:val="26"/>
        </w:rPr>
        <w:t xml:space="preserve">That the Exceptions of the Office of Small Business Advocate filed at this </w:t>
      </w:r>
      <w:r>
        <w:rPr>
          <w:sz w:val="26"/>
        </w:rPr>
        <w:t xml:space="preserve">docket </w:t>
      </w:r>
      <w:r w:rsidR="00017B2D">
        <w:rPr>
          <w:sz w:val="26"/>
        </w:rPr>
        <w:t>are</w:t>
      </w:r>
      <w:r>
        <w:rPr>
          <w:sz w:val="26"/>
        </w:rPr>
        <w:t xml:space="preserve"> denied.</w:t>
      </w:r>
    </w:p>
    <w:p w:rsidR="006304EC" w:rsidRDefault="006304EC" w:rsidP="006304EC">
      <w:pPr>
        <w:pStyle w:val="ListParagraph"/>
        <w:spacing w:line="360" w:lineRule="auto"/>
        <w:ind w:left="0"/>
        <w:rPr>
          <w:sz w:val="26"/>
        </w:rPr>
      </w:pPr>
    </w:p>
    <w:p w:rsidR="006304EC" w:rsidRDefault="006304EC" w:rsidP="006304EC">
      <w:pPr>
        <w:pStyle w:val="ListParagraph"/>
        <w:spacing w:line="360" w:lineRule="auto"/>
        <w:ind w:left="0"/>
        <w:rPr>
          <w:sz w:val="26"/>
        </w:rPr>
      </w:pPr>
      <w:r>
        <w:rPr>
          <w:sz w:val="26"/>
        </w:rPr>
        <w:tab/>
      </w:r>
      <w:r>
        <w:rPr>
          <w:sz w:val="26"/>
        </w:rPr>
        <w:tab/>
        <w:t>2.</w:t>
      </w:r>
      <w:r>
        <w:rPr>
          <w:sz w:val="26"/>
        </w:rPr>
        <w:tab/>
        <w:t>That the Recommended Decision of Administrative Law Judge John H. Corbett issued on July 24, 2009, at this docket is adopted, consistent with this Opinion and Order.</w:t>
      </w:r>
    </w:p>
    <w:p w:rsidR="006304EC" w:rsidRDefault="006304EC" w:rsidP="006304EC">
      <w:pPr>
        <w:pStyle w:val="ListParagraph"/>
        <w:spacing w:line="360" w:lineRule="auto"/>
        <w:ind w:left="0"/>
        <w:rPr>
          <w:sz w:val="26"/>
        </w:rPr>
      </w:pPr>
    </w:p>
    <w:p w:rsidR="00A06351" w:rsidRPr="006304EC" w:rsidRDefault="006304EC" w:rsidP="006304EC">
      <w:pPr>
        <w:pStyle w:val="ListParagraph"/>
        <w:spacing w:line="360" w:lineRule="auto"/>
        <w:ind w:left="0"/>
        <w:rPr>
          <w:sz w:val="26"/>
        </w:rPr>
      </w:pPr>
      <w:r w:rsidRPr="006304EC">
        <w:rPr>
          <w:sz w:val="26"/>
        </w:rPr>
        <w:tab/>
      </w:r>
      <w:r w:rsidRPr="006304EC">
        <w:rPr>
          <w:sz w:val="26"/>
        </w:rPr>
        <w:tab/>
        <w:t>3.</w:t>
      </w:r>
      <w:r w:rsidRPr="006304EC">
        <w:rPr>
          <w:sz w:val="26"/>
        </w:rPr>
        <w:tab/>
      </w:r>
      <w:r w:rsidR="00A06351" w:rsidRPr="006304EC">
        <w:rPr>
          <w:sz w:val="26"/>
        </w:rPr>
        <w:t>That the Joint Petition for Approval of Settlement Agreement that The Peoples Natural Gas Company, d/b/a Dominion Peoples, Office of Trial Staff, Office of Consumer Advocate, Office of Small Business Advocate, and the Retail Energy Supply Association have submitted at Docket No. R-2009-2088069 is hereby approved</w:t>
      </w:r>
      <w:r w:rsidR="00B63322">
        <w:rPr>
          <w:sz w:val="26"/>
        </w:rPr>
        <w:t>.</w:t>
      </w:r>
    </w:p>
    <w:p w:rsidR="00A06351" w:rsidRDefault="00A06351" w:rsidP="00A06351">
      <w:pPr>
        <w:pStyle w:val="ListParagraph"/>
        <w:spacing w:line="360" w:lineRule="auto"/>
        <w:ind w:left="1440"/>
      </w:pPr>
    </w:p>
    <w:p w:rsidR="00A06351" w:rsidRPr="003E1571" w:rsidRDefault="003E1571" w:rsidP="003E1571">
      <w:pPr>
        <w:pStyle w:val="ListParagraph"/>
        <w:spacing w:line="360" w:lineRule="auto"/>
        <w:ind w:left="0"/>
        <w:rPr>
          <w:sz w:val="26"/>
        </w:rPr>
      </w:pPr>
      <w:r w:rsidRPr="003E1571">
        <w:rPr>
          <w:sz w:val="26"/>
        </w:rPr>
        <w:tab/>
      </w:r>
      <w:r w:rsidRPr="003E1571">
        <w:rPr>
          <w:sz w:val="26"/>
        </w:rPr>
        <w:tab/>
      </w:r>
      <w:r>
        <w:rPr>
          <w:sz w:val="26"/>
        </w:rPr>
        <w:t>4.</w:t>
      </w:r>
      <w:r>
        <w:rPr>
          <w:sz w:val="26"/>
        </w:rPr>
        <w:tab/>
      </w:r>
      <w:r w:rsidR="00A06351" w:rsidRPr="003E1571">
        <w:rPr>
          <w:sz w:val="26"/>
        </w:rPr>
        <w:t xml:space="preserve">That The Peoples Natural Gas Company, d/b/a Dominion Peoples, may file a tariff supplement, on one day’s notice to the Commission, containing changes in rates to provide for the recovery of its costs of purchased gas, consistent with </w:t>
      </w:r>
      <w:r>
        <w:rPr>
          <w:sz w:val="26"/>
        </w:rPr>
        <w:t xml:space="preserve">this Opinion and Order and </w:t>
      </w:r>
      <w:r w:rsidR="00A06351" w:rsidRPr="003E1571">
        <w:rPr>
          <w:sz w:val="26"/>
        </w:rPr>
        <w:t xml:space="preserve">the terms </w:t>
      </w:r>
      <w:r>
        <w:rPr>
          <w:sz w:val="26"/>
        </w:rPr>
        <w:t>and conditions of the</w:t>
      </w:r>
      <w:r w:rsidR="00A06351" w:rsidRPr="003E1571">
        <w:rPr>
          <w:sz w:val="26"/>
        </w:rPr>
        <w:t xml:space="preserve"> Joint Petition for Approval of Settlement Agreement.</w:t>
      </w:r>
    </w:p>
    <w:p w:rsidR="00A06351" w:rsidRPr="003E1571" w:rsidRDefault="00A06351" w:rsidP="00A06351">
      <w:pPr>
        <w:pStyle w:val="ListParagraph"/>
        <w:rPr>
          <w:sz w:val="26"/>
        </w:rPr>
      </w:pPr>
    </w:p>
    <w:p w:rsidR="00A06351" w:rsidRPr="003E1571" w:rsidRDefault="003E1571" w:rsidP="003E1571">
      <w:pPr>
        <w:pStyle w:val="ListParagraph"/>
        <w:spacing w:line="360" w:lineRule="auto"/>
        <w:ind w:left="0"/>
        <w:rPr>
          <w:sz w:val="26"/>
        </w:rPr>
      </w:pPr>
      <w:r>
        <w:rPr>
          <w:sz w:val="26"/>
        </w:rPr>
        <w:lastRenderedPageBreak/>
        <w:tab/>
      </w:r>
      <w:r>
        <w:rPr>
          <w:sz w:val="26"/>
        </w:rPr>
        <w:tab/>
        <w:t>5.</w:t>
      </w:r>
      <w:r>
        <w:rPr>
          <w:sz w:val="26"/>
        </w:rPr>
        <w:tab/>
      </w:r>
      <w:r w:rsidR="00A06351" w:rsidRPr="003E1571">
        <w:rPr>
          <w:sz w:val="26"/>
        </w:rPr>
        <w:t xml:space="preserve">That the complaints of </w:t>
      </w:r>
      <w:r w:rsidR="00017B2D">
        <w:rPr>
          <w:sz w:val="26"/>
        </w:rPr>
        <w:t>the Office of Consumer Advocate</w:t>
      </w:r>
      <w:r w:rsidR="00A06351" w:rsidRPr="003E1571">
        <w:rPr>
          <w:sz w:val="26"/>
        </w:rPr>
        <w:t xml:space="preserve"> and Office of Small Business Advocate at Docket Nos. C</w:t>
      </w:r>
      <w:r w:rsidR="00A06351" w:rsidRPr="003E1571">
        <w:rPr>
          <w:sz w:val="26"/>
        </w:rPr>
        <w:noBreakHyphen/>
        <w:t>2009-2095740 and C</w:t>
      </w:r>
      <w:r w:rsidR="00A06351" w:rsidRPr="003E1571">
        <w:rPr>
          <w:sz w:val="26"/>
        </w:rPr>
        <w:noBreakHyphen/>
        <w:t>2009-2096866, respectively, are hereby sustained in part and dismi</w:t>
      </w:r>
      <w:r>
        <w:rPr>
          <w:sz w:val="26"/>
        </w:rPr>
        <w:t xml:space="preserve">ssed in part consistent with this Opinion and </w:t>
      </w:r>
      <w:r w:rsidR="00A06351" w:rsidRPr="003E1571">
        <w:rPr>
          <w:sz w:val="26"/>
        </w:rPr>
        <w:t>Order.</w:t>
      </w:r>
    </w:p>
    <w:p w:rsidR="00A06351" w:rsidRPr="003E1571" w:rsidRDefault="00A06351" w:rsidP="00A06351">
      <w:pPr>
        <w:pStyle w:val="ListParagraph"/>
        <w:rPr>
          <w:sz w:val="26"/>
        </w:rPr>
      </w:pPr>
    </w:p>
    <w:p w:rsidR="00A06351" w:rsidRPr="003E1571" w:rsidRDefault="003E1571" w:rsidP="003E1571">
      <w:pPr>
        <w:pStyle w:val="ListParagraph"/>
        <w:spacing w:line="360" w:lineRule="auto"/>
        <w:ind w:left="0"/>
        <w:rPr>
          <w:sz w:val="26"/>
        </w:rPr>
      </w:pPr>
      <w:r>
        <w:rPr>
          <w:rFonts w:ascii="Times New (W1)" w:hAnsi="Times New (W1)"/>
          <w:sz w:val="26"/>
        </w:rPr>
        <w:tab/>
      </w:r>
      <w:r>
        <w:rPr>
          <w:rFonts w:ascii="Times New (W1)" w:hAnsi="Times New (W1)"/>
          <w:sz w:val="26"/>
        </w:rPr>
        <w:tab/>
        <w:t>6.</w:t>
      </w:r>
      <w:r>
        <w:rPr>
          <w:rFonts w:ascii="Times New (W1)" w:hAnsi="Times New (W1)"/>
          <w:sz w:val="26"/>
        </w:rPr>
        <w:tab/>
      </w:r>
      <w:r w:rsidR="00A06351" w:rsidRPr="003E1571">
        <w:rPr>
          <w:rFonts w:ascii="Times New (W1)" w:hAnsi="Times New (W1)"/>
          <w:sz w:val="26"/>
        </w:rPr>
        <w:t>That</w:t>
      </w:r>
      <w:r w:rsidR="00A06351" w:rsidRPr="003E1571">
        <w:rPr>
          <w:sz w:val="26"/>
        </w:rPr>
        <w:t xml:space="preserve"> The Peoples Natural Gas Company, d/b/a Dominion Peoples, Office of Trial Staff, Office of Consumer Advocate, Office of Small Business Advocate, and Retail Energy Supply Association shall comply with the terms and conditions of the Joint Petition for Approval of Settlement Agreement submitted in this proceeding as though each term and condition stated therein had been the subject of an individual ordering paragraph.</w:t>
      </w:r>
    </w:p>
    <w:p w:rsidR="00A06351" w:rsidRPr="003E1571" w:rsidRDefault="00A06351" w:rsidP="00A06351">
      <w:pPr>
        <w:pStyle w:val="ListParagraph"/>
        <w:rPr>
          <w:sz w:val="26"/>
        </w:rPr>
      </w:pPr>
    </w:p>
    <w:p w:rsidR="00A06351" w:rsidRPr="003E1571" w:rsidRDefault="003E1571" w:rsidP="003E1571">
      <w:pPr>
        <w:pStyle w:val="ListParagraph"/>
        <w:spacing w:line="360" w:lineRule="auto"/>
        <w:ind w:left="0"/>
        <w:rPr>
          <w:sz w:val="26"/>
        </w:rPr>
      </w:pPr>
      <w:r>
        <w:rPr>
          <w:sz w:val="26"/>
        </w:rPr>
        <w:tab/>
      </w:r>
      <w:r>
        <w:rPr>
          <w:sz w:val="26"/>
        </w:rPr>
        <w:tab/>
        <w:t>7.</w:t>
      </w:r>
      <w:r>
        <w:rPr>
          <w:sz w:val="26"/>
        </w:rPr>
        <w:tab/>
      </w:r>
      <w:r w:rsidR="00A06351" w:rsidRPr="003E1571">
        <w:rPr>
          <w:sz w:val="26"/>
        </w:rPr>
        <w:t>That</w:t>
      </w:r>
      <w:r w:rsidR="00017B2D">
        <w:rPr>
          <w:sz w:val="26"/>
        </w:rPr>
        <w:t>,</w:t>
      </w:r>
      <w:r w:rsidR="00A06351" w:rsidRPr="003E1571">
        <w:rPr>
          <w:sz w:val="26"/>
        </w:rPr>
        <w:t xml:space="preserve"> upon The Peoples Natural Gas Company, d/b/a Dominion Peoples, filing a tariff supplement acceptable to the Commission as conforming with this </w:t>
      </w:r>
      <w:r w:rsidR="00B63322">
        <w:rPr>
          <w:sz w:val="26"/>
        </w:rPr>
        <w:t xml:space="preserve">Opinion and </w:t>
      </w:r>
      <w:r w:rsidR="00A06351" w:rsidRPr="003E1571">
        <w:rPr>
          <w:sz w:val="26"/>
        </w:rPr>
        <w:t>Order</w:t>
      </w:r>
      <w:r w:rsidR="00B63322">
        <w:rPr>
          <w:sz w:val="26"/>
        </w:rPr>
        <w:t xml:space="preserve">, </w:t>
      </w:r>
      <w:r w:rsidR="00A06351" w:rsidRPr="003E1571">
        <w:rPr>
          <w:sz w:val="26"/>
        </w:rPr>
        <w:t>the Joint Petition for Approval of Settlement Agreement and the Commission’s approval thereof, the purchased gas rates established therein shall become effective for service rendered on and after October 1, 2009.</w:t>
      </w:r>
    </w:p>
    <w:p w:rsidR="00AD5DAC" w:rsidRPr="00AD5DAC" w:rsidRDefault="00B63322" w:rsidP="00714F0B">
      <w:pPr>
        <w:pStyle w:val="ListParagraph"/>
        <w:keepNext/>
        <w:keepLines/>
        <w:spacing w:line="360" w:lineRule="auto"/>
        <w:ind w:left="0"/>
        <w:rPr>
          <w:b/>
          <w:sz w:val="26"/>
        </w:rPr>
      </w:pPr>
      <w:r>
        <w:rPr>
          <w:sz w:val="26"/>
        </w:rPr>
        <w:lastRenderedPageBreak/>
        <w:tab/>
      </w:r>
      <w:r>
        <w:rPr>
          <w:sz w:val="26"/>
        </w:rPr>
        <w:tab/>
        <w:t>8.</w:t>
      </w:r>
      <w:r>
        <w:rPr>
          <w:sz w:val="26"/>
        </w:rPr>
        <w:tab/>
      </w:r>
      <w:r w:rsidR="00A06351" w:rsidRPr="003E1571">
        <w:rPr>
          <w:sz w:val="26"/>
        </w:rPr>
        <w:t>That upon Commission acceptance and approval of the tariff supplement and supporting data filed by The Peoples Natural Gas Company, d/b/a Dominion Peoples, as being consistent with this</w:t>
      </w:r>
      <w:r>
        <w:rPr>
          <w:sz w:val="26"/>
        </w:rPr>
        <w:t xml:space="preserve"> Opinion and</w:t>
      </w:r>
      <w:r w:rsidR="00A06351" w:rsidRPr="003E1571">
        <w:rPr>
          <w:sz w:val="26"/>
        </w:rPr>
        <w:t xml:space="preserve"> Order and the Joint Petition for Approval of Settlement Agreement, the inquiry and investigation at Docket No. R</w:t>
      </w:r>
      <w:r>
        <w:rPr>
          <w:sz w:val="26"/>
        </w:rPr>
        <w:noBreakHyphen/>
      </w:r>
      <w:r w:rsidR="00A06351" w:rsidRPr="003E1571">
        <w:rPr>
          <w:sz w:val="26"/>
        </w:rPr>
        <w:t>2009-2088069 shall be terminated and the docket marked closed.</w:t>
      </w:r>
    </w:p>
    <w:p w:rsidR="00F86DCB" w:rsidRDefault="00F86DCB" w:rsidP="00714F0B">
      <w:pPr>
        <w:keepNext/>
        <w:keepLines/>
        <w:spacing w:line="360" w:lineRule="auto"/>
        <w:rPr>
          <w:rFonts w:ascii="Times New Roman" w:hAnsi="Times New Roman"/>
          <w:b/>
          <w:sz w:val="26"/>
          <w:szCs w:val="26"/>
        </w:rPr>
      </w:pPr>
    </w:p>
    <w:p w:rsidR="00F86DCB" w:rsidRDefault="005770D4" w:rsidP="00714F0B">
      <w:pPr>
        <w:keepNext/>
        <w:keepLines/>
        <w:spacing w:line="360" w:lineRule="auto"/>
        <w:rPr>
          <w:rFonts w:ascii="Times New Roman" w:hAnsi="Times New Roman"/>
          <w:b/>
          <w:sz w:val="26"/>
          <w:szCs w:val="26"/>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23.5pt;margin-top:13.3pt;width:202.5pt;height:102.25pt;z-index:-1">
            <v:imagedata r:id="rId8" o:title=""/>
          </v:shape>
        </w:pict>
      </w:r>
    </w:p>
    <w:p w:rsidR="00F86DCB" w:rsidRPr="00482CB5" w:rsidRDefault="00F86DCB" w:rsidP="00714F0B">
      <w:pPr>
        <w:keepNext/>
        <w:keepLines/>
        <w:spacing w:line="36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482CB5">
        <w:rPr>
          <w:rFonts w:ascii="Times New Roman" w:hAnsi="Times New Roman"/>
          <w:b/>
          <w:sz w:val="26"/>
          <w:szCs w:val="26"/>
        </w:rPr>
        <w:t>BY THE COMMISSION,</w:t>
      </w:r>
    </w:p>
    <w:p w:rsidR="00F86DCB" w:rsidRDefault="00F86DCB" w:rsidP="00714F0B">
      <w:pPr>
        <w:keepNext/>
        <w:keepLines/>
        <w:rPr>
          <w:rFonts w:ascii="Times New Roman" w:hAnsi="Times New Roman"/>
          <w:sz w:val="26"/>
          <w:szCs w:val="26"/>
        </w:rPr>
      </w:pPr>
    </w:p>
    <w:p w:rsidR="00F86DCB" w:rsidRPr="00482CB5" w:rsidRDefault="00F86DCB" w:rsidP="00714F0B">
      <w:pPr>
        <w:keepNext/>
        <w:keepLines/>
        <w:rPr>
          <w:rFonts w:ascii="Times New Roman" w:hAnsi="Times New Roman"/>
          <w:sz w:val="26"/>
          <w:szCs w:val="26"/>
        </w:rPr>
      </w:pPr>
    </w:p>
    <w:p w:rsidR="00F86DCB" w:rsidRPr="00482CB5" w:rsidRDefault="00F86DCB" w:rsidP="00714F0B">
      <w:pPr>
        <w:keepNext/>
        <w:keepLines/>
        <w:rPr>
          <w:rFonts w:ascii="Times New Roman" w:hAnsi="Times New Roman"/>
          <w:sz w:val="26"/>
          <w:szCs w:val="26"/>
        </w:rPr>
      </w:pP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t>James J. McNulty</w:t>
      </w:r>
    </w:p>
    <w:p w:rsidR="00F86DCB" w:rsidRPr="00482CB5" w:rsidRDefault="00F86DCB" w:rsidP="00714F0B">
      <w:pPr>
        <w:keepNext/>
        <w:keepLines/>
        <w:rPr>
          <w:rFonts w:ascii="Times New Roman" w:hAnsi="Times New Roman"/>
          <w:sz w:val="26"/>
          <w:szCs w:val="26"/>
        </w:rPr>
      </w:pP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r>
      <w:r w:rsidRPr="00482CB5">
        <w:rPr>
          <w:rFonts w:ascii="Times New Roman" w:hAnsi="Times New Roman"/>
          <w:sz w:val="26"/>
          <w:szCs w:val="26"/>
        </w:rPr>
        <w:tab/>
        <w:t>Secretary</w:t>
      </w:r>
    </w:p>
    <w:p w:rsidR="00F86DCB" w:rsidRPr="00482CB5" w:rsidRDefault="00F86DCB" w:rsidP="00714F0B">
      <w:pPr>
        <w:keepNext/>
        <w:keepLines/>
        <w:rPr>
          <w:rFonts w:ascii="Times New Roman" w:hAnsi="Times New Roman"/>
          <w:sz w:val="26"/>
          <w:szCs w:val="26"/>
        </w:rPr>
      </w:pPr>
    </w:p>
    <w:p w:rsidR="00F86DCB" w:rsidRPr="00482CB5" w:rsidRDefault="00F86DCB" w:rsidP="00714F0B">
      <w:pPr>
        <w:keepNext/>
        <w:keepLines/>
        <w:rPr>
          <w:rFonts w:ascii="Times New Roman" w:hAnsi="Times New Roman"/>
          <w:sz w:val="26"/>
          <w:szCs w:val="26"/>
        </w:rPr>
      </w:pPr>
      <w:r w:rsidRPr="00482CB5">
        <w:rPr>
          <w:rFonts w:ascii="Times New Roman" w:hAnsi="Times New Roman"/>
          <w:sz w:val="26"/>
          <w:szCs w:val="26"/>
        </w:rPr>
        <w:t>(SEAL)</w:t>
      </w:r>
    </w:p>
    <w:p w:rsidR="00F86DCB" w:rsidRPr="00482CB5" w:rsidRDefault="00F86DCB" w:rsidP="00714F0B">
      <w:pPr>
        <w:keepNext/>
        <w:keepLines/>
        <w:rPr>
          <w:rFonts w:ascii="Times New Roman" w:hAnsi="Times New Roman"/>
          <w:sz w:val="26"/>
          <w:szCs w:val="26"/>
        </w:rPr>
      </w:pPr>
    </w:p>
    <w:p w:rsidR="00F86DCB" w:rsidRDefault="00F86DCB" w:rsidP="00714F0B">
      <w:pPr>
        <w:keepNext/>
        <w:keepLines/>
        <w:rPr>
          <w:rFonts w:ascii="Times New Roman" w:hAnsi="Times New Roman"/>
          <w:sz w:val="26"/>
          <w:szCs w:val="26"/>
        </w:rPr>
      </w:pPr>
      <w:r w:rsidRPr="00482CB5">
        <w:rPr>
          <w:rFonts w:ascii="Times New Roman" w:hAnsi="Times New Roman"/>
          <w:sz w:val="26"/>
          <w:szCs w:val="26"/>
        </w:rPr>
        <w:t xml:space="preserve">ORDER ADOPTED:  </w:t>
      </w:r>
      <w:r>
        <w:rPr>
          <w:rFonts w:ascii="Times New Roman" w:hAnsi="Times New Roman"/>
          <w:sz w:val="26"/>
          <w:szCs w:val="26"/>
        </w:rPr>
        <w:t>September 24, 2009</w:t>
      </w:r>
    </w:p>
    <w:p w:rsidR="00F86DCB" w:rsidRPr="00482CB5" w:rsidRDefault="00F86DCB" w:rsidP="00714F0B">
      <w:pPr>
        <w:keepNext/>
        <w:keepLines/>
        <w:rPr>
          <w:rFonts w:ascii="Times New Roman" w:hAnsi="Times New Roman"/>
          <w:sz w:val="26"/>
          <w:szCs w:val="26"/>
        </w:rPr>
      </w:pPr>
    </w:p>
    <w:p w:rsidR="00F86DCB" w:rsidRPr="00482CB5" w:rsidRDefault="00F86DCB" w:rsidP="00714F0B">
      <w:pPr>
        <w:keepNext/>
        <w:keepLines/>
        <w:rPr>
          <w:rFonts w:ascii="Times New Roman" w:hAnsi="Times New Roman"/>
          <w:sz w:val="26"/>
          <w:szCs w:val="26"/>
        </w:rPr>
      </w:pPr>
      <w:r w:rsidRPr="00482CB5">
        <w:rPr>
          <w:rFonts w:ascii="Times New Roman" w:hAnsi="Times New Roman"/>
          <w:sz w:val="26"/>
          <w:szCs w:val="26"/>
        </w:rPr>
        <w:t xml:space="preserve">ORDER ENTERED:  </w:t>
      </w:r>
      <w:r w:rsidR="005770D4">
        <w:rPr>
          <w:rFonts w:ascii="Times New Roman" w:hAnsi="Times New Roman"/>
          <w:sz w:val="26"/>
          <w:szCs w:val="26"/>
        </w:rPr>
        <w:t>September 24, 2009</w:t>
      </w:r>
    </w:p>
    <w:p w:rsidR="00C978FD" w:rsidRDefault="00C978FD" w:rsidP="00C978FD"/>
    <w:p w:rsidR="00C978FD" w:rsidRPr="002F29A2" w:rsidRDefault="00C978FD" w:rsidP="002F29A2">
      <w:pPr>
        <w:spacing w:line="360" w:lineRule="auto"/>
        <w:rPr>
          <w:rFonts w:ascii="Times New (W1)" w:hAnsi="Times New (W1)"/>
          <w:sz w:val="26"/>
        </w:rPr>
      </w:pPr>
    </w:p>
    <w:p w:rsidR="002F29A2" w:rsidRPr="000E1AA7" w:rsidRDefault="002F29A2" w:rsidP="000E1AA7">
      <w:pPr>
        <w:spacing w:line="360" w:lineRule="auto"/>
        <w:rPr>
          <w:rFonts w:ascii="Times New (W1)" w:hAnsi="Times New (W1)"/>
          <w:sz w:val="26"/>
        </w:rPr>
      </w:pPr>
    </w:p>
    <w:p w:rsidR="000E1AA7" w:rsidRPr="0091112C" w:rsidRDefault="000E1AA7" w:rsidP="000E1AA7">
      <w:pPr>
        <w:spacing w:line="360" w:lineRule="auto"/>
        <w:rPr>
          <w:rFonts w:ascii="Times New (W1)" w:hAnsi="Times New (W1)"/>
          <w:sz w:val="26"/>
        </w:rPr>
      </w:pPr>
    </w:p>
    <w:p w:rsidR="0091112C" w:rsidRDefault="0091112C" w:rsidP="0091112C">
      <w:pPr>
        <w:spacing w:line="360" w:lineRule="auto"/>
      </w:pPr>
    </w:p>
    <w:p w:rsidR="00E45E61" w:rsidRPr="00E45E61" w:rsidRDefault="00E45E61" w:rsidP="00E45E61">
      <w:pPr>
        <w:spacing w:line="360" w:lineRule="auto"/>
        <w:rPr>
          <w:rFonts w:ascii="Times New (W1)" w:hAnsi="Times New (W1)"/>
          <w:sz w:val="26"/>
        </w:rPr>
      </w:pPr>
    </w:p>
    <w:p w:rsidR="00E45E61" w:rsidRDefault="00E45E61" w:rsidP="00E45E61">
      <w:pPr>
        <w:spacing w:line="360" w:lineRule="auto"/>
      </w:pPr>
    </w:p>
    <w:p w:rsidR="005770FB" w:rsidRDefault="005770FB" w:rsidP="00E45E61">
      <w:pPr>
        <w:spacing w:line="360" w:lineRule="auto"/>
        <w:rPr>
          <w:rFonts w:ascii="Times New (W1)" w:hAnsi="Times New (W1)"/>
          <w:sz w:val="26"/>
        </w:rPr>
      </w:pPr>
    </w:p>
    <w:sectPr w:rsidR="005770FB" w:rsidSect="001C04C7">
      <w:footerReference w:type="even" r:id="rId9"/>
      <w:footerReference w:type="default" r:id="rId10"/>
      <w:footerReference w:type="first" r:id="rId11"/>
      <w:endnotePr>
        <w:numFmt w:val="decimal"/>
      </w:endnotePr>
      <w:type w:val="continuous"/>
      <w:pgSz w:w="12240" w:h="15840"/>
      <w:pgMar w:top="1440" w:right="1440" w:bottom="1440" w:left="1440"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9A4" w:rsidRDefault="002659A4">
      <w:pPr>
        <w:spacing w:line="20" w:lineRule="exact"/>
      </w:pPr>
    </w:p>
  </w:endnote>
  <w:endnote w:type="continuationSeparator" w:id="0">
    <w:p w:rsidR="002659A4" w:rsidRDefault="002659A4">
      <w:r>
        <w:t xml:space="preserve"> </w:t>
      </w:r>
    </w:p>
  </w:endnote>
  <w:endnote w:type="continuationNotice" w:id="1">
    <w:p w:rsidR="002659A4" w:rsidRDefault="002659A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E32" w:rsidRDefault="00F17B6F" w:rsidP="00E953FB">
    <w:pPr>
      <w:pStyle w:val="Footer"/>
      <w:framePr w:wrap="around" w:vAnchor="text" w:hAnchor="margin" w:xAlign="center" w:y="1"/>
      <w:rPr>
        <w:rStyle w:val="PageNumber"/>
      </w:rPr>
    </w:pPr>
    <w:r>
      <w:rPr>
        <w:rStyle w:val="PageNumber"/>
      </w:rPr>
      <w:fldChar w:fldCharType="begin"/>
    </w:r>
    <w:r w:rsidR="00DD7E32">
      <w:rPr>
        <w:rStyle w:val="PageNumber"/>
      </w:rPr>
      <w:instrText xml:space="preserve">PAGE  </w:instrText>
    </w:r>
    <w:r>
      <w:rPr>
        <w:rStyle w:val="PageNumber"/>
      </w:rPr>
      <w:fldChar w:fldCharType="end"/>
    </w:r>
  </w:p>
  <w:p w:rsidR="00DD7E32" w:rsidRDefault="00DD7E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4C7" w:rsidRDefault="00F17B6F">
    <w:pPr>
      <w:pStyle w:val="Footer"/>
      <w:jc w:val="center"/>
    </w:pPr>
    <w:fldSimple w:instr=" PAGE   \* MERGEFORMAT ">
      <w:r w:rsidR="005770D4">
        <w:rPr>
          <w:noProof/>
        </w:rPr>
        <w:t>24</w:t>
      </w:r>
    </w:fldSimple>
  </w:p>
  <w:p w:rsidR="00DD7E32" w:rsidRDefault="00DD7E32" w:rsidP="00F35197">
    <w:pPr>
      <w:rPr>
        <w:rStyle w:val="PageNumber"/>
        <w:rFonts w:ascii="Times New Roman" w:hAnsi="Times New Roman"/>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7F2" w:rsidRDefault="008A37F2">
    <w:pPr>
      <w:pStyle w:val="Footer"/>
      <w:jc w:val="center"/>
    </w:pPr>
  </w:p>
  <w:p w:rsidR="00FE72C1" w:rsidRDefault="00FE72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9A4" w:rsidRDefault="002659A4">
      <w:r>
        <w:separator/>
      </w:r>
    </w:p>
  </w:footnote>
  <w:footnote w:type="continuationSeparator" w:id="0">
    <w:p w:rsidR="002659A4" w:rsidRDefault="002659A4">
      <w:r>
        <w:continuationSeparator/>
      </w:r>
    </w:p>
  </w:footnote>
  <w:footnote w:id="1">
    <w:p w:rsidR="00DD7E32" w:rsidRDefault="00DD7E32">
      <w:pPr>
        <w:pStyle w:val="FootnoteText"/>
        <w:rPr>
          <w:rFonts w:ascii="Times New Roman" w:hAnsi="Times New Roman"/>
          <w:sz w:val="26"/>
        </w:rPr>
      </w:pPr>
      <w:r>
        <w:rPr>
          <w:rFonts w:ascii="Times New Roman" w:hAnsi="Times New Roman"/>
          <w:sz w:val="26"/>
        </w:rPr>
        <w:tab/>
      </w:r>
      <w:r w:rsidRPr="00185CF6">
        <w:rPr>
          <w:rStyle w:val="FootnoteReference"/>
          <w:rFonts w:ascii="Times New Roman" w:hAnsi="Times New Roman"/>
          <w:sz w:val="26"/>
        </w:rPr>
        <w:footnoteRef/>
      </w:r>
      <w:r w:rsidRPr="00185CF6">
        <w:rPr>
          <w:rFonts w:ascii="Times New Roman" w:hAnsi="Times New Roman"/>
          <w:sz w:val="26"/>
        </w:rPr>
        <w:t xml:space="preserve"> </w:t>
      </w:r>
      <w:r>
        <w:rPr>
          <w:rFonts w:ascii="Times New Roman" w:hAnsi="Times New Roman"/>
          <w:sz w:val="26"/>
        </w:rPr>
        <w:tab/>
        <w:t xml:space="preserve">This History of the Proceeding has been summarized from the Recommended Decision, Pages 1 through </w:t>
      </w:r>
      <w:r w:rsidR="00B141C4">
        <w:rPr>
          <w:rFonts w:ascii="Times New Roman" w:hAnsi="Times New Roman"/>
          <w:sz w:val="26"/>
        </w:rPr>
        <w:t>3</w:t>
      </w:r>
      <w:r>
        <w:rPr>
          <w:rFonts w:ascii="Times New Roman" w:hAnsi="Times New Roman"/>
          <w:sz w:val="26"/>
        </w:rPr>
        <w:t>.</w:t>
      </w:r>
    </w:p>
    <w:p w:rsidR="00B141C4" w:rsidRPr="00185CF6" w:rsidRDefault="00B141C4">
      <w:pPr>
        <w:pStyle w:val="FootnoteText"/>
        <w:rPr>
          <w:rFonts w:ascii="Times New Roman" w:hAnsi="Times New Roman"/>
          <w:sz w:val="26"/>
        </w:rPr>
      </w:pPr>
    </w:p>
  </w:footnote>
  <w:footnote w:id="2">
    <w:p w:rsidR="00B141C4" w:rsidRPr="0089590C" w:rsidRDefault="00B141C4" w:rsidP="00B141C4">
      <w:pPr>
        <w:pStyle w:val="FootnoteText"/>
        <w:ind w:firstLine="720"/>
        <w:rPr>
          <w:rFonts w:ascii="Times New (W1)" w:hAnsi="Times New (W1)"/>
          <w:sz w:val="26"/>
        </w:rPr>
      </w:pPr>
      <w:r>
        <w:rPr>
          <w:rStyle w:val="FootnoteReference"/>
        </w:rPr>
        <w:footnoteRef/>
      </w:r>
      <w:r>
        <w:t xml:space="preserve"> </w:t>
      </w:r>
      <w:r>
        <w:tab/>
      </w:r>
      <w:r w:rsidRPr="0089590C">
        <w:rPr>
          <w:rFonts w:ascii="Times New (W1)" w:hAnsi="Times New (W1)"/>
          <w:sz w:val="26"/>
        </w:rPr>
        <w:t>The Commission’s regulation at 52 Pa. Code §</w:t>
      </w:r>
      <w:r w:rsidR="001E1FE7">
        <w:rPr>
          <w:rFonts w:ascii="Times New (W1)" w:hAnsi="Times New (W1)"/>
          <w:sz w:val="26"/>
        </w:rPr>
        <w:t xml:space="preserve"> </w:t>
      </w:r>
      <w:r w:rsidRPr="0089590C">
        <w:rPr>
          <w:rFonts w:ascii="Times New (W1)" w:hAnsi="Times New (W1)"/>
          <w:sz w:val="26"/>
        </w:rPr>
        <w:t>53.64(i)(1) required Peoples, as a “Section 1307(f) gas utility” (see 52 Pa. Code §</w:t>
      </w:r>
      <w:r w:rsidR="001E1FE7">
        <w:rPr>
          <w:rFonts w:ascii="Times New (W1)" w:hAnsi="Times New (W1)"/>
          <w:sz w:val="26"/>
        </w:rPr>
        <w:t xml:space="preserve"> </w:t>
      </w:r>
      <w:r w:rsidRPr="0089590C">
        <w:rPr>
          <w:rFonts w:ascii="Times New (W1)" w:hAnsi="Times New (W1)"/>
          <w:sz w:val="26"/>
        </w:rPr>
        <w:t xml:space="preserve">53.63(1)), to file its reconciliation statement </w:t>
      </w:r>
      <w:r w:rsidR="001E1FE7">
        <w:rPr>
          <w:rFonts w:ascii="Times New (W1)" w:hAnsi="Times New (W1)"/>
          <w:sz w:val="26"/>
        </w:rPr>
        <w:t xml:space="preserve">thirty </w:t>
      </w:r>
      <w:r w:rsidRPr="0089590C">
        <w:rPr>
          <w:rFonts w:ascii="Times New (W1)" w:hAnsi="Times New (W1)"/>
          <w:sz w:val="26"/>
        </w:rPr>
        <w:t>days before its April 1, 2009 filing of a tariff reflecting increases or decreases in its natural gas costs.</w:t>
      </w:r>
    </w:p>
    <w:p w:rsidR="00B141C4" w:rsidRDefault="00B141C4" w:rsidP="00B141C4">
      <w:pPr>
        <w:pStyle w:val="FootnoteText"/>
        <w:ind w:firstLine="720"/>
      </w:pPr>
    </w:p>
  </w:footnote>
  <w:footnote w:id="3">
    <w:p w:rsidR="00B141C4" w:rsidRDefault="00B141C4" w:rsidP="00B141C4">
      <w:pPr>
        <w:pStyle w:val="FootnoteText"/>
        <w:ind w:firstLine="720"/>
        <w:rPr>
          <w:rFonts w:ascii="Times New (W1)" w:hAnsi="Times New (W1)"/>
          <w:sz w:val="26"/>
        </w:rPr>
      </w:pPr>
      <w:r>
        <w:rPr>
          <w:rStyle w:val="FootnoteReference"/>
        </w:rPr>
        <w:footnoteRef/>
      </w:r>
      <w:r>
        <w:t xml:space="preserve"> </w:t>
      </w:r>
      <w:r>
        <w:tab/>
      </w:r>
      <w:r w:rsidRPr="002043E6">
        <w:rPr>
          <w:rFonts w:ascii="Times New (W1)" w:hAnsi="Times New (W1)"/>
          <w:sz w:val="26"/>
        </w:rPr>
        <w:t>As required by the Commission’s regulations at 52 Pa. Code §§</w:t>
      </w:r>
      <w:r w:rsidR="001E1FE7">
        <w:rPr>
          <w:rFonts w:ascii="Times New (W1)" w:hAnsi="Times New (W1)"/>
          <w:sz w:val="26"/>
        </w:rPr>
        <w:t xml:space="preserve"> </w:t>
      </w:r>
      <w:r w:rsidRPr="002043E6">
        <w:rPr>
          <w:rFonts w:ascii="Times New (W1)" w:hAnsi="Times New (W1)"/>
          <w:sz w:val="26"/>
        </w:rPr>
        <w:t xml:space="preserve">53.64(i) and 53.65, Peoples “pre-filed” information in support of Supplement No. 107 with the Commission on April 1, 2009.  Errata to the April 1, 2009 filing were made on April </w:t>
      </w:r>
      <w:r w:rsidRPr="00A96128">
        <w:rPr>
          <w:rFonts w:ascii="Times New (W1)" w:hAnsi="Times New (W1)"/>
          <w:sz w:val="26"/>
        </w:rPr>
        <w:t>16, 2009, consisting of a single tariff sheet that had been inadvertently omitted from the April 1 submission.  No party objected to the Errata filing.</w:t>
      </w:r>
    </w:p>
    <w:p w:rsidR="00A96128" w:rsidRPr="00A96128" w:rsidRDefault="00A96128" w:rsidP="00B141C4">
      <w:pPr>
        <w:pStyle w:val="FootnoteText"/>
        <w:ind w:firstLine="720"/>
        <w:rPr>
          <w:rFonts w:ascii="Times New (W1)" w:hAnsi="Times New (W1)"/>
          <w:sz w:val="26"/>
        </w:rPr>
      </w:pPr>
    </w:p>
  </w:footnote>
  <w:footnote w:id="4">
    <w:p w:rsidR="00B141C4" w:rsidRPr="001E630E" w:rsidRDefault="00B141C4" w:rsidP="00B141C4">
      <w:pPr>
        <w:pStyle w:val="FootnoteText"/>
        <w:ind w:firstLine="720"/>
        <w:rPr>
          <w:rFonts w:ascii="Times New (W1)" w:hAnsi="Times New (W1)"/>
          <w:spacing w:val="-3"/>
          <w:sz w:val="26"/>
        </w:rPr>
      </w:pPr>
      <w:r>
        <w:rPr>
          <w:rStyle w:val="FootnoteReference"/>
        </w:rPr>
        <w:footnoteRef/>
      </w:r>
      <w:r>
        <w:t xml:space="preserve"> </w:t>
      </w:r>
      <w:r>
        <w:tab/>
      </w:r>
      <w:r w:rsidRPr="001E630E">
        <w:rPr>
          <w:rFonts w:ascii="Times New (W1)" w:hAnsi="Times New (W1)"/>
          <w:sz w:val="26"/>
        </w:rPr>
        <w:t xml:space="preserve">While Dominion Retail </w:t>
      </w:r>
      <w:r w:rsidRPr="001E630E">
        <w:rPr>
          <w:rFonts w:ascii="Times New (W1)" w:hAnsi="Times New (W1)"/>
          <w:spacing w:val="-3"/>
          <w:sz w:val="26"/>
        </w:rPr>
        <w:t xml:space="preserve">intervened in the case, it did not contest any issues or submit evidence for the record.  Dominion Retail does not oppose approval of the Settlement.  </w:t>
      </w:r>
      <w:r w:rsidRPr="001E630E">
        <w:rPr>
          <w:rFonts w:ascii="Times New (W1)" w:hAnsi="Times New (W1)"/>
          <w:i/>
          <w:spacing w:val="-3"/>
          <w:sz w:val="26"/>
        </w:rPr>
        <w:t>See</w:t>
      </w:r>
      <w:r w:rsidRPr="001E630E">
        <w:rPr>
          <w:rFonts w:ascii="Times New (W1)" w:hAnsi="Times New (W1)"/>
          <w:spacing w:val="-3"/>
          <w:sz w:val="26"/>
        </w:rPr>
        <w:t>, Settlement Petition at 1, n. 1.</w:t>
      </w:r>
    </w:p>
    <w:p w:rsidR="00B141C4" w:rsidRPr="001E52B6" w:rsidRDefault="00B141C4" w:rsidP="00B141C4">
      <w:pPr>
        <w:pStyle w:val="FootnoteText"/>
        <w:ind w:firstLine="720"/>
      </w:pPr>
    </w:p>
  </w:footnote>
  <w:footnote w:id="5">
    <w:p w:rsidR="00B141C4" w:rsidRPr="001E630E" w:rsidRDefault="00B141C4" w:rsidP="00B141C4">
      <w:pPr>
        <w:pStyle w:val="FootnoteText"/>
        <w:ind w:firstLine="720"/>
        <w:rPr>
          <w:rFonts w:ascii="Times New (W1)" w:hAnsi="Times New (W1)"/>
          <w:sz w:val="26"/>
        </w:rPr>
      </w:pPr>
      <w:r>
        <w:rPr>
          <w:rStyle w:val="FootnoteReference"/>
        </w:rPr>
        <w:footnoteRef/>
      </w:r>
      <w:r>
        <w:t xml:space="preserve"> </w:t>
      </w:r>
      <w:r>
        <w:tab/>
      </w:r>
      <w:r w:rsidRPr="001E630E">
        <w:rPr>
          <w:rFonts w:ascii="Times New (W1)" w:hAnsi="Times New (W1)"/>
          <w:sz w:val="26"/>
        </w:rPr>
        <w:t>While a party to the Settlement as a whole, OSBA does not join in the section dealing with Peoples’ unaccounted-for gas and Company-use gas.</w:t>
      </w:r>
    </w:p>
  </w:footnote>
  <w:footnote w:id="6">
    <w:p w:rsidR="00456D91" w:rsidRPr="00456D91" w:rsidRDefault="00456D91">
      <w:pPr>
        <w:pStyle w:val="FootnoteText"/>
        <w:rPr>
          <w:rFonts w:ascii="Times New Roman" w:hAnsi="Times New Roman"/>
          <w:sz w:val="26"/>
        </w:rPr>
      </w:pPr>
      <w:r w:rsidRPr="00456D91">
        <w:rPr>
          <w:rStyle w:val="FootnoteReference"/>
          <w:rFonts w:ascii="Times New Roman" w:hAnsi="Times New Roman"/>
          <w:sz w:val="26"/>
        </w:rPr>
        <w:footnoteRef/>
      </w:r>
      <w:r w:rsidRPr="00456D91">
        <w:rPr>
          <w:rFonts w:ascii="Times New Roman" w:hAnsi="Times New Roman"/>
          <w:sz w:val="26"/>
        </w:rPr>
        <w:t xml:space="preserve"> </w:t>
      </w:r>
      <w:r>
        <w:rPr>
          <w:rFonts w:ascii="Times New Roman" w:hAnsi="Times New Roman"/>
          <w:sz w:val="26"/>
        </w:rPr>
        <w:tab/>
        <w:t xml:space="preserve">In Peoples’ prior Section 1307(f) proceeding, </w:t>
      </w:r>
      <w:r w:rsidRPr="0051720D">
        <w:rPr>
          <w:rFonts w:ascii="Times New Roman" w:hAnsi="Times New Roman"/>
          <w:i/>
          <w:sz w:val="26"/>
        </w:rPr>
        <w:t>Pa. P.U.C. v. The Peoples Natural Gas Company d/b/a Dominion Peoples</w:t>
      </w:r>
      <w:r>
        <w:rPr>
          <w:rFonts w:ascii="Times New Roman" w:hAnsi="Times New Roman"/>
          <w:sz w:val="26"/>
        </w:rPr>
        <w:t xml:space="preserve">, Docket No. R-2008-2022206 (August 21, 2008), Chairman Cawley </w:t>
      </w:r>
      <w:r w:rsidR="00D863CF">
        <w:rPr>
          <w:rFonts w:ascii="Times New Roman" w:hAnsi="Times New Roman"/>
          <w:sz w:val="26"/>
        </w:rPr>
        <w:t xml:space="preserve">(then Vice Chairman) </w:t>
      </w:r>
      <w:r>
        <w:rPr>
          <w:rFonts w:ascii="Times New Roman" w:hAnsi="Times New Roman"/>
          <w:sz w:val="26"/>
        </w:rPr>
        <w:t>issued a statement expressing concerns about Peoples’ LUFG/CU levels and requested that the issue be addressed in Pe</w:t>
      </w:r>
      <w:r w:rsidR="007246FF">
        <w:rPr>
          <w:rFonts w:ascii="Times New Roman" w:hAnsi="Times New Roman"/>
          <w:sz w:val="26"/>
        </w:rPr>
        <w:t>o</w:t>
      </w:r>
      <w:r>
        <w:rPr>
          <w:rFonts w:ascii="Times New Roman" w:hAnsi="Times New Roman"/>
          <w:sz w:val="26"/>
        </w:rPr>
        <w:t>ples next Section 1307(f) proceeding.</w:t>
      </w:r>
      <w:r w:rsidR="007246FF">
        <w:rPr>
          <w:rFonts w:ascii="Times New Roman" w:hAnsi="Times New Roman"/>
          <w:sz w:val="26"/>
        </w:rPr>
        <w:t xml:space="preserve">  The Recommended Decision provides a more complete description of the Chairman’s Statement at Pages 35-36.</w:t>
      </w:r>
    </w:p>
  </w:footnote>
  <w:footnote w:id="7">
    <w:p w:rsidR="0091112C" w:rsidRPr="0091112C" w:rsidRDefault="0091112C" w:rsidP="0091112C">
      <w:pPr>
        <w:pStyle w:val="FootnoteText"/>
        <w:ind w:firstLine="720"/>
        <w:rPr>
          <w:rFonts w:ascii="Times New (W1)" w:hAnsi="Times New (W1)"/>
          <w:sz w:val="26"/>
        </w:rPr>
      </w:pPr>
      <w:r>
        <w:rPr>
          <w:rStyle w:val="FootnoteReference"/>
        </w:rPr>
        <w:footnoteRef/>
      </w:r>
      <w:r>
        <w:t xml:space="preserve"> </w:t>
      </w:r>
      <w:r>
        <w:tab/>
      </w:r>
      <w:r w:rsidRPr="0091112C">
        <w:rPr>
          <w:rFonts w:ascii="Times New (W1)" w:hAnsi="Times New (W1)"/>
          <w:sz w:val="26"/>
        </w:rPr>
        <w:t>OSBA does not join in this section of the Settlement and has briefed its LUFG issues (as described in OSBA St. 3) and all parties have had the opportunity to file initial and reply briefs on this issue.</w:t>
      </w:r>
    </w:p>
    <w:p w:rsidR="0091112C" w:rsidRDefault="0091112C" w:rsidP="0091112C">
      <w:pPr>
        <w:pStyle w:val="FootnoteText"/>
        <w:ind w:firstLine="720"/>
      </w:pPr>
    </w:p>
  </w:footnote>
  <w:footnote w:id="8">
    <w:p w:rsidR="0091112C" w:rsidRPr="000E1AA7" w:rsidRDefault="0091112C" w:rsidP="0091112C">
      <w:pPr>
        <w:pStyle w:val="FootnoteText"/>
        <w:ind w:firstLine="720"/>
        <w:rPr>
          <w:rFonts w:ascii="Times New (W1)" w:hAnsi="Times New (W1)"/>
          <w:sz w:val="26"/>
        </w:rPr>
      </w:pPr>
      <w:r>
        <w:rPr>
          <w:rStyle w:val="FootnoteReference"/>
        </w:rPr>
        <w:footnoteRef/>
      </w:r>
      <w:r>
        <w:t xml:space="preserve"> </w:t>
      </w:r>
      <w:r>
        <w:tab/>
      </w:r>
      <w:r w:rsidRPr="000E1AA7">
        <w:rPr>
          <w:rFonts w:ascii="Times New (W1)" w:hAnsi="Times New (W1)"/>
          <w:sz w:val="26"/>
        </w:rPr>
        <w:t>Additionally, the current gathering retainage rates for two Appalachian interstate pipelines are 9.4% and 10.5%.</w:t>
      </w:r>
    </w:p>
    <w:p w:rsidR="0091112C" w:rsidRDefault="0091112C" w:rsidP="0091112C">
      <w:pPr>
        <w:pStyle w:val="FootnoteText"/>
        <w:ind w:firstLine="720"/>
      </w:pPr>
    </w:p>
  </w:footnote>
  <w:footnote w:id="9">
    <w:p w:rsidR="0091112C" w:rsidRPr="000E1AA7" w:rsidRDefault="0091112C" w:rsidP="0091112C">
      <w:pPr>
        <w:pStyle w:val="FootnoteText"/>
        <w:ind w:firstLine="720"/>
        <w:rPr>
          <w:rFonts w:ascii="Times New (W1)" w:hAnsi="Times New (W1)"/>
          <w:sz w:val="26"/>
        </w:rPr>
      </w:pPr>
      <w:r>
        <w:rPr>
          <w:rStyle w:val="FootnoteReference"/>
        </w:rPr>
        <w:footnoteRef/>
      </w:r>
      <w:r>
        <w:t xml:space="preserve"> </w:t>
      </w:r>
      <w:r>
        <w:tab/>
      </w:r>
      <w:r w:rsidRPr="000E1AA7">
        <w:rPr>
          <w:rFonts w:ascii="Times New (W1)" w:hAnsi="Times New (W1)"/>
          <w:sz w:val="26"/>
        </w:rPr>
        <w:t>Further, Petitioners agree the current LUFG level is acceptable considering the fact that the majority of Peoples’ residential and commercial customers do not have measurement determined by temperature correcting meters.  Temperature correcting meters are estimated to reduce LUFG on an individual customer basis by a factor of 2.3%.</w:t>
      </w:r>
    </w:p>
  </w:footnote>
  <w:footnote w:id="10">
    <w:p w:rsidR="00C978FD" w:rsidRPr="00C978FD" w:rsidRDefault="00C978FD" w:rsidP="00C978FD">
      <w:pPr>
        <w:pStyle w:val="FootnoteText"/>
        <w:ind w:firstLine="720"/>
        <w:rPr>
          <w:rFonts w:ascii="Times New (W1)" w:hAnsi="Times New (W1)"/>
          <w:sz w:val="26"/>
        </w:rPr>
      </w:pPr>
      <w:r>
        <w:rPr>
          <w:rStyle w:val="FootnoteReference"/>
        </w:rPr>
        <w:footnoteRef/>
      </w:r>
      <w:r>
        <w:t xml:space="preserve"> </w:t>
      </w:r>
      <w:r>
        <w:tab/>
      </w:r>
      <w:r w:rsidRPr="00C978FD">
        <w:rPr>
          <w:rFonts w:ascii="Times New (W1)" w:hAnsi="Times New (W1)"/>
          <w:sz w:val="26"/>
        </w:rPr>
        <w:t>The Company’s errata filed on April 16, 2009</w:t>
      </w:r>
      <w:r w:rsidR="000E25E5">
        <w:rPr>
          <w:rFonts w:ascii="Times New (W1)" w:hAnsi="Times New (W1)"/>
          <w:sz w:val="26"/>
        </w:rPr>
        <w:t>,</w:t>
      </w:r>
      <w:r w:rsidRPr="00C978FD">
        <w:rPr>
          <w:rFonts w:ascii="Times New (W1)" w:hAnsi="Times New (W1)"/>
          <w:sz w:val="26"/>
        </w:rPr>
        <w:t xml:space="preserve"> containing an inadvertently omitted tariff page also should be considered.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594CFB"/>
    <w:multiLevelType w:val="hybridMultilevel"/>
    <w:tmpl w:val="65B43A0E"/>
    <w:lvl w:ilvl="0" w:tplc="E132D33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694785C"/>
    <w:multiLevelType w:val="hybridMultilevel"/>
    <w:tmpl w:val="8B804CC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39595A53"/>
    <w:multiLevelType w:val="hybridMultilevel"/>
    <w:tmpl w:val="1A823BB6"/>
    <w:lvl w:ilvl="0" w:tplc="BEE4A2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EEF2848"/>
    <w:multiLevelType w:val="singleLevel"/>
    <w:tmpl w:val="0409000F"/>
    <w:lvl w:ilvl="0">
      <w:start w:val="1"/>
      <w:numFmt w:val="decimal"/>
      <w:lvlText w:val="%1."/>
      <w:lvlJc w:val="left"/>
      <w:pPr>
        <w:tabs>
          <w:tab w:val="num" w:pos="360"/>
        </w:tabs>
        <w:ind w:left="360" w:hanging="360"/>
      </w:pPr>
    </w:lvl>
  </w:abstractNum>
  <w:abstractNum w:abstractNumId="5">
    <w:nsid w:val="43462084"/>
    <w:multiLevelType w:val="hybridMultilevel"/>
    <w:tmpl w:val="5896F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AB20C3"/>
    <w:multiLevelType w:val="hybridMultilevel"/>
    <w:tmpl w:val="169CD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126891"/>
    <w:multiLevelType w:val="hybridMultilevel"/>
    <w:tmpl w:val="246C9A92"/>
    <w:lvl w:ilvl="0" w:tplc="760C35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9327F71"/>
    <w:multiLevelType w:val="hybridMultilevel"/>
    <w:tmpl w:val="AFD2B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40F39"/>
    <w:multiLevelType w:val="hybridMultilevel"/>
    <w:tmpl w:val="40D82008"/>
    <w:lvl w:ilvl="0" w:tplc="145080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EF56B23"/>
    <w:multiLevelType w:val="hybridMultilevel"/>
    <w:tmpl w:val="9AE2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487A68"/>
    <w:multiLevelType w:val="hybridMultilevel"/>
    <w:tmpl w:val="AB12619C"/>
    <w:lvl w:ilvl="0" w:tplc="B5E814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0"/>
  </w:num>
  <w:num w:numId="4">
    <w:abstractNumId w:val="6"/>
  </w:num>
  <w:num w:numId="5">
    <w:abstractNumId w:val="5"/>
  </w:num>
  <w:num w:numId="6">
    <w:abstractNumId w:val="10"/>
  </w:num>
  <w:num w:numId="7">
    <w:abstractNumId w:val="8"/>
  </w:num>
  <w:num w:numId="8">
    <w:abstractNumId w:val="11"/>
  </w:num>
  <w:num w:numId="9">
    <w:abstractNumId w:val="7"/>
  </w:num>
  <w:num w:numId="10">
    <w:abstractNumId w:val="3"/>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1506"/>
  </w:hdrShapeDefaults>
  <w:footnotePr>
    <w:footnote w:id="-1"/>
    <w:footnote w:id="0"/>
  </w:footnotePr>
  <w:endnotePr>
    <w:numFmt w:val="decimal"/>
    <w:endnote w:id="-1"/>
    <w:endnote w:id="0"/>
    <w:endnote w:id="1"/>
  </w:endnotePr>
  <w:compat>
    <w:noTabHangInd/>
    <w:noColumnBalance/>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橄ㄴ偸Ӻֶ찔㈇"/>
    <w:docVar w:name="ShowPrintedCheckBox" w:val="w:docVa"/>
    <w:docVar w:name="ShowScreenCheckBox" w:val="&lt;"/>
  </w:docVars>
  <w:rsids>
    <w:rsidRoot w:val="0098316B"/>
    <w:rsid w:val="00002534"/>
    <w:rsid w:val="00003B2F"/>
    <w:rsid w:val="00012AD2"/>
    <w:rsid w:val="00012E22"/>
    <w:rsid w:val="000153DA"/>
    <w:rsid w:val="000167C3"/>
    <w:rsid w:val="00017B2D"/>
    <w:rsid w:val="00020CEC"/>
    <w:rsid w:val="00020FCC"/>
    <w:rsid w:val="00023692"/>
    <w:rsid w:val="0002402B"/>
    <w:rsid w:val="00030622"/>
    <w:rsid w:val="0003514A"/>
    <w:rsid w:val="00037B47"/>
    <w:rsid w:val="000412E8"/>
    <w:rsid w:val="000421EB"/>
    <w:rsid w:val="00043280"/>
    <w:rsid w:val="00045145"/>
    <w:rsid w:val="00046967"/>
    <w:rsid w:val="00056979"/>
    <w:rsid w:val="00057A9D"/>
    <w:rsid w:val="0006456C"/>
    <w:rsid w:val="00067BF2"/>
    <w:rsid w:val="0007615F"/>
    <w:rsid w:val="00077F5D"/>
    <w:rsid w:val="00080D1A"/>
    <w:rsid w:val="0008202B"/>
    <w:rsid w:val="000829E9"/>
    <w:rsid w:val="00084986"/>
    <w:rsid w:val="000854F3"/>
    <w:rsid w:val="00085D4E"/>
    <w:rsid w:val="000904E6"/>
    <w:rsid w:val="00090C04"/>
    <w:rsid w:val="000925DA"/>
    <w:rsid w:val="00092929"/>
    <w:rsid w:val="00092E9F"/>
    <w:rsid w:val="00094B7F"/>
    <w:rsid w:val="000A0CB0"/>
    <w:rsid w:val="000A1688"/>
    <w:rsid w:val="000A24E5"/>
    <w:rsid w:val="000A5F2C"/>
    <w:rsid w:val="000B0A1A"/>
    <w:rsid w:val="000B3407"/>
    <w:rsid w:val="000B6854"/>
    <w:rsid w:val="000C1524"/>
    <w:rsid w:val="000D04A2"/>
    <w:rsid w:val="000D28E1"/>
    <w:rsid w:val="000D2F82"/>
    <w:rsid w:val="000D2FAB"/>
    <w:rsid w:val="000D525C"/>
    <w:rsid w:val="000E1AA7"/>
    <w:rsid w:val="000E1E44"/>
    <w:rsid w:val="000E1E92"/>
    <w:rsid w:val="000E25E5"/>
    <w:rsid w:val="000E265A"/>
    <w:rsid w:val="000E32AE"/>
    <w:rsid w:val="000E3F1A"/>
    <w:rsid w:val="000E4843"/>
    <w:rsid w:val="000F2289"/>
    <w:rsid w:val="000F39F6"/>
    <w:rsid w:val="000F4D0D"/>
    <w:rsid w:val="000F542E"/>
    <w:rsid w:val="000F78BC"/>
    <w:rsid w:val="00100B2C"/>
    <w:rsid w:val="00103B31"/>
    <w:rsid w:val="00105C32"/>
    <w:rsid w:val="00113EC9"/>
    <w:rsid w:val="0011450D"/>
    <w:rsid w:val="0011615D"/>
    <w:rsid w:val="00117FA4"/>
    <w:rsid w:val="00120013"/>
    <w:rsid w:val="00121C8C"/>
    <w:rsid w:val="00122126"/>
    <w:rsid w:val="001239AB"/>
    <w:rsid w:val="001276E2"/>
    <w:rsid w:val="001278A1"/>
    <w:rsid w:val="00130D17"/>
    <w:rsid w:val="00131283"/>
    <w:rsid w:val="00132085"/>
    <w:rsid w:val="00132B66"/>
    <w:rsid w:val="00134BE7"/>
    <w:rsid w:val="00135BEE"/>
    <w:rsid w:val="0013643C"/>
    <w:rsid w:val="0013708E"/>
    <w:rsid w:val="00141180"/>
    <w:rsid w:val="00141BA9"/>
    <w:rsid w:val="00144A88"/>
    <w:rsid w:val="0014555E"/>
    <w:rsid w:val="00157EAA"/>
    <w:rsid w:val="00160091"/>
    <w:rsid w:val="00160A15"/>
    <w:rsid w:val="00161DAA"/>
    <w:rsid w:val="00165C9D"/>
    <w:rsid w:val="001663ED"/>
    <w:rsid w:val="00166CD5"/>
    <w:rsid w:val="00167C16"/>
    <w:rsid w:val="001715D3"/>
    <w:rsid w:val="00172769"/>
    <w:rsid w:val="001754F8"/>
    <w:rsid w:val="00180123"/>
    <w:rsid w:val="0018101F"/>
    <w:rsid w:val="001829D2"/>
    <w:rsid w:val="00185CF6"/>
    <w:rsid w:val="001875CE"/>
    <w:rsid w:val="00187E54"/>
    <w:rsid w:val="00190238"/>
    <w:rsid w:val="0019197F"/>
    <w:rsid w:val="00193E0D"/>
    <w:rsid w:val="00194585"/>
    <w:rsid w:val="00195716"/>
    <w:rsid w:val="001964AB"/>
    <w:rsid w:val="001A1B81"/>
    <w:rsid w:val="001A1DA3"/>
    <w:rsid w:val="001A521F"/>
    <w:rsid w:val="001A522A"/>
    <w:rsid w:val="001A569A"/>
    <w:rsid w:val="001A6249"/>
    <w:rsid w:val="001A6A7A"/>
    <w:rsid w:val="001B29CE"/>
    <w:rsid w:val="001B2AE2"/>
    <w:rsid w:val="001B2BFB"/>
    <w:rsid w:val="001B5B75"/>
    <w:rsid w:val="001B72D3"/>
    <w:rsid w:val="001B7501"/>
    <w:rsid w:val="001C04C7"/>
    <w:rsid w:val="001C0949"/>
    <w:rsid w:val="001C2EA8"/>
    <w:rsid w:val="001C4999"/>
    <w:rsid w:val="001D0EC4"/>
    <w:rsid w:val="001D3DC3"/>
    <w:rsid w:val="001D73E2"/>
    <w:rsid w:val="001E0BB2"/>
    <w:rsid w:val="001E1BB6"/>
    <w:rsid w:val="001E1FE7"/>
    <w:rsid w:val="001E5909"/>
    <w:rsid w:val="001E630E"/>
    <w:rsid w:val="001E6BCF"/>
    <w:rsid w:val="001E741D"/>
    <w:rsid w:val="001F0B8D"/>
    <w:rsid w:val="001F1A24"/>
    <w:rsid w:val="002002F5"/>
    <w:rsid w:val="00200408"/>
    <w:rsid w:val="00203FAD"/>
    <w:rsid w:val="002043E6"/>
    <w:rsid w:val="002061E4"/>
    <w:rsid w:val="002067F2"/>
    <w:rsid w:val="00207DA9"/>
    <w:rsid w:val="00210E95"/>
    <w:rsid w:val="00211CFC"/>
    <w:rsid w:val="002163B7"/>
    <w:rsid w:val="00216C2E"/>
    <w:rsid w:val="0021730D"/>
    <w:rsid w:val="002175B1"/>
    <w:rsid w:val="00220998"/>
    <w:rsid w:val="0022199B"/>
    <w:rsid w:val="00221AA0"/>
    <w:rsid w:val="00222CE5"/>
    <w:rsid w:val="00227FE6"/>
    <w:rsid w:val="00234404"/>
    <w:rsid w:val="002344CD"/>
    <w:rsid w:val="0023609E"/>
    <w:rsid w:val="00241FDC"/>
    <w:rsid w:val="00244A2E"/>
    <w:rsid w:val="00245208"/>
    <w:rsid w:val="002471D2"/>
    <w:rsid w:val="00247C3F"/>
    <w:rsid w:val="002505F9"/>
    <w:rsid w:val="00252E86"/>
    <w:rsid w:val="002611F0"/>
    <w:rsid w:val="002659A4"/>
    <w:rsid w:val="002671F8"/>
    <w:rsid w:val="002702CB"/>
    <w:rsid w:val="00270846"/>
    <w:rsid w:val="00270A7D"/>
    <w:rsid w:val="00272E62"/>
    <w:rsid w:val="00274E23"/>
    <w:rsid w:val="00275A84"/>
    <w:rsid w:val="002802CC"/>
    <w:rsid w:val="00283781"/>
    <w:rsid w:val="00283927"/>
    <w:rsid w:val="0028478B"/>
    <w:rsid w:val="00286AA8"/>
    <w:rsid w:val="0028787C"/>
    <w:rsid w:val="00290854"/>
    <w:rsid w:val="0029452A"/>
    <w:rsid w:val="00296CB0"/>
    <w:rsid w:val="00297A02"/>
    <w:rsid w:val="002A16DC"/>
    <w:rsid w:val="002A3296"/>
    <w:rsid w:val="002A5509"/>
    <w:rsid w:val="002B07D6"/>
    <w:rsid w:val="002B24FB"/>
    <w:rsid w:val="002B29B1"/>
    <w:rsid w:val="002B55AE"/>
    <w:rsid w:val="002B6662"/>
    <w:rsid w:val="002C073E"/>
    <w:rsid w:val="002C2FF9"/>
    <w:rsid w:val="002C48BB"/>
    <w:rsid w:val="002C7E6A"/>
    <w:rsid w:val="002D0192"/>
    <w:rsid w:val="002D3FA6"/>
    <w:rsid w:val="002D425A"/>
    <w:rsid w:val="002D42D8"/>
    <w:rsid w:val="002D4F1A"/>
    <w:rsid w:val="002D5902"/>
    <w:rsid w:val="002E1E6D"/>
    <w:rsid w:val="002E2A93"/>
    <w:rsid w:val="002E7CD6"/>
    <w:rsid w:val="002F1AD2"/>
    <w:rsid w:val="002F29A2"/>
    <w:rsid w:val="002F4D3E"/>
    <w:rsid w:val="002F6BA8"/>
    <w:rsid w:val="002F6DBD"/>
    <w:rsid w:val="002F7A35"/>
    <w:rsid w:val="003009A8"/>
    <w:rsid w:val="0030121F"/>
    <w:rsid w:val="00312FE2"/>
    <w:rsid w:val="0031426F"/>
    <w:rsid w:val="00316790"/>
    <w:rsid w:val="00321F89"/>
    <w:rsid w:val="00330219"/>
    <w:rsid w:val="0033061F"/>
    <w:rsid w:val="0033185E"/>
    <w:rsid w:val="0033251E"/>
    <w:rsid w:val="00337C05"/>
    <w:rsid w:val="0034179C"/>
    <w:rsid w:val="00344B8A"/>
    <w:rsid w:val="00344DDB"/>
    <w:rsid w:val="00351AC2"/>
    <w:rsid w:val="0035317A"/>
    <w:rsid w:val="00355CFA"/>
    <w:rsid w:val="00362F8A"/>
    <w:rsid w:val="003631A6"/>
    <w:rsid w:val="00365ADD"/>
    <w:rsid w:val="00367016"/>
    <w:rsid w:val="00367691"/>
    <w:rsid w:val="0036770E"/>
    <w:rsid w:val="00370AA4"/>
    <w:rsid w:val="003718CB"/>
    <w:rsid w:val="0037334C"/>
    <w:rsid w:val="00374430"/>
    <w:rsid w:val="00374EDE"/>
    <w:rsid w:val="00376D19"/>
    <w:rsid w:val="00377966"/>
    <w:rsid w:val="00377D94"/>
    <w:rsid w:val="00380C5C"/>
    <w:rsid w:val="00381128"/>
    <w:rsid w:val="00381FA8"/>
    <w:rsid w:val="00382A0B"/>
    <w:rsid w:val="003835F6"/>
    <w:rsid w:val="00384C3F"/>
    <w:rsid w:val="0039249F"/>
    <w:rsid w:val="00393991"/>
    <w:rsid w:val="003A52CF"/>
    <w:rsid w:val="003B05C8"/>
    <w:rsid w:val="003B1CC5"/>
    <w:rsid w:val="003B4C1A"/>
    <w:rsid w:val="003B4FF8"/>
    <w:rsid w:val="003C1ED8"/>
    <w:rsid w:val="003C30D2"/>
    <w:rsid w:val="003C3A24"/>
    <w:rsid w:val="003C5A11"/>
    <w:rsid w:val="003D0E4C"/>
    <w:rsid w:val="003D355E"/>
    <w:rsid w:val="003D3F4A"/>
    <w:rsid w:val="003D6E93"/>
    <w:rsid w:val="003E0FB9"/>
    <w:rsid w:val="003E1571"/>
    <w:rsid w:val="004005A8"/>
    <w:rsid w:val="00403E76"/>
    <w:rsid w:val="0040435E"/>
    <w:rsid w:val="00405EA9"/>
    <w:rsid w:val="00411B60"/>
    <w:rsid w:val="0041270F"/>
    <w:rsid w:val="00412836"/>
    <w:rsid w:val="00416DD1"/>
    <w:rsid w:val="004177F2"/>
    <w:rsid w:val="00417C3B"/>
    <w:rsid w:val="0042590B"/>
    <w:rsid w:val="00431CF2"/>
    <w:rsid w:val="00433399"/>
    <w:rsid w:val="004341BA"/>
    <w:rsid w:val="00434324"/>
    <w:rsid w:val="00435EE6"/>
    <w:rsid w:val="00436F23"/>
    <w:rsid w:val="00441F16"/>
    <w:rsid w:val="004448DF"/>
    <w:rsid w:val="0044688C"/>
    <w:rsid w:val="00446A4A"/>
    <w:rsid w:val="00452FA0"/>
    <w:rsid w:val="004539CA"/>
    <w:rsid w:val="00453A1B"/>
    <w:rsid w:val="00454B47"/>
    <w:rsid w:val="0045574C"/>
    <w:rsid w:val="00456C0F"/>
    <w:rsid w:val="00456D91"/>
    <w:rsid w:val="004600D6"/>
    <w:rsid w:val="00460164"/>
    <w:rsid w:val="004607F3"/>
    <w:rsid w:val="00461C28"/>
    <w:rsid w:val="00465FB1"/>
    <w:rsid w:val="00466365"/>
    <w:rsid w:val="00467C9A"/>
    <w:rsid w:val="0047096F"/>
    <w:rsid w:val="004712AE"/>
    <w:rsid w:val="004718CF"/>
    <w:rsid w:val="00471A63"/>
    <w:rsid w:val="00473DA7"/>
    <w:rsid w:val="00474E76"/>
    <w:rsid w:val="00474E8C"/>
    <w:rsid w:val="00476A94"/>
    <w:rsid w:val="00476DAC"/>
    <w:rsid w:val="00477C2C"/>
    <w:rsid w:val="00477CBD"/>
    <w:rsid w:val="004810F1"/>
    <w:rsid w:val="004819A9"/>
    <w:rsid w:val="004852C0"/>
    <w:rsid w:val="00485A71"/>
    <w:rsid w:val="00485AE7"/>
    <w:rsid w:val="004861ED"/>
    <w:rsid w:val="004864B5"/>
    <w:rsid w:val="004905A4"/>
    <w:rsid w:val="004913A2"/>
    <w:rsid w:val="004955C2"/>
    <w:rsid w:val="004956CA"/>
    <w:rsid w:val="004A0968"/>
    <w:rsid w:val="004A3C14"/>
    <w:rsid w:val="004B092C"/>
    <w:rsid w:val="004B3BAD"/>
    <w:rsid w:val="004B624C"/>
    <w:rsid w:val="004B6DCD"/>
    <w:rsid w:val="004C2FFE"/>
    <w:rsid w:val="004C3C8A"/>
    <w:rsid w:val="004C3D1A"/>
    <w:rsid w:val="004D1370"/>
    <w:rsid w:val="004D5D38"/>
    <w:rsid w:val="004D6C8F"/>
    <w:rsid w:val="004D783D"/>
    <w:rsid w:val="004E4D81"/>
    <w:rsid w:val="004E5D59"/>
    <w:rsid w:val="004F0664"/>
    <w:rsid w:val="004F13AF"/>
    <w:rsid w:val="004F1796"/>
    <w:rsid w:val="004F2F9D"/>
    <w:rsid w:val="004F5543"/>
    <w:rsid w:val="004F6BAB"/>
    <w:rsid w:val="00505397"/>
    <w:rsid w:val="005054F5"/>
    <w:rsid w:val="00507613"/>
    <w:rsid w:val="00507EBE"/>
    <w:rsid w:val="005105C4"/>
    <w:rsid w:val="0051286C"/>
    <w:rsid w:val="00512B74"/>
    <w:rsid w:val="00512CFD"/>
    <w:rsid w:val="00513185"/>
    <w:rsid w:val="00516848"/>
    <w:rsid w:val="0051720D"/>
    <w:rsid w:val="00517566"/>
    <w:rsid w:val="00524419"/>
    <w:rsid w:val="00532745"/>
    <w:rsid w:val="00532E08"/>
    <w:rsid w:val="005416F6"/>
    <w:rsid w:val="005419EA"/>
    <w:rsid w:val="00541C41"/>
    <w:rsid w:val="0054292A"/>
    <w:rsid w:val="00545FE2"/>
    <w:rsid w:val="00546775"/>
    <w:rsid w:val="005506E7"/>
    <w:rsid w:val="0055164D"/>
    <w:rsid w:val="00555A20"/>
    <w:rsid w:val="00555FF8"/>
    <w:rsid w:val="005576DD"/>
    <w:rsid w:val="00560224"/>
    <w:rsid w:val="00561E6F"/>
    <w:rsid w:val="005634D5"/>
    <w:rsid w:val="00563D7E"/>
    <w:rsid w:val="00565EB0"/>
    <w:rsid w:val="00570C61"/>
    <w:rsid w:val="0057176F"/>
    <w:rsid w:val="00574380"/>
    <w:rsid w:val="00577034"/>
    <w:rsid w:val="0057707B"/>
    <w:rsid w:val="005770D4"/>
    <w:rsid w:val="005770FB"/>
    <w:rsid w:val="00581864"/>
    <w:rsid w:val="0058228E"/>
    <w:rsid w:val="00583012"/>
    <w:rsid w:val="00586969"/>
    <w:rsid w:val="005909AD"/>
    <w:rsid w:val="005917EC"/>
    <w:rsid w:val="0059382E"/>
    <w:rsid w:val="00597114"/>
    <w:rsid w:val="00597643"/>
    <w:rsid w:val="005A2001"/>
    <w:rsid w:val="005A38B9"/>
    <w:rsid w:val="005A4783"/>
    <w:rsid w:val="005A4A53"/>
    <w:rsid w:val="005A5608"/>
    <w:rsid w:val="005A74F1"/>
    <w:rsid w:val="005A74FE"/>
    <w:rsid w:val="005A7B9E"/>
    <w:rsid w:val="005B267A"/>
    <w:rsid w:val="005B39CF"/>
    <w:rsid w:val="005B4649"/>
    <w:rsid w:val="005B5EB9"/>
    <w:rsid w:val="005C1C0F"/>
    <w:rsid w:val="005C26E8"/>
    <w:rsid w:val="005C2C14"/>
    <w:rsid w:val="005C3978"/>
    <w:rsid w:val="005C6AD4"/>
    <w:rsid w:val="005D0204"/>
    <w:rsid w:val="005D1EC2"/>
    <w:rsid w:val="005D2403"/>
    <w:rsid w:val="005D27CB"/>
    <w:rsid w:val="005D30B8"/>
    <w:rsid w:val="005D31D3"/>
    <w:rsid w:val="005D365E"/>
    <w:rsid w:val="005D367A"/>
    <w:rsid w:val="005D46AD"/>
    <w:rsid w:val="005D59A9"/>
    <w:rsid w:val="005D7E1C"/>
    <w:rsid w:val="005E06A0"/>
    <w:rsid w:val="005E0A29"/>
    <w:rsid w:val="005E1293"/>
    <w:rsid w:val="005E1876"/>
    <w:rsid w:val="005E36BD"/>
    <w:rsid w:val="005E37F0"/>
    <w:rsid w:val="005E56AB"/>
    <w:rsid w:val="005E77B9"/>
    <w:rsid w:val="005F01DB"/>
    <w:rsid w:val="00601753"/>
    <w:rsid w:val="006069D4"/>
    <w:rsid w:val="0061084C"/>
    <w:rsid w:val="00612261"/>
    <w:rsid w:val="00614876"/>
    <w:rsid w:val="006162FC"/>
    <w:rsid w:val="00616713"/>
    <w:rsid w:val="00617200"/>
    <w:rsid w:val="006176B0"/>
    <w:rsid w:val="00617F15"/>
    <w:rsid w:val="00620111"/>
    <w:rsid w:val="00623EA4"/>
    <w:rsid w:val="00623F2D"/>
    <w:rsid w:val="00625C28"/>
    <w:rsid w:val="00625EA9"/>
    <w:rsid w:val="00626580"/>
    <w:rsid w:val="006304EC"/>
    <w:rsid w:val="00630B42"/>
    <w:rsid w:val="00631DCB"/>
    <w:rsid w:val="006344ED"/>
    <w:rsid w:val="0063498D"/>
    <w:rsid w:val="00637615"/>
    <w:rsid w:val="006435F2"/>
    <w:rsid w:val="006438A0"/>
    <w:rsid w:val="00643E57"/>
    <w:rsid w:val="0064726F"/>
    <w:rsid w:val="00650220"/>
    <w:rsid w:val="0065162C"/>
    <w:rsid w:val="00654684"/>
    <w:rsid w:val="00654FA7"/>
    <w:rsid w:val="00656608"/>
    <w:rsid w:val="006569A3"/>
    <w:rsid w:val="006578CE"/>
    <w:rsid w:val="006638E8"/>
    <w:rsid w:val="00665282"/>
    <w:rsid w:val="00670B57"/>
    <w:rsid w:val="00673409"/>
    <w:rsid w:val="00673892"/>
    <w:rsid w:val="00675411"/>
    <w:rsid w:val="00675E4C"/>
    <w:rsid w:val="00677BD2"/>
    <w:rsid w:val="00682147"/>
    <w:rsid w:val="006845DE"/>
    <w:rsid w:val="00685075"/>
    <w:rsid w:val="00686EC6"/>
    <w:rsid w:val="00690CEA"/>
    <w:rsid w:val="00692200"/>
    <w:rsid w:val="0069631E"/>
    <w:rsid w:val="006965D8"/>
    <w:rsid w:val="00697B90"/>
    <w:rsid w:val="006A2252"/>
    <w:rsid w:val="006A4B59"/>
    <w:rsid w:val="006A6824"/>
    <w:rsid w:val="006A6B35"/>
    <w:rsid w:val="006A7908"/>
    <w:rsid w:val="006B06ED"/>
    <w:rsid w:val="006B3A8F"/>
    <w:rsid w:val="006B5545"/>
    <w:rsid w:val="006C35C1"/>
    <w:rsid w:val="006C727D"/>
    <w:rsid w:val="006C7297"/>
    <w:rsid w:val="006D4D1D"/>
    <w:rsid w:val="006D707D"/>
    <w:rsid w:val="006D78A8"/>
    <w:rsid w:val="006E014D"/>
    <w:rsid w:val="006E261A"/>
    <w:rsid w:val="006E7D28"/>
    <w:rsid w:val="006F0662"/>
    <w:rsid w:val="006F2002"/>
    <w:rsid w:val="006F2602"/>
    <w:rsid w:val="006F2866"/>
    <w:rsid w:val="006F491C"/>
    <w:rsid w:val="006F6B32"/>
    <w:rsid w:val="00714F0B"/>
    <w:rsid w:val="00716428"/>
    <w:rsid w:val="00716531"/>
    <w:rsid w:val="00716B17"/>
    <w:rsid w:val="007246FF"/>
    <w:rsid w:val="00726A55"/>
    <w:rsid w:val="00731D32"/>
    <w:rsid w:val="007334F2"/>
    <w:rsid w:val="00740330"/>
    <w:rsid w:val="00741611"/>
    <w:rsid w:val="007470C5"/>
    <w:rsid w:val="00751798"/>
    <w:rsid w:val="0075270A"/>
    <w:rsid w:val="007567DE"/>
    <w:rsid w:val="00760EC5"/>
    <w:rsid w:val="00771CC7"/>
    <w:rsid w:val="0077230F"/>
    <w:rsid w:val="00781764"/>
    <w:rsid w:val="007832F1"/>
    <w:rsid w:val="0078538A"/>
    <w:rsid w:val="007941B0"/>
    <w:rsid w:val="00795C7D"/>
    <w:rsid w:val="00797A0E"/>
    <w:rsid w:val="007A0897"/>
    <w:rsid w:val="007A0A26"/>
    <w:rsid w:val="007A186C"/>
    <w:rsid w:val="007A2649"/>
    <w:rsid w:val="007A4750"/>
    <w:rsid w:val="007A721E"/>
    <w:rsid w:val="007B07A5"/>
    <w:rsid w:val="007B2348"/>
    <w:rsid w:val="007B6435"/>
    <w:rsid w:val="007B70AE"/>
    <w:rsid w:val="007C099E"/>
    <w:rsid w:val="007C22BC"/>
    <w:rsid w:val="007C3319"/>
    <w:rsid w:val="007D00F4"/>
    <w:rsid w:val="007D34E0"/>
    <w:rsid w:val="007D3BB7"/>
    <w:rsid w:val="007D6B7F"/>
    <w:rsid w:val="007E2226"/>
    <w:rsid w:val="007E3BAA"/>
    <w:rsid w:val="007E5146"/>
    <w:rsid w:val="007E5C09"/>
    <w:rsid w:val="007F0321"/>
    <w:rsid w:val="007F15DF"/>
    <w:rsid w:val="007F4E1F"/>
    <w:rsid w:val="007F61F3"/>
    <w:rsid w:val="00805063"/>
    <w:rsid w:val="00811A52"/>
    <w:rsid w:val="008144DF"/>
    <w:rsid w:val="0081643D"/>
    <w:rsid w:val="008202D4"/>
    <w:rsid w:val="00820FF8"/>
    <w:rsid w:val="0082541F"/>
    <w:rsid w:val="00840778"/>
    <w:rsid w:val="00847780"/>
    <w:rsid w:val="00861BCF"/>
    <w:rsid w:val="008627D5"/>
    <w:rsid w:val="008670D2"/>
    <w:rsid w:val="008672DB"/>
    <w:rsid w:val="0087134D"/>
    <w:rsid w:val="00873725"/>
    <w:rsid w:val="0088449D"/>
    <w:rsid w:val="008848CE"/>
    <w:rsid w:val="008852D4"/>
    <w:rsid w:val="0088622D"/>
    <w:rsid w:val="008905FF"/>
    <w:rsid w:val="0089590C"/>
    <w:rsid w:val="008A2004"/>
    <w:rsid w:val="008A2882"/>
    <w:rsid w:val="008A37F2"/>
    <w:rsid w:val="008A3A52"/>
    <w:rsid w:val="008A3CBB"/>
    <w:rsid w:val="008A3D8D"/>
    <w:rsid w:val="008A4B62"/>
    <w:rsid w:val="008B08CE"/>
    <w:rsid w:val="008B5C28"/>
    <w:rsid w:val="008C118F"/>
    <w:rsid w:val="008C16E2"/>
    <w:rsid w:val="008C4F6E"/>
    <w:rsid w:val="008C5909"/>
    <w:rsid w:val="008D059D"/>
    <w:rsid w:val="008D38DB"/>
    <w:rsid w:val="008E27FD"/>
    <w:rsid w:val="008E2ABE"/>
    <w:rsid w:val="008F1B83"/>
    <w:rsid w:val="008F2BCF"/>
    <w:rsid w:val="008F2D5C"/>
    <w:rsid w:val="008F2DF7"/>
    <w:rsid w:val="008F53EC"/>
    <w:rsid w:val="008F6396"/>
    <w:rsid w:val="008F79B6"/>
    <w:rsid w:val="00900695"/>
    <w:rsid w:val="00900C93"/>
    <w:rsid w:val="00901140"/>
    <w:rsid w:val="0091112C"/>
    <w:rsid w:val="00912A02"/>
    <w:rsid w:val="00915F5B"/>
    <w:rsid w:val="009205B8"/>
    <w:rsid w:val="00924FE4"/>
    <w:rsid w:val="00925240"/>
    <w:rsid w:val="0092571D"/>
    <w:rsid w:val="00926BCA"/>
    <w:rsid w:val="00926F33"/>
    <w:rsid w:val="00927058"/>
    <w:rsid w:val="00930F0C"/>
    <w:rsid w:val="0093492B"/>
    <w:rsid w:val="00935110"/>
    <w:rsid w:val="00935E30"/>
    <w:rsid w:val="00942650"/>
    <w:rsid w:val="00954550"/>
    <w:rsid w:val="0095467F"/>
    <w:rsid w:val="0095662A"/>
    <w:rsid w:val="00956BA1"/>
    <w:rsid w:val="009614A7"/>
    <w:rsid w:val="009648D2"/>
    <w:rsid w:val="0097239E"/>
    <w:rsid w:val="00972EEB"/>
    <w:rsid w:val="0097559E"/>
    <w:rsid w:val="00976AAB"/>
    <w:rsid w:val="0098316B"/>
    <w:rsid w:val="00991D37"/>
    <w:rsid w:val="00992202"/>
    <w:rsid w:val="00995814"/>
    <w:rsid w:val="0099636A"/>
    <w:rsid w:val="009A0455"/>
    <w:rsid w:val="009A4972"/>
    <w:rsid w:val="009A59C7"/>
    <w:rsid w:val="009A7CFB"/>
    <w:rsid w:val="009B1206"/>
    <w:rsid w:val="009B7B62"/>
    <w:rsid w:val="009C0106"/>
    <w:rsid w:val="009C024B"/>
    <w:rsid w:val="009C064E"/>
    <w:rsid w:val="009C14C9"/>
    <w:rsid w:val="009C2154"/>
    <w:rsid w:val="009C2F18"/>
    <w:rsid w:val="009C4AFD"/>
    <w:rsid w:val="009D005A"/>
    <w:rsid w:val="009D2E20"/>
    <w:rsid w:val="009D5A60"/>
    <w:rsid w:val="009D6C62"/>
    <w:rsid w:val="009E0B98"/>
    <w:rsid w:val="009E25F2"/>
    <w:rsid w:val="009E2F69"/>
    <w:rsid w:val="009E309A"/>
    <w:rsid w:val="009E3A51"/>
    <w:rsid w:val="009E7FDB"/>
    <w:rsid w:val="009F1BF2"/>
    <w:rsid w:val="009F3375"/>
    <w:rsid w:val="00A000C1"/>
    <w:rsid w:val="00A0486C"/>
    <w:rsid w:val="00A06351"/>
    <w:rsid w:val="00A07945"/>
    <w:rsid w:val="00A10D0C"/>
    <w:rsid w:val="00A138BE"/>
    <w:rsid w:val="00A14E4C"/>
    <w:rsid w:val="00A250D6"/>
    <w:rsid w:val="00A25C6F"/>
    <w:rsid w:val="00A268B5"/>
    <w:rsid w:val="00A27079"/>
    <w:rsid w:val="00A2788A"/>
    <w:rsid w:val="00A27B01"/>
    <w:rsid w:val="00A30C40"/>
    <w:rsid w:val="00A3195E"/>
    <w:rsid w:val="00A32AAD"/>
    <w:rsid w:val="00A32D63"/>
    <w:rsid w:val="00A33E6D"/>
    <w:rsid w:val="00A349BD"/>
    <w:rsid w:val="00A4013A"/>
    <w:rsid w:val="00A40549"/>
    <w:rsid w:val="00A43655"/>
    <w:rsid w:val="00A44AE2"/>
    <w:rsid w:val="00A45205"/>
    <w:rsid w:val="00A50F67"/>
    <w:rsid w:val="00A51119"/>
    <w:rsid w:val="00A520B1"/>
    <w:rsid w:val="00A524CD"/>
    <w:rsid w:val="00A54870"/>
    <w:rsid w:val="00A6097F"/>
    <w:rsid w:val="00A62B40"/>
    <w:rsid w:val="00A658EB"/>
    <w:rsid w:val="00A67740"/>
    <w:rsid w:val="00A72BF9"/>
    <w:rsid w:val="00A766A0"/>
    <w:rsid w:val="00A77EE1"/>
    <w:rsid w:val="00A83178"/>
    <w:rsid w:val="00A83C36"/>
    <w:rsid w:val="00A8434C"/>
    <w:rsid w:val="00A86627"/>
    <w:rsid w:val="00A877B0"/>
    <w:rsid w:val="00A9121F"/>
    <w:rsid w:val="00A92B82"/>
    <w:rsid w:val="00A95E9F"/>
    <w:rsid w:val="00A96128"/>
    <w:rsid w:val="00AA27AB"/>
    <w:rsid w:val="00AB045C"/>
    <w:rsid w:val="00AB2935"/>
    <w:rsid w:val="00AB7801"/>
    <w:rsid w:val="00AC01CA"/>
    <w:rsid w:val="00AC2448"/>
    <w:rsid w:val="00AC2929"/>
    <w:rsid w:val="00AC4863"/>
    <w:rsid w:val="00AC73E4"/>
    <w:rsid w:val="00AD0352"/>
    <w:rsid w:val="00AD0D66"/>
    <w:rsid w:val="00AD13DD"/>
    <w:rsid w:val="00AD171D"/>
    <w:rsid w:val="00AD2E52"/>
    <w:rsid w:val="00AD34CC"/>
    <w:rsid w:val="00AD5187"/>
    <w:rsid w:val="00AD5A24"/>
    <w:rsid w:val="00AD5B43"/>
    <w:rsid w:val="00AD5DAC"/>
    <w:rsid w:val="00AD62B0"/>
    <w:rsid w:val="00AD7B75"/>
    <w:rsid w:val="00AE1E53"/>
    <w:rsid w:val="00AE449A"/>
    <w:rsid w:val="00AE497E"/>
    <w:rsid w:val="00AE6020"/>
    <w:rsid w:val="00AE6582"/>
    <w:rsid w:val="00AE6DC5"/>
    <w:rsid w:val="00AF4844"/>
    <w:rsid w:val="00B00AE5"/>
    <w:rsid w:val="00B0227F"/>
    <w:rsid w:val="00B02CDE"/>
    <w:rsid w:val="00B02D1D"/>
    <w:rsid w:val="00B03198"/>
    <w:rsid w:val="00B06E40"/>
    <w:rsid w:val="00B072FD"/>
    <w:rsid w:val="00B1165B"/>
    <w:rsid w:val="00B13753"/>
    <w:rsid w:val="00B13C44"/>
    <w:rsid w:val="00B1408D"/>
    <w:rsid w:val="00B141C4"/>
    <w:rsid w:val="00B15FB2"/>
    <w:rsid w:val="00B22CEB"/>
    <w:rsid w:val="00B258F1"/>
    <w:rsid w:val="00B27E12"/>
    <w:rsid w:val="00B31492"/>
    <w:rsid w:val="00B33316"/>
    <w:rsid w:val="00B3681E"/>
    <w:rsid w:val="00B36A8A"/>
    <w:rsid w:val="00B36D02"/>
    <w:rsid w:val="00B4026D"/>
    <w:rsid w:val="00B403AF"/>
    <w:rsid w:val="00B40B74"/>
    <w:rsid w:val="00B41242"/>
    <w:rsid w:val="00B418AA"/>
    <w:rsid w:val="00B42615"/>
    <w:rsid w:val="00B4507F"/>
    <w:rsid w:val="00B451E6"/>
    <w:rsid w:val="00B47633"/>
    <w:rsid w:val="00B56068"/>
    <w:rsid w:val="00B63322"/>
    <w:rsid w:val="00B63F08"/>
    <w:rsid w:val="00B65537"/>
    <w:rsid w:val="00B719EB"/>
    <w:rsid w:val="00B74069"/>
    <w:rsid w:val="00B745C2"/>
    <w:rsid w:val="00B75927"/>
    <w:rsid w:val="00B760EB"/>
    <w:rsid w:val="00B76877"/>
    <w:rsid w:val="00B827CB"/>
    <w:rsid w:val="00B85ABD"/>
    <w:rsid w:val="00B90AB8"/>
    <w:rsid w:val="00B9138B"/>
    <w:rsid w:val="00B91A66"/>
    <w:rsid w:val="00B92EA8"/>
    <w:rsid w:val="00B96DA1"/>
    <w:rsid w:val="00B97D8E"/>
    <w:rsid w:val="00BA09EB"/>
    <w:rsid w:val="00BA1E68"/>
    <w:rsid w:val="00BB0A4E"/>
    <w:rsid w:val="00BB5069"/>
    <w:rsid w:val="00BB52E2"/>
    <w:rsid w:val="00BB6EDE"/>
    <w:rsid w:val="00BC0A56"/>
    <w:rsid w:val="00BC1F3B"/>
    <w:rsid w:val="00BC21B6"/>
    <w:rsid w:val="00BC2807"/>
    <w:rsid w:val="00BC405E"/>
    <w:rsid w:val="00BC41C9"/>
    <w:rsid w:val="00BC61B5"/>
    <w:rsid w:val="00BD0AC1"/>
    <w:rsid w:val="00BD1F02"/>
    <w:rsid w:val="00BD2916"/>
    <w:rsid w:val="00BD4448"/>
    <w:rsid w:val="00BD752A"/>
    <w:rsid w:val="00BE3062"/>
    <w:rsid w:val="00BE4194"/>
    <w:rsid w:val="00BF4639"/>
    <w:rsid w:val="00BF52C4"/>
    <w:rsid w:val="00BF604E"/>
    <w:rsid w:val="00BF6337"/>
    <w:rsid w:val="00C00B53"/>
    <w:rsid w:val="00C0379C"/>
    <w:rsid w:val="00C03B0B"/>
    <w:rsid w:val="00C06BB3"/>
    <w:rsid w:val="00C07A4A"/>
    <w:rsid w:val="00C11A80"/>
    <w:rsid w:val="00C11C8D"/>
    <w:rsid w:val="00C17537"/>
    <w:rsid w:val="00C175B5"/>
    <w:rsid w:val="00C176D6"/>
    <w:rsid w:val="00C26E0A"/>
    <w:rsid w:val="00C311ED"/>
    <w:rsid w:val="00C34BFB"/>
    <w:rsid w:val="00C3650E"/>
    <w:rsid w:val="00C3674E"/>
    <w:rsid w:val="00C40EA3"/>
    <w:rsid w:val="00C46EAF"/>
    <w:rsid w:val="00C50360"/>
    <w:rsid w:val="00C503EC"/>
    <w:rsid w:val="00C50BDF"/>
    <w:rsid w:val="00C61612"/>
    <w:rsid w:val="00C626EF"/>
    <w:rsid w:val="00C636FB"/>
    <w:rsid w:val="00C63FA8"/>
    <w:rsid w:val="00C65AD2"/>
    <w:rsid w:val="00C71822"/>
    <w:rsid w:val="00C7561E"/>
    <w:rsid w:val="00C76205"/>
    <w:rsid w:val="00C8378B"/>
    <w:rsid w:val="00C85B2C"/>
    <w:rsid w:val="00C90E03"/>
    <w:rsid w:val="00C93D93"/>
    <w:rsid w:val="00C93F67"/>
    <w:rsid w:val="00C978FD"/>
    <w:rsid w:val="00CA0C1D"/>
    <w:rsid w:val="00CA2242"/>
    <w:rsid w:val="00CA511D"/>
    <w:rsid w:val="00CA63CB"/>
    <w:rsid w:val="00CB11D3"/>
    <w:rsid w:val="00CB27B5"/>
    <w:rsid w:val="00CB6A70"/>
    <w:rsid w:val="00CC205B"/>
    <w:rsid w:val="00CC26E0"/>
    <w:rsid w:val="00CD3485"/>
    <w:rsid w:val="00CE01C9"/>
    <w:rsid w:val="00CE59F1"/>
    <w:rsid w:val="00CE65ED"/>
    <w:rsid w:val="00CF07F7"/>
    <w:rsid w:val="00CF13F3"/>
    <w:rsid w:val="00CF2E0C"/>
    <w:rsid w:val="00CF3328"/>
    <w:rsid w:val="00CF33A5"/>
    <w:rsid w:val="00CF737F"/>
    <w:rsid w:val="00D00A4B"/>
    <w:rsid w:val="00D02BA2"/>
    <w:rsid w:val="00D03064"/>
    <w:rsid w:val="00D05BEE"/>
    <w:rsid w:val="00D079AE"/>
    <w:rsid w:val="00D10DE8"/>
    <w:rsid w:val="00D123EA"/>
    <w:rsid w:val="00D12FEC"/>
    <w:rsid w:val="00D168BA"/>
    <w:rsid w:val="00D24D96"/>
    <w:rsid w:val="00D268BA"/>
    <w:rsid w:val="00D26B47"/>
    <w:rsid w:val="00D26E88"/>
    <w:rsid w:val="00D27DC4"/>
    <w:rsid w:val="00D31B8A"/>
    <w:rsid w:val="00D347FC"/>
    <w:rsid w:val="00D355E9"/>
    <w:rsid w:val="00D35B77"/>
    <w:rsid w:val="00D366F5"/>
    <w:rsid w:val="00D40147"/>
    <w:rsid w:val="00D440A3"/>
    <w:rsid w:val="00D4457B"/>
    <w:rsid w:val="00D45469"/>
    <w:rsid w:val="00D46B8F"/>
    <w:rsid w:val="00D50B7B"/>
    <w:rsid w:val="00D61B92"/>
    <w:rsid w:val="00D66045"/>
    <w:rsid w:val="00D665D5"/>
    <w:rsid w:val="00D671F9"/>
    <w:rsid w:val="00D6723F"/>
    <w:rsid w:val="00D7211C"/>
    <w:rsid w:val="00D72286"/>
    <w:rsid w:val="00D7343B"/>
    <w:rsid w:val="00D80713"/>
    <w:rsid w:val="00D82C67"/>
    <w:rsid w:val="00D84016"/>
    <w:rsid w:val="00D8568E"/>
    <w:rsid w:val="00D863CF"/>
    <w:rsid w:val="00D87A6D"/>
    <w:rsid w:val="00D90C7B"/>
    <w:rsid w:val="00D94ACE"/>
    <w:rsid w:val="00D966FB"/>
    <w:rsid w:val="00D96E69"/>
    <w:rsid w:val="00D97F60"/>
    <w:rsid w:val="00DA0CF5"/>
    <w:rsid w:val="00DA2F91"/>
    <w:rsid w:val="00DA470C"/>
    <w:rsid w:val="00DA5491"/>
    <w:rsid w:val="00DB0279"/>
    <w:rsid w:val="00DB2A3B"/>
    <w:rsid w:val="00DC4D44"/>
    <w:rsid w:val="00DC7397"/>
    <w:rsid w:val="00DC7985"/>
    <w:rsid w:val="00DD2377"/>
    <w:rsid w:val="00DD2962"/>
    <w:rsid w:val="00DD2ED0"/>
    <w:rsid w:val="00DD30D0"/>
    <w:rsid w:val="00DD64CF"/>
    <w:rsid w:val="00DD6BA4"/>
    <w:rsid w:val="00DD73CD"/>
    <w:rsid w:val="00DD7B63"/>
    <w:rsid w:val="00DD7E32"/>
    <w:rsid w:val="00DE08D8"/>
    <w:rsid w:val="00DE5261"/>
    <w:rsid w:val="00DF3E51"/>
    <w:rsid w:val="00DF437B"/>
    <w:rsid w:val="00E051CA"/>
    <w:rsid w:val="00E064CF"/>
    <w:rsid w:val="00E06DB5"/>
    <w:rsid w:val="00E110FB"/>
    <w:rsid w:val="00E13866"/>
    <w:rsid w:val="00E154A6"/>
    <w:rsid w:val="00E158D0"/>
    <w:rsid w:val="00E2084A"/>
    <w:rsid w:val="00E21640"/>
    <w:rsid w:val="00E217DF"/>
    <w:rsid w:val="00E225BC"/>
    <w:rsid w:val="00E24BE5"/>
    <w:rsid w:val="00E31721"/>
    <w:rsid w:val="00E32943"/>
    <w:rsid w:val="00E33F8B"/>
    <w:rsid w:val="00E375E9"/>
    <w:rsid w:val="00E40547"/>
    <w:rsid w:val="00E40CD3"/>
    <w:rsid w:val="00E42E75"/>
    <w:rsid w:val="00E447B1"/>
    <w:rsid w:val="00E449F9"/>
    <w:rsid w:val="00E45E61"/>
    <w:rsid w:val="00E468E0"/>
    <w:rsid w:val="00E53B30"/>
    <w:rsid w:val="00E53CDC"/>
    <w:rsid w:val="00E54964"/>
    <w:rsid w:val="00E55303"/>
    <w:rsid w:val="00E55CCE"/>
    <w:rsid w:val="00E60738"/>
    <w:rsid w:val="00E629CD"/>
    <w:rsid w:val="00E63A8B"/>
    <w:rsid w:val="00E64291"/>
    <w:rsid w:val="00E709B5"/>
    <w:rsid w:val="00E7155F"/>
    <w:rsid w:val="00E719F4"/>
    <w:rsid w:val="00E7580D"/>
    <w:rsid w:val="00E777A4"/>
    <w:rsid w:val="00E80464"/>
    <w:rsid w:val="00E82340"/>
    <w:rsid w:val="00E8376F"/>
    <w:rsid w:val="00E84577"/>
    <w:rsid w:val="00E845EB"/>
    <w:rsid w:val="00E87853"/>
    <w:rsid w:val="00E92D62"/>
    <w:rsid w:val="00E9367E"/>
    <w:rsid w:val="00E953FB"/>
    <w:rsid w:val="00EA1D62"/>
    <w:rsid w:val="00EA3B73"/>
    <w:rsid w:val="00EA3E91"/>
    <w:rsid w:val="00EA3F8A"/>
    <w:rsid w:val="00EA42F1"/>
    <w:rsid w:val="00EB08D0"/>
    <w:rsid w:val="00EB1808"/>
    <w:rsid w:val="00EB2091"/>
    <w:rsid w:val="00EB4683"/>
    <w:rsid w:val="00EB6F46"/>
    <w:rsid w:val="00EC436D"/>
    <w:rsid w:val="00EC5211"/>
    <w:rsid w:val="00ED090F"/>
    <w:rsid w:val="00ED1DA2"/>
    <w:rsid w:val="00ED39F6"/>
    <w:rsid w:val="00ED41D3"/>
    <w:rsid w:val="00ED6A12"/>
    <w:rsid w:val="00EE1022"/>
    <w:rsid w:val="00EE3354"/>
    <w:rsid w:val="00EE42D2"/>
    <w:rsid w:val="00EF10E0"/>
    <w:rsid w:val="00EF487B"/>
    <w:rsid w:val="00EF553E"/>
    <w:rsid w:val="00EF5EA2"/>
    <w:rsid w:val="00F02010"/>
    <w:rsid w:val="00F0374B"/>
    <w:rsid w:val="00F039F5"/>
    <w:rsid w:val="00F06952"/>
    <w:rsid w:val="00F06FB6"/>
    <w:rsid w:val="00F07515"/>
    <w:rsid w:val="00F07945"/>
    <w:rsid w:val="00F07EC2"/>
    <w:rsid w:val="00F1268B"/>
    <w:rsid w:val="00F13514"/>
    <w:rsid w:val="00F165A4"/>
    <w:rsid w:val="00F17B6F"/>
    <w:rsid w:val="00F17F01"/>
    <w:rsid w:val="00F21EF2"/>
    <w:rsid w:val="00F232AB"/>
    <w:rsid w:val="00F24CA4"/>
    <w:rsid w:val="00F24FE4"/>
    <w:rsid w:val="00F26072"/>
    <w:rsid w:val="00F2683D"/>
    <w:rsid w:val="00F31936"/>
    <w:rsid w:val="00F31A9B"/>
    <w:rsid w:val="00F34B97"/>
    <w:rsid w:val="00F35197"/>
    <w:rsid w:val="00F37152"/>
    <w:rsid w:val="00F402F9"/>
    <w:rsid w:val="00F41157"/>
    <w:rsid w:val="00F41591"/>
    <w:rsid w:val="00F419D8"/>
    <w:rsid w:val="00F421AA"/>
    <w:rsid w:val="00F42660"/>
    <w:rsid w:val="00F42B0F"/>
    <w:rsid w:val="00F430FD"/>
    <w:rsid w:val="00F4443B"/>
    <w:rsid w:val="00F50F73"/>
    <w:rsid w:val="00F51939"/>
    <w:rsid w:val="00F51F32"/>
    <w:rsid w:val="00F566E0"/>
    <w:rsid w:val="00F577BE"/>
    <w:rsid w:val="00F63116"/>
    <w:rsid w:val="00F72801"/>
    <w:rsid w:val="00F73445"/>
    <w:rsid w:val="00F73687"/>
    <w:rsid w:val="00F745E1"/>
    <w:rsid w:val="00F74EC8"/>
    <w:rsid w:val="00F757A6"/>
    <w:rsid w:val="00F86DCB"/>
    <w:rsid w:val="00F9345F"/>
    <w:rsid w:val="00F960A7"/>
    <w:rsid w:val="00F97C70"/>
    <w:rsid w:val="00FA194D"/>
    <w:rsid w:val="00FA3169"/>
    <w:rsid w:val="00FA3779"/>
    <w:rsid w:val="00FA6770"/>
    <w:rsid w:val="00FB0283"/>
    <w:rsid w:val="00FB1774"/>
    <w:rsid w:val="00FB699D"/>
    <w:rsid w:val="00FC1EDB"/>
    <w:rsid w:val="00FC240B"/>
    <w:rsid w:val="00FC31B2"/>
    <w:rsid w:val="00FC3CDF"/>
    <w:rsid w:val="00FC4ADE"/>
    <w:rsid w:val="00FC66D4"/>
    <w:rsid w:val="00FD1C3C"/>
    <w:rsid w:val="00FD1E48"/>
    <w:rsid w:val="00FD235B"/>
    <w:rsid w:val="00FD2380"/>
    <w:rsid w:val="00FD5F90"/>
    <w:rsid w:val="00FE1AC8"/>
    <w:rsid w:val="00FE3985"/>
    <w:rsid w:val="00FE4DA8"/>
    <w:rsid w:val="00FE541C"/>
    <w:rsid w:val="00FE6A7C"/>
    <w:rsid w:val="00FE6FD1"/>
    <w:rsid w:val="00FE72C1"/>
    <w:rsid w:val="00FE7C3F"/>
    <w:rsid w:val="00FF5394"/>
    <w:rsid w:val="00FF58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1B6"/>
    <w:rPr>
      <w:rFonts w:ascii="CG Times" w:hAnsi="CG Times"/>
      <w:sz w:val="24"/>
    </w:rPr>
  </w:style>
  <w:style w:type="paragraph" w:styleId="Heading1">
    <w:name w:val="heading 1"/>
    <w:basedOn w:val="Normal"/>
    <w:next w:val="Normal"/>
    <w:qFormat/>
    <w:rsid w:val="00972EEB"/>
    <w:pPr>
      <w:keepNext/>
      <w:tabs>
        <w:tab w:val="center" w:pos="4680"/>
      </w:tabs>
      <w:suppressAutoHyphens/>
      <w:outlineLvl w:val="0"/>
    </w:pPr>
    <w:rPr>
      <w:b/>
      <w:sz w:val="26"/>
    </w:rPr>
  </w:style>
  <w:style w:type="paragraph" w:styleId="Heading3">
    <w:name w:val="heading 3"/>
    <w:basedOn w:val="Normal"/>
    <w:next w:val="Normal"/>
    <w:qFormat/>
    <w:rsid w:val="001B2B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C21B6"/>
  </w:style>
  <w:style w:type="character" w:styleId="EndnoteReference">
    <w:name w:val="endnote reference"/>
    <w:basedOn w:val="DefaultParagraphFont"/>
    <w:semiHidden/>
    <w:rsid w:val="00BC21B6"/>
    <w:rPr>
      <w:vertAlign w:val="superscript"/>
    </w:rPr>
  </w:style>
  <w:style w:type="paragraph" w:styleId="FootnoteText">
    <w:name w:val="footnote text"/>
    <w:basedOn w:val="Normal"/>
    <w:link w:val="FootnoteTextChar"/>
    <w:rsid w:val="00BC21B6"/>
  </w:style>
  <w:style w:type="character" w:styleId="FootnoteReference">
    <w:name w:val="footnote reference"/>
    <w:basedOn w:val="DefaultParagraphFont"/>
    <w:rsid w:val="00BC21B6"/>
    <w:rPr>
      <w:vertAlign w:val="superscript"/>
    </w:rPr>
  </w:style>
  <w:style w:type="paragraph" w:styleId="TOC1">
    <w:name w:val="toc 1"/>
    <w:basedOn w:val="Normal"/>
    <w:next w:val="Normal"/>
    <w:semiHidden/>
    <w:rsid w:val="00BC21B6"/>
    <w:pPr>
      <w:tabs>
        <w:tab w:val="right" w:leader="dot" w:pos="9360"/>
      </w:tabs>
      <w:suppressAutoHyphens/>
      <w:spacing w:before="480"/>
      <w:ind w:left="720" w:right="720" w:hanging="720"/>
    </w:pPr>
  </w:style>
  <w:style w:type="paragraph" w:styleId="TOC2">
    <w:name w:val="toc 2"/>
    <w:basedOn w:val="Normal"/>
    <w:next w:val="Normal"/>
    <w:semiHidden/>
    <w:rsid w:val="00BC21B6"/>
    <w:pPr>
      <w:tabs>
        <w:tab w:val="right" w:leader="dot" w:pos="9360"/>
      </w:tabs>
      <w:suppressAutoHyphens/>
      <w:ind w:left="1440" w:right="720" w:hanging="720"/>
    </w:pPr>
  </w:style>
  <w:style w:type="paragraph" w:styleId="TOC3">
    <w:name w:val="toc 3"/>
    <w:basedOn w:val="Normal"/>
    <w:next w:val="Normal"/>
    <w:semiHidden/>
    <w:rsid w:val="00BC21B6"/>
    <w:pPr>
      <w:tabs>
        <w:tab w:val="right" w:leader="dot" w:pos="9360"/>
      </w:tabs>
      <w:suppressAutoHyphens/>
      <w:ind w:left="2160" w:right="720" w:hanging="720"/>
    </w:pPr>
  </w:style>
  <w:style w:type="paragraph" w:styleId="TOC4">
    <w:name w:val="toc 4"/>
    <w:basedOn w:val="Normal"/>
    <w:next w:val="Normal"/>
    <w:semiHidden/>
    <w:rsid w:val="00BC21B6"/>
    <w:pPr>
      <w:tabs>
        <w:tab w:val="right" w:leader="dot" w:pos="9360"/>
      </w:tabs>
      <w:suppressAutoHyphens/>
      <w:ind w:left="2880" w:right="720" w:hanging="720"/>
    </w:pPr>
  </w:style>
  <w:style w:type="paragraph" w:styleId="TOC5">
    <w:name w:val="toc 5"/>
    <w:basedOn w:val="Normal"/>
    <w:next w:val="Normal"/>
    <w:semiHidden/>
    <w:rsid w:val="00BC21B6"/>
    <w:pPr>
      <w:tabs>
        <w:tab w:val="right" w:leader="dot" w:pos="9360"/>
      </w:tabs>
      <w:suppressAutoHyphens/>
      <w:ind w:left="3600" w:right="720" w:hanging="720"/>
    </w:pPr>
  </w:style>
  <w:style w:type="paragraph" w:styleId="TOC6">
    <w:name w:val="toc 6"/>
    <w:basedOn w:val="Normal"/>
    <w:next w:val="Normal"/>
    <w:semiHidden/>
    <w:rsid w:val="00BC21B6"/>
    <w:pPr>
      <w:tabs>
        <w:tab w:val="right" w:pos="9360"/>
      </w:tabs>
      <w:suppressAutoHyphens/>
      <w:ind w:left="720" w:hanging="720"/>
    </w:pPr>
  </w:style>
  <w:style w:type="paragraph" w:styleId="TOC7">
    <w:name w:val="toc 7"/>
    <w:basedOn w:val="Normal"/>
    <w:next w:val="Normal"/>
    <w:semiHidden/>
    <w:rsid w:val="00BC21B6"/>
    <w:pPr>
      <w:suppressAutoHyphens/>
      <w:ind w:left="720" w:hanging="720"/>
    </w:pPr>
  </w:style>
  <w:style w:type="paragraph" w:styleId="TOC8">
    <w:name w:val="toc 8"/>
    <w:basedOn w:val="Normal"/>
    <w:next w:val="Normal"/>
    <w:semiHidden/>
    <w:rsid w:val="00BC21B6"/>
    <w:pPr>
      <w:tabs>
        <w:tab w:val="right" w:pos="9360"/>
      </w:tabs>
      <w:suppressAutoHyphens/>
      <w:ind w:left="720" w:hanging="720"/>
    </w:pPr>
  </w:style>
  <w:style w:type="paragraph" w:styleId="TOC9">
    <w:name w:val="toc 9"/>
    <w:basedOn w:val="Normal"/>
    <w:next w:val="Normal"/>
    <w:semiHidden/>
    <w:rsid w:val="00BC21B6"/>
    <w:pPr>
      <w:tabs>
        <w:tab w:val="right" w:leader="dot" w:pos="9360"/>
      </w:tabs>
      <w:suppressAutoHyphens/>
      <w:ind w:left="720" w:hanging="720"/>
    </w:pPr>
  </w:style>
  <w:style w:type="paragraph" w:styleId="Index1">
    <w:name w:val="index 1"/>
    <w:basedOn w:val="Normal"/>
    <w:next w:val="Normal"/>
    <w:semiHidden/>
    <w:rsid w:val="00BC21B6"/>
    <w:pPr>
      <w:tabs>
        <w:tab w:val="right" w:leader="dot" w:pos="9360"/>
      </w:tabs>
      <w:suppressAutoHyphens/>
      <w:ind w:left="1440" w:right="720" w:hanging="1440"/>
    </w:pPr>
  </w:style>
  <w:style w:type="paragraph" w:styleId="Index2">
    <w:name w:val="index 2"/>
    <w:basedOn w:val="Normal"/>
    <w:next w:val="Normal"/>
    <w:semiHidden/>
    <w:rsid w:val="00BC21B6"/>
    <w:pPr>
      <w:tabs>
        <w:tab w:val="right" w:leader="dot" w:pos="9360"/>
      </w:tabs>
      <w:suppressAutoHyphens/>
      <w:ind w:left="1440" w:right="720" w:hanging="720"/>
    </w:pPr>
  </w:style>
  <w:style w:type="paragraph" w:styleId="TOAHeading">
    <w:name w:val="toa heading"/>
    <w:basedOn w:val="Normal"/>
    <w:next w:val="Normal"/>
    <w:semiHidden/>
    <w:rsid w:val="00BC21B6"/>
    <w:pPr>
      <w:tabs>
        <w:tab w:val="right" w:pos="9360"/>
      </w:tabs>
      <w:suppressAutoHyphens/>
    </w:pPr>
  </w:style>
  <w:style w:type="paragraph" w:styleId="Caption">
    <w:name w:val="caption"/>
    <w:basedOn w:val="Normal"/>
    <w:next w:val="Normal"/>
    <w:qFormat/>
    <w:rsid w:val="00BC21B6"/>
  </w:style>
  <w:style w:type="character" w:customStyle="1" w:styleId="EquationCaption">
    <w:name w:val="_Equation Caption"/>
    <w:rsid w:val="00BC21B6"/>
  </w:style>
  <w:style w:type="paragraph" w:styleId="Footer">
    <w:name w:val="footer"/>
    <w:basedOn w:val="Normal"/>
    <w:link w:val="FooterChar"/>
    <w:uiPriority w:val="99"/>
    <w:rsid w:val="00BC21B6"/>
    <w:pPr>
      <w:tabs>
        <w:tab w:val="center" w:pos="4320"/>
        <w:tab w:val="right" w:pos="8640"/>
      </w:tabs>
    </w:pPr>
  </w:style>
  <w:style w:type="paragraph" w:styleId="Header">
    <w:name w:val="header"/>
    <w:basedOn w:val="Normal"/>
    <w:rsid w:val="00BC21B6"/>
    <w:pPr>
      <w:tabs>
        <w:tab w:val="center" w:pos="4320"/>
        <w:tab w:val="right" w:pos="8640"/>
      </w:tabs>
    </w:pPr>
  </w:style>
  <w:style w:type="character" w:styleId="PageNumber">
    <w:name w:val="page number"/>
    <w:basedOn w:val="DefaultParagraphFont"/>
    <w:rsid w:val="00BC21B6"/>
  </w:style>
  <w:style w:type="paragraph" w:styleId="BodyText">
    <w:name w:val="Body Text"/>
    <w:basedOn w:val="Normal"/>
    <w:rsid w:val="00BC21B6"/>
    <w:pPr>
      <w:spacing w:line="360" w:lineRule="auto"/>
    </w:pPr>
    <w:rPr>
      <w:rFonts w:ascii="Times New Roman" w:hAnsi="Times New Roman"/>
      <w:sz w:val="26"/>
    </w:rPr>
  </w:style>
  <w:style w:type="paragraph" w:styleId="BodyTextIndent2">
    <w:name w:val="Body Text Indent 2"/>
    <w:basedOn w:val="Normal"/>
    <w:rsid w:val="00BC21B6"/>
    <w:pPr>
      <w:spacing w:line="360" w:lineRule="auto"/>
      <w:ind w:firstLine="1440"/>
      <w:jc w:val="both"/>
    </w:pPr>
    <w:rPr>
      <w:rFonts w:ascii="Times New Roman" w:hAnsi="Times New Roman"/>
      <w:sz w:val="26"/>
    </w:rPr>
  </w:style>
  <w:style w:type="paragraph" w:styleId="BlockText">
    <w:name w:val="Block Text"/>
    <w:basedOn w:val="Normal"/>
    <w:rsid w:val="00BC21B6"/>
    <w:pPr>
      <w:ind w:left="2160" w:right="1440" w:hanging="720"/>
    </w:pPr>
    <w:rPr>
      <w:rFonts w:ascii="Times New Roman" w:hAnsi="Times New Roman"/>
      <w:sz w:val="26"/>
    </w:rPr>
  </w:style>
  <w:style w:type="paragraph" w:styleId="BodyTextIndent">
    <w:name w:val="Body Text Indent"/>
    <w:basedOn w:val="Normal"/>
    <w:rsid w:val="00972EEB"/>
    <w:pPr>
      <w:spacing w:after="120"/>
      <w:ind w:left="360"/>
    </w:pPr>
  </w:style>
  <w:style w:type="paragraph" w:styleId="BalloonText">
    <w:name w:val="Balloon Text"/>
    <w:basedOn w:val="Normal"/>
    <w:semiHidden/>
    <w:rsid w:val="00D7343B"/>
    <w:rPr>
      <w:rFonts w:ascii="Tahoma" w:hAnsi="Tahoma" w:cs="Tahoma"/>
      <w:sz w:val="16"/>
      <w:szCs w:val="16"/>
    </w:rPr>
  </w:style>
  <w:style w:type="paragraph" w:styleId="BodyText2">
    <w:name w:val="Body Text 2"/>
    <w:basedOn w:val="Normal"/>
    <w:rsid w:val="00185CF6"/>
    <w:pPr>
      <w:spacing w:after="120" w:line="480" w:lineRule="auto"/>
      <w:jc w:val="both"/>
    </w:pPr>
    <w:rPr>
      <w:rFonts w:ascii="Times New Roman" w:hAnsi="Times New Roman"/>
      <w:sz w:val="26"/>
    </w:rPr>
  </w:style>
  <w:style w:type="character" w:styleId="Emphasis">
    <w:name w:val="Emphasis"/>
    <w:basedOn w:val="DefaultParagraphFont"/>
    <w:qFormat/>
    <w:rsid w:val="00F960A7"/>
    <w:rPr>
      <w:i/>
      <w:iCs/>
    </w:rPr>
  </w:style>
  <w:style w:type="paragraph" w:styleId="ListParagraph">
    <w:name w:val="List Paragraph"/>
    <w:basedOn w:val="Normal"/>
    <w:uiPriority w:val="34"/>
    <w:qFormat/>
    <w:rsid w:val="0091112C"/>
    <w:pPr>
      <w:ind w:left="720"/>
      <w:contextualSpacing/>
    </w:pPr>
    <w:rPr>
      <w:rFonts w:ascii="Times New Roman" w:hAnsi="Times New Roman"/>
      <w:szCs w:val="24"/>
    </w:rPr>
  </w:style>
  <w:style w:type="character" w:customStyle="1" w:styleId="FootnoteTextChar">
    <w:name w:val="Footnote Text Char"/>
    <w:basedOn w:val="DefaultParagraphFont"/>
    <w:link w:val="FootnoteText"/>
    <w:rsid w:val="0091112C"/>
    <w:rPr>
      <w:rFonts w:ascii="CG Times" w:hAnsi="CG Times"/>
      <w:sz w:val="24"/>
    </w:rPr>
  </w:style>
  <w:style w:type="character" w:customStyle="1" w:styleId="FooterChar">
    <w:name w:val="Footer Char"/>
    <w:basedOn w:val="DefaultParagraphFont"/>
    <w:link w:val="Footer"/>
    <w:uiPriority w:val="99"/>
    <w:rsid w:val="00FE72C1"/>
    <w:rPr>
      <w:rFonts w:ascii="CG Times" w:hAnsi="CG Times"/>
      <w:sz w:val="24"/>
    </w:rPr>
  </w:style>
</w:styles>
</file>

<file path=word/webSettings.xml><?xml version="1.0" encoding="utf-8"?>
<w:webSettings xmlns:r="http://schemas.openxmlformats.org/officeDocument/2006/relationships" xmlns:w="http://schemas.openxmlformats.org/wordprocessingml/2006/main">
  <w:divs>
    <w:div w:id="923343101">
      <w:bodyDiv w:val="1"/>
      <w:marLeft w:val="0"/>
      <w:marRight w:val="0"/>
      <w:marTop w:val="0"/>
      <w:marBottom w:val="0"/>
      <w:divBdr>
        <w:top w:val="none" w:sz="0" w:space="0" w:color="auto"/>
        <w:left w:val="none" w:sz="0" w:space="0" w:color="auto"/>
        <w:bottom w:val="none" w:sz="0" w:space="0" w:color="auto"/>
        <w:right w:val="none" w:sz="0" w:space="0" w:color="auto"/>
      </w:divBdr>
      <w:divsChild>
        <w:div w:id="1237519873">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6DBF6-7022-4EF5-908B-E3DD02BF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24</Pages>
  <Words>5430</Words>
  <Characters>30952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A-00112763F0003AMB; o; Eastern Medical Ambul.</vt:lpstr>
    </vt:vector>
  </TitlesOfParts>
  <Company>PA PUC</Company>
  <LinksUpToDate>false</LinksUpToDate>
  <CharactersWithSpaces>36310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A-00112763F0003AMB; o; Eastern Medical Ambul.</dc:title>
  <dc:subject>Motor Carrier Exceptions to Application for authority</dc:subject>
  <dc:creator>HOUSEK</dc:creator>
  <cp:keywords/>
  <cp:lastModifiedBy>mahinds</cp:lastModifiedBy>
  <cp:revision>46</cp:revision>
  <cp:lastPrinted>2009-09-24T17:13:00Z</cp:lastPrinted>
  <dcterms:created xsi:type="dcterms:W3CDTF">2009-09-17T11:35:00Z</dcterms:created>
  <dcterms:modified xsi:type="dcterms:W3CDTF">2009-09-24T17:14:00Z</dcterms:modified>
</cp:coreProperties>
</file>