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5A9" w:rsidRDefault="008235A9" w:rsidP="008235A9">
      <w:pPr>
        <w:jc w:val="center"/>
        <w:rPr>
          <w:b/>
        </w:rPr>
      </w:pPr>
      <w:r>
        <w:rPr>
          <w:b/>
        </w:rPr>
        <w:t>BEFORE THE</w:t>
      </w:r>
    </w:p>
    <w:p w:rsidR="008235A9" w:rsidRDefault="008235A9" w:rsidP="008235A9">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8235A9" w:rsidRDefault="008235A9" w:rsidP="008235A9">
      <w:pPr>
        <w:jc w:val="center"/>
      </w:pPr>
    </w:p>
    <w:p w:rsidR="008235A9" w:rsidRDefault="008235A9" w:rsidP="008235A9">
      <w:pPr>
        <w:jc w:val="center"/>
      </w:pPr>
    </w:p>
    <w:p w:rsidR="008235A9" w:rsidRDefault="008235A9" w:rsidP="008235A9">
      <w:pPr>
        <w:jc w:val="center"/>
      </w:pPr>
    </w:p>
    <w:p w:rsidR="008235A9" w:rsidRDefault="00295DA4" w:rsidP="008235A9">
      <w:r>
        <w:t>Adolf H. Blauhut</w:t>
      </w:r>
      <w:r w:rsidR="008235A9">
        <w:tab/>
      </w:r>
      <w:r w:rsidR="008235A9">
        <w:tab/>
      </w:r>
      <w:r w:rsidR="008235A9">
        <w:tab/>
      </w:r>
      <w:r w:rsidR="008235A9">
        <w:tab/>
      </w:r>
      <w:r w:rsidR="008235A9">
        <w:tab/>
        <w:t>:</w:t>
      </w:r>
    </w:p>
    <w:p w:rsidR="008235A9" w:rsidRDefault="008235A9" w:rsidP="008235A9">
      <w:r>
        <w:tab/>
      </w:r>
      <w:r>
        <w:tab/>
      </w:r>
      <w:r>
        <w:tab/>
      </w:r>
      <w:r>
        <w:tab/>
      </w:r>
      <w:r>
        <w:tab/>
      </w:r>
      <w:r>
        <w:tab/>
      </w:r>
      <w:r>
        <w:tab/>
        <w:t>:</w:t>
      </w:r>
    </w:p>
    <w:p w:rsidR="008235A9" w:rsidRDefault="008235A9" w:rsidP="008235A9">
      <w:r>
        <w:tab/>
        <w:t xml:space="preserve"> v.</w:t>
      </w:r>
      <w:r>
        <w:tab/>
      </w:r>
      <w:r>
        <w:tab/>
      </w:r>
      <w:r>
        <w:tab/>
      </w:r>
      <w:r>
        <w:tab/>
      </w:r>
      <w:r>
        <w:tab/>
      </w:r>
      <w:r>
        <w:tab/>
        <w:t>:</w:t>
      </w:r>
      <w:r>
        <w:tab/>
      </w:r>
      <w:r>
        <w:tab/>
      </w:r>
      <w:r w:rsidR="00295DA4">
        <w:t>C-2009-2087552</w:t>
      </w:r>
    </w:p>
    <w:p w:rsidR="008235A9" w:rsidRDefault="008235A9" w:rsidP="008235A9">
      <w:r>
        <w:tab/>
      </w:r>
      <w:r>
        <w:tab/>
      </w:r>
      <w:r>
        <w:tab/>
      </w:r>
      <w:r>
        <w:tab/>
      </w:r>
      <w:r>
        <w:tab/>
      </w:r>
      <w:r>
        <w:tab/>
      </w:r>
      <w:r>
        <w:tab/>
        <w:t>:</w:t>
      </w:r>
    </w:p>
    <w:p w:rsidR="008235A9" w:rsidRDefault="008235A9" w:rsidP="008235A9">
      <w:r>
        <w:t>PECO Energy Company</w:t>
      </w:r>
      <w:r>
        <w:tab/>
      </w:r>
      <w:r>
        <w:tab/>
      </w:r>
      <w:r>
        <w:tab/>
      </w:r>
      <w:r>
        <w:tab/>
        <w:t>:</w:t>
      </w:r>
    </w:p>
    <w:p w:rsidR="008235A9" w:rsidRDefault="008235A9" w:rsidP="008235A9"/>
    <w:p w:rsidR="008235A9" w:rsidRDefault="008235A9" w:rsidP="008235A9"/>
    <w:p w:rsidR="008235A9" w:rsidRDefault="008235A9" w:rsidP="008235A9"/>
    <w:p w:rsidR="008235A9" w:rsidRDefault="008235A9" w:rsidP="008235A9">
      <w:pPr>
        <w:jc w:val="center"/>
      </w:pPr>
      <w:r>
        <w:rPr>
          <w:b/>
          <w:u w:val="single"/>
        </w:rPr>
        <w:t>INITIAL DECISION</w:t>
      </w:r>
    </w:p>
    <w:p w:rsidR="008235A9" w:rsidRDefault="008235A9" w:rsidP="008235A9">
      <w:pPr>
        <w:jc w:val="center"/>
      </w:pPr>
    </w:p>
    <w:p w:rsidR="008235A9" w:rsidRDefault="008235A9" w:rsidP="008235A9">
      <w:pPr>
        <w:jc w:val="center"/>
      </w:pPr>
    </w:p>
    <w:p w:rsidR="008235A9" w:rsidRDefault="008235A9" w:rsidP="008235A9">
      <w:pPr>
        <w:jc w:val="center"/>
      </w:pPr>
      <w:r>
        <w:t>Before</w:t>
      </w:r>
    </w:p>
    <w:p w:rsidR="008235A9" w:rsidRDefault="008235A9" w:rsidP="008235A9">
      <w:pPr>
        <w:jc w:val="center"/>
      </w:pPr>
      <w:r>
        <w:t>Ky Van Nguyen</w:t>
      </w:r>
    </w:p>
    <w:p w:rsidR="008235A9" w:rsidRDefault="008235A9" w:rsidP="008235A9">
      <w:pPr>
        <w:jc w:val="center"/>
      </w:pPr>
      <w:r>
        <w:t>Administrative Law Judge</w:t>
      </w:r>
    </w:p>
    <w:p w:rsidR="008235A9" w:rsidRDefault="008235A9" w:rsidP="008235A9">
      <w:pPr>
        <w:jc w:val="center"/>
      </w:pPr>
    </w:p>
    <w:p w:rsidR="008235A9" w:rsidRDefault="008235A9" w:rsidP="008235A9">
      <w:pPr>
        <w:jc w:val="center"/>
      </w:pPr>
    </w:p>
    <w:p w:rsidR="008235A9" w:rsidRDefault="008235A9" w:rsidP="008235A9">
      <w:pPr>
        <w:jc w:val="center"/>
      </w:pPr>
      <w:r>
        <w:rPr>
          <w:u w:val="single"/>
        </w:rPr>
        <w:t>HISTORY OF THE PROCEEDINGS</w:t>
      </w:r>
    </w:p>
    <w:p w:rsidR="008235A9" w:rsidRDefault="008235A9" w:rsidP="008235A9">
      <w:pPr>
        <w:jc w:val="center"/>
      </w:pPr>
    </w:p>
    <w:p w:rsidR="008235A9" w:rsidRDefault="008235A9" w:rsidP="008235A9">
      <w:pPr>
        <w:jc w:val="center"/>
      </w:pPr>
    </w:p>
    <w:p w:rsidR="008235A9" w:rsidRDefault="008235A9" w:rsidP="008235A9">
      <w:pPr>
        <w:spacing w:line="360" w:lineRule="auto"/>
      </w:pPr>
      <w:r>
        <w:tab/>
      </w:r>
      <w:r>
        <w:tab/>
        <w:t xml:space="preserve">On </w:t>
      </w:r>
      <w:r w:rsidR="00295DA4">
        <w:t>January 26, 2009</w:t>
      </w:r>
      <w:r>
        <w:t xml:space="preserve">, </w:t>
      </w:r>
      <w:r w:rsidR="00295DA4">
        <w:t>Adolf H. Blauhut</w:t>
      </w:r>
      <w:r>
        <w:t xml:space="preserve"> (Complainant) filed a complaint against PECO Energy Company (Respondent).  In the complaint, the Complainant </w:t>
      </w:r>
      <w:r w:rsidR="00295DA4">
        <w:t xml:space="preserve">essentially </w:t>
      </w:r>
      <w:r>
        <w:t xml:space="preserve">alleged that </w:t>
      </w:r>
      <w:r w:rsidR="00295DA4">
        <w:t>on June 10, 2008, at about 7:40 p.m., he encountered a power failure, that after the outage all the ground fault circuit interruptions (G</w:t>
      </w:r>
      <w:r w:rsidR="004C7490">
        <w:t>F</w:t>
      </w:r>
      <w:r w:rsidR="00295DA4">
        <w:t xml:space="preserve">CIs) were unable to provide him with the expected GFCI protection, and that the </w:t>
      </w:r>
      <w:r w:rsidR="004C7490">
        <w:t>G</w:t>
      </w:r>
      <w:r w:rsidR="00295DA4">
        <w:t>FCIs in his back garage tripped their circuit breakers, and hummed and smoked w</w:t>
      </w:r>
      <w:r w:rsidR="004C7490">
        <w:t>hen</w:t>
      </w:r>
      <w:r w:rsidR="00295DA4">
        <w:t xml:space="preserve"> the breakers were reset.  The Complainant asked that the Respondent pay for damages resulting from the outage and provide such service and equipment as necessary for the safety of its customer</w:t>
      </w:r>
      <w:r w:rsidR="00A459D3">
        <w:t>s</w:t>
      </w:r>
      <w:r w:rsidR="00295DA4">
        <w:t xml:space="preserve"> in the future.</w:t>
      </w:r>
    </w:p>
    <w:p w:rsidR="008235A9" w:rsidRDefault="008235A9" w:rsidP="008235A9">
      <w:pPr>
        <w:spacing w:line="360" w:lineRule="auto"/>
      </w:pPr>
    </w:p>
    <w:p w:rsidR="008235A9" w:rsidRDefault="008235A9" w:rsidP="008235A9">
      <w:pPr>
        <w:spacing w:line="360" w:lineRule="auto"/>
      </w:pPr>
      <w:r>
        <w:tab/>
      </w:r>
      <w:r>
        <w:tab/>
        <w:t xml:space="preserve">On </w:t>
      </w:r>
      <w:r w:rsidR="00295DA4">
        <w:t>March 3, 2009</w:t>
      </w:r>
      <w:r>
        <w:t>, the Respondent filed an answer</w:t>
      </w:r>
      <w:r w:rsidR="007B699E">
        <w:t xml:space="preserve"> and new matter, and a preliminary objection,</w:t>
      </w:r>
      <w:r>
        <w:t xml:space="preserve"> to the complaint.  </w:t>
      </w:r>
      <w:r w:rsidR="007B699E">
        <w:t>Respondent</w:t>
      </w:r>
      <w:r>
        <w:t xml:space="preserve"> stated that the </w:t>
      </w:r>
      <w:r w:rsidR="007B699E">
        <w:t xml:space="preserve">storm-related outage on the circuit in the Complainant’s area was reported to the Respondent at 8:40 p.m. on June 10, 2008, that the circuit was restored on June 12, 2008, and that the four-year history of service outages in the Complainant’s area </w:t>
      </w:r>
      <w:r w:rsidR="00D747CC">
        <w:t>of high</w:t>
      </w:r>
      <w:r w:rsidR="007B699E">
        <w:t xml:space="preserve"> trees and vegetation indicated his circuit h</w:t>
      </w:r>
      <w:r w:rsidR="004C7490">
        <w:t>istorically performed well and wa</w:t>
      </w:r>
      <w:r w:rsidR="007B699E">
        <w:t xml:space="preserve">s highly reliable.  </w:t>
      </w:r>
    </w:p>
    <w:p w:rsidR="008235A9" w:rsidRDefault="008235A9" w:rsidP="008235A9">
      <w:pPr>
        <w:spacing w:line="360" w:lineRule="auto"/>
      </w:pPr>
    </w:p>
    <w:p w:rsidR="00085A59" w:rsidRDefault="008235A9" w:rsidP="008235A9">
      <w:pPr>
        <w:spacing w:line="360" w:lineRule="auto"/>
      </w:pPr>
      <w:r>
        <w:lastRenderedPageBreak/>
        <w:tab/>
      </w:r>
      <w:r>
        <w:tab/>
      </w:r>
      <w:r w:rsidR="00085A59">
        <w:t>In the preliminary objection, the Respondent moved to dismiss the Complainant’s claim because the Commission does not have jurisdiction to award damages.</w:t>
      </w:r>
    </w:p>
    <w:p w:rsidR="00085A59" w:rsidRDefault="00085A59" w:rsidP="008235A9">
      <w:pPr>
        <w:spacing w:line="360" w:lineRule="auto"/>
      </w:pPr>
    </w:p>
    <w:p w:rsidR="008235A9" w:rsidRDefault="00085A59" w:rsidP="008235A9">
      <w:pPr>
        <w:spacing w:line="360" w:lineRule="auto"/>
      </w:pPr>
      <w:r>
        <w:tab/>
      </w:r>
      <w:r>
        <w:tab/>
        <w:t>On March 10, 2009, Administrative Law Judge (ALJ)</w:t>
      </w:r>
      <w:r w:rsidR="00F02856">
        <w:t xml:space="preserve"> David A. Salapa was assigned to rule on the motion.  He sustained the motion on the Commission’s lack of authority to award damages and set a hearing on the Complainant’s allegation that the Respondent failed to provide such service and equipment as necessary for the safety of its customers.</w:t>
      </w:r>
    </w:p>
    <w:p w:rsidR="00F02856" w:rsidRDefault="00F02856" w:rsidP="008235A9">
      <w:pPr>
        <w:spacing w:line="360" w:lineRule="auto"/>
      </w:pPr>
    </w:p>
    <w:p w:rsidR="00F02856" w:rsidRDefault="00F02856" w:rsidP="008235A9">
      <w:pPr>
        <w:spacing w:line="360" w:lineRule="auto"/>
      </w:pPr>
      <w:r>
        <w:tab/>
      </w:r>
      <w:r>
        <w:tab/>
        <w:t xml:space="preserve">On June 1, 2009, a hearing on the complaint was held.  The Complainant proceeded unrepresented.  He </w:t>
      </w:r>
      <w:r w:rsidR="00A459D3">
        <w:t xml:space="preserve">presented his own testimony and Mr. Robert Rodner’s testimony </w:t>
      </w:r>
      <w:r>
        <w:t>and introduced seven exhibits (C-1, C-2, C-3, C-4, C-4(a), C-4(b), and C-5) which were admitted into the record.  The Respondent was represented by Tishekia E. Williams, Esqu</w:t>
      </w:r>
      <w:r w:rsidR="00A32146">
        <w:t>ire</w:t>
      </w:r>
      <w:r w:rsidR="004C7490">
        <w:t>,</w:t>
      </w:r>
      <w:r w:rsidR="00A32146">
        <w:t xml:space="preserve"> who presented the testimony of three witnesses and three exhibits which were admitted into the record.  </w:t>
      </w:r>
    </w:p>
    <w:p w:rsidR="00A32146" w:rsidRDefault="00A32146" w:rsidP="008235A9">
      <w:pPr>
        <w:spacing w:line="360" w:lineRule="auto"/>
      </w:pPr>
    </w:p>
    <w:p w:rsidR="00A32146" w:rsidRDefault="00A32146" w:rsidP="008235A9">
      <w:pPr>
        <w:spacing w:line="360" w:lineRule="auto"/>
      </w:pPr>
      <w:r>
        <w:tab/>
      </w:r>
      <w:r>
        <w:tab/>
        <w:t>On June 3, 2009, I asked the Respondent to clarify the record and the Respondent submitted a letter of clarification</w:t>
      </w:r>
      <w:r w:rsidR="0040612B">
        <w:t xml:space="preserve">, which will be admitted into the record as PECO Exhibit </w:t>
      </w:r>
      <w:r w:rsidR="00A67335">
        <w:t>4</w:t>
      </w:r>
      <w:r w:rsidR="0040612B">
        <w:t xml:space="preserve">.  </w:t>
      </w:r>
    </w:p>
    <w:p w:rsidR="004C7490" w:rsidRDefault="004C7490" w:rsidP="008235A9">
      <w:pPr>
        <w:spacing w:line="360" w:lineRule="auto"/>
      </w:pPr>
    </w:p>
    <w:p w:rsidR="004C7490" w:rsidRDefault="004C7490" w:rsidP="008235A9">
      <w:pPr>
        <w:spacing w:line="360" w:lineRule="auto"/>
      </w:pPr>
      <w:r>
        <w:tab/>
      </w:r>
      <w:r>
        <w:tab/>
        <w:t>At the hearing, the parties indicated that they were willing to file briefs.  On June 8, 2009, I established a briefing schedule for them:  Ma</w:t>
      </w:r>
      <w:r w:rsidR="00A67335">
        <w:t>in Briefs on July 23, 2009 and R</w:t>
      </w:r>
      <w:r>
        <w:t>eply Briefs on July 30, 2009.  Later they asked for an extension of time in which to file their briefs.  The last day to file reply briefs was August 5, 2009.  The parties filed their briefs on time.</w:t>
      </w:r>
    </w:p>
    <w:p w:rsidR="0040612B" w:rsidRDefault="0040612B" w:rsidP="008235A9">
      <w:pPr>
        <w:spacing w:line="360" w:lineRule="auto"/>
      </w:pPr>
    </w:p>
    <w:p w:rsidR="0040612B" w:rsidRDefault="0040612B" w:rsidP="008235A9">
      <w:pPr>
        <w:spacing w:line="360" w:lineRule="auto"/>
      </w:pPr>
      <w:r>
        <w:tab/>
      </w:r>
      <w:r>
        <w:tab/>
        <w:t xml:space="preserve">The record was closed on </w:t>
      </w:r>
      <w:r w:rsidR="004C7490">
        <w:t>August 5, 2009.</w:t>
      </w:r>
    </w:p>
    <w:p w:rsidR="008235A9" w:rsidRDefault="008235A9" w:rsidP="008235A9">
      <w:pPr>
        <w:spacing w:line="360" w:lineRule="auto"/>
      </w:pPr>
    </w:p>
    <w:p w:rsidR="008235A9" w:rsidRDefault="008235A9" w:rsidP="008235A9">
      <w:pPr>
        <w:spacing w:line="360" w:lineRule="auto"/>
        <w:jc w:val="center"/>
      </w:pPr>
      <w:r>
        <w:rPr>
          <w:u w:val="single"/>
        </w:rPr>
        <w:t>FINDINGS OF FACT</w:t>
      </w:r>
    </w:p>
    <w:p w:rsidR="008235A9" w:rsidRDefault="008235A9" w:rsidP="008235A9">
      <w:pPr>
        <w:spacing w:line="360" w:lineRule="auto"/>
        <w:jc w:val="center"/>
      </w:pPr>
    </w:p>
    <w:p w:rsidR="008235A9" w:rsidRDefault="008235A9" w:rsidP="008235A9">
      <w:pPr>
        <w:spacing w:line="360" w:lineRule="auto"/>
      </w:pPr>
      <w:r>
        <w:tab/>
      </w:r>
      <w:r>
        <w:tab/>
        <w:t>1.</w:t>
      </w:r>
      <w:r>
        <w:tab/>
        <w:t xml:space="preserve">The Complainant </w:t>
      </w:r>
      <w:r w:rsidR="0040612B">
        <w:t>is a Respondent ratepayer of record and takes service</w:t>
      </w:r>
      <w:r>
        <w:t xml:space="preserve"> at </w:t>
      </w:r>
      <w:r w:rsidR="0040612B">
        <w:t>206 Morris Road, Exton</w:t>
      </w:r>
      <w:r>
        <w:t xml:space="preserve">, Pennsylvania (N.T. </w:t>
      </w:r>
      <w:r w:rsidR="00886ECA">
        <w:t>3, 4</w:t>
      </w:r>
      <w:r>
        <w:t>).</w:t>
      </w:r>
    </w:p>
    <w:p w:rsidR="008235A9" w:rsidRDefault="008235A9" w:rsidP="008235A9">
      <w:pPr>
        <w:spacing w:line="360" w:lineRule="auto"/>
      </w:pPr>
    </w:p>
    <w:p w:rsidR="008235A9" w:rsidRDefault="008235A9" w:rsidP="008235A9">
      <w:pPr>
        <w:spacing w:line="360" w:lineRule="auto"/>
      </w:pPr>
      <w:r>
        <w:lastRenderedPageBreak/>
        <w:tab/>
      </w:r>
      <w:r>
        <w:tab/>
        <w:t>2.</w:t>
      </w:r>
      <w:r>
        <w:tab/>
      </w:r>
      <w:r w:rsidR="00886ECA">
        <w:t xml:space="preserve">On June 10, 2008, at about 7:40 p.m. a severe storm occurred, causing an outage to </w:t>
      </w:r>
      <w:r w:rsidR="00A67335">
        <w:t>the Complainant’s</w:t>
      </w:r>
      <w:r w:rsidR="00886ECA">
        <w:t xml:space="preserve"> area, which lasted until June 12, 2008 at about 2:15 p.m.  The Complainant’s telephone service also went out with the electric service (N.T. 5, 6, 8).   </w:t>
      </w:r>
    </w:p>
    <w:p w:rsidR="008235A9" w:rsidRDefault="008235A9" w:rsidP="008235A9">
      <w:pPr>
        <w:spacing w:line="360" w:lineRule="auto"/>
      </w:pPr>
    </w:p>
    <w:p w:rsidR="008235A9" w:rsidRDefault="008235A9" w:rsidP="008235A9">
      <w:pPr>
        <w:spacing w:line="360" w:lineRule="auto"/>
      </w:pPr>
      <w:r>
        <w:tab/>
      </w:r>
      <w:r>
        <w:tab/>
        <w:t>3.</w:t>
      </w:r>
      <w:r>
        <w:tab/>
        <w:t xml:space="preserve">On </w:t>
      </w:r>
      <w:r w:rsidR="00886ECA">
        <w:t>June 12</w:t>
      </w:r>
      <w:r>
        <w:t>, 200</w:t>
      </w:r>
      <w:r w:rsidR="00886ECA">
        <w:t>8</w:t>
      </w:r>
      <w:r>
        <w:t xml:space="preserve">, </w:t>
      </w:r>
      <w:r w:rsidR="00886ECA">
        <w:t xml:space="preserve">the Complainant had telephone service again.  He called a Respondent employee by the name of Melissa to get a claim form for items that were damaged by the storm (N.T. 8-10).  </w:t>
      </w:r>
    </w:p>
    <w:p w:rsidR="008235A9" w:rsidRDefault="008235A9" w:rsidP="008235A9">
      <w:pPr>
        <w:spacing w:line="360" w:lineRule="auto"/>
      </w:pPr>
    </w:p>
    <w:p w:rsidR="008235A9" w:rsidRDefault="008235A9" w:rsidP="008235A9">
      <w:pPr>
        <w:spacing w:line="360" w:lineRule="auto"/>
      </w:pPr>
      <w:r>
        <w:tab/>
      </w:r>
      <w:r>
        <w:tab/>
        <w:t>4.</w:t>
      </w:r>
      <w:r>
        <w:tab/>
      </w:r>
      <w:r w:rsidR="00886ECA">
        <w:t>The Complainant’s items damaged by the storm included a Toshiba television, 10 L</w:t>
      </w:r>
      <w:r w:rsidR="0036619E">
        <w:t xml:space="preserve">eviton ground fault circuit interrupters (GFCIs), five surge suppressors, one T-8 shop light, three GE 40 watt bulbs, and one flood light R-30 (N.T. 10-13, 26, 27).  </w:t>
      </w:r>
    </w:p>
    <w:p w:rsidR="008235A9" w:rsidRDefault="008235A9" w:rsidP="008235A9">
      <w:pPr>
        <w:spacing w:line="360" w:lineRule="auto"/>
      </w:pPr>
    </w:p>
    <w:p w:rsidR="00857E49" w:rsidRDefault="00857E49" w:rsidP="008235A9">
      <w:pPr>
        <w:spacing w:line="360" w:lineRule="auto"/>
      </w:pPr>
      <w:r>
        <w:tab/>
      </w:r>
      <w:r>
        <w:tab/>
        <w:t>5.</w:t>
      </w:r>
      <w:r>
        <w:tab/>
        <w:t>The Complainant’s witness described a corrosion area that existed between the wire and the rod on a pole as the corrosion that “looks like mud” (N.T. 59; C-5).</w:t>
      </w:r>
    </w:p>
    <w:p w:rsidR="00857E49" w:rsidRDefault="00857E49" w:rsidP="008235A9">
      <w:pPr>
        <w:spacing w:line="360" w:lineRule="auto"/>
      </w:pPr>
    </w:p>
    <w:p w:rsidR="008235A9" w:rsidRDefault="008235A9" w:rsidP="008235A9">
      <w:pPr>
        <w:spacing w:line="360" w:lineRule="auto"/>
      </w:pPr>
      <w:r>
        <w:tab/>
      </w:r>
      <w:r>
        <w:tab/>
      </w:r>
      <w:r w:rsidR="00857E49">
        <w:t>6</w:t>
      </w:r>
      <w:r>
        <w:t>.</w:t>
      </w:r>
      <w:r>
        <w:tab/>
      </w:r>
      <w:r w:rsidR="0036619E">
        <w:t>Two transformers, Gulf 6 Delta Transformer (Delta) and Gulf 6 Foxtrot</w:t>
      </w:r>
      <w:r w:rsidR="0036619E">
        <w:rPr>
          <w:rStyle w:val="FootnoteReference"/>
        </w:rPr>
        <w:footnoteReference w:id="1"/>
      </w:r>
      <w:r w:rsidR="0036619E">
        <w:t xml:space="preserve"> Transformer (Foxtrot)</w:t>
      </w:r>
      <w:r w:rsidR="004C7490">
        <w:t>,</w:t>
      </w:r>
      <w:r w:rsidR="0036619E">
        <w:t xml:space="preserve"> are serving the Complainant’s area.  The Respondent found a blown fuse on Delta, a blown light</w:t>
      </w:r>
      <w:r w:rsidR="00FB0167">
        <w:t>n</w:t>
      </w:r>
      <w:r w:rsidR="0036619E">
        <w:t>ing arrester on Foxtrot, and no tree or pole falling down (N.T. 62-64).</w:t>
      </w:r>
    </w:p>
    <w:p w:rsidR="00FB0167" w:rsidRDefault="00FB0167" w:rsidP="008235A9">
      <w:pPr>
        <w:spacing w:line="360" w:lineRule="auto"/>
      </w:pPr>
    </w:p>
    <w:p w:rsidR="00FB0167" w:rsidRDefault="00FB0167" w:rsidP="008235A9">
      <w:pPr>
        <w:spacing w:line="360" w:lineRule="auto"/>
      </w:pPr>
      <w:r>
        <w:tab/>
      </w:r>
      <w:r>
        <w:tab/>
      </w:r>
      <w:r w:rsidR="00857E49">
        <w:t>7</w:t>
      </w:r>
      <w:r>
        <w:t>.</w:t>
      </w:r>
      <w:r>
        <w:tab/>
        <w:t xml:space="preserve">The Foxtrot transformer serves the Complainant’s residence, which required </w:t>
      </w:r>
      <w:r w:rsidR="004C7490">
        <w:t xml:space="preserve">a </w:t>
      </w:r>
      <w:r>
        <w:t>lightning arrestor replacement and took several hours to replace it.  It is on top of pole number 168412 (N.T. 64-67).</w:t>
      </w:r>
    </w:p>
    <w:p w:rsidR="00FB0167" w:rsidRDefault="00FB0167" w:rsidP="008235A9">
      <w:pPr>
        <w:spacing w:line="360" w:lineRule="auto"/>
      </w:pPr>
    </w:p>
    <w:p w:rsidR="00FB0167" w:rsidRDefault="00FB0167" w:rsidP="008235A9">
      <w:pPr>
        <w:spacing w:line="360" w:lineRule="auto"/>
      </w:pPr>
      <w:r>
        <w:tab/>
      </w:r>
      <w:r>
        <w:tab/>
      </w:r>
      <w:r w:rsidR="00857E49">
        <w:t>8</w:t>
      </w:r>
      <w:r>
        <w:t>.</w:t>
      </w:r>
      <w:r>
        <w:tab/>
      </w:r>
      <w:r w:rsidR="007825C3">
        <w:t>The Respondent’s service territory is grounded Y systems</w:t>
      </w:r>
      <w:r w:rsidR="004C7490">
        <w:t>,</w:t>
      </w:r>
      <w:r w:rsidR="007825C3">
        <w:t xml:space="preserve"> meaning that every piece of the Respondent’s equipment is grounded.  The Delta and the Foxtrot Transformer</w:t>
      </w:r>
      <w:r w:rsidR="004C7490">
        <w:t>’</w:t>
      </w:r>
      <w:r w:rsidR="007825C3">
        <w:t xml:space="preserve">s ground wires come down the poles to the eight-foot ground rod.  In the past 10 years, the Respondent has used </w:t>
      </w:r>
      <w:r w:rsidR="00847B8B">
        <w:t xml:space="preserve">copper </w:t>
      </w:r>
      <w:r w:rsidR="007825C3">
        <w:t xml:space="preserve">number </w:t>
      </w:r>
      <w:r w:rsidR="006A74BF">
        <w:t>6</w:t>
      </w:r>
      <w:r w:rsidR="007825C3">
        <w:t xml:space="preserve"> for ground wire.  Before, it used </w:t>
      </w:r>
      <w:r w:rsidR="006A74BF">
        <w:t>aluminum number 2 (N.T. 67-69).</w:t>
      </w:r>
    </w:p>
    <w:p w:rsidR="00847B8B" w:rsidRDefault="00847B8B" w:rsidP="008235A9">
      <w:pPr>
        <w:spacing w:line="360" w:lineRule="auto"/>
      </w:pPr>
    </w:p>
    <w:p w:rsidR="00847B8B" w:rsidRDefault="00847B8B" w:rsidP="008235A9">
      <w:pPr>
        <w:spacing w:line="360" w:lineRule="auto"/>
      </w:pPr>
      <w:r>
        <w:lastRenderedPageBreak/>
        <w:tab/>
      </w:r>
      <w:r>
        <w:tab/>
      </w:r>
      <w:r w:rsidR="00857E49">
        <w:t>9</w:t>
      </w:r>
      <w:r>
        <w:t>.</w:t>
      </w:r>
      <w:r>
        <w:tab/>
        <w:t>A lightning strike can create millions of volts (N.T. 69).</w:t>
      </w:r>
    </w:p>
    <w:p w:rsidR="00847B8B" w:rsidRDefault="00847B8B" w:rsidP="008235A9">
      <w:pPr>
        <w:spacing w:line="360" w:lineRule="auto"/>
      </w:pPr>
    </w:p>
    <w:p w:rsidR="00847B8B" w:rsidRDefault="00847B8B" w:rsidP="008235A9">
      <w:pPr>
        <w:spacing w:line="360" w:lineRule="auto"/>
      </w:pPr>
      <w:r>
        <w:tab/>
      </w:r>
      <w:r>
        <w:tab/>
      </w:r>
      <w:r w:rsidR="00857E49">
        <w:t>10</w:t>
      </w:r>
      <w:r>
        <w:t>.</w:t>
      </w:r>
      <w:r>
        <w:tab/>
        <w:t>From a transformer to a residence, there are three ground wires:  one under the cold water pipe, one under the meter, and one on a transformer connected to an eight-foot ground rod (N.T. 68, 75-77, 79-81).</w:t>
      </w:r>
    </w:p>
    <w:p w:rsidR="00847B8B" w:rsidRDefault="00847B8B" w:rsidP="008235A9">
      <w:pPr>
        <w:spacing w:line="360" w:lineRule="auto"/>
      </w:pPr>
    </w:p>
    <w:p w:rsidR="00847B8B" w:rsidRDefault="00847B8B" w:rsidP="008235A9">
      <w:pPr>
        <w:spacing w:line="360" w:lineRule="auto"/>
      </w:pPr>
      <w:r>
        <w:tab/>
      </w:r>
      <w:r>
        <w:tab/>
        <w:t>1</w:t>
      </w:r>
      <w:r w:rsidR="00857E49">
        <w:t>1</w:t>
      </w:r>
      <w:r>
        <w:t>.</w:t>
      </w:r>
      <w:r>
        <w:tab/>
        <w:t>On June 17, 2008, the Respondent visited the Complainant’s residence</w:t>
      </w:r>
      <w:r w:rsidR="00A67335">
        <w:t xml:space="preserve"> in response</w:t>
      </w:r>
      <w:r>
        <w:t xml:space="preserve"> to a report of partial outage.  It found the voltage at the meter box was even (120/120) and heard humming noise from the Complainant’s GFCIs, which smelled like smoke.  It asked the Complainant to hire an electrician to do the repairs because it was not responsible for equipment inside the home (N.T. 91-94).</w:t>
      </w:r>
    </w:p>
    <w:p w:rsidR="006A74BF" w:rsidRDefault="006A74BF" w:rsidP="008235A9">
      <w:pPr>
        <w:spacing w:line="360" w:lineRule="auto"/>
      </w:pPr>
    </w:p>
    <w:p w:rsidR="008235A9" w:rsidRDefault="008235A9" w:rsidP="008235A9">
      <w:pPr>
        <w:spacing w:line="360" w:lineRule="auto"/>
        <w:jc w:val="center"/>
      </w:pPr>
      <w:r>
        <w:rPr>
          <w:u w:val="single"/>
        </w:rPr>
        <w:t>DISCUSSION</w:t>
      </w:r>
    </w:p>
    <w:p w:rsidR="008235A9" w:rsidRDefault="008235A9" w:rsidP="008235A9">
      <w:pPr>
        <w:spacing w:line="360" w:lineRule="auto"/>
        <w:jc w:val="center"/>
      </w:pPr>
    </w:p>
    <w:p w:rsidR="008235A9" w:rsidRPr="006A74BF" w:rsidRDefault="008235A9" w:rsidP="008235A9">
      <w:pPr>
        <w:spacing w:line="360" w:lineRule="auto"/>
      </w:pPr>
      <w:r>
        <w:tab/>
      </w:r>
      <w:r>
        <w:tab/>
        <w:t xml:space="preserve">Section 332(a) of the Public Utility Code, 66 </w:t>
      </w:r>
      <w:smartTag w:uri="urn:schemas-microsoft-com:office:smarttags" w:element="State">
        <w:smartTag w:uri="urn:schemas-microsoft-com:office:smarttags" w:element="place">
          <w:r>
            <w:t>Pa.</w:t>
          </w:r>
        </w:smartTag>
      </w:smartTag>
      <w:r>
        <w:t xml:space="preserve"> C.S. §332(a),</w:t>
      </w:r>
      <w:r>
        <w:rPr>
          <w:rStyle w:val="FootnoteReference"/>
        </w:rPr>
        <w:footnoteReference w:id="2"/>
      </w:r>
      <w:r>
        <w:t xml:space="preserve"> provides that the party seeking relief from the Commission has the “burden of proof.”  “Burden of proof” is a duty to establish a fact by a “preponderance of the evidence.”  The term “preponderance of the evidence” means that one party has presented evidence which is more convincing, by even the smallest amount, than the evidence presented by the other party.  </w:t>
      </w:r>
      <w:r>
        <w:rPr>
          <w:u w:val="single"/>
        </w:rPr>
        <w:t>Se-Ling Hosiery v. Margulies</w:t>
      </w:r>
      <w:r>
        <w:t xml:space="preserve">, 364 </w:t>
      </w:r>
      <w:smartTag w:uri="urn:schemas-microsoft-com:office:smarttags" w:element="State">
        <w:smartTag w:uri="urn:schemas-microsoft-com:office:smarttags" w:element="place">
          <w:r>
            <w:t>Pa.</w:t>
          </w:r>
        </w:smartTag>
      </w:smartTag>
      <w:r>
        <w:t xml:space="preserve"> 54, 70 A.2d 854 (1950).  </w:t>
      </w:r>
      <w:r w:rsidR="006A74BF">
        <w:t>In other words</w:t>
      </w:r>
      <w:r>
        <w:t xml:space="preserve">, “preponderance” is not dependent on the number of witnesses testifying on either side but rather on the credibility of the testimony in the light of all the evidence in a case.  </w:t>
      </w:r>
      <w:r>
        <w:rPr>
          <w:u w:val="single"/>
        </w:rPr>
        <w:t>Burch v. Reading Co.</w:t>
      </w:r>
      <w:r>
        <w:t>, 240 F.2d 574 (3d Cir. 1957) cert. denied, 353 U.S. 965 (1957).</w:t>
      </w:r>
      <w:r w:rsidR="006A74BF">
        <w:t xml:space="preserve">  The Pennsylvania Supreme Court has characterized a preponderance of evidence as tantamount to a “more likely than not” inquiry.  </w:t>
      </w:r>
      <w:r w:rsidR="006A74BF">
        <w:rPr>
          <w:u w:val="single"/>
        </w:rPr>
        <w:t>Commonwealth v. $6,425 Seized From Equilin</w:t>
      </w:r>
      <w:r w:rsidR="006A74BF">
        <w:t>, 583 Pa. 544, 555, 880 A.2d 523, 529 (2005).</w:t>
      </w:r>
    </w:p>
    <w:p w:rsidR="008235A9" w:rsidRDefault="008235A9" w:rsidP="008235A9">
      <w:pPr>
        <w:spacing w:line="360" w:lineRule="auto"/>
      </w:pPr>
    </w:p>
    <w:p w:rsidR="008235A9" w:rsidRDefault="008235A9" w:rsidP="008235A9">
      <w:pPr>
        <w:spacing w:line="360" w:lineRule="auto"/>
      </w:pPr>
      <w:r>
        <w:tab/>
      </w:r>
      <w:r>
        <w:tab/>
        <w:t>Under these principles the Complainant</w:t>
      </w:r>
      <w:r w:rsidR="006A74BF">
        <w:t>, as the party seeking relief,</w:t>
      </w:r>
      <w:r>
        <w:t xml:space="preserve"> has the burden of pr</w:t>
      </w:r>
      <w:r w:rsidR="006A74BF">
        <w:t>oof.  In this case, the Complainant has the burden of pr</w:t>
      </w:r>
      <w:r>
        <w:t xml:space="preserve">oving </w:t>
      </w:r>
      <w:r w:rsidR="006A74BF">
        <w:t>that it is more likely than not</w:t>
      </w:r>
      <w:r>
        <w:t xml:space="preserve"> </w:t>
      </w:r>
      <w:r>
        <w:lastRenderedPageBreak/>
        <w:t xml:space="preserve">that the Respondent has </w:t>
      </w:r>
      <w:r w:rsidR="006A74BF">
        <w:t>provided him with unreasonable service in that it has failed to provide a proper grounding for the transformer supplying power to his residence.</w:t>
      </w:r>
    </w:p>
    <w:p w:rsidR="008235A9" w:rsidRDefault="008235A9" w:rsidP="008235A9">
      <w:pPr>
        <w:spacing w:line="360" w:lineRule="auto"/>
      </w:pPr>
    </w:p>
    <w:p w:rsidR="008235A9" w:rsidRDefault="008235A9" w:rsidP="008235A9">
      <w:pPr>
        <w:spacing w:line="360" w:lineRule="auto"/>
      </w:pPr>
      <w:r>
        <w:tab/>
      </w:r>
      <w:r>
        <w:tab/>
      </w:r>
      <w:r w:rsidR="000A75CD">
        <w:t>Essentially, t</w:t>
      </w:r>
      <w:r>
        <w:t>he Complainant</w:t>
      </w:r>
      <w:r w:rsidR="000A75CD">
        <w:rPr>
          <w:rStyle w:val="FootnoteReference"/>
        </w:rPr>
        <w:footnoteReference w:id="3"/>
      </w:r>
      <w:r w:rsidR="000A75CD">
        <w:t xml:space="preserve"> </w:t>
      </w:r>
      <w:r>
        <w:t xml:space="preserve">testified that </w:t>
      </w:r>
      <w:r w:rsidR="00E77671">
        <w:t xml:space="preserve">on June 10, 2008 a severe storm came to the Complainant’s area at 7:40 p.m., and caused his area to lose electricity from that evening to 2:15 p.m. on June 12, 2005.  The power outage caused damage to the Complainant’s television, GFCIs, surge suppressors, shop light, bulbs, and flood light.  He contended that if the ground wire at his transformer was copper and properly grounded, it would prevent lightning and surges.  The lightning would </w:t>
      </w:r>
      <w:r w:rsidR="00D2645F">
        <w:t xml:space="preserve">disappear at the electric pole and would not come to his home to damage his properties.  In this case, because the transformer was not functioning, i.e. </w:t>
      </w:r>
      <w:r w:rsidR="000D0849">
        <w:t xml:space="preserve">incapable of </w:t>
      </w:r>
      <w:r w:rsidR="00D2645F">
        <w:t>preventing lightning and surges, he considers the transformer did not have a ground line (N.T. 40, 53, 54).  He cited Title 34 of the Department of Labor and Industry</w:t>
      </w:r>
      <w:r w:rsidR="002B5405">
        <w:t>’s regulations</w:t>
      </w:r>
      <w:r w:rsidR="00D2645F">
        <w:t xml:space="preserve"> and the National Electric Code to support his position.</w:t>
      </w:r>
    </w:p>
    <w:p w:rsidR="008235A9" w:rsidRDefault="008235A9" w:rsidP="008235A9">
      <w:pPr>
        <w:spacing w:line="360" w:lineRule="auto"/>
      </w:pPr>
    </w:p>
    <w:p w:rsidR="008235A9" w:rsidRDefault="008235A9" w:rsidP="008235A9">
      <w:pPr>
        <w:spacing w:line="360" w:lineRule="auto"/>
      </w:pPr>
      <w:r>
        <w:tab/>
      </w:r>
      <w:r>
        <w:tab/>
        <w:t xml:space="preserve">The Respondent testified that the Complainant’s </w:t>
      </w:r>
      <w:r w:rsidR="00A5461F">
        <w:t xml:space="preserve">service was supplied by the Foxtrot Transformer and the transformer was properly grounded.  It also testified that in the past 10 years, it has used copper number 6 to install a ground wire for a transformer, but that before this time it used aluminum number 2 for a ground wire.  Every piece of the Respondent in the service territory is Y grounded, whether it be a transformer, a regulator, a capacity bank, or a switch (N.T. 68).  With grounding, </w:t>
      </w:r>
      <w:r w:rsidR="00D747CC">
        <w:t>Respondent</w:t>
      </w:r>
      <w:r w:rsidR="00A5461F">
        <w:t xml:space="preserve"> equipment can alleviate, but cannot avoid, damage, especially with a lightning of millions of volts (N.T.69).  After the storm, on June 17, 2008, the Respondent visited </w:t>
      </w:r>
      <w:r w:rsidR="00F321E0">
        <w:t>the Complainant’s home</w:t>
      </w:r>
      <w:r w:rsidR="000D0849">
        <w:t xml:space="preserve"> to respond</w:t>
      </w:r>
      <w:r w:rsidR="00F321E0">
        <w:t xml:space="preserve"> to a report of partial outage and found the Complainant’s GF</w:t>
      </w:r>
      <w:r w:rsidR="00D9043A">
        <w:t>C</w:t>
      </w:r>
      <w:r w:rsidR="00F321E0">
        <w:t xml:space="preserve">I’s were making a humming noise and smelling like smoke.  The Respondent referred him to an electrician to get the repairs done.  </w:t>
      </w:r>
    </w:p>
    <w:p w:rsidR="008652DB" w:rsidRDefault="008652DB" w:rsidP="008235A9">
      <w:pPr>
        <w:spacing w:line="360" w:lineRule="auto"/>
      </w:pPr>
    </w:p>
    <w:p w:rsidR="008652DB" w:rsidRDefault="008652DB" w:rsidP="008235A9">
      <w:pPr>
        <w:spacing w:line="360" w:lineRule="auto"/>
      </w:pPr>
      <w:r>
        <w:tab/>
      </w:r>
      <w:r>
        <w:tab/>
        <w:t>In her briefs, the Respondent’s counsel contended that the law that is applicable to this case is the Commission’s regulations and the National Electrical Safety Code (NESC) and not</w:t>
      </w:r>
      <w:r w:rsidR="000D0849">
        <w:t xml:space="preserve"> the National Electric Code (NEC</w:t>
      </w:r>
      <w:r>
        <w:t xml:space="preserve">), that both aluminum and copper are metals that are </w:t>
      </w:r>
      <w:r>
        <w:lastRenderedPageBreak/>
        <w:t xml:space="preserve">acceptable for installing ground conductors, that the Complainant’s evidence of corrosion is questionable at best, and that grounding will </w:t>
      </w:r>
      <w:r w:rsidR="00A67335">
        <w:t xml:space="preserve">not </w:t>
      </w:r>
      <w:r>
        <w:t xml:space="preserve">prevent damage in all circumstances.  She cited Section 090 and 093A of the NESC Handbook, and </w:t>
      </w:r>
      <w:r>
        <w:rPr>
          <w:u w:val="single"/>
        </w:rPr>
        <w:t>Herron v. The Peoples Natural Gas Company</w:t>
      </w:r>
      <w:r>
        <w:t xml:space="preserve">, 205 Pa. PUC Lexis 49 (2005), to support the Respondent’s position.  </w:t>
      </w:r>
      <w:r w:rsidR="000D0849">
        <w:t xml:space="preserve">In general, </w:t>
      </w:r>
      <w:r>
        <w:t>I agree with the Respondent.</w:t>
      </w:r>
    </w:p>
    <w:p w:rsidR="008652DB" w:rsidRDefault="008652DB" w:rsidP="008235A9">
      <w:pPr>
        <w:spacing w:line="360" w:lineRule="auto"/>
      </w:pPr>
    </w:p>
    <w:p w:rsidR="008652DB" w:rsidRDefault="00E15A7A" w:rsidP="008235A9">
      <w:pPr>
        <w:spacing w:line="360" w:lineRule="auto"/>
      </w:pPr>
      <w:r>
        <w:tab/>
      </w:r>
      <w:r>
        <w:tab/>
        <w:t xml:space="preserve">In part, </w:t>
      </w:r>
      <w:r w:rsidR="00567AAE">
        <w:t xml:space="preserve">Section 57.198 (relating to Inspection and maintenance standards) of the Commission’s regulations, 52 Pa. Code </w:t>
      </w:r>
      <w:r w:rsidR="00567AAE" w:rsidRPr="0004473D">
        <w:t>§</w:t>
      </w:r>
      <w:r w:rsidR="00567AAE">
        <w:t>57.198, provides:</w:t>
      </w:r>
    </w:p>
    <w:p w:rsidR="00567AAE" w:rsidRDefault="00567AAE" w:rsidP="008235A9">
      <w:pPr>
        <w:spacing w:line="360" w:lineRule="auto"/>
      </w:pPr>
    </w:p>
    <w:p w:rsidR="00567AAE" w:rsidRDefault="00567AAE" w:rsidP="00567AAE">
      <w:pPr>
        <w:ind w:left="1440" w:right="1440"/>
      </w:pPr>
      <w:r w:rsidRPr="00567AAE">
        <w:rPr>
          <w:b/>
        </w:rPr>
        <w:t>§</w:t>
      </w:r>
      <w:r>
        <w:rPr>
          <w:b/>
        </w:rPr>
        <w:t>57.198.  Inspection and maintenance standards.</w:t>
      </w:r>
    </w:p>
    <w:p w:rsidR="00567AAE" w:rsidRDefault="00567AAE" w:rsidP="00567AAE">
      <w:pPr>
        <w:ind w:left="1440" w:right="1440"/>
      </w:pPr>
    </w:p>
    <w:p w:rsidR="00567AAE" w:rsidRDefault="00567AAE" w:rsidP="00567AAE">
      <w:pPr>
        <w:ind w:left="1440" w:right="1440"/>
      </w:pPr>
      <w:r>
        <w:t xml:space="preserve">   (a)  </w:t>
      </w:r>
      <w:r>
        <w:rPr>
          <w:i/>
        </w:rPr>
        <w:t>Filing date and plan components.</w:t>
      </w:r>
      <w:r>
        <w:t xml:space="preserve">  Every 2 years, by October 1, an EDC shall prepare and file with the Commission a biennial plan for the periodic inspection, maintenance, repair and replacement of its facilities that is designed to meet its performance benchmarks and standards under this subchapter.  EDCs in Compliance Group 1, as determined by the Commission, shall file their initial plans on October 1, 2009.  EDCs in Compliance Group 2, as determined by the Commission, shall file their initial plans on October 1, 2010.  Each EDC’s biennial plan must cover the 2 calendar years beginning 15 months after filing, be implemented 15 months after filing, and must remain in effect for 2 calendar years thereafter.  In preparing this plan, </w:t>
      </w:r>
      <w:r w:rsidRPr="000D0849">
        <w:t>the following facilities are critical</w:t>
      </w:r>
      <w:r>
        <w:t xml:space="preserve"> to maintaining system </w:t>
      </w:r>
      <w:r w:rsidRPr="000D0849">
        <w:t>reliability</w:t>
      </w:r>
      <w:r>
        <w:t>:</w:t>
      </w:r>
    </w:p>
    <w:p w:rsidR="00567AAE" w:rsidRDefault="00567AAE" w:rsidP="00567AAE">
      <w:pPr>
        <w:ind w:left="1440" w:right="1440"/>
      </w:pPr>
    </w:p>
    <w:p w:rsidR="00567AAE" w:rsidRDefault="00983A72" w:rsidP="00567AAE">
      <w:pPr>
        <w:ind w:left="1440" w:right="1440"/>
      </w:pPr>
      <w:r>
        <w:tab/>
        <w:t>(1)  Poles.</w:t>
      </w:r>
    </w:p>
    <w:p w:rsidR="00983A72" w:rsidRDefault="00983A72" w:rsidP="00567AAE">
      <w:pPr>
        <w:ind w:left="1440" w:right="1440"/>
      </w:pPr>
      <w:r>
        <w:tab/>
        <w:t>(2)  Overhead conductors and cables.</w:t>
      </w:r>
    </w:p>
    <w:p w:rsidR="00983A72" w:rsidRDefault="00983A72" w:rsidP="00567AAE">
      <w:pPr>
        <w:ind w:left="1440" w:right="1440"/>
      </w:pPr>
      <w:r>
        <w:tab/>
        <w:t xml:space="preserve">(3)  </w:t>
      </w:r>
      <w:r w:rsidRPr="000D0849">
        <w:t>Transformers</w:t>
      </w:r>
      <w:r>
        <w:t>.</w:t>
      </w:r>
    </w:p>
    <w:p w:rsidR="00983A72" w:rsidRDefault="00983A72" w:rsidP="00567AAE">
      <w:pPr>
        <w:ind w:left="1440" w:right="1440"/>
      </w:pPr>
    </w:p>
    <w:p w:rsidR="00983A72" w:rsidRDefault="00983A72" w:rsidP="00983A72">
      <w:pPr>
        <w:ind w:left="1440" w:right="1440"/>
        <w:jc w:val="center"/>
      </w:pPr>
      <w:r>
        <w:t>*</w:t>
      </w:r>
      <w:r>
        <w:tab/>
        <w:t>*</w:t>
      </w:r>
      <w:r>
        <w:tab/>
        <w:t>*</w:t>
      </w:r>
    </w:p>
    <w:p w:rsidR="00983A72" w:rsidRDefault="00983A72" w:rsidP="00983A72">
      <w:pPr>
        <w:ind w:left="1440" w:right="1440"/>
        <w:jc w:val="center"/>
      </w:pPr>
    </w:p>
    <w:p w:rsidR="00983A72" w:rsidRDefault="00983A72" w:rsidP="00983A72">
      <w:pPr>
        <w:ind w:left="1440" w:right="1440"/>
      </w:pPr>
      <w:r>
        <w:t xml:space="preserve">   (b)  </w:t>
      </w:r>
      <w:r>
        <w:rPr>
          <w:i/>
        </w:rPr>
        <w:t>Plan consistency.</w:t>
      </w:r>
      <w:r>
        <w:t xml:space="preserve">  The plan must be consistent with the National Electrical Safety Code and Practices of the Institute of Electrical and Electronic Engineers, Federal Energy Regulatory Commission Regulations and the provisions of the American National Standards Institute, Inc.</w:t>
      </w:r>
    </w:p>
    <w:p w:rsidR="00983A72" w:rsidRDefault="00983A72" w:rsidP="00983A72">
      <w:pPr>
        <w:ind w:left="1440" w:right="1440"/>
      </w:pPr>
    </w:p>
    <w:p w:rsidR="00983A72" w:rsidRDefault="00983A72" w:rsidP="00983A72">
      <w:pPr>
        <w:ind w:left="1440" w:right="1440"/>
      </w:pPr>
    </w:p>
    <w:p w:rsidR="00983A72" w:rsidRDefault="00E41200" w:rsidP="00983A72">
      <w:pPr>
        <w:spacing w:line="360" w:lineRule="auto"/>
      </w:pPr>
      <w:r>
        <w:tab/>
      </w:r>
      <w:r>
        <w:tab/>
        <w:t xml:space="preserve">These provisions provide that every 2 years, an electric distribution company (EDC) must prepare and file with the Commission by October 1 a biennial plan for the periodic inspection, maintenance, repair and replacement of its facilities to meet the facilities’ performance benchmarks and standards.  The plan must comply with the National Electrical </w:t>
      </w:r>
      <w:r>
        <w:lastRenderedPageBreak/>
        <w:t>Safety Code (NESC)</w:t>
      </w:r>
      <w:r w:rsidR="007E2AD3">
        <w:t>,</w:t>
      </w:r>
      <w:r>
        <w:t xml:space="preserve"> </w:t>
      </w:r>
      <w:r w:rsidR="007E2AD3">
        <w:t>Codes and Practices of the Institute of Electrical and Electronic Engineers (IEEE), Federal Energy Regulatory Commission Regulations and the provision of the American National Standards Institute, Inc.  The Commission divides EDCs into two compliance groups:  EDCs in Compliance Group 1 must file their plan on October 1, 2009, and EDCs in Compliance Group 2 on October 1, 2010.</w:t>
      </w:r>
    </w:p>
    <w:p w:rsidR="007E2AD3" w:rsidRDefault="007E2AD3" w:rsidP="00983A72">
      <w:pPr>
        <w:spacing w:line="360" w:lineRule="auto"/>
      </w:pPr>
    </w:p>
    <w:p w:rsidR="007E2AD3" w:rsidRDefault="007E2AD3" w:rsidP="00983A72">
      <w:pPr>
        <w:spacing w:line="360" w:lineRule="auto"/>
      </w:pPr>
      <w:r>
        <w:tab/>
      </w:r>
      <w:r>
        <w:tab/>
        <w:t>According to the Respondent’s Main Brief at 9, the Respondent is in the Compliance Group 2 and its biennial plan is not due until October 1, 2010.  Therefore, its current facilities are presumably proper subject to the Commission approval of its October 1, 2010 filing.  This presumption is rebuttable if there is proof that the Respondent’s facilities are below the NESC performance benchmarks and standards.</w:t>
      </w:r>
    </w:p>
    <w:p w:rsidR="007E2AD3" w:rsidRDefault="007E2AD3" w:rsidP="00983A72">
      <w:pPr>
        <w:spacing w:line="360" w:lineRule="auto"/>
      </w:pPr>
    </w:p>
    <w:p w:rsidR="00030259" w:rsidRDefault="00030259" w:rsidP="00983A72">
      <w:pPr>
        <w:spacing w:line="360" w:lineRule="auto"/>
      </w:pPr>
      <w:r>
        <w:tab/>
      </w:r>
      <w:r>
        <w:tab/>
        <w:t xml:space="preserve">The Respondent testified that in the past 10 years, it has used copper number 6 for ground wire.  Before, it used aluminum number 2.  </w:t>
      </w:r>
    </w:p>
    <w:p w:rsidR="00030259" w:rsidRDefault="00030259" w:rsidP="00983A72">
      <w:pPr>
        <w:spacing w:line="360" w:lineRule="auto"/>
      </w:pPr>
    </w:p>
    <w:p w:rsidR="00030259" w:rsidRDefault="00030259" w:rsidP="00983A72">
      <w:pPr>
        <w:spacing w:line="360" w:lineRule="auto"/>
      </w:pPr>
      <w:r>
        <w:tab/>
      </w:r>
      <w:r>
        <w:tab/>
        <w:t>The Complainant testified that if the ground wire at the transformer supplying electricity to his area was copper or non-corrosive wire, the ground wire would prevent lightning and surges (N.T. 35, 36, 40-44).  Because the Respondent did not use copper or non-corrosive metal for ground wire, the Complainant’s transformer is considered not to have a ground wire, which therefore could prevent surges and bring lightning to the ground instead of to his home (N.T. 53, 54, 57).</w:t>
      </w:r>
    </w:p>
    <w:p w:rsidR="00030259" w:rsidRDefault="00030259" w:rsidP="00983A72">
      <w:pPr>
        <w:spacing w:line="360" w:lineRule="auto"/>
      </w:pPr>
    </w:p>
    <w:p w:rsidR="007E2AD3" w:rsidRDefault="00030259" w:rsidP="00983A72">
      <w:pPr>
        <w:spacing w:line="360" w:lineRule="auto"/>
      </w:pPr>
      <w:r>
        <w:tab/>
      </w:r>
      <w:r>
        <w:tab/>
        <w:t xml:space="preserve"> </w:t>
      </w:r>
      <w:r w:rsidR="004D5BB9">
        <w:t>In part, Rules 093 and 094B2a of the NESC relating to Grounding conductor and means of connection and Grounding electrodes, provides:</w:t>
      </w:r>
    </w:p>
    <w:p w:rsidR="004D5BB9" w:rsidRDefault="004D5BB9" w:rsidP="00983A72">
      <w:pPr>
        <w:spacing w:line="360" w:lineRule="auto"/>
      </w:pPr>
    </w:p>
    <w:p w:rsidR="004D5BB9" w:rsidRDefault="004D5BB9" w:rsidP="004D5BB9">
      <w:pPr>
        <w:ind w:left="1440" w:right="1440"/>
      </w:pPr>
      <w:r>
        <w:rPr>
          <w:b/>
        </w:rPr>
        <w:t>093.  Grounding conductor and means of connection</w:t>
      </w:r>
    </w:p>
    <w:p w:rsidR="004D5BB9" w:rsidRDefault="004D5BB9" w:rsidP="004D5BB9">
      <w:pPr>
        <w:ind w:left="1440" w:right="1440"/>
      </w:pPr>
    </w:p>
    <w:p w:rsidR="004D5BB9" w:rsidRDefault="004D5BB9" w:rsidP="004D5BB9">
      <w:pPr>
        <w:ind w:left="1440" w:right="1440"/>
      </w:pPr>
      <w:r>
        <w:t xml:space="preserve">   A.</w:t>
      </w:r>
      <w:r>
        <w:tab/>
        <w:t>Composition of grounding conductors</w:t>
      </w:r>
    </w:p>
    <w:p w:rsidR="004D5BB9" w:rsidRDefault="004D5BB9" w:rsidP="004D5BB9">
      <w:pPr>
        <w:ind w:left="2160" w:right="1440"/>
      </w:pPr>
      <w:r>
        <w:t xml:space="preserve">In all cases, the grounding conductor shall be made of copper or other metals or combinations of metals that will not corrode excessively during the expected service life under the existing conditions and, if practical, shall be without joint or splice.  If joints are unavoidable, they shall be so made and maintained as to not materially increase the resistance of the grounding conductor and shall have </w:t>
      </w:r>
      <w:r>
        <w:lastRenderedPageBreak/>
        <w:t>appropriate mechanical and corrosion-resistant characteristics. . .</w:t>
      </w:r>
    </w:p>
    <w:p w:rsidR="001641EE" w:rsidRDefault="001641EE" w:rsidP="004D5BB9">
      <w:pPr>
        <w:ind w:left="2160" w:right="1440"/>
      </w:pPr>
    </w:p>
    <w:p w:rsidR="001641EE" w:rsidRDefault="001641EE" w:rsidP="001641EE">
      <w:pPr>
        <w:ind w:left="1440" w:right="1440"/>
        <w:jc w:val="center"/>
      </w:pPr>
      <w:r>
        <w:t>*</w:t>
      </w:r>
      <w:r>
        <w:tab/>
        <w:t>*</w:t>
      </w:r>
      <w:r>
        <w:tab/>
        <w:t>*</w:t>
      </w:r>
    </w:p>
    <w:p w:rsidR="001641EE" w:rsidRDefault="001641EE" w:rsidP="001641EE">
      <w:pPr>
        <w:ind w:left="1440" w:right="1440"/>
        <w:jc w:val="center"/>
      </w:pPr>
    </w:p>
    <w:p w:rsidR="001641EE" w:rsidRDefault="001641EE" w:rsidP="001641EE">
      <w:pPr>
        <w:ind w:left="1440" w:right="1440"/>
      </w:pPr>
      <w:r>
        <w:rPr>
          <w:b/>
        </w:rPr>
        <w:t>094.  Grounding electrodes</w:t>
      </w:r>
    </w:p>
    <w:p w:rsidR="001641EE" w:rsidRDefault="001641EE" w:rsidP="001641EE">
      <w:pPr>
        <w:ind w:left="1440" w:right="1440"/>
      </w:pPr>
    </w:p>
    <w:p w:rsidR="001641EE" w:rsidRDefault="001641EE" w:rsidP="001641EE">
      <w:pPr>
        <w:ind w:left="1440" w:right="1440"/>
        <w:jc w:val="center"/>
      </w:pPr>
      <w:r>
        <w:t>*</w:t>
      </w:r>
      <w:r>
        <w:tab/>
        <w:t>*</w:t>
      </w:r>
      <w:r>
        <w:tab/>
        <w:t>*</w:t>
      </w:r>
    </w:p>
    <w:p w:rsidR="001641EE" w:rsidRDefault="001641EE" w:rsidP="001641EE">
      <w:pPr>
        <w:ind w:left="1440" w:right="1440"/>
        <w:jc w:val="center"/>
      </w:pPr>
    </w:p>
    <w:p w:rsidR="001641EE" w:rsidRDefault="001641EE" w:rsidP="001641EE">
      <w:pPr>
        <w:ind w:left="1440" w:right="1440"/>
      </w:pPr>
      <w:r>
        <w:t xml:space="preserve">   B.</w:t>
      </w:r>
      <w:r>
        <w:tab/>
        <w:t>Made electrodes</w:t>
      </w:r>
    </w:p>
    <w:p w:rsidR="001641EE" w:rsidRDefault="001641EE" w:rsidP="001641EE">
      <w:pPr>
        <w:ind w:left="1800" w:right="1440"/>
      </w:pPr>
    </w:p>
    <w:p w:rsidR="001641EE" w:rsidRDefault="001641EE" w:rsidP="001641EE">
      <w:pPr>
        <w:ind w:left="1440" w:right="1440"/>
        <w:jc w:val="center"/>
      </w:pPr>
      <w:r>
        <w:t>*</w:t>
      </w:r>
      <w:r>
        <w:tab/>
        <w:t>*</w:t>
      </w:r>
      <w:r>
        <w:tab/>
        <w:t>*</w:t>
      </w:r>
    </w:p>
    <w:p w:rsidR="001641EE" w:rsidRDefault="001641EE" w:rsidP="001641EE">
      <w:pPr>
        <w:ind w:left="1440" w:right="1440"/>
        <w:jc w:val="center"/>
      </w:pPr>
    </w:p>
    <w:p w:rsidR="001641EE" w:rsidRDefault="001A3DD5" w:rsidP="001641EE">
      <w:pPr>
        <w:ind w:left="2160" w:right="1440"/>
      </w:pPr>
      <w:r>
        <w:t xml:space="preserve">    2.  </w:t>
      </w:r>
      <w:r>
        <w:tab/>
        <w:t>Driven rods</w:t>
      </w:r>
    </w:p>
    <w:p w:rsidR="001A3DD5" w:rsidRDefault="001A3DD5" w:rsidP="001641EE">
      <w:pPr>
        <w:ind w:left="2160" w:right="1440"/>
      </w:pPr>
    </w:p>
    <w:p w:rsidR="001A3DD5" w:rsidRDefault="001A3DD5" w:rsidP="001A3DD5">
      <w:pPr>
        <w:ind w:left="2880" w:right="1440"/>
      </w:pPr>
      <w:r>
        <w:t>a.   Driven rods may be sectional; the total length shall not be less than 2.44 (8 ft) . . .</w:t>
      </w:r>
    </w:p>
    <w:p w:rsidR="001A3DD5" w:rsidRDefault="001A3DD5" w:rsidP="001A3DD5">
      <w:pPr>
        <w:ind w:left="2880" w:right="1440"/>
      </w:pPr>
    </w:p>
    <w:p w:rsidR="001A3DD5" w:rsidRDefault="001A3DD5" w:rsidP="001A3DD5">
      <w:pPr>
        <w:ind w:left="2880" w:right="1440"/>
      </w:pPr>
    </w:p>
    <w:p w:rsidR="001A3DD5" w:rsidRDefault="001A3DD5" w:rsidP="001A3DD5">
      <w:pPr>
        <w:spacing w:line="360" w:lineRule="auto"/>
      </w:pPr>
      <w:r>
        <w:tab/>
      </w:r>
      <w:r>
        <w:tab/>
        <w:t>These provisions provide that a grounding conductor must be made of copper or metals or combinations of metals which will not corrode excessively during the expected service life under the existing conditions, and, if practical, must not have joint or splice.  The grounding conductor is connected to an eight-foot rod.</w:t>
      </w:r>
    </w:p>
    <w:p w:rsidR="001A3DD5" w:rsidRDefault="001A3DD5" w:rsidP="001A3DD5">
      <w:pPr>
        <w:spacing w:line="360" w:lineRule="auto"/>
      </w:pPr>
    </w:p>
    <w:p w:rsidR="0011489A" w:rsidRDefault="001A3DD5" w:rsidP="001A3DD5">
      <w:pPr>
        <w:spacing w:line="360" w:lineRule="auto"/>
      </w:pPr>
      <w:r>
        <w:tab/>
      </w:r>
      <w:r>
        <w:tab/>
        <w:t>The Respondent testified that the ground wire at the Complainant’s transformer is made of aluminum</w:t>
      </w:r>
      <w:r w:rsidR="00D9043A">
        <w:t>, that the aluminum does not corrode excessively,</w:t>
      </w:r>
      <w:r>
        <w:t xml:space="preserve"> and the wire is connected to an eight-foot ground rod.  </w:t>
      </w:r>
    </w:p>
    <w:p w:rsidR="0011489A" w:rsidRDefault="0011489A" w:rsidP="001A3DD5">
      <w:pPr>
        <w:spacing w:line="360" w:lineRule="auto"/>
      </w:pPr>
    </w:p>
    <w:p w:rsidR="001A3DD5" w:rsidRDefault="0011489A" w:rsidP="001A3DD5">
      <w:pPr>
        <w:spacing w:line="360" w:lineRule="auto"/>
      </w:pPr>
      <w:r>
        <w:tab/>
      </w:r>
      <w:r>
        <w:tab/>
        <w:t>B</w:t>
      </w:r>
      <w:r w:rsidR="00937F91">
        <w:t xml:space="preserve">oth the Safety Standards rules of the Department of Labor and Industry, 34 Pa. Code </w:t>
      </w:r>
      <w:r w:rsidR="00937F91" w:rsidRPr="0004473D">
        <w:t>§</w:t>
      </w:r>
      <w:r w:rsidR="00937F91">
        <w:t xml:space="preserve">39.65, cited by the Complainant and the NESC rule cited by the Respondent do not say that aluminum is an unacceptable metal for ground wire.  They only say that the grounding conductors are made of other metals which will not corrode excessively.  </w:t>
      </w:r>
      <w:r w:rsidR="001A3DD5">
        <w:t xml:space="preserve">The Complainant’s witness testified that a corrosion area </w:t>
      </w:r>
      <w:r w:rsidR="00A67335">
        <w:t xml:space="preserve">existed </w:t>
      </w:r>
      <w:r w:rsidR="00857E49">
        <w:t xml:space="preserve">on a pole </w:t>
      </w:r>
      <w:r w:rsidR="001A3DD5">
        <w:t>at the connection point between the wire and the rod.  But his witness was not positive about</w:t>
      </w:r>
      <w:r w:rsidR="00153402">
        <w:t xml:space="preserve"> the excessiveness of</w:t>
      </w:r>
      <w:r w:rsidR="001A3DD5">
        <w:t xml:space="preserve"> the corrosion</w:t>
      </w:r>
      <w:r w:rsidR="00A02DDE">
        <w:t xml:space="preserve">.  He just said the corrosion </w:t>
      </w:r>
      <w:r w:rsidR="00153402">
        <w:t>“</w:t>
      </w:r>
      <w:r w:rsidR="00A02DDE">
        <w:t>looks like mud</w:t>
      </w:r>
      <w:r w:rsidR="00857E49">
        <w:t>.</w:t>
      </w:r>
      <w:r w:rsidR="00153402">
        <w:t>”</w:t>
      </w:r>
      <w:r w:rsidR="00857E49">
        <w:t xml:space="preserve">  And, looking at Exhibits C-4 and C-5, a Respondent witness testified that he did not see any splices on the ground wire and that he did not know if the connection between the wire and the rod showed an area of dirt or corrosion</w:t>
      </w:r>
      <w:r w:rsidR="00A02DDE">
        <w:t xml:space="preserve"> (N.T. 59</w:t>
      </w:r>
      <w:r w:rsidR="00153402">
        <w:t>; C-5</w:t>
      </w:r>
      <w:r w:rsidR="00A02DDE">
        <w:t>).</w:t>
      </w:r>
    </w:p>
    <w:p w:rsidR="00A02DDE" w:rsidRDefault="00A02DDE" w:rsidP="001A3DD5">
      <w:pPr>
        <w:spacing w:line="360" w:lineRule="auto"/>
      </w:pPr>
    </w:p>
    <w:p w:rsidR="00A02DDE" w:rsidRDefault="00A02DDE" w:rsidP="001A3DD5">
      <w:pPr>
        <w:spacing w:line="360" w:lineRule="auto"/>
      </w:pPr>
      <w:r>
        <w:lastRenderedPageBreak/>
        <w:tab/>
      </w:r>
      <w:r>
        <w:tab/>
        <w:t>From the testimony above, I conclude that the Complainant has failed to carry his burden of proof.</w:t>
      </w:r>
    </w:p>
    <w:p w:rsidR="00A02DDE" w:rsidRDefault="00A02DDE" w:rsidP="001A3DD5">
      <w:pPr>
        <w:spacing w:line="360" w:lineRule="auto"/>
      </w:pPr>
    </w:p>
    <w:p w:rsidR="008235A9" w:rsidRDefault="008235A9" w:rsidP="008235A9">
      <w:pPr>
        <w:spacing w:line="360" w:lineRule="auto"/>
        <w:jc w:val="center"/>
      </w:pPr>
      <w:r>
        <w:rPr>
          <w:u w:val="single"/>
        </w:rPr>
        <w:t>CONCLUSIONS OF LAW</w:t>
      </w:r>
    </w:p>
    <w:p w:rsidR="008235A9" w:rsidRDefault="008235A9" w:rsidP="008235A9">
      <w:pPr>
        <w:spacing w:line="360" w:lineRule="auto"/>
        <w:jc w:val="center"/>
      </w:pPr>
    </w:p>
    <w:p w:rsidR="008235A9" w:rsidRDefault="008235A9" w:rsidP="008235A9">
      <w:pPr>
        <w:spacing w:line="360" w:lineRule="auto"/>
      </w:pPr>
      <w:r>
        <w:tab/>
      </w:r>
      <w:r>
        <w:tab/>
        <w:t>1.</w:t>
      </w:r>
      <w:r>
        <w:tab/>
        <w:t xml:space="preserve">The parties </w:t>
      </w:r>
      <w:r w:rsidR="00A02DDE">
        <w:t xml:space="preserve">to, </w:t>
      </w:r>
      <w:r>
        <w:t>and the subject matter of</w:t>
      </w:r>
      <w:r w:rsidR="00A02DDE">
        <w:t xml:space="preserve">, </w:t>
      </w:r>
      <w:r>
        <w:t xml:space="preserve">this </w:t>
      </w:r>
      <w:r w:rsidR="00A02DDE">
        <w:t>complaint proceeding are properly before the Commission.</w:t>
      </w:r>
    </w:p>
    <w:p w:rsidR="008235A9" w:rsidRDefault="008235A9" w:rsidP="008235A9">
      <w:pPr>
        <w:spacing w:line="360" w:lineRule="auto"/>
      </w:pPr>
    </w:p>
    <w:p w:rsidR="008235A9" w:rsidRDefault="008235A9" w:rsidP="008235A9">
      <w:pPr>
        <w:spacing w:line="360" w:lineRule="auto"/>
      </w:pPr>
      <w:r>
        <w:tab/>
      </w:r>
      <w:r>
        <w:tab/>
        <w:t>2.</w:t>
      </w:r>
      <w:r>
        <w:tab/>
        <w:t xml:space="preserve">The Complainant </w:t>
      </w:r>
      <w:r w:rsidR="00A02DDE">
        <w:t xml:space="preserve">has </w:t>
      </w:r>
      <w:r>
        <w:t>failed to carry his burden of proof.</w:t>
      </w:r>
    </w:p>
    <w:p w:rsidR="008235A9" w:rsidRDefault="008235A9" w:rsidP="008235A9">
      <w:pPr>
        <w:spacing w:line="360" w:lineRule="auto"/>
      </w:pPr>
    </w:p>
    <w:p w:rsidR="008235A9" w:rsidRDefault="008235A9" w:rsidP="008235A9">
      <w:pPr>
        <w:spacing w:line="360" w:lineRule="auto"/>
        <w:jc w:val="center"/>
      </w:pPr>
      <w:r>
        <w:rPr>
          <w:u w:val="single"/>
        </w:rPr>
        <w:t>ORDER</w:t>
      </w:r>
    </w:p>
    <w:p w:rsidR="008235A9" w:rsidRDefault="008235A9" w:rsidP="008235A9">
      <w:pPr>
        <w:spacing w:line="360" w:lineRule="auto"/>
        <w:jc w:val="center"/>
      </w:pPr>
    </w:p>
    <w:p w:rsidR="008235A9" w:rsidRDefault="008235A9" w:rsidP="008235A9">
      <w:pPr>
        <w:spacing w:line="360" w:lineRule="auto"/>
      </w:pPr>
      <w:r>
        <w:tab/>
      </w:r>
      <w:r>
        <w:tab/>
        <w:t>THEREFORE,</w:t>
      </w:r>
    </w:p>
    <w:p w:rsidR="008235A9" w:rsidRDefault="008235A9" w:rsidP="008235A9">
      <w:pPr>
        <w:spacing w:line="360" w:lineRule="auto"/>
      </w:pPr>
    </w:p>
    <w:p w:rsidR="008235A9" w:rsidRDefault="008235A9" w:rsidP="008235A9">
      <w:pPr>
        <w:spacing w:line="360" w:lineRule="auto"/>
      </w:pPr>
      <w:r>
        <w:tab/>
      </w:r>
      <w:r>
        <w:tab/>
        <w:t>IT IS ORDERED:</w:t>
      </w:r>
    </w:p>
    <w:p w:rsidR="008235A9" w:rsidRDefault="008235A9" w:rsidP="008235A9">
      <w:pPr>
        <w:spacing w:line="360" w:lineRule="auto"/>
      </w:pPr>
    </w:p>
    <w:p w:rsidR="008235A9" w:rsidRDefault="008235A9" w:rsidP="008235A9">
      <w:pPr>
        <w:spacing w:line="360" w:lineRule="auto"/>
      </w:pPr>
      <w:r>
        <w:tab/>
      </w:r>
      <w:r>
        <w:tab/>
        <w:t>1.</w:t>
      </w:r>
      <w:r>
        <w:tab/>
        <w:t xml:space="preserve">That the complaint of </w:t>
      </w:r>
      <w:r w:rsidR="00A02DDE">
        <w:t>Adolf H. Blauhut</w:t>
      </w:r>
      <w:r>
        <w:t xml:space="preserve"> against PECO Energy Company at Docket Number C-200</w:t>
      </w:r>
      <w:r w:rsidR="00A02DDE">
        <w:t>9-2087552 is dismissed because of the Complainant’s failure to carry his burden of proof.</w:t>
      </w:r>
    </w:p>
    <w:p w:rsidR="008235A9" w:rsidRDefault="008235A9" w:rsidP="008235A9">
      <w:pPr>
        <w:spacing w:line="360" w:lineRule="auto"/>
      </w:pPr>
    </w:p>
    <w:p w:rsidR="008235A9" w:rsidRDefault="008235A9" w:rsidP="008235A9">
      <w:pPr>
        <w:spacing w:line="360" w:lineRule="auto"/>
      </w:pPr>
    </w:p>
    <w:p w:rsidR="008235A9" w:rsidRDefault="008235A9" w:rsidP="008235A9"/>
    <w:p w:rsidR="008235A9" w:rsidRDefault="00A67335" w:rsidP="008235A9">
      <w:r>
        <w:t xml:space="preserve">Date:    </w:t>
      </w:r>
      <w:r>
        <w:rPr>
          <w:u w:val="single"/>
        </w:rPr>
        <w:t>     September 10, 2009     </w:t>
      </w:r>
      <w:r>
        <w:tab/>
      </w:r>
      <w:r w:rsidR="008235A9">
        <w:tab/>
      </w:r>
      <w:r w:rsidR="008235A9">
        <w:tab/>
        <w:t>____________________________________</w:t>
      </w:r>
    </w:p>
    <w:p w:rsidR="008235A9" w:rsidRDefault="008235A9" w:rsidP="008235A9">
      <w:r>
        <w:tab/>
      </w:r>
      <w:r>
        <w:tab/>
      </w:r>
      <w:r>
        <w:tab/>
      </w:r>
      <w:r>
        <w:tab/>
      </w:r>
      <w:r>
        <w:tab/>
      </w:r>
      <w:r>
        <w:tab/>
      </w:r>
      <w:r>
        <w:tab/>
        <w:t>Ky Van Nguyen</w:t>
      </w:r>
    </w:p>
    <w:p w:rsidR="00C257B4" w:rsidRDefault="008235A9">
      <w:r>
        <w:tab/>
      </w:r>
      <w:r>
        <w:tab/>
      </w:r>
      <w:r>
        <w:tab/>
      </w:r>
      <w:r>
        <w:tab/>
      </w:r>
      <w:r>
        <w:tab/>
      </w:r>
      <w:r>
        <w:tab/>
      </w:r>
      <w:r>
        <w:tab/>
        <w:t>Administrative Law Judge</w:t>
      </w:r>
    </w:p>
    <w:sectPr w:rsidR="00C257B4" w:rsidSect="00654CE9">
      <w:footerReference w:type="default" r:id="rId7"/>
      <w:pgSz w:w="12240" w:h="15840"/>
      <w:pgMar w:top="1296" w:right="1440" w:bottom="129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BF0" w:rsidRDefault="00B43BF0" w:rsidP="008235A9">
      <w:r>
        <w:separator/>
      </w:r>
    </w:p>
  </w:endnote>
  <w:endnote w:type="continuationSeparator" w:id="0">
    <w:p w:rsidR="00B43BF0" w:rsidRDefault="00B43BF0" w:rsidP="008235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AA" w:rsidRDefault="006C71AA">
    <w:pPr>
      <w:pStyle w:val="Footer"/>
      <w:jc w:val="center"/>
    </w:pPr>
    <w:fldSimple w:instr=" PAGE   \* MERGEFORMAT ">
      <w:r w:rsidR="003D26B3">
        <w:rPr>
          <w:noProof/>
        </w:rPr>
        <w:t>9</w:t>
      </w:r>
    </w:fldSimple>
  </w:p>
  <w:p w:rsidR="006C71AA" w:rsidRDefault="006C7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BF0" w:rsidRDefault="00B43BF0" w:rsidP="008235A9">
      <w:r>
        <w:separator/>
      </w:r>
    </w:p>
  </w:footnote>
  <w:footnote w:type="continuationSeparator" w:id="0">
    <w:p w:rsidR="00B43BF0" w:rsidRDefault="00B43BF0" w:rsidP="008235A9">
      <w:r>
        <w:continuationSeparator/>
      </w:r>
    </w:p>
  </w:footnote>
  <w:footnote w:id="1">
    <w:p w:rsidR="0036619E" w:rsidRDefault="0036619E" w:rsidP="0036619E">
      <w:pPr>
        <w:pStyle w:val="FootnoteText"/>
        <w:ind w:left="720" w:hanging="720"/>
      </w:pPr>
      <w:r>
        <w:rPr>
          <w:rStyle w:val="FootnoteReference"/>
        </w:rPr>
        <w:footnoteRef/>
      </w:r>
      <w:r>
        <w:t xml:space="preserve"> </w:t>
      </w:r>
      <w:r>
        <w:tab/>
        <w:t xml:space="preserve">At the hearing, the Respondent employee Jack Hinkle testified that the Delta Transformer serves the Complainant’s residence.  When answering my letter, Mr. Hinkle corrected the transcript, testifying that the Foxtrot transformer serves </w:t>
      </w:r>
      <w:r w:rsidR="00A459D3">
        <w:t>the Complainant’s residence</w:t>
      </w:r>
      <w:r>
        <w:t xml:space="preserve"> (PECO Exhibit </w:t>
      </w:r>
      <w:r w:rsidR="00847B8B">
        <w:t>4</w:t>
      </w:r>
      <w:r>
        <w:t>).</w:t>
      </w:r>
      <w:r w:rsidR="00847B8B">
        <w:t xml:space="preserve">  Therefore, I will switch the name of these two transformers.</w:t>
      </w:r>
      <w:r>
        <w:t xml:space="preserve">  This correction does not affect Mr. Hinkle’s testimony about </w:t>
      </w:r>
      <w:r w:rsidR="00D747CC">
        <w:t>grounding</w:t>
      </w:r>
      <w:r>
        <w:t xml:space="preserve">. </w:t>
      </w:r>
    </w:p>
  </w:footnote>
  <w:footnote w:id="2">
    <w:p w:rsidR="008235A9" w:rsidRDefault="008235A9" w:rsidP="008235A9">
      <w:pPr>
        <w:pStyle w:val="FootnoteText"/>
      </w:pPr>
      <w:r>
        <w:rPr>
          <w:rStyle w:val="FootnoteReference"/>
        </w:rPr>
        <w:footnoteRef/>
      </w:r>
      <w:r>
        <w:t xml:space="preserve"> </w:t>
      </w:r>
      <w:r>
        <w:tab/>
        <w:t>Section 332(a) of the Public Utility Code provides:</w:t>
      </w:r>
    </w:p>
    <w:p w:rsidR="008235A9" w:rsidRDefault="008235A9" w:rsidP="008235A9">
      <w:pPr>
        <w:pStyle w:val="FootnoteText"/>
      </w:pPr>
    </w:p>
    <w:p w:rsidR="008235A9" w:rsidRDefault="008235A9" w:rsidP="008235A9">
      <w:pPr>
        <w:pStyle w:val="FootnoteText"/>
        <w:ind w:left="1440" w:right="720" w:hanging="720"/>
      </w:pPr>
      <w:r>
        <w:tab/>
        <w:t xml:space="preserve">   (a)  </w:t>
      </w:r>
      <w:r>
        <w:rPr>
          <w:u w:val="single"/>
        </w:rPr>
        <w:t>Burden of Proof.</w:t>
      </w:r>
      <w:r>
        <w:t xml:space="preserve"> – Except as may be otherwise provided in section 315 (relating to burden of proof) or other provisions of this part or other relevant statute, the proponent of a rule or order has the burden of proof.</w:t>
      </w:r>
    </w:p>
    <w:p w:rsidR="008235A9" w:rsidRDefault="008235A9" w:rsidP="008235A9">
      <w:pPr>
        <w:pStyle w:val="FootnoteText"/>
        <w:ind w:left="1440" w:hanging="720"/>
      </w:pPr>
    </w:p>
  </w:footnote>
  <w:footnote w:id="3">
    <w:p w:rsidR="000A75CD" w:rsidRDefault="000A75CD" w:rsidP="000A75CD">
      <w:pPr>
        <w:pStyle w:val="FootnoteText"/>
        <w:ind w:left="720" w:hanging="720"/>
      </w:pPr>
      <w:r>
        <w:rPr>
          <w:rStyle w:val="FootnoteReference"/>
        </w:rPr>
        <w:footnoteRef/>
      </w:r>
      <w:r>
        <w:t xml:space="preserve"> </w:t>
      </w:r>
      <w:r>
        <w:tab/>
        <w:t>At the hearing, the Complainant testified that he does not have a formal degree, majoring only three years in liberal arts (N.T. 55).  In his reply brief, about his qualifications to testify about grounding, he stated that he was an Electronics Instructor for four years in the US Air Force, participated for three years in the Biosatellite NASA space program where grounding was of paramount importance in the launch area at Cape Kennedy.  He finally spent 3 years with Burroughs Corp. in computer design manufacture and support.  He knows a bad wire when he sees it (Reply Brief for Complainant at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E6D12"/>
    <w:multiLevelType w:val="hybridMultilevel"/>
    <w:tmpl w:val="1902D408"/>
    <w:lvl w:ilvl="0" w:tplc="3BC0A99A">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6362A7C"/>
    <w:multiLevelType w:val="hybridMultilevel"/>
    <w:tmpl w:val="3FA882B4"/>
    <w:lvl w:ilvl="0" w:tplc="127A35D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B4A64E8"/>
    <w:multiLevelType w:val="hybridMultilevel"/>
    <w:tmpl w:val="6B3E93AC"/>
    <w:lvl w:ilvl="0" w:tplc="3BFA3C66">
      <w:start w:val="9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E1061F1"/>
    <w:multiLevelType w:val="hybridMultilevel"/>
    <w:tmpl w:val="ED962E10"/>
    <w:lvl w:ilvl="0" w:tplc="078851AE">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235A9"/>
    <w:rsid w:val="00030259"/>
    <w:rsid w:val="00085A59"/>
    <w:rsid w:val="000A75CD"/>
    <w:rsid w:val="000D0849"/>
    <w:rsid w:val="0011489A"/>
    <w:rsid w:val="00153402"/>
    <w:rsid w:val="001641EE"/>
    <w:rsid w:val="001A3DD5"/>
    <w:rsid w:val="002804FC"/>
    <w:rsid w:val="00295DA4"/>
    <w:rsid w:val="002B5405"/>
    <w:rsid w:val="00341F0B"/>
    <w:rsid w:val="0036619E"/>
    <w:rsid w:val="00384E60"/>
    <w:rsid w:val="003D26B3"/>
    <w:rsid w:val="0040612B"/>
    <w:rsid w:val="00456492"/>
    <w:rsid w:val="004C7490"/>
    <w:rsid w:val="004C76FA"/>
    <w:rsid w:val="004D5BB9"/>
    <w:rsid w:val="0051311C"/>
    <w:rsid w:val="00567AAE"/>
    <w:rsid w:val="00654CE9"/>
    <w:rsid w:val="0066062F"/>
    <w:rsid w:val="006A74BF"/>
    <w:rsid w:val="006C71AA"/>
    <w:rsid w:val="00775A36"/>
    <w:rsid w:val="007825C3"/>
    <w:rsid w:val="007B699E"/>
    <w:rsid w:val="007E2AD3"/>
    <w:rsid w:val="008235A9"/>
    <w:rsid w:val="00847B8B"/>
    <w:rsid w:val="00857E49"/>
    <w:rsid w:val="008652DB"/>
    <w:rsid w:val="00886ECA"/>
    <w:rsid w:val="00937F91"/>
    <w:rsid w:val="00950F11"/>
    <w:rsid w:val="00983A72"/>
    <w:rsid w:val="00A02DDE"/>
    <w:rsid w:val="00A258B2"/>
    <w:rsid w:val="00A32146"/>
    <w:rsid w:val="00A459D3"/>
    <w:rsid w:val="00A5461F"/>
    <w:rsid w:val="00A67335"/>
    <w:rsid w:val="00A75C75"/>
    <w:rsid w:val="00B43BF0"/>
    <w:rsid w:val="00C257B4"/>
    <w:rsid w:val="00D0747A"/>
    <w:rsid w:val="00D2645F"/>
    <w:rsid w:val="00D747CC"/>
    <w:rsid w:val="00D9043A"/>
    <w:rsid w:val="00DA4358"/>
    <w:rsid w:val="00DF343A"/>
    <w:rsid w:val="00E15A7A"/>
    <w:rsid w:val="00E3098A"/>
    <w:rsid w:val="00E41200"/>
    <w:rsid w:val="00E77671"/>
    <w:rsid w:val="00F02856"/>
    <w:rsid w:val="00F321E0"/>
    <w:rsid w:val="00FB0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5A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235A9"/>
    <w:rPr>
      <w:sz w:val="20"/>
      <w:szCs w:val="20"/>
    </w:rPr>
  </w:style>
  <w:style w:type="character" w:customStyle="1" w:styleId="FootnoteTextChar">
    <w:name w:val="Footnote Text Char"/>
    <w:basedOn w:val="DefaultParagraphFont"/>
    <w:link w:val="FootnoteText"/>
    <w:semiHidden/>
    <w:rsid w:val="008235A9"/>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235A9"/>
    <w:rPr>
      <w:vertAlign w:val="superscript"/>
    </w:rPr>
  </w:style>
  <w:style w:type="paragraph" w:styleId="Header">
    <w:name w:val="header"/>
    <w:basedOn w:val="Normal"/>
    <w:link w:val="HeaderChar"/>
    <w:uiPriority w:val="99"/>
    <w:semiHidden/>
    <w:unhideWhenUsed/>
    <w:rsid w:val="006C71AA"/>
    <w:pPr>
      <w:tabs>
        <w:tab w:val="center" w:pos="4680"/>
        <w:tab w:val="right" w:pos="9360"/>
      </w:tabs>
    </w:pPr>
  </w:style>
  <w:style w:type="character" w:customStyle="1" w:styleId="HeaderChar">
    <w:name w:val="Header Char"/>
    <w:basedOn w:val="DefaultParagraphFont"/>
    <w:link w:val="Header"/>
    <w:uiPriority w:val="99"/>
    <w:semiHidden/>
    <w:rsid w:val="006C71AA"/>
    <w:rPr>
      <w:rFonts w:ascii="Times New Roman" w:eastAsia="Times New Roman" w:hAnsi="Times New Roman"/>
      <w:sz w:val="24"/>
      <w:szCs w:val="24"/>
    </w:rPr>
  </w:style>
  <w:style w:type="paragraph" w:styleId="Footer">
    <w:name w:val="footer"/>
    <w:basedOn w:val="Normal"/>
    <w:link w:val="FooterChar"/>
    <w:uiPriority w:val="99"/>
    <w:unhideWhenUsed/>
    <w:rsid w:val="006C71AA"/>
    <w:pPr>
      <w:tabs>
        <w:tab w:val="center" w:pos="4680"/>
        <w:tab w:val="right" w:pos="9360"/>
      </w:tabs>
    </w:pPr>
  </w:style>
  <w:style w:type="character" w:customStyle="1" w:styleId="FooterChar">
    <w:name w:val="Footer Char"/>
    <w:basedOn w:val="DefaultParagraphFont"/>
    <w:link w:val="Footer"/>
    <w:uiPriority w:val="99"/>
    <w:rsid w:val="006C71A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2002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dc:description/>
  <cp:lastModifiedBy>shoffner</cp:lastModifiedBy>
  <cp:revision>2</cp:revision>
  <cp:lastPrinted>2009-10-07T14:03:00Z</cp:lastPrinted>
  <dcterms:created xsi:type="dcterms:W3CDTF">2009-10-08T15:39:00Z</dcterms:created>
  <dcterms:modified xsi:type="dcterms:W3CDTF">2009-10-08T15:39:00Z</dcterms:modified>
</cp:coreProperties>
</file>