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538" w:rsidRPr="007733F3" w:rsidRDefault="00817538" w:rsidP="0037494A">
      <w:pPr>
        <w:jc w:val="center"/>
        <w:rPr>
          <w:b/>
          <w:sz w:val="26"/>
          <w:szCs w:val="26"/>
        </w:rPr>
      </w:pPr>
      <w:r w:rsidRPr="007733F3">
        <w:rPr>
          <w:b/>
          <w:sz w:val="26"/>
          <w:szCs w:val="26"/>
        </w:rPr>
        <w:t>PENNSYLVANIA</w:t>
      </w:r>
    </w:p>
    <w:p w:rsidR="00817538" w:rsidRPr="007733F3" w:rsidRDefault="00817538" w:rsidP="0037494A">
      <w:pPr>
        <w:jc w:val="center"/>
        <w:rPr>
          <w:b/>
          <w:sz w:val="26"/>
          <w:szCs w:val="26"/>
        </w:rPr>
      </w:pPr>
      <w:r w:rsidRPr="007733F3">
        <w:rPr>
          <w:b/>
          <w:sz w:val="26"/>
          <w:szCs w:val="26"/>
        </w:rPr>
        <w:t>PUBLIC UTILITY COMMISSION</w:t>
      </w:r>
    </w:p>
    <w:p w:rsidR="00817538" w:rsidRPr="007733F3" w:rsidRDefault="00817538" w:rsidP="0037494A">
      <w:pPr>
        <w:jc w:val="center"/>
        <w:rPr>
          <w:b/>
          <w:sz w:val="26"/>
          <w:szCs w:val="26"/>
        </w:rPr>
      </w:pPr>
      <w:smartTag w:uri="urn:schemas-microsoft-com:office:smarttags" w:element="place">
        <w:smartTag w:uri="urn:schemas-microsoft-com:office:smarttags" w:element="City">
          <w:r w:rsidRPr="007733F3">
            <w:rPr>
              <w:b/>
              <w:sz w:val="26"/>
              <w:szCs w:val="26"/>
            </w:rPr>
            <w:t>Harrisburg</w:t>
          </w:r>
        </w:smartTag>
        <w:r w:rsidRPr="007733F3">
          <w:rPr>
            <w:b/>
            <w:sz w:val="26"/>
            <w:szCs w:val="26"/>
          </w:rPr>
          <w:t xml:space="preserve">, </w:t>
        </w:r>
        <w:smartTag w:uri="urn:schemas-microsoft-com:office:smarttags" w:element="State">
          <w:r w:rsidRPr="007733F3">
            <w:rPr>
              <w:b/>
              <w:sz w:val="26"/>
              <w:szCs w:val="26"/>
            </w:rPr>
            <w:t>PA.</w:t>
          </w:r>
        </w:smartTag>
      </w:smartTag>
      <w:r w:rsidRPr="007733F3">
        <w:rPr>
          <w:b/>
          <w:sz w:val="26"/>
          <w:szCs w:val="26"/>
        </w:rPr>
        <w:t xml:space="preserve">  17105-3265</w:t>
      </w:r>
    </w:p>
    <w:p w:rsidR="00D850D4" w:rsidRPr="007733F3" w:rsidRDefault="00D850D4" w:rsidP="0037494A">
      <w:pPr>
        <w:rPr>
          <w:sz w:val="26"/>
          <w:szCs w:val="26"/>
        </w:rPr>
      </w:pPr>
    </w:p>
    <w:tbl>
      <w:tblPr>
        <w:tblW w:w="0" w:type="auto"/>
        <w:tblLayout w:type="fixed"/>
        <w:tblLook w:val="0000"/>
      </w:tblPr>
      <w:tblGrid>
        <w:gridCol w:w="5148"/>
        <w:gridCol w:w="4410"/>
      </w:tblGrid>
      <w:tr w:rsidR="00D850D4" w:rsidRPr="007733F3" w:rsidTr="00817538">
        <w:tc>
          <w:tcPr>
            <w:tcW w:w="5148" w:type="dxa"/>
          </w:tcPr>
          <w:p w:rsidR="00D850D4" w:rsidRPr="007733F3" w:rsidRDefault="00D850D4" w:rsidP="0037494A">
            <w:pPr>
              <w:rPr>
                <w:sz w:val="26"/>
                <w:szCs w:val="26"/>
              </w:rPr>
            </w:pPr>
          </w:p>
        </w:tc>
        <w:tc>
          <w:tcPr>
            <w:tcW w:w="4410" w:type="dxa"/>
          </w:tcPr>
          <w:p w:rsidR="00D850D4" w:rsidRPr="007733F3" w:rsidRDefault="00D850D4" w:rsidP="00940D85">
            <w:pPr>
              <w:ind w:firstLine="432"/>
              <w:rPr>
                <w:sz w:val="26"/>
                <w:szCs w:val="26"/>
              </w:rPr>
            </w:pPr>
            <w:r w:rsidRPr="007733F3">
              <w:rPr>
                <w:sz w:val="26"/>
                <w:szCs w:val="26"/>
              </w:rPr>
              <w:t xml:space="preserve">Public Meeting held </w:t>
            </w:r>
            <w:r w:rsidR="006260BF">
              <w:rPr>
                <w:sz w:val="26"/>
                <w:szCs w:val="26"/>
              </w:rPr>
              <w:t>June 18</w:t>
            </w:r>
            <w:r w:rsidR="00927BB6" w:rsidRPr="007733F3">
              <w:rPr>
                <w:sz w:val="26"/>
                <w:szCs w:val="26"/>
              </w:rPr>
              <w:t>, 2009</w:t>
            </w:r>
          </w:p>
        </w:tc>
      </w:tr>
      <w:tr w:rsidR="00D850D4" w:rsidRPr="007733F3" w:rsidTr="00817538">
        <w:tc>
          <w:tcPr>
            <w:tcW w:w="5148" w:type="dxa"/>
          </w:tcPr>
          <w:p w:rsidR="00D850D4" w:rsidRPr="007733F3" w:rsidRDefault="00D850D4" w:rsidP="0037494A">
            <w:pPr>
              <w:rPr>
                <w:sz w:val="26"/>
                <w:szCs w:val="26"/>
              </w:rPr>
            </w:pPr>
            <w:r w:rsidRPr="007733F3">
              <w:rPr>
                <w:sz w:val="26"/>
                <w:szCs w:val="26"/>
              </w:rPr>
              <w:t>Commissioners Present:</w:t>
            </w:r>
          </w:p>
        </w:tc>
        <w:tc>
          <w:tcPr>
            <w:tcW w:w="4410" w:type="dxa"/>
          </w:tcPr>
          <w:p w:rsidR="00D850D4" w:rsidRPr="007733F3" w:rsidRDefault="00D850D4" w:rsidP="0037494A">
            <w:pPr>
              <w:rPr>
                <w:sz w:val="26"/>
                <w:szCs w:val="26"/>
              </w:rPr>
            </w:pPr>
          </w:p>
        </w:tc>
      </w:tr>
    </w:tbl>
    <w:p w:rsidR="00D850D4" w:rsidRPr="007733F3" w:rsidRDefault="00D850D4" w:rsidP="0037494A">
      <w:pPr>
        <w:rPr>
          <w:sz w:val="26"/>
          <w:szCs w:val="26"/>
        </w:rPr>
      </w:pPr>
    </w:p>
    <w:tbl>
      <w:tblPr>
        <w:tblW w:w="9558" w:type="dxa"/>
        <w:tblLayout w:type="fixed"/>
        <w:tblLook w:val="0000"/>
      </w:tblPr>
      <w:tblGrid>
        <w:gridCol w:w="5958"/>
        <w:gridCol w:w="3600"/>
      </w:tblGrid>
      <w:tr w:rsidR="00817538" w:rsidRPr="007733F3" w:rsidTr="00817538">
        <w:tc>
          <w:tcPr>
            <w:tcW w:w="9558" w:type="dxa"/>
            <w:gridSpan w:val="2"/>
          </w:tcPr>
          <w:p w:rsidR="00817538" w:rsidRPr="007733F3" w:rsidRDefault="00817538" w:rsidP="0037494A">
            <w:pPr>
              <w:ind w:firstLine="450"/>
              <w:rPr>
                <w:sz w:val="26"/>
                <w:szCs w:val="26"/>
              </w:rPr>
            </w:pPr>
            <w:r w:rsidRPr="007733F3">
              <w:rPr>
                <w:sz w:val="26"/>
                <w:szCs w:val="26"/>
              </w:rPr>
              <w:t>James H. Cawley, Chairman</w:t>
            </w:r>
          </w:p>
        </w:tc>
      </w:tr>
      <w:tr w:rsidR="00817538" w:rsidRPr="007733F3" w:rsidTr="00817538">
        <w:tc>
          <w:tcPr>
            <w:tcW w:w="9558" w:type="dxa"/>
            <w:gridSpan w:val="2"/>
          </w:tcPr>
          <w:p w:rsidR="00817538" w:rsidRPr="007733F3" w:rsidRDefault="00817538" w:rsidP="0037494A">
            <w:pPr>
              <w:ind w:firstLine="450"/>
              <w:rPr>
                <w:sz w:val="26"/>
                <w:szCs w:val="26"/>
              </w:rPr>
            </w:pPr>
            <w:r w:rsidRPr="007733F3">
              <w:rPr>
                <w:sz w:val="26"/>
                <w:szCs w:val="26"/>
              </w:rPr>
              <w:t>Tyrone J. Christy, Vice Chairman</w:t>
            </w:r>
            <w:r w:rsidR="00517647">
              <w:rPr>
                <w:sz w:val="26"/>
                <w:szCs w:val="26"/>
              </w:rPr>
              <w:t>, Abstained</w:t>
            </w:r>
          </w:p>
        </w:tc>
      </w:tr>
      <w:tr w:rsidR="00817538" w:rsidRPr="007733F3" w:rsidTr="00902632">
        <w:tc>
          <w:tcPr>
            <w:tcW w:w="9558" w:type="dxa"/>
            <w:gridSpan w:val="2"/>
          </w:tcPr>
          <w:p w:rsidR="00817538" w:rsidRPr="007733F3" w:rsidRDefault="00817538" w:rsidP="0037494A">
            <w:pPr>
              <w:ind w:firstLine="450"/>
              <w:rPr>
                <w:sz w:val="26"/>
                <w:szCs w:val="26"/>
              </w:rPr>
            </w:pPr>
            <w:r w:rsidRPr="007733F3">
              <w:rPr>
                <w:sz w:val="26"/>
                <w:szCs w:val="26"/>
              </w:rPr>
              <w:t>Kim Pizzingrilli</w:t>
            </w:r>
            <w:r w:rsidR="00517647">
              <w:rPr>
                <w:sz w:val="26"/>
                <w:szCs w:val="26"/>
              </w:rPr>
              <w:t>, Statement</w:t>
            </w:r>
          </w:p>
        </w:tc>
      </w:tr>
      <w:tr w:rsidR="00817538" w:rsidRPr="007733F3" w:rsidTr="00902632">
        <w:tc>
          <w:tcPr>
            <w:tcW w:w="9558" w:type="dxa"/>
            <w:gridSpan w:val="2"/>
          </w:tcPr>
          <w:p w:rsidR="00817538" w:rsidRDefault="00817538" w:rsidP="0037494A">
            <w:pPr>
              <w:ind w:left="450"/>
              <w:rPr>
                <w:sz w:val="26"/>
                <w:szCs w:val="26"/>
              </w:rPr>
            </w:pPr>
            <w:r w:rsidRPr="007733F3">
              <w:rPr>
                <w:sz w:val="26"/>
                <w:szCs w:val="26"/>
              </w:rPr>
              <w:t>Wayne E. Gardner</w:t>
            </w:r>
          </w:p>
          <w:p w:rsidR="00902632" w:rsidRPr="007733F3" w:rsidRDefault="00902632" w:rsidP="0037494A">
            <w:pPr>
              <w:ind w:left="450"/>
              <w:rPr>
                <w:sz w:val="26"/>
                <w:szCs w:val="26"/>
              </w:rPr>
            </w:pPr>
            <w:r w:rsidRPr="007733F3">
              <w:rPr>
                <w:sz w:val="26"/>
                <w:szCs w:val="26"/>
              </w:rPr>
              <w:t>Robert F. Powelson</w:t>
            </w:r>
          </w:p>
        </w:tc>
      </w:tr>
      <w:tr w:rsidR="00817538" w:rsidRPr="007733F3" w:rsidTr="00902632">
        <w:tc>
          <w:tcPr>
            <w:tcW w:w="5958" w:type="dxa"/>
          </w:tcPr>
          <w:p w:rsidR="00817538" w:rsidRPr="007733F3" w:rsidRDefault="00817538" w:rsidP="0037494A">
            <w:pPr>
              <w:rPr>
                <w:sz w:val="26"/>
                <w:szCs w:val="26"/>
              </w:rPr>
            </w:pPr>
          </w:p>
        </w:tc>
        <w:tc>
          <w:tcPr>
            <w:tcW w:w="3600" w:type="dxa"/>
          </w:tcPr>
          <w:p w:rsidR="00817538" w:rsidRPr="007733F3" w:rsidRDefault="00817538" w:rsidP="0037494A">
            <w:pPr>
              <w:rPr>
                <w:sz w:val="26"/>
                <w:szCs w:val="26"/>
              </w:rPr>
            </w:pPr>
          </w:p>
        </w:tc>
      </w:tr>
      <w:tr w:rsidR="00817538" w:rsidRPr="007733F3" w:rsidTr="00817538">
        <w:tc>
          <w:tcPr>
            <w:tcW w:w="5958" w:type="dxa"/>
          </w:tcPr>
          <w:p w:rsidR="00817538" w:rsidRPr="007733F3" w:rsidRDefault="00817538" w:rsidP="0037494A">
            <w:pPr>
              <w:rPr>
                <w:sz w:val="26"/>
                <w:szCs w:val="26"/>
              </w:rPr>
            </w:pPr>
            <w:r w:rsidRPr="007733F3">
              <w:rPr>
                <w:sz w:val="26"/>
                <w:szCs w:val="26"/>
              </w:rPr>
              <w:t>Implementation of Act 129 of 2008</w:t>
            </w:r>
            <w:r w:rsidR="00DF6A96" w:rsidRPr="007733F3">
              <w:rPr>
                <w:sz w:val="26"/>
                <w:szCs w:val="26"/>
              </w:rPr>
              <w:t xml:space="preserve"> – </w:t>
            </w:r>
          </w:p>
          <w:p w:rsidR="00817538" w:rsidRPr="007733F3" w:rsidRDefault="00817538" w:rsidP="0037494A">
            <w:pPr>
              <w:rPr>
                <w:sz w:val="26"/>
                <w:szCs w:val="26"/>
              </w:rPr>
            </w:pPr>
            <w:r w:rsidRPr="007733F3">
              <w:rPr>
                <w:sz w:val="26"/>
                <w:szCs w:val="26"/>
              </w:rPr>
              <w:t xml:space="preserve">Total Resource Cost </w:t>
            </w:r>
            <w:r w:rsidR="00C84CB9">
              <w:rPr>
                <w:sz w:val="26"/>
                <w:szCs w:val="26"/>
              </w:rPr>
              <w:t xml:space="preserve">(TRC) </w:t>
            </w:r>
            <w:r w:rsidRPr="007733F3">
              <w:rPr>
                <w:sz w:val="26"/>
                <w:szCs w:val="26"/>
              </w:rPr>
              <w:t xml:space="preserve">Test </w:t>
            </w:r>
          </w:p>
        </w:tc>
        <w:tc>
          <w:tcPr>
            <w:tcW w:w="3600" w:type="dxa"/>
          </w:tcPr>
          <w:p w:rsidR="00817538" w:rsidRPr="007733F3" w:rsidRDefault="00817538" w:rsidP="00940D85">
            <w:pPr>
              <w:jc w:val="right"/>
              <w:rPr>
                <w:sz w:val="26"/>
                <w:szCs w:val="26"/>
              </w:rPr>
            </w:pPr>
            <w:r w:rsidRPr="007733F3">
              <w:rPr>
                <w:sz w:val="26"/>
                <w:szCs w:val="26"/>
              </w:rPr>
              <w:t>Docket No. M</w:t>
            </w:r>
            <w:r w:rsidRPr="007733F3">
              <w:rPr>
                <w:sz w:val="26"/>
                <w:szCs w:val="26"/>
              </w:rPr>
              <w:noBreakHyphen/>
              <w:t>2009</w:t>
            </w:r>
            <w:r w:rsidR="00940D85">
              <w:rPr>
                <w:sz w:val="26"/>
                <w:szCs w:val="26"/>
              </w:rPr>
              <w:t>-</w:t>
            </w:r>
            <w:r w:rsidR="00940D85">
              <w:t>2</w:t>
            </w:r>
            <w:r w:rsidR="00D00D0D" w:rsidRPr="00D00D0D">
              <w:rPr>
                <w:sz w:val="26"/>
                <w:szCs w:val="26"/>
              </w:rPr>
              <w:t>108601</w:t>
            </w:r>
          </w:p>
        </w:tc>
      </w:tr>
    </w:tbl>
    <w:p w:rsidR="00F66768" w:rsidRPr="007733F3" w:rsidRDefault="00F66768" w:rsidP="0037494A">
      <w:pPr>
        <w:jc w:val="center"/>
        <w:rPr>
          <w:b/>
          <w:sz w:val="26"/>
          <w:szCs w:val="26"/>
        </w:rPr>
      </w:pPr>
    </w:p>
    <w:p w:rsidR="00E96680" w:rsidRPr="007733F3" w:rsidRDefault="001E01CF" w:rsidP="0037494A">
      <w:pPr>
        <w:spacing w:line="360" w:lineRule="auto"/>
        <w:jc w:val="center"/>
        <w:rPr>
          <w:b/>
          <w:sz w:val="26"/>
          <w:szCs w:val="26"/>
        </w:rPr>
      </w:pPr>
      <w:r w:rsidRPr="007733F3">
        <w:rPr>
          <w:b/>
          <w:sz w:val="26"/>
          <w:szCs w:val="26"/>
        </w:rPr>
        <w:t>ORDER</w:t>
      </w:r>
    </w:p>
    <w:p w:rsidR="00DF0470" w:rsidRPr="007733F3" w:rsidRDefault="00DF0470" w:rsidP="0037494A">
      <w:pPr>
        <w:pStyle w:val="p3"/>
        <w:spacing w:line="360" w:lineRule="auto"/>
        <w:rPr>
          <w:b/>
          <w:sz w:val="26"/>
          <w:szCs w:val="26"/>
        </w:rPr>
      </w:pPr>
      <w:r w:rsidRPr="007733F3">
        <w:rPr>
          <w:b/>
          <w:sz w:val="26"/>
          <w:szCs w:val="26"/>
        </w:rPr>
        <w:t>BY THE COMMISSION:</w:t>
      </w:r>
    </w:p>
    <w:p w:rsidR="00F85797" w:rsidRDefault="00F85797" w:rsidP="0037494A">
      <w:pPr>
        <w:pStyle w:val="p3"/>
        <w:tabs>
          <w:tab w:val="clear" w:pos="204"/>
          <w:tab w:val="left" w:pos="720"/>
        </w:tabs>
        <w:spacing w:line="360" w:lineRule="auto"/>
        <w:rPr>
          <w:sz w:val="26"/>
          <w:szCs w:val="26"/>
        </w:rPr>
      </w:pPr>
    </w:p>
    <w:p w:rsidR="00FA18B3" w:rsidRPr="007733F3" w:rsidRDefault="00793270" w:rsidP="0037494A">
      <w:pPr>
        <w:pStyle w:val="p3"/>
        <w:tabs>
          <w:tab w:val="clear" w:pos="204"/>
          <w:tab w:val="left" w:pos="720"/>
        </w:tabs>
        <w:spacing w:line="360" w:lineRule="auto"/>
        <w:rPr>
          <w:sz w:val="26"/>
          <w:szCs w:val="26"/>
        </w:rPr>
      </w:pPr>
      <w:r w:rsidRPr="007733F3">
        <w:rPr>
          <w:sz w:val="26"/>
          <w:szCs w:val="26"/>
        </w:rPr>
        <w:tab/>
      </w:r>
      <w:r w:rsidR="00DF6A96" w:rsidRPr="007733F3">
        <w:rPr>
          <w:sz w:val="26"/>
          <w:szCs w:val="26"/>
        </w:rPr>
        <w:t xml:space="preserve">This order sets out the nature of the Total Resource Cost (TRC) test to be used in </w:t>
      </w:r>
      <w:smartTag w:uri="urn:schemas-microsoft-com:office:smarttags" w:element="place">
        <w:smartTag w:uri="urn:schemas-microsoft-com:office:smarttags" w:element="State">
          <w:r w:rsidR="00DF6A96" w:rsidRPr="007733F3">
            <w:rPr>
              <w:sz w:val="26"/>
              <w:szCs w:val="26"/>
            </w:rPr>
            <w:t>Pennsylvania</w:t>
          </w:r>
        </w:smartTag>
      </w:smartTag>
      <w:r w:rsidR="00DF6A96" w:rsidRPr="007733F3">
        <w:rPr>
          <w:sz w:val="26"/>
          <w:szCs w:val="26"/>
        </w:rPr>
        <w:t xml:space="preserve">.  </w:t>
      </w:r>
      <w:r w:rsidR="00527E82" w:rsidRPr="007733F3">
        <w:rPr>
          <w:sz w:val="26"/>
          <w:szCs w:val="26"/>
        </w:rPr>
        <w:t xml:space="preserve">Act 129 </w:t>
      </w:r>
      <w:r w:rsidR="00DF6A96" w:rsidRPr="007733F3">
        <w:rPr>
          <w:sz w:val="26"/>
          <w:szCs w:val="26"/>
        </w:rPr>
        <w:t xml:space="preserve">of 2008 </w:t>
      </w:r>
      <w:r w:rsidR="00527E82" w:rsidRPr="007733F3">
        <w:rPr>
          <w:sz w:val="26"/>
          <w:szCs w:val="26"/>
        </w:rPr>
        <w:t xml:space="preserve">directs the Commission to </w:t>
      </w:r>
      <w:r w:rsidR="00412E4B" w:rsidRPr="007733F3">
        <w:rPr>
          <w:sz w:val="26"/>
          <w:szCs w:val="26"/>
        </w:rPr>
        <w:t xml:space="preserve">use a </w:t>
      </w:r>
      <w:r w:rsidR="00505C3C" w:rsidRPr="007733F3">
        <w:rPr>
          <w:sz w:val="26"/>
          <w:szCs w:val="26"/>
        </w:rPr>
        <w:t xml:space="preserve">TRC test </w:t>
      </w:r>
      <w:r w:rsidR="00412E4B" w:rsidRPr="007733F3">
        <w:rPr>
          <w:sz w:val="26"/>
          <w:szCs w:val="26"/>
        </w:rPr>
        <w:t xml:space="preserve">to analyze the costs and benefits of the energy efficiency and conservation (EE&amp;C) plans that </w:t>
      </w:r>
      <w:r w:rsidR="00875A3A" w:rsidRPr="007733F3">
        <w:rPr>
          <w:sz w:val="26"/>
          <w:szCs w:val="26"/>
        </w:rPr>
        <w:t xml:space="preserve">certain electric distribution companies </w:t>
      </w:r>
      <w:r w:rsidR="00505C3C" w:rsidRPr="007733F3">
        <w:rPr>
          <w:sz w:val="26"/>
          <w:szCs w:val="26"/>
        </w:rPr>
        <w:t xml:space="preserve">(EDCs) </w:t>
      </w:r>
      <w:r w:rsidR="00875A3A" w:rsidRPr="007733F3">
        <w:rPr>
          <w:sz w:val="26"/>
          <w:szCs w:val="26"/>
        </w:rPr>
        <w:t>are required to file</w:t>
      </w:r>
      <w:r w:rsidR="00505C3C" w:rsidRPr="007733F3">
        <w:rPr>
          <w:sz w:val="26"/>
          <w:szCs w:val="26"/>
        </w:rPr>
        <w:t>.  The EE&amp;C plans are due</w:t>
      </w:r>
      <w:r w:rsidR="00875A3A" w:rsidRPr="007733F3">
        <w:rPr>
          <w:sz w:val="26"/>
          <w:szCs w:val="26"/>
        </w:rPr>
        <w:t xml:space="preserve"> July</w:t>
      </w:r>
      <w:r w:rsidR="002A1497">
        <w:rPr>
          <w:sz w:val="26"/>
          <w:szCs w:val="26"/>
        </w:rPr>
        <w:t> </w:t>
      </w:r>
      <w:r w:rsidR="00875A3A" w:rsidRPr="007733F3">
        <w:rPr>
          <w:sz w:val="26"/>
          <w:szCs w:val="26"/>
        </w:rPr>
        <w:t xml:space="preserve">1, 2009.  </w:t>
      </w:r>
    </w:p>
    <w:p w:rsidR="001E01CF" w:rsidRPr="007733F3" w:rsidRDefault="001E01CF" w:rsidP="0037494A">
      <w:pPr>
        <w:pStyle w:val="p3"/>
        <w:spacing w:line="360" w:lineRule="auto"/>
        <w:rPr>
          <w:sz w:val="26"/>
          <w:szCs w:val="26"/>
        </w:rPr>
      </w:pPr>
    </w:p>
    <w:p w:rsidR="00095CFD" w:rsidRPr="007733F3" w:rsidRDefault="00875A3A" w:rsidP="0037494A">
      <w:pPr>
        <w:pStyle w:val="p3"/>
        <w:keepNext/>
        <w:widowControl/>
        <w:spacing w:line="360" w:lineRule="auto"/>
        <w:jc w:val="center"/>
        <w:rPr>
          <w:b/>
          <w:sz w:val="26"/>
          <w:szCs w:val="26"/>
          <w:u w:val="single"/>
        </w:rPr>
      </w:pPr>
      <w:r w:rsidRPr="007733F3">
        <w:rPr>
          <w:b/>
          <w:sz w:val="26"/>
          <w:szCs w:val="26"/>
          <w:u w:val="single"/>
        </w:rPr>
        <w:t>Background and History of Proceeding</w:t>
      </w:r>
    </w:p>
    <w:p w:rsidR="00095CFD" w:rsidRPr="007733F3" w:rsidRDefault="00095CFD" w:rsidP="0037494A">
      <w:pPr>
        <w:pStyle w:val="p3"/>
        <w:keepNext/>
        <w:widowControl/>
        <w:spacing w:line="360" w:lineRule="auto"/>
        <w:rPr>
          <w:sz w:val="26"/>
          <w:szCs w:val="26"/>
        </w:rPr>
      </w:pPr>
    </w:p>
    <w:p w:rsidR="004B3043" w:rsidRPr="007733F3" w:rsidRDefault="00095CFD" w:rsidP="0037494A">
      <w:pPr>
        <w:pStyle w:val="p3"/>
        <w:widowControl/>
        <w:tabs>
          <w:tab w:val="clear" w:pos="204"/>
        </w:tabs>
        <w:spacing w:line="360" w:lineRule="auto"/>
        <w:rPr>
          <w:sz w:val="26"/>
          <w:szCs w:val="26"/>
        </w:rPr>
      </w:pPr>
      <w:r w:rsidRPr="007733F3">
        <w:rPr>
          <w:sz w:val="26"/>
          <w:szCs w:val="26"/>
        </w:rPr>
        <w:tab/>
      </w:r>
      <w:r w:rsidR="00581853" w:rsidRPr="007733F3">
        <w:rPr>
          <w:sz w:val="26"/>
          <w:szCs w:val="26"/>
        </w:rPr>
        <w:t>Act 129</w:t>
      </w:r>
      <w:r w:rsidRPr="007733F3">
        <w:rPr>
          <w:sz w:val="26"/>
          <w:szCs w:val="26"/>
        </w:rPr>
        <w:t>, 66 Pa.</w:t>
      </w:r>
      <w:r w:rsidR="00217EDB" w:rsidRPr="007733F3">
        <w:rPr>
          <w:sz w:val="26"/>
          <w:szCs w:val="26"/>
        </w:rPr>
        <w:t xml:space="preserve"> </w:t>
      </w:r>
      <w:r w:rsidRPr="007733F3">
        <w:rPr>
          <w:sz w:val="26"/>
          <w:szCs w:val="26"/>
        </w:rPr>
        <w:t>C.S. §§</w:t>
      </w:r>
      <w:r w:rsidR="0037386D" w:rsidRPr="007733F3">
        <w:rPr>
          <w:sz w:val="26"/>
          <w:szCs w:val="26"/>
        </w:rPr>
        <w:t> </w:t>
      </w:r>
      <w:r w:rsidRPr="007733F3">
        <w:rPr>
          <w:sz w:val="26"/>
          <w:szCs w:val="26"/>
        </w:rPr>
        <w:t>2806.1</w:t>
      </w:r>
      <w:r w:rsidR="00630B09" w:rsidRPr="007733F3">
        <w:rPr>
          <w:sz w:val="26"/>
          <w:szCs w:val="26"/>
        </w:rPr>
        <w:t xml:space="preserve">, </w:t>
      </w:r>
      <w:r w:rsidR="00630B09" w:rsidRPr="007733F3">
        <w:rPr>
          <w:i/>
          <w:sz w:val="26"/>
          <w:szCs w:val="26"/>
        </w:rPr>
        <w:t>et seq</w:t>
      </w:r>
      <w:r w:rsidR="00630B09" w:rsidRPr="007733F3">
        <w:rPr>
          <w:sz w:val="26"/>
          <w:szCs w:val="26"/>
        </w:rPr>
        <w:t xml:space="preserve">., requires </w:t>
      </w:r>
      <w:r w:rsidRPr="007733F3">
        <w:rPr>
          <w:sz w:val="26"/>
          <w:szCs w:val="26"/>
        </w:rPr>
        <w:t xml:space="preserve">an EDC with 100,000 </w:t>
      </w:r>
      <w:r w:rsidR="005F12FF" w:rsidRPr="007733F3">
        <w:rPr>
          <w:sz w:val="26"/>
          <w:szCs w:val="26"/>
        </w:rPr>
        <w:t xml:space="preserve">or more </w:t>
      </w:r>
      <w:r w:rsidRPr="007733F3">
        <w:rPr>
          <w:sz w:val="26"/>
          <w:szCs w:val="26"/>
        </w:rPr>
        <w:t xml:space="preserve">customers </w:t>
      </w:r>
      <w:r w:rsidR="00630B09" w:rsidRPr="007733F3">
        <w:rPr>
          <w:sz w:val="26"/>
          <w:szCs w:val="26"/>
        </w:rPr>
        <w:t xml:space="preserve">to </w:t>
      </w:r>
      <w:r w:rsidRPr="007733F3">
        <w:rPr>
          <w:sz w:val="26"/>
          <w:szCs w:val="26"/>
        </w:rPr>
        <w:t>adopt a</w:t>
      </w:r>
      <w:r w:rsidR="005F12FF" w:rsidRPr="007733F3">
        <w:rPr>
          <w:sz w:val="26"/>
          <w:szCs w:val="26"/>
        </w:rPr>
        <w:t>n EE&amp;C</w:t>
      </w:r>
      <w:r w:rsidRPr="007733F3">
        <w:rPr>
          <w:sz w:val="26"/>
          <w:szCs w:val="26"/>
        </w:rPr>
        <w:t xml:space="preserve"> plan, </w:t>
      </w:r>
      <w:r w:rsidR="005F12FF" w:rsidRPr="007733F3">
        <w:rPr>
          <w:sz w:val="26"/>
          <w:szCs w:val="26"/>
        </w:rPr>
        <w:t xml:space="preserve">subject to </w:t>
      </w:r>
      <w:r w:rsidRPr="007733F3">
        <w:rPr>
          <w:sz w:val="26"/>
          <w:szCs w:val="26"/>
        </w:rPr>
        <w:t>approv</w:t>
      </w:r>
      <w:r w:rsidR="005F12FF" w:rsidRPr="007733F3">
        <w:rPr>
          <w:sz w:val="26"/>
          <w:szCs w:val="26"/>
        </w:rPr>
        <w:t>al</w:t>
      </w:r>
      <w:r w:rsidRPr="007733F3">
        <w:rPr>
          <w:sz w:val="26"/>
          <w:szCs w:val="26"/>
        </w:rPr>
        <w:t xml:space="preserve"> by the Commission, to reduce electric consumption by at least one percent (1%) of </w:t>
      </w:r>
      <w:r w:rsidR="005F12FF" w:rsidRPr="007733F3">
        <w:rPr>
          <w:sz w:val="26"/>
          <w:szCs w:val="26"/>
        </w:rPr>
        <w:t>the EDC’s</w:t>
      </w:r>
      <w:r w:rsidRPr="007733F3">
        <w:rPr>
          <w:sz w:val="26"/>
          <w:szCs w:val="26"/>
        </w:rPr>
        <w:t xml:space="preserve"> expected load for </w:t>
      </w:r>
      <w:r w:rsidR="005F12FF" w:rsidRPr="007733F3">
        <w:rPr>
          <w:sz w:val="26"/>
          <w:szCs w:val="26"/>
        </w:rPr>
        <w:t xml:space="preserve">the period from </w:t>
      </w:r>
      <w:r w:rsidRPr="007733F3">
        <w:rPr>
          <w:sz w:val="26"/>
          <w:szCs w:val="26"/>
        </w:rPr>
        <w:t>June 1, 2009</w:t>
      </w:r>
      <w:r w:rsidR="005F12FF" w:rsidRPr="007733F3">
        <w:rPr>
          <w:sz w:val="26"/>
          <w:szCs w:val="26"/>
        </w:rPr>
        <w:t>,</w:t>
      </w:r>
      <w:r w:rsidRPr="007733F3">
        <w:rPr>
          <w:sz w:val="26"/>
          <w:szCs w:val="26"/>
        </w:rPr>
        <w:t xml:space="preserve"> through May 31, 2010, adjusted for weather and extraordinary loads.  This one percent (1%) reduction is to be accomplished by May 31, 2011.  </w:t>
      </w:r>
      <w:r w:rsidR="005F12FF" w:rsidRPr="007733F3">
        <w:rPr>
          <w:sz w:val="26"/>
          <w:szCs w:val="26"/>
        </w:rPr>
        <w:t>Further, b</w:t>
      </w:r>
      <w:r w:rsidRPr="007733F3">
        <w:rPr>
          <w:sz w:val="26"/>
          <w:szCs w:val="26"/>
        </w:rPr>
        <w:t xml:space="preserve">y May 31, 2013, the </w:t>
      </w:r>
      <w:r w:rsidR="005F12FF" w:rsidRPr="007733F3">
        <w:rPr>
          <w:sz w:val="26"/>
          <w:szCs w:val="26"/>
        </w:rPr>
        <w:t>EDC</w:t>
      </w:r>
      <w:r w:rsidR="004B3043" w:rsidRPr="007733F3">
        <w:rPr>
          <w:sz w:val="26"/>
          <w:szCs w:val="26"/>
        </w:rPr>
        <w:t xml:space="preserve"> is required to reduce its </w:t>
      </w:r>
      <w:r w:rsidRPr="007733F3">
        <w:rPr>
          <w:sz w:val="26"/>
          <w:szCs w:val="26"/>
        </w:rPr>
        <w:t>total annual weather</w:t>
      </w:r>
      <w:r w:rsidR="005F12FF" w:rsidRPr="007733F3">
        <w:rPr>
          <w:sz w:val="26"/>
          <w:szCs w:val="26"/>
        </w:rPr>
        <w:t>-</w:t>
      </w:r>
      <w:r w:rsidRPr="007733F3">
        <w:rPr>
          <w:sz w:val="26"/>
          <w:szCs w:val="26"/>
        </w:rPr>
        <w:t xml:space="preserve">normalized consumption by a minimum of three percent (3%).  Also, by May 31, 2013, </w:t>
      </w:r>
      <w:r w:rsidR="004B3043" w:rsidRPr="007733F3">
        <w:rPr>
          <w:sz w:val="26"/>
          <w:szCs w:val="26"/>
        </w:rPr>
        <w:t xml:space="preserve">the EDC is </w:t>
      </w:r>
      <w:r w:rsidR="004B3043" w:rsidRPr="007733F3">
        <w:rPr>
          <w:sz w:val="26"/>
          <w:szCs w:val="26"/>
        </w:rPr>
        <w:lastRenderedPageBreak/>
        <w:t xml:space="preserve">expected to reduce its </w:t>
      </w:r>
      <w:r w:rsidRPr="007733F3">
        <w:rPr>
          <w:sz w:val="26"/>
          <w:szCs w:val="26"/>
        </w:rPr>
        <w:t>peak demand by a minimum of four</w:t>
      </w:r>
      <w:r w:rsidR="004B3043" w:rsidRPr="007733F3">
        <w:rPr>
          <w:sz w:val="26"/>
          <w:szCs w:val="26"/>
        </w:rPr>
        <w:t>-</w:t>
      </w:r>
      <w:r w:rsidRPr="007733F3">
        <w:rPr>
          <w:sz w:val="26"/>
          <w:szCs w:val="26"/>
        </w:rPr>
        <w:t>and</w:t>
      </w:r>
      <w:r w:rsidR="004B3043" w:rsidRPr="007733F3">
        <w:rPr>
          <w:sz w:val="26"/>
          <w:szCs w:val="26"/>
        </w:rPr>
        <w:t>-</w:t>
      </w:r>
      <w:r w:rsidRPr="007733F3">
        <w:rPr>
          <w:sz w:val="26"/>
          <w:szCs w:val="26"/>
        </w:rPr>
        <w:t>a</w:t>
      </w:r>
      <w:r w:rsidR="004B3043" w:rsidRPr="007733F3">
        <w:rPr>
          <w:sz w:val="26"/>
          <w:szCs w:val="26"/>
        </w:rPr>
        <w:t>-</w:t>
      </w:r>
      <w:r w:rsidRPr="007733F3">
        <w:rPr>
          <w:sz w:val="26"/>
          <w:szCs w:val="26"/>
        </w:rPr>
        <w:t xml:space="preserve">half percent (4.5%) of the EDC’s annual system peak demand in the 100 hours of highest demand, </w:t>
      </w:r>
      <w:r w:rsidR="004B3043" w:rsidRPr="007733F3">
        <w:rPr>
          <w:sz w:val="26"/>
          <w:szCs w:val="26"/>
        </w:rPr>
        <w:t xml:space="preserve">as </w:t>
      </w:r>
      <w:r w:rsidRPr="007733F3">
        <w:rPr>
          <w:sz w:val="26"/>
          <w:szCs w:val="26"/>
        </w:rPr>
        <w:t xml:space="preserve">measured against the EDC’s peak demand </w:t>
      </w:r>
      <w:r w:rsidR="004B3043" w:rsidRPr="007733F3">
        <w:rPr>
          <w:sz w:val="26"/>
          <w:szCs w:val="26"/>
        </w:rPr>
        <w:t xml:space="preserve">during the period </w:t>
      </w:r>
      <w:r w:rsidRPr="007733F3">
        <w:rPr>
          <w:sz w:val="26"/>
          <w:szCs w:val="26"/>
        </w:rPr>
        <w:t>from June 1, 2007</w:t>
      </w:r>
      <w:r w:rsidR="00D408A3" w:rsidRPr="007733F3">
        <w:rPr>
          <w:sz w:val="26"/>
          <w:szCs w:val="26"/>
        </w:rPr>
        <w:t>,</w:t>
      </w:r>
      <w:r w:rsidRPr="007733F3">
        <w:rPr>
          <w:sz w:val="26"/>
          <w:szCs w:val="26"/>
        </w:rPr>
        <w:t xml:space="preserve"> through May 31, 2008.</w:t>
      </w:r>
      <w:r w:rsidR="00AD2F1C" w:rsidRPr="007733F3">
        <w:rPr>
          <w:sz w:val="26"/>
          <w:szCs w:val="26"/>
        </w:rPr>
        <w:t xml:space="preserve">  </w:t>
      </w:r>
    </w:p>
    <w:p w:rsidR="004B3043" w:rsidRPr="007733F3" w:rsidRDefault="004B3043" w:rsidP="0037494A">
      <w:pPr>
        <w:pStyle w:val="p3"/>
        <w:widowControl/>
        <w:tabs>
          <w:tab w:val="clear" w:pos="204"/>
        </w:tabs>
        <w:spacing w:line="360" w:lineRule="auto"/>
        <w:rPr>
          <w:sz w:val="26"/>
          <w:szCs w:val="26"/>
        </w:rPr>
      </w:pPr>
    </w:p>
    <w:p w:rsidR="00CE38DA" w:rsidRPr="007733F3" w:rsidRDefault="00CF02AC" w:rsidP="0037494A">
      <w:pPr>
        <w:pStyle w:val="p3"/>
        <w:widowControl/>
        <w:tabs>
          <w:tab w:val="clear" w:pos="204"/>
        </w:tabs>
        <w:spacing w:line="360" w:lineRule="auto"/>
        <w:ind w:firstLine="720"/>
        <w:rPr>
          <w:sz w:val="26"/>
          <w:szCs w:val="26"/>
        </w:rPr>
      </w:pPr>
      <w:r w:rsidRPr="007733F3">
        <w:rPr>
          <w:sz w:val="26"/>
          <w:szCs w:val="26"/>
        </w:rPr>
        <w:t>On January 16, 2009, the</w:t>
      </w:r>
      <w:r w:rsidR="00F56006" w:rsidRPr="007733F3">
        <w:rPr>
          <w:sz w:val="26"/>
          <w:szCs w:val="26"/>
        </w:rPr>
        <w:t xml:space="preserve"> Commission’s</w:t>
      </w:r>
      <w:r w:rsidRPr="007733F3">
        <w:rPr>
          <w:sz w:val="26"/>
          <w:szCs w:val="26"/>
        </w:rPr>
        <w:t xml:space="preserve"> </w:t>
      </w:r>
      <w:r w:rsidRPr="007733F3">
        <w:rPr>
          <w:i/>
          <w:sz w:val="26"/>
          <w:szCs w:val="26"/>
        </w:rPr>
        <w:t>Implementation Order</w:t>
      </w:r>
      <w:r w:rsidRPr="007733F3">
        <w:rPr>
          <w:sz w:val="26"/>
          <w:szCs w:val="26"/>
        </w:rPr>
        <w:t xml:space="preserve"> was entered.</w:t>
      </w:r>
      <w:r w:rsidR="00EE60C5" w:rsidRPr="007733F3">
        <w:rPr>
          <w:rStyle w:val="FootnoteReference"/>
          <w:sz w:val="26"/>
          <w:szCs w:val="26"/>
        </w:rPr>
        <w:footnoteReference w:id="1"/>
      </w:r>
      <w:r w:rsidR="00EE60C5" w:rsidRPr="007733F3">
        <w:rPr>
          <w:sz w:val="26"/>
          <w:szCs w:val="26"/>
        </w:rPr>
        <w:t xml:space="preserve">  </w:t>
      </w:r>
    </w:p>
    <w:p w:rsidR="00A311B4" w:rsidRPr="007733F3" w:rsidRDefault="00A311B4" w:rsidP="0037494A">
      <w:pPr>
        <w:pStyle w:val="p3"/>
        <w:widowControl/>
        <w:tabs>
          <w:tab w:val="clear" w:pos="204"/>
        </w:tabs>
        <w:spacing w:line="360" w:lineRule="auto"/>
        <w:rPr>
          <w:sz w:val="26"/>
          <w:szCs w:val="26"/>
        </w:rPr>
      </w:pPr>
      <w:r w:rsidRPr="007733F3">
        <w:rPr>
          <w:sz w:val="26"/>
          <w:szCs w:val="26"/>
        </w:rPr>
        <w:t xml:space="preserve">As we said in the </w:t>
      </w:r>
      <w:r w:rsidRPr="007733F3">
        <w:rPr>
          <w:i/>
          <w:sz w:val="26"/>
          <w:szCs w:val="26"/>
        </w:rPr>
        <w:t>Implementation Order</w:t>
      </w:r>
      <w:r w:rsidRPr="007733F3">
        <w:rPr>
          <w:sz w:val="26"/>
          <w:szCs w:val="26"/>
        </w:rPr>
        <w:t>, Act 129 requires that an analysis of the cost</w:t>
      </w:r>
      <w:r w:rsidR="001C358E" w:rsidRPr="007733F3">
        <w:rPr>
          <w:sz w:val="26"/>
          <w:szCs w:val="26"/>
        </w:rPr>
        <w:t>s</w:t>
      </w:r>
      <w:r w:rsidRPr="007733F3">
        <w:rPr>
          <w:sz w:val="26"/>
          <w:szCs w:val="26"/>
        </w:rPr>
        <w:t xml:space="preserve"> and benefit</w:t>
      </w:r>
      <w:r w:rsidR="001C358E" w:rsidRPr="007733F3">
        <w:rPr>
          <w:sz w:val="26"/>
          <w:szCs w:val="26"/>
        </w:rPr>
        <w:t>s</w:t>
      </w:r>
      <w:r w:rsidRPr="007733F3">
        <w:rPr>
          <w:sz w:val="26"/>
          <w:szCs w:val="26"/>
        </w:rPr>
        <w:t xml:space="preserve"> of each </w:t>
      </w:r>
      <w:r w:rsidR="00614546" w:rsidRPr="007733F3">
        <w:rPr>
          <w:sz w:val="26"/>
          <w:szCs w:val="26"/>
        </w:rPr>
        <w:t xml:space="preserve">EDC’s EE&amp;C </w:t>
      </w:r>
      <w:r w:rsidRPr="007733F3">
        <w:rPr>
          <w:sz w:val="26"/>
          <w:szCs w:val="26"/>
        </w:rPr>
        <w:t xml:space="preserve">plan, in accordance with a TRC test, be approved by the Commission.  </w:t>
      </w:r>
      <w:r w:rsidR="00CE38DA">
        <w:rPr>
          <w:sz w:val="26"/>
          <w:szCs w:val="26"/>
        </w:rPr>
        <w:t>In particular, A</w:t>
      </w:r>
      <w:r w:rsidRPr="007733F3">
        <w:rPr>
          <w:sz w:val="26"/>
          <w:szCs w:val="26"/>
        </w:rPr>
        <w:t>ct 129 requires an EDC to demonstrate that its plan is cost</w:t>
      </w:r>
      <w:r w:rsidR="001C358E" w:rsidRPr="007733F3">
        <w:rPr>
          <w:sz w:val="26"/>
          <w:szCs w:val="26"/>
        </w:rPr>
        <w:t>-</w:t>
      </w:r>
      <w:r w:rsidRPr="007733F3">
        <w:rPr>
          <w:sz w:val="26"/>
          <w:szCs w:val="26"/>
        </w:rPr>
        <w:t>effective using th</w:t>
      </w:r>
      <w:r w:rsidR="001C358E" w:rsidRPr="007733F3">
        <w:rPr>
          <w:sz w:val="26"/>
          <w:szCs w:val="26"/>
        </w:rPr>
        <w:t>e</w:t>
      </w:r>
      <w:r w:rsidRPr="007733F3">
        <w:rPr>
          <w:sz w:val="26"/>
          <w:szCs w:val="26"/>
        </w:rPr>
        <w:t xml:space="preserve"> TRC test, and that the EDC provide a diverse cross section of alternatives for customers of all rate classes.  66 </w:t>
      </w:r>
      <w:smartTag w:uri="urn:schemas-microsoft-com:office:smarttags" w:element="place">
        <w:smartTag w:uri="urn:schemas-microsoft-com:office:smarttags" w:element="State">
          <w:r w:rsidRPr="007733F3">
            <w:rPr>
              <w:sz w:val="26"/>
              <w:szCs w:val="26"/>
            </w:rPr>
            <w:t>Pa.</w:t>
          </w:r>
        </w:smartTag>
      </w:smartTag>
      <w:r w:rsidRPr="007733F3">
        <w:rPr>
          <w:sz w:val="26"/>
          <w:szCs w:val="26"/>
        </w:rPr>
        <w:t xml:space="preserve"> C.S. § 2806.1(b)(1)(i)(I).  Act 129 defines a TRC test as “a standard test that is met if, over the effective life of each plan not to exceed 15 years, the net present value of the avoided monetary cost of supplying electricity is greater than the net present value of the monetary cost of energy efficiency conservation measures.”  66 </w:t>
      </w:r>
      <w:smartTag w:uri="urn:schemas-microsoft-com:office:smarttags" w:element="place">
        <w:smartTag w:uri="urn:schemas-microsoft-com:office:smarttags" w:element="State">
          <w:r w:rsidRPr="007733F3">
            <w:rPr>
              <w:sz w:val="26"/>
              <w:szCs w:val="26"/>
            </w:rPr>
            <w:t>Pa.</w:t>
          </w:r>
        </w:smartTag>
      </w:smartTag>
      <w:r w:rsidRPr="007733F3">
        <w:rPr>
          <w:sz w:val="26"/>
          <w:szCs w:val="26"/>
        </w:rPr>
        <w:t xml:space="preserve"> C.S. § 2806.1(m).  Thus, the TRC test will be a critical measuring tool in determining the cost effectiveness of </w:t>
      </w:r>
      <w:r w:rsidR="00594264" w:rsidRPr="007733F3">
        <w:rPr>
          <w:sz w:val="26"/>
          <w:szCs w:val="26"/>
        </w:rPr>
        <w:t xml:space="preserve">the </w:t>
      </w:r>
      <w:r w:rsidRPr="007733F3">
        <w:rPr>
          <w:sz w:val="26"/>
          <w:szCs w:val="26"/>
        </w:rPr>
        <w:t>EDCs’ EE&amp;C plans.</w:t>
      </w:r>
    </w:p>
    <w:p w:rsidR="00A311B4" w:rsidRDefault="00A311B4" w:rsidP="0037494A">
      <w:pPr>
        <w:pStyle w:val="p3"/>
        <w:widowControl/>
        <w:spacing w:line="360" w:lineRule="auto"/>
        <w:rPr>
          <w:sz w:val="26"/>
          <w:szCs w:val="26"/>
        </w:rPr>
      </w:pPr>
    </w:p>
    <w:p w:rsidR="00A311B4" w:rsidRPr="007733F3" w:rsidRDefault="00A311B4" w:rsidP="0037494A">
      <w:pPr>
        <w:pStyle w:val="p3"/>
        <w:widowControl/>
        <w:tabs>
          <w:tab w:val="clear" w:pos="204"/>
        </w:tabs>
        <w:spacing w:line="360" w:lineRule="auto"/>
        <w:rPr>
          <w:sz w:val="26"/>
          <w:szCs w:val="26"/>
        </w:rPr>
      </w:pPr>
      <w:r w:rsidRPr="007733F3">
        <w:rPr>
          <w:sz w:val="26"/>
          <w:szCs w:val="26"/>
        </w:rPr>
        <w:tab/>
      </w:r>
      <w:r w:rsidR="00A35F5A">
        <w:rPr>
          <w:sz w:val="26"/>
          <w:szCs w:val="26"/>
        </w:rPr>
        <w:t xml:space="preserve">On May 29, 2009, we circulated a </w:t>
      </w:r>
      <w:r w:rsidR="000A6B28">
        <w:rPr>
          <w:sz w:val="26"/>
          <w:szCs w:val="26"/>
        </w:rPr>
        <w:t xml:space="preserve">TRC test </w:t>
      </w:r>
      <w:r w:rsidR="00A135D3">
        <w:rPr>
          <w:sz w:val="26"/>
          <w:szCs w:val="26"/>
        </w:rPr>
        <w:t>proposal</w:t>
      </w:r>
      <w:r w:rsidR="00A135D3">
        <w:rPr>
          <w:rStyle w:val="FootnoteReference"/>
          <w:sz w:val="26"/>
          <w:szCs w:val="26"/>
        </w:rPr>
        <w:footnoteReference w:id="2"/>
      </w:r>
      <w:r w:rsidR="00A135D3">
        <w:rPr>
          <w:sz w:val="26"/>
          <w:szCs w:val="26"/>
        </w:rPr>
        <w:t xml:space="preserve"> </w:t>
      </w:r>
      <w:r w:rsidR="000A6B28">
        <w:rPr>
          <w:sz w:val="26"/>
          <w:szCs w:val="26"/>
        </w:rPr>
        <w:t>among interested parties in the Act 129 process at</w:t>
      </w:r>
      <w:r w:rsidR="00A92E74">
        <w:rPr>
          <w:sz w:val="26"/>
          <w:szCs w:val="26"/>
        </w:rPr>
        <w:t xml:space="preserve"> the</w:t>
      </w:r>
      <w:r w:rsidR="000A6B28">
        <w:rPr>
          <w:sz w:val="26"/>
          <w:szCs w:val="26"/>
        </w:rPr>
        <w:t xml:space="preserve"> </w:t>
      </w:r>
      <w:r w:rsidR="000A6B28">
        <w:rPr>
          <w:i/>
          <w:sz w:val="26"/>
          <w:szCs w:val="26"/>
        </w:rPr>
        <w:t xml:space="preserve">Implementation Order </w:t>
      </w:r>
      <w:r w:rsidR="000A6B28">
        <w:rPr>
          <w:sz w:val="26"/>
          <w:szCs w:val="26"/>
        </w:rPr>
        <w:t>docket and posted the proposal</w:t>
      </w:r>
      <w:r w:rsidR="001F07B2">
        <w:rPr>
          <w:sz w:val="26"/>
          <w:szCs w:val="26"/>
        </w:rPr>
        <w:t xml:space="preserve"> </w:t>
      </w:r>
      <w:r w:rsidR="000A6B28">
        <w:rPr>
          <w:sz w:val="26"/>
          <w:szCs w:val="26"/>
        </w:rPr>
        <w:t>on the Commission’s website</w:t>
      </w:r>
      <w:r w:rsidR="00A92E74">
        <w:rPr>
          <w:rStyle w:val="FootnoteReference"/>
          <w:sz w:val="26"/>
          <w:szCs w:val="26"/>
        </w:rPr>
        <w:footnoteReference w:id="3"/>
      </w:r>
      <w:r w:rsidR="000A6B28">
        <w:rPr>
          <w:sz w:val="26"/>
          <w:szCs w:val="26"/>
        </w:rPr>
        <w:t xml:space="preserve"> seeking comments relative to TRC testing in Pennsylvania.  Ten entities filed comments:  </w:t>
      </w:r>
      <w:r w:rsidR="001D4D70">
        <w:rPr>
          <w:sz w:val="26"/>
          <w:szCs w:val="26"/>
        </w:rPr>
        <w:t>Allegheny Power (</w:t>
      </w:r>
      <w:r w:rsidR="00A26329">
        <w:rPr>
          <w:sz w:val="26"/>
          <w:szCs w:val="26"/>
        </w:rPr>
        <w:t xml:space="preserve">for </w:t>
      </w:r>
      <w:r w:rsidR="001D4D70">
        <w:rPr>
          <w:sz w:val="26"/>
          <w:szCs w:val="26"/>
        </w:rPr>
        <w:t>West Penn Power Company)</w:t>
      </w:r>
      <w:r w:rsidR="00A26329">
        <w:rPr>
          <w:sz w:val="26"/>
          <w:szCs w:val="26"/>
        </w:rPr>
        <w:t xml:space="preserve"> (Allegheny)</w:t>
      </w:r>
      <w:r w:rsidR="001D4D70">
        <w:rPr>
          <w:sz w:val="26"/>
          <w:szCs w:val="26"/>
        </w:rPr>
        <w:t>; FirstEnergy (</w:t>
      </w:r>
      <w:r w:rsidR="00A26329">
        <w:rPr>
          <w:sz w:val="26"/>
          <w:szCs w:val="26"/>
        </w:rPr>
        <w:t xml:space="preserve">for </w:t>
      </w:r>
      <w:r w:rsidR="001D4D70">
        <w:rPr>
          <w:sz w:val="26"/>
          <w:szCs w:val="26"/>
        </w:rPr>
        <w:t>Metropolitan Edison Company, Pennsylvania Electric Company, and Pennsylvania Power Company)</w:t>
      </w:r>
      <w:r w:rsidR="00A26329">
        <w:rPr>
          <w:sz w:val="26"/>
          <w:szCs w:val="26"/>
        </w:rPr>
        <w:t xml:space="preserve"> (FirstEnergy)</w:t>
      </w:r>
      <w:r w:rsidR="001D4D70">
        <w:rPr>
          <w:sz w:val="26"/>
          <w:szCs w:val="26"/>
        </w:rPr>
        <w:t>; PECO Energy Company</w:t>
      </w:r>
      <w:r w:rsidR="00A26329">
        <w:rPr>
          <w:sz w:val="26"/>
          <w:szCs w:val="26"/>
        </w:rPr>
        <w:t xml:space="preserve"> (PECO)</w:t>
      </w:r>
      <w:r w:rsidR="001D4D70">
        <w:rPr>
          <w:sz w:val="26"/>
          <w:szCs w:val="26"/>
        </w:rPr>
        <w:t xml:space="preserve">, PPL </w:t>
      </w:r>
      <w:r w:rsidR="00A26329">
        <w:rPr>
          <w:sz w:val="26"/>
          <w:szCs w:val="26"/>
        </w:rPr>
        <w:t>E</w:t>
      </w:r>
      <w:r w:rsidR="001D4D70">
        <w:rPr>
          <w:sz w:val="26"/>
          <w:szCs w:val="26"/>
        </w:rPr>
        <w:t>lectric Utilities Corporation</w:t>
      </w:r>
      <w:r w:rsidR="00A26329">
        <w:rPr>
          <w:sz w:val="26"/>
          <w:szCs w:val="26"/>
        </w:rPr>
        <w:t xml:space="preserve"> (PPL)</w:t>
      </w:r>
      <w:r w:rsidR="001D4D70">
        <w:rPr>
          <w:sz w:val="26"/>
          <w:szCs w:val="26"/>
        </w:rPr>
        <w:t xml:space="preserve">, the Energy Association of </w:t>
      </w:r>
      <w:r w:rsidR="001D4D70">
        <w:rPr>
          <w:sz w:val="26"/>
          <w:szCs w:val="26"/>
        </w:rPr>
        <w:lastRenderedPageBreak/>
        <w:t xml:space="preserve">Pennsylvania (EAPA); </w:t>
      </w:r>
      <w:r w:rsidR="007119EE">
        <w:rPr>
          <w:sz w:val="26"/>
          <w:szCs w:val="26"/>
        </w:rPr>
        <w:t>Joint Supporters (</w:t>
      </w:r>
      <w:r w:rsidR="00A26329">
        <w:rPr>
          <w:sz w:val="26"/>
          <w:szCs w:val="26"/>
        </w:rPr>
        <w:t xml:space="preserve">for </w:t>
      </w:r>
      <w:r w:rsidR="007119EE">
        <w:rPr>
          <w:sz w:val="26"/>
          <w:szCs w:val="26"/>
        </w:rPr>
        <w:t>E Cubed Company, LLC; Capstone Turbine Corporation; Climate Energy, LLC; Energy Concepts Engineering, PC; Energy Spectrum, Inc.; ECR International, Inc.; and Quad-K energy Conservation)</w:t>
      </w:r>
      <w:r w:rsidR="00A26329">
        <w:rPr>
          <w:sz w:val="26"/>
          <w:szCs w:val="26"/>
        </w:rPr>
        <w:t xml:space="preserve"> (Joint Supporters)</w:t>
      </w:r>
      <w:r w:rsidR="007119EE">
        <w:rPr>
          <w:sz w:val="26"/>
          <w:szCs w:val="26"/>
        </w:rPr>
        <w:t xml:space="preserve">; the National Association of Energy Service Companies (NAESCO); </w:t>
      </w:r>
      <w:r w:rsidR="00A92E74">
        <w:rPr>
          <w:sz w:val="26"/>
          <w:szCs w:val="26"/>
        </w:rPr>
        <w:t xml:space="preserve">the Sustainable </w:t>
      </w:r>
      <w:r w:rsidR="00A26329">
        <w:rPr>
          <w:sz w:val="26"/>
          <w:szCs w:val="26"/>
        </w:rPr>
        <w:t>E</w:t>
      </w:r>
      <w:r w:rsidR="00A92E74">
        <w:rPr>
          <w:sz w:val="26"/>
          <w:szCs w:val="26"/>
        </w:rPr>
        <w:t>nergy Fund (SEF);</w:t>
      </w:r>
      <w:r w:rsidR="007119EE">
        <w:rPr>
          <w:sz w:val="26"/>
          <w:szCs w:val="26"/>
        </w:rPr>
        <w:t xml:space="preserve"> </w:t>
      </w:r>
      <w:r w:rsidR="00A92E74">
        <w:rPr>
          <w:sz w:val="26"/>
          <w:szCs w:val="26"/>
        </w:rPr>
        <w:t>the Office of Consumer Advocate (OCA); and the Lawrence Berkeley National Laboratories (LBNL).</w:t>
      </w:r>
      <w:r w:rsidR="00132472">
        <w:rPr>
          <w:rStyle w:val="FootnoteReference"/>
          <w:sz w:val="26"/>
          <w:szCs w:val="26"/>
        </w:rPr>
        <w:footnoteReference w:id="4"/>
      </w:r>
      <w:r w:rsidR="001D4D70">
        <w:rPr>
          <w:sz w:val="26"/>
          <w:szCs w:val="26"/>
        </w:rPr>
        <w:t xml:space="preserve">  </w:t>
      </w:r>
    </w:p>
    <w:p w:rsidR="00A311B4" w:rsidRDefault="00A311B4" w:rsidP="0037494A">
      <w:pPr>
        <w:pStyle w:val="p3"/>
        <w:widowControl/>
        <w:tabs>
          <w:tab w:val="clear" w:pos="204"/>
        </w:tabs>
        <w:spacing w:line="360" w:lineRule="auto"/>
        <w:rPr>
          <w:sz w:val="26"/>
          <w:szCs w:val="26"/>
        </w:rPr>
      </w:pPr>
    </w:p>
    <w:p w:rsidR="005C562C" w:rsidRPr="00CB0096" w:rsidRDefault="00CB0096" w:rsidP="0037494A">
      <w:pPr>
        <w:pStyle w:val="p3"/>
        <w:widowControl/>
        <w:tabs>
          <w:tab w:val="clear" w:pos="204"/>
        </w:tabs>
        <w:rPr>
          <w:b/>
          <w:sz w:val="26"/>
          <w:szCs w:val="26"/>
        </w:rPr>
      </w:pPr>
      <w:r w:rsidRPr="00CB0096">
        <w:rPr>
          <w:b/>
          <w:sz w:val="26"/>
          <w:szCs w:val="26"/>
        </w:rPr>
        <w:t xml:space="preserve">Recap of Pennsylvania-Specific </w:t>
      </w:r>
      <w:r w:rsidR="00CB1EB1">
        <w:rPr>
          <w:b/>
          <w:sz w:val="26"/>
          <w:szCs w:val="26"/>
        </w:rPr>
        <w:t xml:space="preserve">TRC Test </w:t>
      </w:r>
      <w:r w:rsidRPr="00CB0096">
        <w:rPr>
          <w:b/>
          <w:sz w:val="26"/>
          <w:szCs w:val="26"/>
        </w:rPr>
        <w:t xml:space="preserve">Modifications </w:t>
      </w:r>
      <w:r w:rsidR="00CB1EB1">
        <w:rPr>
          <w:b/>
          <w:sz w:val="26"/>
          <w:szCs w:val="26"/>
        </w:rPr>
        <w:t>in the</w:t>
      </w:r>
      <w:r w:rsidRPr="00CB0096">
        <w:rPr>
          <w:b/>
          <w:sz w:val="26"/>
          <w:szCs w:val="26"/>
        </w:rPr>
        <w:t xml:space="preserve"> </w:t>
      </w:r>
      <w:r w:rsidRPr="00CB1EB1">
        <w:rPr>
          <w:b/>
          <w:i/>
          <w:sz w:val="26"/>
          <w:szCs w:val="26"/>
        </w:rPr>
        <w:t>Implementation Order</w:t>
      </w:r>
      <w:r>
        <w:rPr>
          <w:rStyle w:val="FootnoteReference"/>
          <w:b/>
          <w:sz w:val="26"/>
          <w:szCs w:val="26"/>
        </w:rPr>
        <w:footnoteReference w:id="5"/>
      </w:r>
    </w:p>
    <w:p w:rsidR="005C562C" w:rsidRPr="007733F3" w:rsidRDefault="005C562C" w:rsidP="0037494A">
      <w:pPr>
        <w:pStyle w:val="p3"/>
        <w:widowControl/>
        <w:tabs>
          <w:tab w:val="clear" w:pos="204"/>
        </w:tabs>
        <w:spacing w:line="360" w:lineRule="auto"/>
        <w:rPr>
          <w:sz w:val="26"/>
          <w:szCs w:val="26"/>
        </w:rPr>
      </w:pPr>
    </w:p>
    <w:p w:rsidR="00A311B4" w:rsidRPr="007733F3" w:rsidRDefault="009038C2" w:rsidP="0037494A">
      <w:pPr>
        <w:pStyle w:val="p3"/>
        <w:widowControl/>
        <w:spacing w:line="360" w:lineRule="auto"/>
        <w:ind w:firstLine="720"/>
        <w:rPr>
          <w:sz w:val="26"/>
          <w:szCs w:val="26"/>
        </w:rPr>
      </w:pPr>
      <w:r>
        <w:rPr>
          <w:sz w:val="26"/>
          <w:szCs w:val="26"/>
        </w:rPr>
        <w:t xml:space="preserve">As we said in the </w:t>
      </w:r>
      <w:r w:rsidRPr="009038C2">
        <w:rPr>
          <w:i/>
          <w:sz w:val="26"/>
          <w:szCs w:val="26"/>
        </w:rPr>
        <w:t>Implementation Order</w:t>
      </w:r>
      <w:r>
        <w:rPr>
          <w:sz w:val="26"/>
          <w:szCs w:val="26"/>
        </w:rPr>
        <w:t>, t</w:t>
      </w:r>
      <w:r w:rsidR="00A311B4" w:rsidRPr="007733F3">
        <w:rPr>
          <w:sz w:val="26"/>
          <w:szCs w:val="26"/>
        </w:rPr>
        <w:t>he TRC test to be used in Pennsylvania take</w:t>
      </w:r>
      <w:r w:rsidR="00CB0096">
        <w:rPr>
          <w:sz w:val="26"/>
          <w:szCs w:val="26"/>
        </w:rPr>
        <w:t>s</w:t>
      </w:r>
      <w:r w:rsidR="00A311B4" w:rsidRPr="007733F3">
        <w:rPr>
          <w:sz w:val="26"/>
          <w:szCs w:val="26"/>
        </w:rPr>
        <w:t xml:space="preserve"> into account the combined effects of a</w:t>
      </w:r>
      <w:r w:rsidR="00217EDB" w:rsidRPr="007733F3">
        <w:rPr>
          <w:sz w:val="26"/>
          <w:szCs w:val="26"/>
        </w:rPr>
        <w:t xml:space="preserve">n EDC’s EE&amp;C plan </w:t>
      </w:r>
      <w:r w:rsidR="00A311B4" w:rsidRPr="007733F3">
        <w:rPr>
          <w:sz w:val="26"/>
          <w:szCs w:val="26"/>
        </w:rPr>
        <w:t>on both participating and non</w:t>
      </w:r>
      <w:r w:rsidR="00344F33" w:rsidRPr="007733F3">
        <w:rPr>
          <w:sz w:val="26"/>
          <w:szCs w:val="26"/>
        </w:rPr>
        <w:t>-</w:t>
      </w:r>
      <w:r w:rsidR="00A311B4" w:rsidRPr="007733F3">
        <w:rPr>
          <w:sz w:val="26"/>
          <w:szCs w:val="26"/>
        </w:rPr>
        <w:t xml:space="preserve">participating customers based on the costs incurred by </w:t>
      </w:r>
      <w:r w:rsidR="00344F33" w:rsidRPr="007733F3">
        <w:rPr>
          <w:sz w:val="26"/>
          <w:szCs w:val="26"/>
        </w:rPr>
        <w:t xml:space="preserve">both </w:t>
      </w:r>
      <w:r w:rsidR="00A311B4" w:rsidRPr="007733F3">
        <w:rPr>
          <w:sz w:val="26"/>
          <w:szCs w:val="26"/>
        </w:rPr>
        <w:t xml:space="preserve">the EDC and </w:t>
      </w:r>
      <w:r w:rsidR="00344F33" w:rsidRPr="007733F3">
        <w:rPr>
          <w:sz w:val="26"/>
          <w:szCs w:val="26"/>
        </w:rPr>
        <w:t xml:space="preserve">any </w:t>
      </w:r>
      <w:r w:rsidR="00A311B4" w:rsidRPr="007733F3">
        <w:rPr>
          <w:sz w:val="26"/>
          <w:szCs w:val="26"/>
        </w:rPr>
        <w:t>participating customers.  In addition, the benefits calculated in the TRC test will include the avoided supply costs, such as the reduction in transmission, distribution, generation</w:t>
      </w:r>
      <w:r w:rsidR="00FD14BE">
        <w:rPr>
          <w:sz w:val="26"/>
          <w:szCs w:val="26"/>
        </w:rPr>
        <w:t>,</w:t>
      </w:r>
      <w:r w:rsidR="00A311B4" w:rsidRPr="007733F3">
        <w:rPr>
          <w:sz w:val="26"/>
          <w:szCs w:val="26"/>
        </w:rPr>
        <w:t xml:space="preserve"> and capacity costs valued at marginal cost for the periods when there is a consumption reduction.</w:t>
      </w:r>
      <w:r w:rsidR="000A0FD5">
        <w:rPr>
          <w:rStyle w:val="FootnoteReference"/>
          <w:sz w:val="26"/>
          <w:szCs w:val="26"/>
        </w:rPr>
        <w:footnoteReference w:id="6"/>
      </w:r>
      <w:r w:rsidR="00A311B4" w:rsidRPr="007733F3">
        <w:rPr>
          <w:sz w:val="26"/>
          <w:szCs w:val="26"/>
        </w:rPr>
        <w:t xml:space="preserve">  The avoided supply costs </w:t>
      </w:r>
      <w:r w:rsidR="002A1497">
        <w:rPr>
          <w:sz w:val="26"/>
          <w:szCs w:val="26"/>
        </w:rPr>
        <w:t xml:space="preserve">will </w:t>
      </w:r>
      <w:r w:rsidR="00A311B4" w:rsidRPr="007733F3">
        <w:rPr>
          <w:sz w:val="26"/>
          <w:szCs w:val="26"/>
        </w:rPr>
        <w:t xml:space="preserve">be calculated using net program savings, savings net of changes in energy use that would have happened in the absence of the program.  The persistence of savings over time </w:t>
      </w:r>
      <w:r w:rsidR="002A1497">
        <w:rPr>
          <w:sz w:val="26"/>
          <w:szCs w:val="26"/>
        </w:rPr>
        <w:t xml:space="preserve">will </w:t>
      </w:r>
      <w:r w:rsidR="00A311B4" w:rsidRPr="007733F3">
        <w:rPr>
          <w:sz w:val="26"/>
          <w:szCs w:val="26"/>
        </w:rPr>
        <w:t>also be considered in the net savings.</w:t>
      </w:r>
    </w:p>
    <w:p w:rsidR="00A311B4" w:rsidRPr="007733F3" w:rsidRDefault="00A311B4" w:rsidP="0037494A">
      <w:pPr>
        <w:pStyle w:val="p3"/>
        <w:widowControl/>
        <w:spacing w:line="360" w:lineRule="auto"/>
        <w:rPr>
          <w:sz w:val="26"/>
          <w:szCs w:val="26"/>
        </w:rPr>
      </w:pPr>
    </w:p>
    <w:p w:rsidR="00A311B4" w:rsidRPr="007733F3" w:rsidRDefault="00A311B4" w:rsidP="0037494A">
      <w:pPr>
        <w:pStyle w:val="p3"/>
        <w:widowControl/>
        <w:tabs>
          <w:tab w:val="clear" w:pos="204"/>
        </w:tabs>
        <w:spacing w:line="360" w:lineRule="auto"/>
        <w:rPr>
          <w:sz w:val="26"/>
          <w:szCs w:val="26"/>
        </w:rPr>
      </w:pPr>
      <w:r w:rsidRPr="007733F3">
        <w:rPr>
          <w:sz w:val="26"/>
          <w:szCs w:val="26"/>
        </w:rPr>
        <w:tab/>
      </w:r>
      <w:r w:rsidR="002C0D87" w:rsidRPr="007733F3">
        <w:rPr>
          <w:sz w:val="26"/>
          <w:szCs w:val="26"/>
        </w:rPr>
        <w:t>F</w:t>
      </w:r>
      <w:r w:rsidRPr="007733F3">
        <w:rPr>
          <w:sz w:val="26"/>
          <w:szCs w:val="26"/>
        </w:rPr>
        <w:t>urther</w:t>
      </w:r>
      <w:r w:rsidR="002C0D87" w:rsidRPr="007733F3">
        <w:rPr>
          <w:sz w:val="26"/>
          <w:szCs w:val="26"/>
        </w:rPr>
        <w:t xml:space="preserve">, </w:t>
      </w:r>
      <w:r w:rsidR="00572904">
        <w:rPr>
          <w:sz w:val="26"/>
          <w:szCs w:val="26"/>
        </w:rPr>
        <w:t xml:space="preserve">we proposed that </w:t>
      </w:r>
      <w:r w:rsidRPr="007733F3">
        <w:rPr>
          <w:sz w:val="26"/>
          <w:szCs w:val="26"/>
        </w:rPr>
        <w:t>the costs calculated in the TRC test w</w:t>
      </w:r>
      <w:r w:rsidR="00C237B6">
        <w:rPr>
          <w:sz w:val="26"/>
          <w:szCs w:val="26"/>
        </w:rPr>
        <w:t>ould</w:t>
      </w:r>
      <w:r w:rsidRPr="007733F3">
        <w:rPr>
          <w:sz w:val="26"/>
          <w:szCs w:val="26"/>
        </w:rPr>
        <w:t xml:space="preserve"> include the</w:t>
      </w:r>
      <w:r w:rsidR="00217EDB" w:rsidRPr="007733F3">
        <w:rPr>
          <w:sz w:val="26"/>
          <w:szCs w:val="26"/>
        </w:rPr>
        <w:t xml:space="preserve"> costs</w:t>
      </w:r>
      <w:r w:rsidRPr="007733F3">
        <w:rPr>
          <w:sz w:val="26"/>
          <w:szCs w:val="26"/>
        </w:rPr>
        <w:t xml:space="preserve"> </w:t>
      </w:r>
      <w:r w:rsidR="00217EDB" w:rsidRPr="007733F3">
        <w:rPr>
          <w:sz w:val="26"/>
          <w:szCs w:val="26"/>
        </w:rPr>
        <w:t xml:space="preserve">of the various </w:t>
      </w:r>
      <w:r w:rsidRPr="007733F3">
        <w:rPr>
          <w:sz w:val="26"/>
          <w:szCs w:val="26"/>
        </w:rPr>
        <w:t>program</w:t>
      </w:r>
      <w:r w:rsidR="00217EDB" w:rsidRPr="007733F3">
        <w:rPr>
          <w:sz w:val="26"/>
          <w:szCs w:val="26"/>
        </w:rPr>
        <w:t>s</w:t>
      </w:r>
      <w:r w:rsidRPr="007733F3">
        <w:rPr>
          <w:sz w:val="26"/>
          <w:szCs w:val="26"/>
        </w:rPr>
        <w:t xml:space="preserve"> paid by </w:t>
      </w:r>
      <w:r w:rsidR="00217EDB" w:rsidRPr="007733F3">
        <w:rPr>
          <w:sz w:val="26"/>
          <w:szCs w:val="26"/>
        </w:rPr>
        <w:t xml:space="preserve">an </w:t>
      </w:r>
      <w:r w:rsidRPr="007733F3">
        <w:rPr>
          <w:sz w:val="26"/>
          <w:szCs w:val="26"/>
        </w:rPr>
        <w:t xml:space="preserve">EDC (or </w:t>
      </w:r>
      <w:r w:rsidR="00CB1EB1">
        <w:rPr>
          <w:sz w:val="26"/>
          <w:szCs w:val="26"/>
        </w:rPr>
        <w:t>a default service provider (</w:t>
      </w:r>
      <w:r w:rsidRPr="007733F3">
        <w:rPr>
          <w:sz w:val="26"/>
          <w:szCs w:val="26"/>
        </w:rPr>
        <w:t>DSP</w:t>
      </w:r>
      <w:r w:rsidR="00CB1EB1">
        <w:rPr>
          <w:sz w:val="26"/>
          <w:szCs w:val="26"/>
        </w:rPr>
        <w:t>)</w:t>
      </w:r>
      <w:r w:rsidRPr="007733F3">
        <w:rPr>
          <w:sz w:val="26"/>
          <w:szCs w:val="26"/>
        </w:rPr>
        <w:t xml:space="preserve">) and </w:t>
      </w:r>
      <w:r w:rsidRPr="007733F3">
        <w:rPr>
          <w:sz w:val="26"/>
          <w:szCs w:val="26"/>
        </w:rPr>
        <w:lastRenderedPageBreak/>
        <w:t>the participating customers,</w:t>
      </w:r>
      <w:r w:rsidR="00501F68">
        <w:rPr>
          <w:rStyle w:val="FootnoteReference"/>
          <w:sz w:val="26"/>
          <w:szCs w:val="26"/>
        </w:rPr>
        <w:footnoteReference w:id="7"/>
      </w:r>
      <w:r w:rsidRPr="007733F3">
        <w:rPr>
          <w:sz w:val="26"/>
          <w:szCs w:val="26"/>
        </w:rPr>
        <w:t xml:space="preserve"> </w:t>
      </w:r>
      <w:r w:rsidR="00206578">
        <w:rPr>
          <w:sz w:val="26"/>
          <w:szCs w:val="26"/>
        </w:rPr>
        <w:t>and w</w:t>
      </w:r>
      <w:r w:rsidR="00C237B6">
        <w:rPr>
          <w:sz w:val="26"/>
          <w:szCs w:val="26"/>
        </w:rPr>
        <w:t>ould</w:t>
      </w:r>
      <w:r w:rsidR="00206578">
        <w:rPr>
          <w:sz w:val="26"/>
          <w:szCs w:val="26"/>
        </w:rPr>
        <w:t xml:space="preserve"> reflect any net change </w:t>
      </w:r>
      <w:r w:rsidRPr="007733F3">
        <w:rPr>
          <w:sz w:val="26"/>
          <w:szCs w:val="26"/>
        </w:rPr>
        <w:t>in supply costs for the periods in which consumption is increased</w:t>
      </w:r>
      <w:r w:rsidR="00206578">
        <w:rPr>
          <w:sz w:val="26"/>
          <w:szCs w:val="26"/>
        </w:rPr>
        <w:t xml:space="preserve"> in the event of load shifting</w:t>
      </w:r>
      <w:r w:rsidRPr="007733F3">
        <w:rPr>
          <w:sz w:val="26"/>
          <w:szCs w:val="26"/>
        </w:rPr>
        <w:t>.  Thus, for example, equipment, installation, operation</w:t>
      </w:r>
      <w:r w:rsidR="003268A4" w:rsidRPr="007733F3">
        <w:rPr>
          <w:sz w:val="26"/>
          <w:szCs w:val="26"/>
        </w:rPr>
        <w:t>,</w:t>
      </w:r>
      <w:r w:rsidRPr="007733F3">
        <w:rPr>
          <w:sz w:val="26"/>
          <w:szCs w:val="26"/>
        </w:rPr>
        <w:t xml:space="preserve"> and maintenance costs, cost of removal (less salvage value), and administrative costs, regardless of who pays for them, </w:t>
      </w:r>
      <w:r w:rsidR="00217EDB" w:rsidRPr="007733F3">
        <w:rPr>
          <w:sz w:val="26"/>
          <w:szCs w:val="26"/>
        </w:rPr>
        <w:t>w</w:t>
      </w:r>
      <w:r w:rsidR="00C237B6">
        <w:rPr>
          <w:sz w:val="26"/>
          <w:szCs w:val="26"/>
        </w:rPr>
        <w:t xml:space="preserve">ould </w:t>
      </w:r>
      <w:r w:rsidRPr="007733F3">
        <w:rPr>
          <w:sz w:val="26"/>
          <w:szCs w:val="26"/>
        </w:rPr>
        <w:t>be included.</w:t>
      </w:r>
    </w:p>
    <w:p w:rsidR="00A311B4" w:rsidRPr="007733F3" w:rsidRDefault="00A311B4" w:rsidP="0037494A">
      <w:pPr>
        <w:pStyle w:val="p3"/>
        <w:widowControl/>
        <w:tabs>
          <w:tab w:val="clear" w:pos="204"/>
        </w:tabs>
        <w:spacing w:line="360" w:lineRule="auto"/>
        <w:rPr>
          <w:sz w:val="26"/>
          <w:szCs w:val="26"/>
        </w:rPr>
      </w:pPr>
    </w:p>
    <w:p w:rsidR="00A311B4" w:rsidRPr="007733F3" w:rsidRDefault="00621652" w:rsidP="0037494A">
      <w:pPr>
        <w:pStyle w:val="p3"/>
        <w:keepLines/>
        <w:widowControl/>
        <w:tabs>
          <w:tab w:val="clear" w:pos="204"/>
        </w:tabs>
        <w:spacing w:line="360" w:lineRule="auto"/>
        <w:rPr>
          <w:sz w:val="26"/>
          <w:szCs w:val="26"/>
        </w:rPr>
      </w:pPr>
      <w:r w:rsidRPr="007733F3">
        <w:rPr>
          <w:sz w:val="26"/>
          <w:szCs w:val="26"/>
        </w:rPr>
        <w:tab/>
      </w:r>
      <w:r w:rsidR="00A311B4" w:rsidRPr="007733F3">
        <w:rPr>
          <w:sz w:val="26"/>
          <w:szCs w:val="26"/>
        </w:rPr>
        <w:t>In addition,</w:t>
      </w:r>
      <w:r w:rsidR="002C0D87" w:rsidRPr="007733F3">
        <w:rPr>
          <w:sz w:val="26"/>
          <w:szCs w:val="26"/>
        </w:rPr>
        <w:t xml:space="preserve"> t</w:t>
      </w:r>
      <w:r w:rsidR="00A311B4" w:rsidRPr="007733F3">
        <w:rPr>
          <w:sz w:val="26"/>
          <w:szCs w:val="26"/>
        </w:rPr>
        <w:t xml:space="preserve">he results of the TRC test </w:t>
      </w:r>
      <w:r w:rsidR="002C0D87" w:rsidRPr="007733F3">
        <w:rPr>
          <w:sz w:val="26"/>
          <w:szCs w:val="26"/>
        </w:rPr>
        <w:t xml:space="preserve">are </w:t>
      </w:r>
      <w:r w:rsidR="00A311B4" w:rsidRPr="007733F3">
        <w:rPr>
          <w:sz w:val="26"/>
          <w:szCs w:val="26"/>
        </w:rPr>
        <w:t>to be expressed as both a net present value (NPV) and a benefit</w:t>
      </w:r>
      <w:r w:rsidR="008C0A53" w:rsidRPr="007733F3">
        <w:rPr>
          <w:sz w:val="26"/>
          <w:szCs w:val="26"/>
        </w:rPr>
        <w:t>-</w:t>
      </w:r>
      <w:r w:rsidR="00A311B4" w:rsidRPr="007733F3">
        <w:rPr>
          <w:sz w:val="26"/>
          <w:szCs w:val="26"/>
        </w:rPr>
        <w:t>cost ratio (B/C ratio).  The NPV is the discounted value of the net benefits of this test over a specified period of time</w:t>
      </w:r>
      <w:r w:rsidR="00C3307B">
        <w:rPr>
          <w:sz w:val="26"/>
          <w:szCs w:val="26"/>
        </w:rPr>
        <w:t xml:space="preserve">, </w:t>
      </w:r>
      <w:r w:rsidR="00C3307B">
        <w:rPr>
          <w:i/>
          <w:sz w:val="26"/>
          <w:szCs w:val="26"/>
        </w:rPr>
        <w:t>i.e.</w:t>
      </w:r>
      <w:r w:rsidR="00C3307B">
        <w:rPr>
          <w:sz w:val="26"/>
          <w:szCs w:val="26"/>
        </w:rPr>
        <w:t>, the expected useful life of the energy efficiency measure</w:t>
      </w:r>
      <w:r w:rsidR="00A311B4" w:rsidRPr="007733F3">
        <w:rPr>
          <w:sz w:val="26"/>
          <w:szCs w:val="26"/>
        </w:rPr>
        <w:t xml:space="preserve">.  The NPV is a measure of the change in the total resource costs due to the program.  An NPV above zero indicates that the program is a less expensive resource than the supply option upon which the marginal costs are based.  A discount rate must be established to calculate the net present value.  </w:t>
      </w:r>
      <w:r w:rsidR="00C41868">
        <w:rPr>
          <w:sz w:val="26"/>
          <w:szCs w:val="26"/>
        </w:rPr>
        <w:t xml:space="preserve">PECO and </w:t>
      </w:r>
      <w:r w:rsidR="00A311B4" w:rsidRPr="007733F3">
        <w:rPr>
          <w:sz w:val="26"/>
          <w:szCs w:val="26"/>
        </w:rPr>
        <w:t>E</w:t>
      </w:r>
      <w:r w:rsidR="00C41868">
        <w:rPr>
          <w:sz w:val="26"/>
          <w:szCs w:val="26"/>
        </w:rPr>
        <w:t xml:space="preserve">APA, </w:t>
      </w:r>
      <w:r w:rsidR="00C41868" w:rsidRPr="007733F3">
        <w:rPr>
          <w:sz w:val="26"/>
          <w:szCs w:val="26"/>
        </w:rPr>
        <w:t xml:space="preserve">in comments underlying the </w:t>
      </w:r>
      <w:r w:rsidR="00C41868" w:rsidRPr="007733F3">
        <w:rPr>
          <w:i/>
          <w:sz w:val="26"/>
          <w:szCs w:val="26"/>
        </w:rPr>
        <w:t>Implementation Order</w:t>
      </w:r>
      <w:r w:rsidR="00C41868">
        <w:rPr>
          <w:sz w:val="26"/>
          <w:szCs w:val="26"/>
        </w:rPr>
        <w:t xml:space="preserve">, each asserted that an </w:t>
      </w:r>
      <w:r w:rsidR="00A311B4" w:rsidRPr="007733F3">
        <w:rPr>
          <w:sz w:val="26"/>
          <w:szCs w:val="26"/>
        </w:rPr>
        <w:t>EDC’s post</w:t>
      </w:r>
      <w:r w:rsidR="008C0A53" w:rsidRPr="007733F3">
        <w:rPr>
          <w:sz w:val="26"/>
          <w:szCs w:val="26"/>
        </w:rPr>
        <w:t>-</w:t>
      </w:r>
      <w:r w:rsidR="00A311B4" w:rsidRPr="007733F3">
        <w:rPr>
          <w:sz w:val="26"/>
          <w:szCs w:val="26"/>
        </w:rPr>
        <w:t xml:space="preserve">tax weighted average cost of capital </w:t>
      </w:r>
      <w:r w:rsidR="00360E60">
        <w:rPr>
          <w:sz w:val="26"/>
          <w:szCs w:val="26"/>
        </w:rPr>
        <w:t xml:space="preserve">(WACC) </w:t>
      </w:r>
      <w:r w:rsidR="00A311B4" w:rsidRPr="007733F3">
        <w:rPr>
          <w:sz w:val="26"/>
          <w:szCs w:val="26"/>
        </w:rPr>
        <w:t>is the most appropriate discount rate to use in calculating the net present value for the TRC test.</w:t>
      </w:r>
    </w:p>
    <w:p w:rsidR="00A311B4" w:rsidRDefault="00A311B4" w:rsidP="0037494A">
      <w:pPr>
        <w:pStyle w:val="p3"/>
        <w:widowControl/>
        <w:tabs>
          <w:tab w:val="clear" w:pos="204"/>
        </w:tabs>
        <w:spacing w:line="360" w:lineRule="auto"/>
        <w:rPr>
          <w:sz w:val="26"/>
          <w:szCs w:val="26"/>
        </w:rPr>
      </w:pPr>
    </w:p>
    <w:p w:rsidR="00A311B4" w:rsidRPr="007733F3" w:rsidRDefault="00A311B4" w:rsidP="0037494A">
      <w:pPr>
        <w:pStyle w:val="p3"/>
        <w:widowControl/>
        <w:spacing w:line="360" w:lineRule="auto"/>
        <w:ind w:firstLine="720"/>
        <w:rPr>
          <w:sz w:val="26"/>
          <w:szCs w:val="26"/>
        </w:rPr>
      </w:pPr>
      <w:r w:rsidRPr="007733F3">
        <w:rPr>
          <w:sz w:val="26"/>
          <w:szCs w:val="26"/>
        </w:rPr>
        <w:t xml:space="preserve">The B/C ratio is the ratio of the discounted total benefits of the program to the discounted total costs over </w:t>
      </w:r>
      <w:r w:rsidR="00E24D94">
        <w:rPr>
          <w:sz w:val="26"/>
          <w:szCs w:val="26"/>
        </w:rPr>
        <w:t>the expected useful life of the energy efficiency measure.</w:t>
      </w:r>
      <w:r w:rsidRPr="007733F3">
        <w:rPr>
          <w:sz w:val="26"/>
          <w:szCs w:val="26"/>
        </w:rPr>
        <w:t xml:space="preserve">  The B/C gives an indication of the rate of return of this program to the utility and its ratepayers.  A B/C ratio above one indicates that the program is beneficial to the utility and its ratepayers on a total resource cost basis.</w:t>
      </w:r>
      <w:r w:rsidR="00286B07" w:rsidRPr="007733F3">
        <w:rPr>
          <w:rStyle w:val="FootnoteReference"/>
          <w:sz w:val="26"/>
          <w:szCs w:val="26"/>
        </w:rPr>
        <w:footnoteReference w:id="8"/>
      </w:r>
      <w:r w:rsidRPr="007733F3">
        <w:rPr>
          <w:sz w:val="26"/>
          <w:szCs w:val="26"/>
        </w:rPr>
        <w:t xml:space="preserve"> </w:t>
      </w:r>
      <w:r w:rsidR="00C90E24">
        <w:rPr>
          <w:sz w:val="26"/>
          <w:szCs w:val="26"/>
        </w:rPr>
        <w:t xml:space="preserve"> </w:t>
      </w:r>
      <w:r w:rsidR="00286B07" w:rsidRPr="007733F3">
        <w:rPr>
          <w:sz w:val="26"/>
          <w:szCs w:val="26"/>
        </w:rPr>
        <w:t xml:space="preserve">The explicit </w:t>
      </w:r>
      <w:r w:rsidR="006C192C" w:rsidRPr="007733F3">
        <w:rPr>
          <w:sz w:val="26"/>
          <w:szCs w:val="26"/>
        </w:rPr>
        <w:t xml:space="preserve">formulae for use in </w:t>
      </w:r>
      <w:smartTag w:uri="urn:schemas-microsoft-com:office:smarttags" w:element="place">
        <w:smartTag w:uri="urn:schemas-microsoft-com:office:smarttags" w:element="State">
          <w:r w:rsidR="006C192C" w:rsidRPr="007733F3">
            <w:rPr>
              <w:sz w:val="26"/>
              <w:szCs w:val="26"/>
            </w:rPr>
            <w:t>Pennsylvania</w:t>
          </w:r>
        </w:smartTag>
      </w:smartTag>
      <w:r w:rsidR="006C192C" w:rsidRPr="007733F3">
        <w:rPr>
          <w:sz w:val="26"/>
          <w:szCs w:val="26"/>
        </w:rPr>
        <w:t xml:space="preserve"> are</w:t>
      </w:r>
      <w:r w:rsidR="00286B07" w:rsidRPr="007733F3">
        <w:rPr>
          <w:sz w:val="26"/>
          <w:szCs w:val="26"/>
        </w:rPr>
        <w:t xml:space="preserve"> set forth in the Appendix to this order.</w:t>
      </w:r>
    </w:p>
    <w:p w:rsidR="00A311B4" w:rsidRDefault="00A311B4" w:rsidP="0037494A">
      <w:pPr>
        <w:pStyle w:val="p3"/>
        <w:widowControl/>
        <w:tabs>
          <w:tab w:val="clear" w:pos="204"/>
        </w:tabs>
        <w:spacing w:line="360" w:lineRule="auto"/>
        <w:rPr>
          <w:sz w:val="26"/>
          <w:szCs w:val="26"/>
        </w:rPr>
      </w:pPr>
    </w:p>
    <w:p w:rsidR="00002845" w:rsidRDefault="00BA543E" w:rsidP="0037494A">
      <w:pPr>
        <w:pStyle w:val="p3"/>
        <w:widowControl/>
        <w:tabs>
          <w:tab w:val="clear" w:pos="204"/>
        </w:tabs>
        <w:spacing w:line="360" w:lineRule="auto"/>
        <w:ind w:firstLine="720"/>
        <w:rPr>
          <w:sz w:val="26"/>
          <w:szCs w:val="26"/>
        </w:rPr>
      </w:pPr>
      <w:r>
        <w:rPr>
          <w:sz w:val="26"/>
          <w:szCs w:val="26"/>
        </w:rPr>
        <w:lastRenderedPageBreak/>
        <w:t xml:space="preserve">As we said in the </w:t>
      </w:r>
      <w:r w:rsidRPr="00CB1EB1">
        <w:rPr>
          <w:i/>
          <w:sz w:val="26"/>
          <w:szCs w:val="26"/>
        </w:rPr>
        <w:t>Implementation Order</w:t>
      </w:r>
      <w:r>
        <w:rPr>
          <w:sz w:val="26"/>
          <w:szCs w:val="26"/>
        </w:rPr>
        <w:t xml:space="preserve">, </w:t>
      </w:r>
      <w:smartTag w:uri="urn:schemas-microsoft-com:office:smarttags" w:element="place">
        <w:smartTag w:uri="urn:schemas-microsoft-com:office:smarttags" w:element="State">
          <w:r w:rsidRPr="007733F3">
            <w:rPr>
              <w:sz w:val="26"/>
              <w:szCs w:val="26"/>
            </w:rPr>
            <w:t>Pennsylvania</w:t>
          </w:r>
        </w:smartTag>
      </w:smartTag>
      <w:r w:rsidRPr="007733F3">
        <w:rPr>
          <w:sz w:val="26"/>
          <w:szCs w:val="26"/>
        </w:rPr>
        <w:t xml:space="preserve"> will not use the Societal Test as part of the TRC test.  </w:t>
      </w:r>
      <w:r w:rsidR="00276853">
        <w:rPr>
          <w:sz w:val="26"/>
          <w:szCs w:val="26"/>
        </w:rPr>
        <w:t>I</w:t>
      </w:r>
      <w:r w:rsidRPr="007733F3">
        <w:rPr>
          <w:sz w:val="26"/>
          <w:szCs w:val="26"/>
        </w:rPr>
        <w:t>nclusion of the Societal Test actually results in a variant or expanded TRC test analysis that goes beyond the legislative intent of Act</w:t>
      </w:r>
      <w:r>
        <w:rPr>
          <w:sz w:val="26"/>
          <w:szCs w:val="26"/>
        </w:rPr>
        <w:t> </w:t>
      </w:r>
      <w:r w:rsidRPr="007733F3">
        <w:rPr>
          <w:sz w:val="26"/>
          <w:szCs w:val="26"/>
        </w:rPr>
        <w:t>129.  In particular, the Societal Test attempts to quantify the change in TRC to society as a whole rather than in respect to a particular service territory.  Act 129, however, specifically provides that only “monetary” benefits and costs are to be factored into the TRC test.  66</w:t>
      </w:r>
      <w:r w:rsidR="00276853">
        <w:rPr>
          <w:sz w:val="26"/>
          <w:szCs w:val="26"/>
        </w:rPr>
        <w:t> </w:t>
      </w:r>
      <w:smartTag w:uri="urn:schemas-microsoft-com:office:smarttags" w:element="place">
        <w:smartTag w:uri="urn:schemas-microsoft-com:office:smarttags" w:element="State">
          <w:r w:rsidRPr="007733F3">
            <w:rPr>
              <w:sz w:val="26"/>
              <w:szCs w:val="26"/>
            </w:rPr>
            <w:t>Pa.</w:t>
          </w:r>
        </w:smartTag>
      </w:smartTag>
      <w:r w:rsidRPr="007733F3">
        <w:rPr>
          <w:sz w:val="26"/>
          <w:szCs w:val="26"/>
        </w:rPr>
        <w:t xml:space="preserve"> C.S. § 2806.1(m).  Therefore, </w:t>
      </w:r>
      <w:smartTag w:uri="urn:schemas-microsoft-com:office:smarttags" w:element="place">
        <w:smartTag w:uri="urn:schemas-microsoft-com:office:smarttags" w:element="State">
          <w:r w:rsidRPr="007733F3">
            <w:rPr>
              <w:sz w:val="26"/>
              <w:szCs w:val="26"/>
            </w:rPr>
            <w:t>Pennsylvania</w:t>
          </w:r>
        </w:smartTag>
      </w:smartTag>
      <w:r w:rsidRPr="007733F3">
        <w:rPr>
          <w:sz w:val="26"/>
          <w:szCs w:val="26"/>
        </w:rPr>
        <w:t>’s version of the TRC test will exclude environmental and societal costs and benefits unless such costs and benefits are otherwise already embedded in the wholesale cost for the generation of electricity.  As Allegheny, EAP</w:t>
      </w:r>
      <w:r w:rsidR="0062493E">
        <w:rPr>
          <w:sz w:val="26"/>
          <w:szCs w:val="26"/>
        </w:rPr>
        <w:t>A</w:t>
      </w:r>
      <w:r w:rsidRPr="007733F3">
        <w:rPr>
          <w:sz w:val="26"/>
          <w:szCs w:val="26"/>
        </w:rPr>
        <w:t xml:space="preserve">, and FirstEnergy pointed out in their comments preliminary to our </w:t>
      </w:r>
      <w:r w:rsidRPr="007733F3">
        <w:rPr>
          <w:i/>
          <w:sz w:val="26"/>
          <w:szCs w:val="26"/>
        </w:rPr>
        <w:t>Implementation Order</w:t>
      </w:r>
      <w:r w:rsidRPr="007733F3">
        <w:rPr>
          <w:sz w:val="26"/>
          <w:szCs w:val="26"/>
        </w:rPr>
        <w:t xml:space="preserve">, a number of such environmental costs are already reflected in energy market prices. </w:t>
      </w:r>
    </w:p>
    <w:p w:rsidR="00BA543E" w:rsidRPr="007733F3" w:rsidRDefault="00BA543E" w:rsidP="0037494A">
      <w:pPr>
        <w:pStyle w:val="p3"/>
        <w:widowControl/>
        <w:tabs>
          <w:tab w:val="clear" w:pos="204"/>
        </w:tabs>
        <w:spacing w:line="360" w:lineRule="auto"/>
        <w:ind w:firstLine="720"/>
        <w:rPr>
          <w:sz w:val="26"/>
          <w:szCs w:val="26"/>
        </w:rPr>
      </w:pPr>
    </w:p>
    <w:p w:rsidR="00BA543E" w:rsidRDefault="00002845" w:rsidP="0037494A">
      <w:pPr>
        <w:pStyle w:val="p3"/>
        <w:widowControl/>
        <w:tabs>
          <w:tab w:val="clear" w:pos="204"/>
        </w:tabs>
        <w:spacing w:line="360" w:lineRule="auto"/>
        <w:rPr>
          <w:b/>
          <w:sz w:val="26"/>
          <w:szCs w:val="26"/>
        </w:rPr>
      </w:pPr>
      <w:r>
        <w:rPr>
          <w:b/>
          <w:sz w:val="26"/>
          <w:szCs w:val="26"/>
        </w:rPr>
        <w:t>Preliminary Matters</w:t>
      </w:r>
    </w:p>
    <w:p w:rsidR="00002845" w:rsidRDefault="00002845" w:rsidP="0037494A">
      <w:pPr>
        <w:pStyle w:val="p3"/>
        <w:widowControl/>
        <w:tabs>
          <w:tab w:val="clear" w:pos="204"/>
        </w:tabs>
        <w:spacing w:line="360" w:lineRule="auto"/>
        <w:rPr>
          <w:sz w:val="26"/>
          <w:szCs w:val="26"/>
        </w:rPr>
      </w:pPr>
    </w:p>
    <w:p w:rsidR="00002845" w:rsidRDefault="00002845" w:rsidP="0037494A">
      <w:pPr>
        <w:pStyle w:val="p3"/>
        <w:widowControl/>
        <w:tabs>
          <w:tab w:val="clear" w:pos="204"/>
        </w:tabs>
        <w:spacing w:line="360" w:lineRule="auto"/>
        <w:rPr>
          <w:sz w:val="26"/>
          <w:szCs w:val="26"/>
        </w:rPr>
      </w:pPr>
      <w:r>
        <w:rPr>
          <w:sz w:val="26"/>
          <w:szCs w:val="26"/>
        </w:rPr>
        <w:tab/>
        <w:t xml:space="preserve">Before looking at the specifics of the </w:t>
      </w:r>
      <w:r w:rsidR="00443483">
        <w:rPr>
          <w:sz w:val="26"/>
          <w:szCs w:val="26"/>
        </w:rPr>
        <w:t xml:space="preserve">Pennsylvania </w:t>
      </w:r>
      <w:r>
        <w:rPr>
          <w:sz w:val="26"/>
          <w:szCs w:val="26"/>
        </w:rPr>
        <w:t xml:space="preserve">TRC test, we shall address a few </w:t>
      </w:r>
      <w:r w:rsidR="00443483">
        <w:rPr>
          <w:sz w:val="26"/>
          <w:szCs w:val="26"/>
        </w:rPr>
        <w:t xml:space="preserve">preliminary </w:t>
      </w:r>
      <w:r>
        <w:rPr>
          <w:sz w:val="26"/>
          <w:szCs w:val="26"/>
        </w:rPr>
        <w:t>issues raised in the comments</w:t>
      </w:r>
      <w:r w:rsidR="0008752A">
        <w:rPr>
          <w:sz w:val="26"/>
          <w:szCs w:val="26"/>
        </w:rPr>
        <w:t>:  use of TRC test assumptions; amendments to EE&amp;C plans; new technologies; and a stakeholder group</w:t>
      </w:r>
      <w:r>
        <w:rPr>
          <w:sz w:val="26"/>
          <w:szCs w:val="26"/>
        </w:rPr>
        <w:t>.</w:t>
      </w:r>
    </w:p>
    <w:p w:rsidR="00A53650" w:rsidRDefault="00A53650" w:rsidP="0037494A">
      <w:pPr>
        <w:pStyle w:val="p3"/>
        <w:widowControl/>
        <w:tabs>
          <w:tab w:val="clear" w:pos="204"/>
        </w:tabs>
        <w:spacing w:line="360" w:lineRule="auto"/>
        <w:rPr>
          <w:sz w:val="26"/>
          <w:szCs w:val="26"/>
        </w:rPr>
      </w:pPr>
    </w:p>
    <w:p w:rsidR="00002845" w:rsidRPr="00002845" w:rsidRDefault="00002845" w:rsidP="0037494A">
      <w:pPr>
        <w:pStyle w:val="p3"/>
        <w:widowControl/>
        <w:tabs>
          <w:tab w:val="clear" w:pos="204"/>
        </w:tabs>
        <w:spacing w:line="360" w:lineRule="auto"/>
        <w:rPr>
          <w:b/>
          <w:sz w:val="26"/>
          <w:szCs w:val="26"/>
        </w:rPr>
      </w:pPr>
      <w:r>
        <w:rPr>
          <w:sz w:val="26"/>
          <w:szCs w:val="26"/>
        </w:rPr>
        <w:tab/>
      </w:r>
      <w:r>
        <w:rPr>
          <w:b/>
          <w:sz w:val="26"/>
          <w:szCs w:val="26"/>
        </w:rPr>
        <w:t xml:space="preserve">Use of TRC Test Assumptions for Other </w:t>
      </w:r>
      <w:r w:rsidR="00E33FC9">
        <w:rPr>
          <w:b/>
          <w:sz w:val="26"/>
          <w:szCs w:val="26"/>
        </w:rPr>
        <w:t>Matters</w:t>
      </w:r>
    </w:p>
    <w:p w:rsidR="00002845" w:rsidRDefault="00002845" w:rsidP="0037494A">
      <w:pPr>
        <w:pStyle w:val="p3"/>
        <w:widowControl/>
        <w:tabs>
          <w:tab w:val="clear" w:pos="204"/>
        </w:tabs>
        <w:spacing w:line="360" w:lineRule="auto"/>
        <w:rPr>
          <w:sz w:val="26"/>
          <w:szCs w:val="26"/>
        </w:rPr>
      </w:pPr>
    </w:p>
    <w:p w:rsidR="00E33FC9" w:rsidRDefault="00E33FC9" w:rsidP="0037494A">
      <w:pPr>
        <w:pStyle w:val="p3"/>
        <w:widowControl/>
        <w:tabs>
          <w:tab w:val="clear" w:pos="204"/>
        </w:tabs>
        <w:spacing w:line="360" w:lineRule="auto"/>
        <w:rPr>
          <w:sz w:val="26"/>
          <w:szCs w:val="26"/>
        </w:rPr>
      </w:pPr>
      <w:r>
        <w:rPr>
          <w:sz w:val="26"/>
          <w:szCs w:val="26"/>
        </w:rPr>
        <w:tab/>
        <w:t>FirstEnergy (at 2), PECO (at 5), and EAPA (at 8) urged the Commission to specifically limit use of the TRC test assumptions and/or the TRC test results to TRC testing matt</w:t>
      </w:r>
      <w:r w:rsidR="00A53650">
        <w:rPr>
          <w:sz w:val="26"/>
          <w:szCs w:val="26"/>
        </w:rPr>
        <w:t xml:space="preserve">ers.  Specifically, they contend that the assumptions underlying the TRC test are </w:t>
      </w:r>
      <w:r w:rsidR="0062493E">
        <w:rPr>
          <w:sz w:val="26"/>
          <w:szCs w:val="26"/>
        </w:rPr>
        <w:t xml:space="preserve">not </w:t>
      </w:r>
      <w:r w:rsidR="00A53650">
        <w:rPr>
          <w:sz w:val="26"/>
          <w:szCs w:val="26"/>
        </w:rPr>
        <w:t xml:space="preserve">appropriate for use in prudence or cost of service determinations because the TRC test assumptions have to apply to a wide range of measures implemented over a tight time frame. </w:t>
      </w:r>
      <w:r w:rsidR="00F7166E">
        <w:rPr>
          <w:sz w:val="26"/>
          <w:szCs w:val="26"/>
        </w:rPr>
        <w:t xml:space="preserve"> We agree that the TRC test assumptions will not be generally developed with an intended use in prudence or cost of service </w:t>
      </w:r>
      <w:r w:rsidR="00A27052">
        <w:rPr>
          <w:sz w:val="26"/>
          <w:szCs w:val="26"/>
        </w:rPr>
        <w:t xml:space="preserve">inquiries, but we do not believe that a blanket exclusion is appropriate.  Accordingly, the EDCs and other parties will not be bound by </w:t>
      </w:r>
      <w:r w:rsidR="00A27052">
        <w:rPr>
          <w:sz w:val="26"/>
          <w:szCs w:val="26"/>
        </w:rPr>
        <w:lastRenderedPageBreak/>
        <w:t xml:space="preserve">TRC test assumptions in prudence, cost of service, or other inquiries, but if there are significant differences between the TRC test assumptions and the assumptions or facts at issue in such other proceedings, parties may enquire into the </w:t>
      </w:r>
      <w:r w:rsidR="001F29E9">
        <w:rPr>
          <w:sz w:val="26"/>
          <w:szCs w:val="26"/>
        </w:rPr>
        <w:t>validity of such differences in those</w:t>
      </w:r>
      <w:r w:rsidR="002034D6">
        <w:rPr>
          <w:sz w:val="26"/>
          <w:szCs w:val="26"/>
        </w:rPr>
        <w:t>, or in the TRC test,</w:t>
      </w:r>
      <w:r w:rsidR="001F29E9">
        <w:rPr>
          <w:sz w:val="26"/>
          <w:szCs w:val="26"/>
        </w:rPr>
        <w:t xml:space="preserve"> proceedings.</w:t>
      </w:r>
    </w:p>
    <w:p w:rsidR="00E33FC9" w:rsidRDefault="00E33FC9" w:rsidP="0037494A">
      <w:pPr>
        <w:pStyle w:val="p3"/>
        <w:widowControl/>
        <w:tabs>
          <w:tab w:val="clear" w:pos="204"/>
        </w:tabs>
        <w:spacing w:line="360" w:lineRule="auto"/>
        <w:rPr>
          <w:sz w:val="26"/>
          <w:szCs w:val="26"/>
        </w:rPr>
      </w:pPr>
    </w:p>
    <w:p w:rsidR="001F29E9" w:rsidRPr="001F29E9" w:rsidRDefault="001F29E9" w:rsidP="0037494A">
      <w:pPr>
        <w:pStyle w:val="p3"/>
        <w:widowControl/>
        <w:tabs>
          <w:tab w:val="clear" w:pos="204"/>
        </w:tabs>
        <w:spacing w:line="360" w:lineRule="auto"/>
        <w:rPr>
          <w:b/>
          <w:sz w:val="26"/>
          <w:szCs w:val="26"/>
        </w:rPr>
      </w:pPr>
      <w:r>
        <w:rPr>
          <w:sz w:val="26"/>
          <w:szCs w:val="26"/>
        </w:rPr>
        <w:tab/>
      </w:r>
      <w:r>
        <w:rPr>
          <w:b/>
          <w:sz w:val="26"/>
          <w:szCs w:val="26"/>
        </w:rPr>
        <w:t xml:space="preserve">Amendments </w:t>
      </w:r>
      <w:r w:rsidR="007722BD">
        <w:rPr>
          <w:b/>
          <w:sz w:val="26"/>
          <w:szCs w:val="26"/>
        </w:rPr>
        <w:t>to EDC EE&amp;C Plans re TRC Test</w:t>
      </w:r>
    </w:p>
    <w:p w:rsidR="001F29E9" w:rsidRDefault="001F29E9" w:rsidP="0037494A">
      <w:pPr>
        <w:pStyle w:val="p3"/>
        <w:widowControl/>
        <w:tabs>
          <w:tab w:val="clear" w:pos="204"/>
        </w:tabs>
        <w:spacing w:line="360" w:lineRule="auto"/>
        <w:rPr>
          <w:sz w:val="26"/>
          <w:szCs w:val="26"/>
        </w:rPr>
      </w:pPr>
    </w:p>
    <w:p w:rsidR="001F29E9" w:rsidRDefault="001F29E9" w:rsidP="0037494A">
      <w:pPr>
        <w:pStyle w:val="p3"/>
        <w:widowControl/>
        <w:tabs>
          <w:tab w:val="clear" w:pos="204"/>
        </w:tabs>
        <w:spacing w:line="360" w:lineRule="auto"/>
        <w:rPr>
          <w:sz w:val="26"/>
          <w:szCs w:val="26"/>
        </w:rPr>
      </w:pPr>
      <w:r>
        <w:rPr>
          <w:sz w:val="26"/>
          <w:szCs w:val="26"/>
        </w:rPr>
        <w:tab/>
      </w:r>
      <w:r w:rsidR="00AC03D7">
        <w:rPr>
          <w:sz w:val="26"/>
          <w:szCs w:val="26"/>
        </w:rPr>
        <w:t>FirstEnergy</w:t>
      </w:r>
      <w:r w:rsidR="00E006A3">
        <w:rPr>
          <w:sz w:val="26"/>
          <w:szCs w:val="26"/>
        </w:rPr>
        <w:t xml:space="preserve"> (at 2 &amp; 7) and EAPA (at 2) suggest that the Commission should recognize that the timing of this TRC test order and due date for the EDCs’ EE&amp;C plans </w:t>
      </w:r>
      <w:r w:rsidR="007722BD">
        <w:rPr>
          <w:sz w:val="26"/>
          <w:szCs w:val="26"/>
        </w:rPr>
        <w:t xml:space="preserve">mitigate in favor of amendments to the EDCs’ EE&amp;C plans. </w:t>
      </w:r>
      <w:r w:rsidR="00E006A3">
        <w:rPr>
          <w:sz w:val="26"/>
          <w:szCs w:val="26"/>
        </w:rPr>
        <w:t xml:space="preserve"> </w:t>
      </w:r>
      <w:r w:rsidR="007722BD">
        <w:rPr>
          <w:sz w:val="26"/>
          <w:szCs w:val="26"/>
        </w:rPr>
        <w:t>We recognize the tight time constraints and will allow amendments</w:t>
      </w:r>
      <w:r w:rsidR="005F1C27">
        <w:rPr>
          <w:rStyle w:val="FootnoteReference"/>
          <w:sz w:val="26"/>
          <w:szCs w:val="26"/>
        </w:rPr>
        <w:footnoteReference w:id="9"/>
      </w:r>
      <w:r w:rsidR="007722BD">
        <w:rPr>
          <w:sz w:val="26"/>
          <w:szCs w:val="26"/>
        </w:rPr>
        <w:t xml:space="preserve"> </w:t>
      </w:r>
      <w:r w:rsidR="00BD62B2">
        <w:rPr>
          <w:sz w:val="26"/>
          <w:szCs w:val="26"/>
        </w:rPr>
        <w:t xml:space="preserve">prior to August 1, 2009.  Amendments </w:t>
      </w:r>
      <w:r w:rsidR="006B00B3">
        <w:rPr>
          <w:sz w:val="26"/>
          <w:szCs w:val="26"/>
        </w:rPr>
        <w:t xml:space="preserve">to the July 1, 2009 EE&amp;C plans </w:t>
      </w:r>
      <w:r w:rsidR="00BD62B2">
        <w:rPr>
          <w:sz w:val="26"/>
          <w:szCs w:val="26"/>
        </w:rPr>
        <w:t>after that time will be at the discretion of the presiding officer or by leave of the Commission.</w:t>
      </w:r>
    </w:p>
    <w:p w:rsidR="001F29E9" w:rsidRDefault="001F29E9" w:rsidP="0037494A">
      <w:pPr>
        <w:pStyle w:val="p3"/>
        <w:widowControl/>
        <w:tabs>
          <w:tab w:val="clear" w:pos="204"/>
        </w:tabs>
        <w:spacing w:line="360" w:lineRule="auto"/>
        <w:rPr>
          <w:sz w:val="26"/>
          <w:szCs w:val="26"/>
        </w:rPr>
      </w:pPr>
    </w:p>
    <w:p w:rsidR="006B00B3" w:rsidRPr="006B00B3" w:rsidRDefault="006B00B3" w:rsidP="0037494A">
      <w:pPr>
        <w:pStyle w:val="p3"/>
        <w:widowControl/>
        <w:tabs>
          <w:tab w:val="clear" w:pos="204"/>
        </w:tabs>
        <w:spacing w:line="360" w:lineRule="auto"/>
        <w:rPr>
          <w:b/>
          <w:sz w:val="26"/>
          <w:szCs w:val="26"/>
        </w:rPr>
      </w:pPr>
      <w:r>
        <w:rPr>
          <w:sz w:val="26"/>
          <w:szCs w:val="26"/>
        </w:rPr>
        <w:tab/>
      </w:r>
      <w:r w:rsidRPr="006B00B3">
        <w:rPr>
          <w:b/>
          <w:sz w:val="26"/>
          <w:szCs w:val="26"/>
        </w:rPr>
        <w:t>New Technologies</w:t>
      </w:r>
    </w:p>
    <w:p w:rsidR="006B00B3" w:rsidRDefault="006B00B3" w:rsidP="0037494A">
      <w:pPr>
        <w:pStyle w:val="p3"/>
        <w:widowControl/>
        <w:tabs>
          <w:tab w:val="clear" w:pos="204"/>
        </w:tabs>
        <w:spacing w:line="360" w:lineRule="auto"/>
        <w:rPr>
          <w:sz w:val="26"/>
          <w:szCs w:val="26"/>
        </w:rPr>
      </w:pPr>
    </w:p>
    <w:p w:rsidR="006B00B3" w:rsidRDefault="006B00B3" w:rsidP="0037494A">
      <w:pPr>
        <w:pStyle w:val="p3"/>
        <w:widowControl/>
        <w:tabs>
          <w:tab w:val="clear" w:pos="204"/>
        </w:tabs>
        <w:spacing w:line="360" w:lineRule="auto"/>
        <w:rPr>
          <w:sz w:val="26"/>
          <w:szCs w:val="26"/>
        </w:rPr>
      </w:pPr>
      <w:r>
        <w:rPr>
          <w:sz w:val="26"/>
          <w:szCs w:val="26"/>
        </w:rPr>
        <w:tab/>
        <w:t xml:space="preserve">The Joint Supporters (at 2) request that the Commission indicate that this process is not designed to slow or deter innovations such as substitution technologies including combined heat </w:t>
      </w:r>
      <w:r w:rsidR="0062493E">
        <w:rPr>
          <w:sz w:val="26"/>
          <w:szCs w:val="26"/>
        </w:rPr>
        <w:t xml:space="preserve">and power (CHP) </w:t>
      </w:r>
      <w:r>
        <w:rPr>
          <w:sz w:val="26"/>
          <w:szCs w:val="26"/>
        </w:rPr>
        <w:t xml:space="preserve">and micro </w:t>
      </w:r>
      <w:r w:rsidR="0062493E">
        <w:rPr>
          <w:sz w:val="26"/>
          <w:szCs w:val="26"/>
        </w:rPr>
        <w:t xml:space="preserve">combined </w:t>
      </w:r>
      <w:r>
        <w:rPr>
          <w:sz w:val="26"/>
          <w:szCs w:val="26"/>
        </w:rPr>
        <w:t xml:space="preserve">heat </w:t>
      </w:r>
      <w:r w:rsidR="0062493E">
        <w:rPr>
          <w:sz w:val="26"/>
          <w:szCs w:val="26"/>
        </w:rPr>
        <w:t xml:space="preserve">and power </w:t>
      </w:r>
      <w:r>
        <w:rPr>
          <w:sz w:val="26"/>
          <w:szCs w:val="26"/>
        </w:rPr>
        <w:t>(</w:t>
      </w:r>
      <w:r w:rsidR="0062493E">
        <w:rPr>
          <w:sz w:val="26"/>
          <w:szCs w:val="26"/>
        </w:rPr>
        <w:t>micro-C</w:t>
      </w:r>
      <w:r>
        <w:rPr>
          <w:sz w:val="26"/>
          <w:szCs w:val="26"/>
        </w:rPr>
        <w:t>HP</w:t>
      </w:r>
      <w:r w:rsidR="009A4C77">
        <w:rPr>
          <w:sz w:val="26"/>
          <w:szCs w:val="26"/>
        </w:rPr>
        <w:t xml:space="preserve">).  We believe that the focus of Act 129 and TRC testing is not on particular technologies but rather on bottom line energy efficiency and demand reduction.  As will be discussed later in the order, TRC testing will be at the plan level.  This should give any new technologies </w:t>
      </w:r>
      <w:r w:rsidR="00355CB8">
        <w:rPr>
          <w:sz w:val="26"/>
          <w:szCs w:val="26"/>
        </w:rPr>
        <w:t xml:space="preserve">sufficient opportunity to establish whether they </w:t>
      </w:r>
      <w:r w:rsidR="000C0114">
        <w:rPr>
          <w:sz w:val="26"/>
          <w:szCs w:val="26"/>
        </w:rPr>
        <w:t xml:space="preserve">are able to </w:t>
      </w:r>
      <w:r w:rsidR="00355CB8">
        <w:rPr>
          <w:sz w:val="26"/>
          <w:szCs w:val="26"/>
        </w:rPr>
        <w:t xml:space="preserve">contribute to the energy efficiency and demand reduction goals of Act 129.  </w:t>
      </w:r>
    </w:p>
    <w:p w:rsidR="006B00B3" w:rsidRDefault="006B00B3" w:rsidP="0037494A">
      <w:pPr>
        <w:pStyle w:val="p3"/>
        <w:widowControl/>
        <w:tabs>
          <w:tab w:val="clear" w:pos="204"/>
        </w:tabs>
        <w:spacing w:line="360" w:lineRule="auto"/>
        <w:rPr>
          <w:sz w:val="26"/>
          <w:szCs w:val="26"/>
        </w:rPr>
      </w:pPr>
    </w:p>
    <w:p w:rsidR="00D12EB5" w:rsidRDefault="00D12EB5" w:rsidP="0037494A">
      <w:pPr>
        <w:pStyle w:val="p3"/>
        <w:keepNext/>
        <w:widowControl/>
        <w:tabs>
          <w:tab w:val="clear" w:pos="204"/>
        </w:tabs>
        <w:spacing w:line="360" w:lineRule="auto"/>
        <w:rPr>
          <w:b/>
          <w:sz w:val="26"/>
          <w:szCs w:val="26"/>
        </w:rPr>
      </w:pPr>
      <w:r>
        <w:rPr>
          <w:sz w:val="26"/>
          <w:szCs w:val="26"/>
        </w:rPr>
        <w:tab/>
      </w:r>
      <w:r>
        <w:rPr>
          <w:b/>
          <w:sz w:val="26"/>
          <w:szCs w:val="26"/>
        </w:rPr>
        <w:t>Stakeholders Group</w:t>
      </w:r>
    </w:p>
    <w:p w:rsidR="00D12EB5" w:rsidRDefault="00D12EB5" w:rsidP="0037494A">
      <w:pPr>
        <w:pStyle w:val="p3"/>
        <w:keepNext/>
        <w:widowControl/>
        <w:tabs>
          <w:tab w:val="clear" w:pos="204"/>
        </w:tabs>
        <w:spacing w:line="360" w:lineRule="auto"/>
        <w:rPr>
          <w:sz w:val="26"/>
          <w:szCs w:val="26"/>
        </w:rPr>
      </w:pPr>
    </w:p>
    <w:p w:rsidR="00D12EB5" w:rsidRDefault="00747594" w:rsidP="0037494A">
      <w:pPr>
        <w:pStyle w:val="p3"/>
        <w:widowControl/>
        <w:tabs>
          <w:tab w:val="clear" w:pos="204"/>
        </w:tabs>
        <w:spacing w:line="360" w:lineRule="auto"/>
        <w:ind w:firstLine="720"/>
        <w:rPr>
          <w:sz w:val="26"/>
          <w:szCs w:val="26"/>
        </w:rPr>
      </w:pPr>
      <w:r w:rsidRPr="00654773">
        <w:rPr>
          <w:bCs/>
          <w:sz w:val="26"/>
          <w:szCs w:val="26"/>
        </w:rPr>
        <w:t xml:space="preserve">Many issues involved in the EE&amp;C plans, program implementation, and operation of the TRC test will be ongoing.  As will be seen, several specific issues are identified below which will require additional consideration and discussion.  </w:t>
      </w:r>
      <w:r w:rsidR="0055241E" w:rsidRPr="00654773">
        <w:rPr>
          <w:bCs/>
          <w:sz w:val="26"/>
          <w:szCs w:val="26"/>
        </w:rPr>
        <w:t xml:space="preserve">Accordingly, we have determined to convene a stakeholder group to address </w:t>
      </w:r>
      <w:r w:rsidRPr="00654773">
        <w:rPr>
          <w:bCs/>
          <w:sz w:val="26"/>
          <w:szCs w:val="26"/>
        </w:rPr>
        <w:t>these</w:t>
      </w:r>
      <w:r w:rsidR="0055241E" w:rsidRPr="00654773">
        <w:rPr>
          <w:bCs/>
          <w:sz w:val="26"/>
          <w:szCs w:val="26"/>
        </w:rPr>
        <w:t xml:space="preserve"> issues</w:t>
      </w:r>
      <w:r w:rsidR="000610F7" w:rsidRPr="00654773">
        <w:rPr>
          <w:sz w:val="26"/>
          <w:szCs w:val="26"/>
        </w:rPr>
        <w:t>, as</w:t>
      </w:r>
      <w:r w:rsidR="00422020" w:rsidRPr="00654773">
        <w:rPr>
          <w:sz w:val="26"/>
          <w:szCs w:val="26"/>
        </w:rPr>
        <w:t xml:space="preserve"> </w:t>
      </w:r>
      <w:r w:rsidR="000610F7" w:rsidRPr="00654773">
        <w:rPr>
          <w:sz w:val="26"/>
          <w:szCs w:val="26"/>
        </w:rPr>
        <w:t xml:space="preserve">well as </w:t>
      </w:r>
      <w:r w:rsidRPr="00654773">
        <w:rPr>
          <w:bCs/>
          <w:sz w:val="26"/>
          <w:szCs w:val="26"/>
        </w:rPr>
        <w:t>future</w:t>
      </w:r>
      <w:r w:rsidR="000610F7" w:rsidRPr="00654773">
        <w:rPr>
          <w:bCs/>
          <w:sz w:val="26"/>
          <w:szCs w:val="26"/>
        </w:rPr>
        <w:t xml:space="preserve"> issues </w:t>
      </w:r>
      <w:r w:rsidRPr="00654773">
        <w:rPr>
          <w:bCs/>
          <w:sz w:val="26"/>
          <w:szCs w:val="26"/>
        </w:rPr>
        <w:t xml:space="preserve">which will undoubtedly arise as the plans move forward.  </w:t>
      </w:r>
      <w:r w:rsidR="002A0A8E" w:rsidRPr="00654773">
        <w:rPr>
          <w:sz w:val="26"/>
          <w:szCs w:val="26"/>
        </w:rPr>
        <w:t xml:space="preserve"> </w:t>
      </w:r>
      <w:r w:rsidR="00812564" w:rsidRPr="00654773">
        <w:rPr>
          <w:bCs/>
          <w:sz w:val="26"/>
          <w:szCs w:val="26"/>
        </w:rPr>
        <w:t xml:space="preserve">A future Secretarial letter will announce details of </w:t>
      </w:r>
      <w:r w:rsidR="00422020" w:rsidRPr="00654773">
        <w:rPr>
          <w:bCs/>
          <w:sz w:val="26"/>
          <w:szCs w:val="26"/>
        </w:rPr>
        <w:t xml:space="preserve">the </w:t>
      </w:r>
      <w:r w:rsidR="00812564" w:rsidRPr="00654773">
        <w:rPr>
          <w:bCs/>
          <w:sz w:val="26"/>
          <w:szCs w:val="26"/>
        </w:rPr>
        <w:t>stakeholder group.</w:t>
      </w:r>
      <w:r w:rsidR="00812564">
        <w:rPr>
          <w:bCs/>
          <w:sz w:val="26"/>
          <w:szCs w:val="26"/>
        </w:rPr>
        <w:t xml:space="preserve">  </w:t>
      </w:r>
    </w:p>
    <w:p w:rsidR="00D12EB5" w:rsidRPr="00002845" w:rsidRDefault="00D12EB5" w:rsidP="0037494A">
      <w:pPr>
        <w:pStyle w:val="p3"/>
        <w:widowControl/>
        <w:tabs>
          <w:tab w:val="clear" w:pos="204"/>
        </w:tabs>
        <w:spacing w:line="360" w:lineRule="auto"/>
        <w:rPr>
          <w:sz w:val="26"/>
          <w:szCs w:val="26"/>
        </w:rPr>
      </w:pPr>
    </w:p>
    <w:p w:rsidR="00CB0096" w:rsidRPr="00CB0096" w:rsidRDefault="00CB0096" w:rsidP="0037494A">
      <w:pPr>
        <w:pStyle w:val="p3"/>
        <w:keepNext/>
        <w:widowControl/>
        <w:tabs>
          <w:tab w:val="clear" w:pos="204"/>
        </w:tabs>
        <w:spacing w:line="360" w:lineRule="auto"/>
        <w:rPr>
          <w:b/>
          <w:sz w:val="26"/>
          <w:szCs w:val="26"/>
        </w:rPr>
      </w:pPr>
      <w:r w:rsidRPr="00CB0096">
        <w:rPr>
          <w:b/>
          <w:sz w:val="26"/>
          <w:szCs w:val="26"/>
        </w:rPr>
        <w:t xml:space="preserve">Further </w:t>
      </w:r>
      <w:smartTag w:uri="urn:schemas-microsoft-com:office:smarttags" w:element="place">
        <w:smartTag w:uri="urn:schemas-microsoft-com:office:smarttags" w:element="State">
          <w:r w:rsidRPr="00CB0096">
            <w:rPr>
              <w:b/>
              <w:sz w:val="26"/>
              <w:szCs w:val="26"/>
            </w:rPr>
            <w:t>Pen</w:t>
          </w:r>
          <w:r>
            <w:rPr>
              <w:b/>
              <w:sz w:val="26"/>
              <w:szCs w:val="26"/>
            </w:rPr>
            <w:t>n</w:t>
          </w:r>
          <w:r w:rsidRPr="00CB0096">
            <w:rPr>
              <w:b/>
              <w:sz w:val="26"/>
              <w:szCs w:val="26"/>
            </w:rPr>
            <w:t>sylvania</w:t>
          </w:r>
        </w:smartTag>
      </w:smartTag>
      <w:r w:rsidRPr="00CB0096">
        <w:rPr>
          <w:b/>
          <w:sz w:val="26"/>
          <w:szCs w:val="26"/>
        </w:rPr>
        <w:t xml:space="preserve"> Specific Modifications to the TRC Test</w:t>
      </w:r>
    </w:p>
    <w:p w:rsidR="00CB0096" w:rsidRPr="007733F3" w:rsidRDefault="00CB0096" w:rsidP="0037494A">
      <w:pPr>
        <w:pStyle w:val="p3"/>
        <w:widowControl/>
        <w:tabs>
          <w:tab w:val="clear" w:pos="204"/>
        </w:tabs>
        <w:spacing w:line="360" w:lineRule="auto"/>
        <w:rPr>
          <w:sz w:val="26"/>
          <w:szCs w:val="26"/>
        </w:rPr>
      </w:pPr>
    </w:p>
    <w:p w:rsidR="00276853" w:rsidRDefault="00750719" w:rsidP="0037494A">
      <w:pPr>
        <w:pStyle w:val="p3"/>
        <w:widowControl/>
        <w:tabs>
          <w:tab w:val="clear" w:pos="204"/>
        </w:tabs>
        <w:spacing w:line="360" w:lineRule="auto"/>
        <w:rPr>
          <w:sz w:val="26"/>
          <w:szCs w:val="26"/>
        </w:rPr>
      </w:pPr>
      <w:r w:rsidRPr="007733F3">
        <w:rPr>
          <w:sz w:val="26"/>
          <w:szCs w:val="26"/>
        </w:rPr>
        <w:tab/>
        <w:t>In determining ho</w:t>
      </w:r>
      <w:r w:rsidR="00C84D77" w:rsidRPr="007733F3">
        <w:rPr>
          <w:sz w:val="26"/>
          <w:szCs w:val="26"/>
        </w:rPr>
        <w:t>w</w:t>
      </w:r>
      <w:r w:rsidRPr="007733F3">
        <w:rPr>
          <w:sz w:val="26"/>
          <w:szCs w:val="26"/>
        </w:rPr>
        <w:t xml:space="preserve"> to structure the TRC </w:t>
      </w:r>
      <w:r w:rsidR="00053134">
        <w:rPr>
          <w:sz w:val="26"/>
          <w:szCs w:val="26"/>
        </w:rPr>
        <w:t xml:space="preserve">test </w:t>
      </w:r>
      <w:r w:rsidRPr="007733F3">
        <w:rPr>
          <w:sz w:val="26"/>
          <w:szCs w:val="26"/>
        </w:rPr>
        <w:t xml:space="preserve">for use in </w:t>
      </w:r>
      <w:smartTag w:uri="urn:schemas-microsoft-com:office:smarttags" w:element="place">
        <w:smartTag w:uri="urn:schemas-microsoft-com:office:smarttags" w:element="State">
          <w:r w:rsidRPr="007733F3">
            <w:rPr>
              <w:sz w:val="26"/>
              <w:szCs w:val="26"/>
            </w:rPr>
            <w:t>Pennsylvania</w:t>
          </w:r>
        </w:smartTag>
      </w:smartTag>
      <w:r w:rsidRPr="007733F3">
        <w:rPr>
          <w:sz w:val="26"/>
          <w:szCs w:val="26"/>
        </w:rPr>
        <w:t xml:space="preserve"> pursuant to Act</w:t>
      </w:r>
      <w:r w:rsidR="00C84D77" w:rsidRPr="007733F3">
        <w:rPr>
          <w:sz w:val="26"/>
          <w:szCs w:val="26"/>
        </w:rPr>
        <w:t> </w:t>
      </w:r>
      <w:r w:rsidRPr="007733F3">
        <w:rPr>
          <w:sz w:val="26"/>
          <w:szCs w:val="26"/>
        </w:rPr>
        <w:t xml:space="preserve">129, the </w:t>
      </w:r>
      <w:r w:rsidRPr="007733F3">
        <w:rPr>
          <w:i/>
          <w:sz w:val="26"/>
          <w:szCs w:val="26"/>
        </w:rPr>
        <w:t>California Manual</w:t>
      </w:r>
      <w:r w:rsidRPr="007733F3">
        <w:rPr>
          <w:sz w:val="26"/>
          <w:szCs w:val="26"/>
        </w:rPr>
        <w:t xml:space="preserve"> leaves </w:t>
      </w:r>
      <w:r w:rsidR="00053134">
        <w:rPr>
          <w:sz w:val="26"/>
          <w:szCs w:val="26"/>
        </w:rPr>
        <w:t xml:space="preserve">open </w:t>
      </w:r>
      <w:r w:rsidRPr="007733F3">
        <w:rPr>
          <w:sz w:val="26"/>
          <w:szCs w:val="26"/>
        </w:rPr>
        <w:t xml:space="preserve">a number of </w:t>
      </w:r>
      <w:r w:rsidR="00C84D77" w:rsidRPr="007733F3">
        <w:rPr>
          <w:sz w:val="26"/>
          <w:szCs w:val="26"/>
        </w:rPr>
        <w:t>issues</w:t>
      </w:r>
      <w:r w:rsidRPr="007733F3">
        <w:rPr>
          <w:sz w:val="26"/>
          <w:szCs w:val="26"/>
        </w:rPr>
        <w:t xml:space="preserve">.  We have identified the following open </w:t>
      </w:r>
      <w:r w:rsidR="00C84D77" w:rsidRPr="007733F3">
        <w:rPr>
          <w:sz w:val="26"/>
          <w:szCs w:val="26"/>
        </w:rPr>
        <w:t>issues</w:t>
      </w:r>
      <w:r w:rsidR="00443483">
        <w:rPr>
          <w:sz w:val="26"/>
          <w:szCs w:val="26"/>
        </w:rPr>
        <w:t xml:space="preserve"> relative to using the TRC test in Pennsylvania pursuant to Act 129</w:t>
      </w:r>
      <w:r w:rsidRPr="007733F3">
        <w:rPr>
          <w:sz w:val="26"/>
          <w:szCs w:val="26"/>
        </w:rPr>
        <w:t xml:space="preserve">:  </w:t>
      </w:r>
      <w:r w:rsidR="00A97611" w:rsidRPr="007733F3">
        <w:rPr>
          <w:sz w:val="26"/>
          <w:szCs w:val="26"/>
        </w:rPr>
        <w:t xml:space="preserve">(a) level at which to measure TRC; (b) </w:t>
      </w:r>
      <w:r w:rsidR="004F5086">
        <w:rPr>
          <w:sz w:val="26"/>
          <w:szCs w:val="26"/>
        </w:rPr>
        <w:t xml:space="preserve">calculation of </w:t>
      </w:r>
      <w:r w:rsidR="00A97611" w:rsidRPr="007733F3">
        <w:rPr>
          <w:sz w:val="26"/>
          <w:szCs w:val="26"/>
        </w:rPr>
        <w:t xml:space="preserve">avoided costs of supplying electricity; </w:t>
      </w:r>
      <w:r w:rsidR="00CE6930" w:rsidRPr="007733F3">
        <w:rPr>
          <w:sz w:val="26"/>
          <w:szCs w:val="26"/>
        </w:rPr>
        <w:t>(</w:t>
      </w:r>
      <w:r w:rsidR="00A97611" w:rsidRPr="007733F3">
        <w:rPr>
          <w:sz w:val="26"/>
          <w:szCs w:val="26"/>
        </w:rPr>
        <w:t>c</w:t>
      </w:r>
      <w:r w:rsidR="00CE6930" w:rsidRPr="007733F3">
        <w:rPr>
          <w:sz w:val="26"/>
          <w:szCs w:val="26"/>
        </w:rPr>
        <w:t xml:space="preserve">) maximum 15-year measure life; </w:t>
      </w:r>
      <w:r w:rsidR="00332A62" w:rsidRPr="007733F3">
        <w:rPr>
          <w:sz w:val="26"/>
          <w:szCs w:val="26"/>
        </w:rPr>
        <w:t xml:space="preserve">(d) incentive payments from </w:t>
      </w:r>
      <w:r w:rsidR="00332A62">
        <w:rPr>
          <w:sz w:val="26"/>
          <w:szCs w:val="26"/>
        </w:rPr>
        <w:t>an EDC</w:t>
      </w:r>
      <w:r w:rsidR="00332A62" w:rsidRPr="007733F3">
        <w:rPr>
          <w:sz w:val="26"/>
          <w:szCs w:val="26"/>
        </w:rPr>
        <w:t xml:space="preserve">; </w:t>
      </w:r>
      <w:r w:rsidR="00CE6930" w:rsidRPr="007733F3">
        <w:rPr>
          <w:sz w:val="26"/>
          <w:szCs w:val="26"/>
        </w:rPr>
        <w:t>(</w:t>
      </w:r>
      <w:r w:rsidR="00332A62">
        <w:rPr>
          <w:sz w:val="26"/>
          <w:szCs w:val="26"/>
        </w:rPr>
        <w:t>e</w:t>
      </w:r>
      <w:r w:rsidR="00CE6930" w:rsidRPr="007733F3">
        <w:rPr>
          <w:sz w:val="26"/>
          <w:szCs w:val="26"/>
        </w:rPr>
        <w:t xml:space="preserve">) </w:t>
      </w:r>
      <w:r w:rsidR="00595E6E" w:rsidRPr="007733F3">
        <w:rPr>
          <w:sz w:val="26"/>
          <w:szCs w:val="26"/>
        </w:rPr>
        <w:t>incentive payments from outside sources; (</w:t>
      </w:r>
      <w:r w:rsidR="00332A62">
        <w:rPr>
          <w:sz w:val="26"/>
          <w:szCs w:val="26"/>
        </w:rPr>
        <w:t>f</w:t>
      </w:r>
      <w:r w:rsidR="00595E6E" w:rsidRPr="007733F3">
        <w:rPr>
          <w:sz w:val="26"/>
          <w:szCs w:val="26"/>
        </w:rPr>
        <w:t xml:space="preserve">) </w:t>
      </w:r>
      <w:r w:rsidR="00CE6930" w:rsidRPr="007733F3">
        <w:rPr>
          <w:sz w:val="26"/>
          <w:szCs w:val="26"/>
        </w:rPr>
        <w:t>savings claims from Act</w:t>
      </w:r>
      <w:r w:rsidR="00332A62">
        <w:rPr>
          <w:sz w:val="26"/>
          <w:szCs w:val="26"/>
        </w:rPr>
        <w:t> </w:t>
      </w:r>
      <w:r w:rsidR="00CE6930" w:rsidRPr="007733F3">
        <w:rPr>
          <w:sz w:val="26"/>
          <w:szCs w:val="26"/>
        </w:rPr>
        <w:t>1</w:t>
      </w:r>
      <w:r w:rsidR="00CE6273">
        <w:rPr>
          <w:rStyle w:val="FootnoteReference"/>
          <w:sz w:val="26"/>
          <w:szCs w:val="26"/>
        </w:rPr>
        <w:footnoteReference w:id="10"/>
      </w:r>
      <w:r w:rsidR="00CE6930" w:rsidRPr="007733F3">
        <w:rPr>
          <w:sz w:val="26"/>
          <w:szCs w:val="26"/>
        </w:rPr>
        <w:t xml:space="preserve"> </w:t>
      </w:r>
      <w:r w:rsidR="00E42500">
        <w:rPr>
          <w:sz w:val="26"/>
          <w:szCs w:val="26"/>
        </w:rPr>
        <w:t xml:space="preserve">programs </w:t>
      </w:r>
      <w:r w:rsidR="00CE6930" w:rsidRPr="007733F3">
        <w:rPr>
          <w:sz w:val="26"/>
          <w:szCs w:val="26"/>
        </w:rPr>
        <w:t xml:space="preserve">and Act 129 </w:t>
      </w:r>
      <w:r w:rsidR="00CE6930" w:rsidRPr="00E42500">
        <w:rPr>
          <w:sz w:val="26"/>
          <w:szCs w:val="26"/>
        </w:rPr>
        <w:t>p</w:t>
      </w:r>
      <w:r w:rsidR="00EA7F2B">
        <w:rPr>
          <w:sz w:val="26"/>
          <w:szCs w:val="26"/>
        </w:rPr>
        <w:t>rograms</w:t>
      </w:r>
      <w:r w:rsidR="00EA7F2B">
        <w:rPr>
          <w:rStyle w:val="FootnoteReference"/>
          <w:sz w:val="26"/>
          <w:szCs w:val="26"/>
        </w:rPr>
        <w:footnoteReference w:id="11"/>
      </w:r>
      <w:r w:rsidR="00CE6930" w:rsidRPr="007733F3">
        <w:rPr>
          <w:sz w:val="26"/>
          <w:szCs w:val="26"/>
        </w:rPr>
        <w:t>; (</w:t>
      </w:r>
      <w:r w:rsidR="00332A62">
        <w:rPr>
          <w:sz w:val="26"/>
          <w:szCs w:val="26"/>
        </w:rPr>
        <w:t>g</w:t>
      </w:r>
      <w:r w:rsidR="00CE6930" w:rsidRPr="007733F3">
        <w:rPr>
          <w:sz w:val="26"/>
          <w:szCs w:val="26"/>
        </w:rPr>
        <w:t xml:space="preserve">) net-to-gross </w:t>
      </w:r>
      <w:r w:rsidR="002E1F5F">
        <w:rPr>
          <w:sz w:val="26"/>
          <w:szCs w:val="26"/>
        </w:rPr>
        <w:t xml:space="preserve">(NTG) </w:t>
      </w:r>
      <w:r w:rsidR="00CE6930" w:rsidRPr="007733F3">
        <w:rPr>
          <w:sz w:val="26"/>
          <w:szCs w:val="26"/>
        </w:rPr>
        <w:t>issues</w:t>
      </w:r>
      <w:r w:rsidR="000B4706">
        <w:rPr>
          <w:sz w:val="26"/>
          <w:szCs w:val="26"/>
        </w:rPr>
        <w:t>; (h) discount rate</w:t>
      </w:r>
      <w:r w:rsidR="00E62389">
        <w:rPr>
          <w:sz w:val="26"/>
          <w:szCs w:val="26"/>
        </w:rPr>
        <w:t>; and (i) incremental costs</w:t>
      </w:r>
      <w:r w:rsidR="00CE6930" w:rsidRPr="007733F3">
        <w:rPr>
          <w:sz w:val="26"/>
          <w:szCs w:val="26"/>
        </w:rPr>
        <w:t xml:space="preserve">.  </w:t>
      </w:r>
    </w:p>
    <w:p w:rsidR="00276853" w:rsidRDefault="00276853" w:rsidP="0037494A">
      <w:pPr>
        <w:pStyle w:val="p3"/>
        <w:widowControl/>
        <w:tabs>
          <w:tab w:val="clear" w:pos="204"/>
        </w:tabs>
        <w:spacing w:line="360" w:lineRule="auto"/>
        <w:rPr>
          <w:sz w:val="26"/>
          <w:szCs w:val="26"/>
        </w:rPr>
      </w:pPr>
    </w:p>
    <w:p w:rsidR="00750719" w:rsidRPr="007733F3" w:rsidRDefault="00CE6930" w:rsidP="0037494A">
      <w:pPr>
        <w:pStyle w:val="p3"/>
        <w:widowControl/>
        <w:tabs>
          <w:tab w:val="clear" w:pos="204"/>
        </w:tabs>
        <w:spacing w:line="360" w:lineRule="auto"/>
        <w:ind w:firstLine="720"/>
        <w:rPr>
          <w:sz w:val="26"/>
          <w:szCs w:val="26"/>
        </w:rPr>
      </w:pPr>
      <w:r w:rsidRPr="007733F3">
        <w:rPr>
          <w:sz w:val="26"/>
          <w:szCs w:val="26"/>
        </w:rPr>
        <w:lastRenderedPageBreak/>
        <w:t xml:space="preserve">We have considered the open </w:t>
      </w:r>
      <w:r w:rsidR="00C84D77" w:rsidRPr="007733F3">
        <w:rPr>
          <w:sz w:val="26"/>
          <w:szCs w:val="26"/>
        </w:rPr>
        <w:t>issues</w:t>
      </w:r>
      <w:r w:rsidRPr="007733F3">
        <w:rPr>
          <w:sz w:val="26"/>
          <w:szCs w:val="26"/>
        </w:rPr>
        <w:t xml:space="preserve"> and </w:t>
      </w:r>
      <w:r w:rsidR="00A97611" w:rsidRPr="007733F3">
        <w:rPr>
          <w:sz w:val="26"/>
          <w:szCs w:val="26"/>
        </w:rPr>
        <w:t xml:space="preserve">will resolve them for use in </w:t>
      </w:r>
      <w:smartTag w:uri="urn:schemas-microsoft-com:office:smarttags" w:element="place">
        <w:smartTag w:uri="urn:schemas-microsoft-com:office:smarttags" w:element="State">
          <w:r w:rsidR="00A97611" w:rsidRPr="007733F3">
            <w:rPr>
              <w:sz w:val="26"/>
              <w:szCs w:val="26"/>
            </w:rPr>
            <w:t>Pennsylvania</w:t>
          </w:r>
        </w:smartTag>
      </w:smartTag>
      <w:r w:rsidR="00A97611" w:rsidRPr="007733F3">
        <w:rPr>
          <w:sz w:val="26"/>
          <w:szCs w:val="26"/>
        </w:rPr>
        <w:t xml:space="preserve"> as follows:  </w:t>
      </w:r>
    </w:p>
    <w:p w:rsidR="00750719" w:rsidRPr="007733F3" w:rsidRDefault="00750719" w:rsidP="0037494A">
      <w:pPr>
        <w:pStyle w:val="p3"/>
        <w:widowControl/>
        <w:spacing w:line="360" w:lineRule="auto"/>
        <w:rPr>
          <w:sz w:val="26"/>
          <w:szCs w:val="26"/>
        </w:rPr>
      </w:pPr>
    </w:p>
    <w:p w:rsidR="00FD0AC2" w:rsidRPr="007733F3" w:rsidRDefault="00FD0AC2" w:rsidP="0037494A">
      <w:pPr>
        <w:spacing w:line="360" w:lineRule="auto"/>
        <w:ind w:firstLine="720"/>
        <w:rPr>
          <w:b/>
          <w:sz w:val="26"/>
          <w:szCs w:val="26"/>
        </w:rPr>
      </w:pPr>
      <w:r w:rsidRPr="007733F3">
        <w:rPr>
          <w:b/>
          <w:sz w:val="26"/>
          <w:szCs w:val="26"/>
        </w:rPr>
        <w:t>(a)  Level at Which to Measure TRC</w:t>
      </w:r>
    </w:p>
    <w:p w:rsidR="00FD0AC2" w:rsidRPr="007733F3" w:rsidRDefault="00FD0AC2" w:rsidP="0037494A">
      <w:pPr>
        <w:spacing w:line="360" w:lineRule="auto"/>
        <w:rPr>
          <w:sz w:val="26"/>
          <w:szCs w:val="26"/>
        </w:rPr>
      </w:pPr>
    </w:p>
    <w:p w:rsidR="00443483" w:rsidRDefault="00FD0AC2" w:rsidP="0037494A">
      <w:pPr>
        <w:spacing w:line="360" w:lineRule="auto"/>
        <w:ind w:firstLine="720"/>
        <w:rPr>
          <w:sz w:val="26"/>
          <w:szCs w:val="26"/>
        </w:rPr>
      </w:pPr>
      <w:r w:rsidRPr="007733F3">
        <w:rPr>
          <w:sz w:val="26"/>
          <w:szCs w:val="26"/>
        </w:rPr>
        <w:t xml:space="preserve">Act 129 requires that an EDC’s EE&amp;C plan provide measures for customers of all rate classes, 66 </w:t>
      </w:r>
      <w:r w:rsidR="002034D6" w:rsidRPr="007733F3">
        <w:rPr>
          <w:sz w:val="26"/>
          <w:szCs w:val="26"/>
        </w:rPr>
        <w:t>Pa.</w:t>
      </w:r>
      <w:r w:rsidR="002034D6">
        <w:rPr>
          <w:sz w:val="26"/>
          <w:szCs w:val="26"/>
        </w:rPr>
        <w:t xml:space="preserve"> </w:t>
      </w:r>
      <w:r w:rsidR="002034D6" w:rsidRPr="007733F3">
        <w:rPr>
          <w:sz w:val="26"/>
          <w:szCs w:val="26"/>
        </w:rPr>
        <w:t>C.S</w:t>
      </w:r>
      <w:r w:rsidRPr="007733F3">
        <w:rPr>
          <w:sz w:val="26"/>
          <w:szCs w:val="26"/>
        </w:rPr>
        <w:t xml:space="preserve">. § 2806.1(b)(1)(I)), and establishes specific requirements for inclusion of low-income programs, 66 </w:t>
      </w:r>
      <w:smartTag w:uri="urn:schemas-microsoft-com:office:smarttags" w:element="State">
        <w:r w:rsidRPr="007733F3">
          <w:rPr>
            <w:sz w:val="26"/>
            <w:szCs w:val="26"/>
          </w:rPr>
          <w:t>Pa.</w:t>
        </w:r>
      </w:smartTag>
      <w:r w:rsidRPr="007733F3">
        <w:rPr>
          <w:sz w:val="26"/>
          <w:szCs w:val="26"/>
        </w:rPr>
        <w:t xml:space="preserve"> C.S. § 2806.1(b)(1)(G), and government programs, 66 </w:t>
      </w:r>
      <w:smartTag w:uri="urn:schemas-microsoft-com:office:smarttags" w:element="place">
        <w:smartTag w:uri="urn:schemas-microsoft-com:office:smarttags" w:element="State">
          <w:r w:rsidRPr="007733F3">
            <w:rPr>
              <w:sz w:val="26"/>
              <w:szCs w:val="26"/>
            </w:rPr>
            <w:t>Pa.</w:t>
          </w:r>
        </w:smartTag>
      </w:smartTag>
      <w:r w:rsidRPr="007733F3">
        <w:rPr>
          <w:sz w:val="26"/>
          <w:szCs w:val="26"/>
        </w:rPr>
        <w:t xml:space="preserve"> C.S. § 2806.1(b)(1)(B), in an EDC’s EE&amp;C plan.  </w:t>
      </w:r>
      <w:r w:rsidR="004F5086">
        <w:rPr>
          <w:sz w:val="26"/>
          <w:szCs w:val="26"/>
        </w:rPr>
        <w:t>Based on Section</w:t>
      </w:r>
      <w:r w:rsidR="00F85797">
        <w:rPr>
          <w:sz w:val="26"/>
          <w:szCs w:val="26"/>
        </w:rPr>
        <w:t> </w:t>
      </w:r>
      <w:r w:rsidR="004F5086">
        <w:rPr>
          <w:sz w:val="26"/>
          <w:szCs w:val="26"/>
        </w:rPr>
        <w:t xml:space="preserve">2806.1(b)(1)(I), an EDC is to demonstrate that its EE&amp;C plan is </w:t>
      </w:r>
      <w:r w:rsidR="003E237B">
        <w:rPr>
          <w:sz w:val="26"/>
          <w:szCs w:val="26"/>
        </w:rPr>
        <w:t xml:space="preserve">cost effective using the TRC test.  </w:t>
      </w:r>
    </w:p>
    <w:p w:rsidR="00443483" w:rsidRDefault="00443483" w:rsidP="0037494A">
      <w:pPr>
        <w:spacing w:line="360" w:lineRule="auto"/>
        <w:ind w:firstLine="720"/>
        <w:rPr>
          <w:sz w:val="26"/>
          <w:szCs w:val="26"/>
        </w:rPr>
      </w:pPr>
    </w:p>
    <w:p w:rsidR="00FD0AC2" w:rsidRPr="007733F3" w:rsidRDefault="00443483" w:rsidP="0037494A">
      <w:pPr>
        <w:spacing w:line="360" w:lineRule="auto"/>
        <w:ind w:firstLine="720"/>
        <w:rPr>
          <w:sz w:val="26"/>
          <w:szCs w:val="26"/>
        </w:rPr>
      </w:pPr>
      <w:r w:rsidRPr="00FF7B61">
        <w:rPr>
          <w:sz w:val="26"/>
        </w:rPr>
        <w:t>There was general support expressed by most comment</w:t>
      </w:r>
      <w:r w:rsidR="00E52B1E" w:rsidRPr="00FF7B61">
        <w:rPr>
          <w:sz w:val="26"/>
        </w:rPr>
        <w:t>e</w:t>
      </w:r>
      <w:r w:rsidRPr="00FF7B61">
        <w:rPr>
          <w:sz w:val="26"/>
        </w:rPr>
        <w:t xml:space="preserve">rs for measuring the TRC at the plan level (PECO </w:t>
      </w:r>
      <w:r w:rsidR="00405477" w:rsidRPr="00FF7B61">
        <w:rPr>
          <w:sz w:val="26"/>
        </w:rPr>
        <w:t>at</w:t>
      </w:r>
      <w:r w:rsidRPr="00FF7B61">
        <w:rPr>
          <w:sz w:val="26"/>
        </w:rPr>
        <w:t xml:space="preserve"> 2; PPL</w:t>
      </w:r>
      <w:r w:rsidR="00405477" w:rsidRPr="00FF7B61">
        <w:rPr>
          <w:sz w:val="26"/>
        </w:rPr>
        <w:t xml:space="preserve"> at 2</w:t>
      </w:r>
      <w:r w:rsidRPr="00FF7B61">
        <w:rPr>
          <w:sz w:val="26"/>
        </w:rPr>
        <w:t xml:space="preserve">; </w:t>
      </w:r>
      <w:r w:rsidR="00405477" w:rsidRPr="00FF7B61">
        <w:rPr>
          <w:sz w:val="26"/>
        </w:rPr>
        <w:t>Joint Supporters at 4</w:t>
      </w:r>
      <w:r w:rsidRPr="00FF7B61">
        <w:rPr>
          <w:sz w:val="26"/>
        </w:rPr>
        <w:t>; EAPA</w:t>
      </w:r>
      <w:r w:rsidR="00405477" w:rsidRPr="00FF7B61">
        <w:rPr>
          <w:sz w:val="26"/>
        </w:rPr>
        <w:t xml:space="preserve"> at 4</w:t>
      </w:r>
      <w:r w:rsidRPr="00FF7B61">
        <w:rPr>
          <w:sz w:val="26"/>
        </w:rPr>
        <w:t>; NAESCO</w:t>
      </w:r>
      <w:r w:rsidR="00405477" w:rsidRPr="00FF7B61">
        <w:rPr>
          <w:sz w:val="26"/>
        </w:rPr>
        <w:t xml:space="preserve"> at </w:t>
      </w:r>
      <w:r w:rsidRPr="00FF7B61">
        <w:rPr>
          <w:sz w:val="26"/>
        </w:rPr>
        <w:t>4; LBNL</w:t>
      </w:r>
      <w:r w:rsidR="00405477" w:rsidRPr="00FF7B61">
        <w:rPr>
          <w:sz w:val="26"/>
        </w:rPr>
        <w:t xml:space="preserve"> at </w:t>
      </w:r>
      <w:r w:rsidRPr="00FF7B61">
        <w:rPr>
          <w:sz w:val="26"/>
        </w:rPr>
        <w:t>1; OCA</w:t>
      </w:r>
      <w:r w:rsidR="00405477" w:rsidRPr="00FF7B61">
        <w:rPr>
          <w:sz w:val="26"/>
        </w:rPr>
        <w:t xml:space="preserve"> at 1</w:t>
      </w:r>
      <w:r w:rsidRPr="00FF7B61">
        <w:rPr>
          <w:sz w:val="26"/>
        </w:rPr>
        <w:t xml:space="preserve">).  </w:t>
      </w:r>
      <w:r w:rsidR="00405477" w:rsidRPr="00FF7B61">
        <w:rPr>
          <w:sz w:val="26"/>
        </w:rPr>
        <w:t>Accordingly, w</w:t>
      </w:r>
      <w:r w:rsidRPr="00FF7B61">
        <w:rPr>
          <w:sz w:val="26"/>
        </w:rPr>
        <w:t xml:space="preserve">e </w:t>
      </w:r>
      <w:r w:rsidR="00405477" w:rsidRPr="00FF7B61">
        <w:rPr>
          <w:sz w:val="26"/>
        </w:rPr>
        <w:t xml:space="preserve">shall </w:t>
      </w:r>
      <w:r w:rsidRPr="00FF7B61">
        <w:rPr>
          <w:sz w:val="26"/>
        </w:rPr>
        <w:t xml:space="preserve">adopt the position that each EDC’s </w:t>
      </w:r>
      <w:r w:rsidR="008A3F1B" w:rsidRPr="00FF7B61">
        <w:rPr>
          <w:sz w:val="26"/>
        </w:rPr>
        <w:t xml:space="preserve">EE&amp;C </w:t>
      </w:r>
      <w:r w:rsidRPr="00FF7B61">
        <w:rPr>
          <w:sz w:val="26"/>
        </w:rPr>
        <w:t xml:space="preserve">plan will be evaluated by the entirety of all its programs taken in total, otherwise noted as the plan level.  </w:t>
      </w:r>
      <w:r w:rsidR="00FF7B61" w:rsidRPr="00FF7B61">
        <w:rPr>
          <w:sz w:val="26"/>
        </w:rPr>
        <w:t xml:space="preserve">The overall determination as to whether an EDC’s plan will be deemed cost effective using the TRC test will be made at the plan level.  </w:t>
      </w:r>
      <w:r w:rsidR="002034D6">
        <w:rPr>
          <w:sz w:val="26"/>
          <w:szCs w:val="26"/>
        </w:rPr>
        <w:t xml:space="preserve">This means that the TRC test will be applied at the plan level rather than at the component, program, or measure level.  </w:t>
      </w:r>
      <w:r w:rsidR="005B688E">
        <w:rPr>
          <w:sz w:val="26"/>
          <w:szCs w:val="26"/>
        </w:rPr>
        <w:t xml:space="preserve">Further, all aspects of an </w:t>
      </w:r>
      <w:r w:rsidR="002D7736">
        <w:rPr>
          <w:sz w:val="26"/>
          <w:szCs w:val="26"/>
        </w:rPr>
        <w:t xml:space="preserve">EDC’s plan will </w:t>
      </w:r>
      <w:r w:rsidR="000D1262" w:rsidRPr="007733F3">
        <w:rPr>
          <w:sz w:val="26"/>
          <w:szCs w:val="26"/>
        </w:rPr>
        <w:t xml:space="preserve">be included in the TRC testing analysis.  </w:t>
      </w:r>
      <w:r w:rsidR="00FD0AC2" w:rsidRPr="007733F3">
        <w:rPr>
          <w:sz w:val="26"/>
          <w:szCs w:val="26"/>
        </w:rPr>
        <w:t xml:space="preserve">Therefore, each EDC’s </w:t>
      </w:r>
      <w:r w:rsidR="00896B18" w:rsidRPr="007733F3">
        <w:rPr>
          <w:sz w:val="26"/>
          <w:szCs w:val="26"/>
        </w:rPr>
        <w:t>p</w:t>
      </w:r>
      <w:r w:rsidR="00FD0AC2" w:rsidRPr="007733F3">
        <w:rPr>
          <w:sz w:val="26"/>
          <w:szCs w:val="26"/>
        </w:rPr>
        <w:t xml:space="preserve">lan will be </w:t>
      </w:r>
      <w:r w:rsidR="00896B18" w:rsidRPr="007733F3">
        <w:rPr>
          <w:sz w:val="26"/>
          <w:szCs w:val="26"/>
        </w:rPr>
        <w:t xml:space="preserve">evaluated </w:t>
      </w:r>
      <w:r w:rsidR="00FD0AC2" w:rsidRPr="007733F3">
        <w:rPr>
          <w:sz w:val="26"/>
          <w:szCs w:val="26"/>
        </w:rPr>
        <w:t xml:space="preserve">by the entirety of all its programs taken in total.  Some programs may not pass the TRC, but </w:t>
      </w:r>
      <w:r w:rsidR="00F85797">
        <w:rPr>
          <w:sz w:val="26"/>
          <w:szCs w:val="26"/>
        </w:rPr>
        <w:t xml:space="preserve">so long as </w:t>
      </w:r>
      <w:r w:rsidR="00FD0AC2" w:rsidRPr="007733F3">
        <w:rPr>
          <w:sz w:val="26"/>
          <w:szCs w:val="26"/>
        </w:rPr>
        <w:t xml:space="preserve">all the programs </w:t>
      </w:r>
      <w:r w:rsidR="005B688E">
        <w:rPr>
          <w:sz w:val="26"/>
          <w:szCs w:val="26"/>
        </w:rPr>
        <w:t xml:space="preserve">in an EDC’s EE&amp;C plan </w:t>
      </w:r>
      <w:r w:rsidR="00FD0AC2" w:rsidRPr="007733F3">
        <w:rPr>
          <w:sz w:val="26"/>
          <w:szCs w:val="26"/>
        </w:rPr>
        <w:t>taken in total pass the TRC</w:t>
      </w:r>
      <w:r w:rsidR="005B688E">
        <w:rPr>
          <w:sz w:val="26"/>
          <w:szCs w:val="26"/>
        </w:rPr>
        <w:t xml:space="preserve"> test</w:t>
      </w:r>
      <w:r w:rsidR="00FD0AC2" w:rsidRPr="007733F3">
        <w:rPr>
          <w:sz w:val="26"/>
          <w:szCs w:val="26"/>
        </w:rPr>
        <w:t xml:space="preserve">, </w:t>
      </w:r>
      <w:r w:rsidR="005B688E">
        <w:rPr>
          <w:sz w:val="26"/>
          <w:szCs w:val="26"/>
        </w:rPr>
        <w:t xml:space="preserve">then </w:t>
      </w:r>
      <w:r w:rsidR="00FD0AC2" w:rsidRPr="007733F3">
        <w:rPr>
          <w:sz w:val="26"/>
          <w:szCs w:val="26"/>
        </w:rPr>
        <w:t xml:space="preserve">the EDC’s </w:t>
      </w:r>
      <w:r w:rsidR="005B688E">
        <w:rPr>
          <w:sz w:val="26"/>
          <w:szCs w:val="26"/>
        </w:rPr>
        <w:t xml:space="preserve">EE&amp;C plan </w:t>
      </w:r>
      <w:r w:rsidR="00FD0AC2" w:rsidRPr="007733F3">
        <w:rPr>
          <w:sz w:val="26"/>
          <w:szCs w:val="26"/>
        </w:rPr>
        <w:t>will be deemed cost-effective.</w:t>
      </w:r>
    </w:p>
    <w:p w:rsidR="00FD0AC2" w:rsidRDefault="00FD0AC2" w:rsidP="0037494A">
      <w:pPr>
        <w:spacing w:line="360" w:lineRule="auto"/>
        <w:rPr>
          <w:sz w:val="26"/>
          <w:szCs w:val="26"/>
        </w:rPr>
      </w:pPr>
    </w:p>
    <w:p w:rsidR="00FF7B61" w:rsidRPr="00FF7B61" w:rsidRDefault="0045156E" w:rsidP="0037494A">
      <w:pPr>
        <w:spacing w:line="360" w:lineRule="auto"/>
        <w:ind w:firstLine="720"/>
        <w:rPr>
          <w:sz w:val="26"/>
        </w:rPr>
      </w:pPr>
      <w:r w:rsidRPr="00FF7B61">
        <w:rPr>
          <w:sz w:val="26"/>
        </w:rPr>
        <w:t>While no commenter opposed testing the TRC at the plan level, the Joint Supporters, NAESCO, and OCA suggested that EDC</w:t>
      </w:r>
      <w:r w:rsidR="004E5C3C">
        <w:rPr>
          <w:sz w:val="26"/>
        </w:rPr>
        <w:t>s</w:t>
      </w:r>
      <w:r w:rsidRPr="00FF7B61">
        <w:rPr>
          <w:sz w:val="26"/>
        </w:rPr>
        <w:t xml:space="preserve"> should also be required to calculate and provide information on the TRC at the program level as well.</w:t>
      </w:r>
      <w:r w:rsidR="00C60909">
        <w:rPr>
          <w:sz w:val="26"/>
        </w:rPr>
        <w:t xml:space="preserve">  </w:t>
      </w:r>
      <w:r w:rsidR="00FF7B61" w:rsidRPr="00FF7B61">
        <w:rPr>
          <w:sz w:val="26"/>
        </w:rPr>
        <w:t>We shall adopt th</w:t>
      </w:r>
      <w:r w:rsidR="00C60909">
        <w:rPr>
          <w:sz w:val="26"/>
        </w:rPr>
        <w:t>is</w:t>
      </w:r>
      <w:r w:rsidR="00FF7B61" w:rsidRPr="00FF7B61">
        <w:rPr>
          <w:sz w:val="26"/>
        </w:rPr>
        <w:t xml:space="preserve"> recommendation that EDC plans should also provide information on the TRC </w:t>
      </w:r>
      <w:r w:rsidR="00FF7B61" w:rsidRPr="00FF7B61">
        <w:rPr>
          <w:sz w:val="26"/>
        </w:rPr>
        <w:lastRenderedPageBreak/>
        <w:t>at the program level.</w:t>
      </w:r>
      <w:r w:rsidR="00FF7B61">
        <w:rPr>
          <w:sz w:val="26"/>
        </w:rPr>
        <w:t xml:space="preserve">  This will </w:t>
      </w:r>
      <w:r>
        <w:rPr>
          <w:sz w:val="26"/>
        </w:rPr>
        <w:t xml:space="preserve">facilitate interested parties and this Commission in reviewing the balance of programs that EDCs select for their EE&amp;C plans.  </w:t>
      </w:r>
    </w:p>
    <w:p w:rsidR="00FF7B61" w:rsidRDefault="00FF7B61" w:rsidP="0037494A">
      <w:pPr>
        <w:spacing w:line="360" w:lineRule="auto"/>
        <w:rPr>
          <w:sz w:val="26"/>
          <w:szCs w:val="26"/>
        </w:rPr>
      </w:pPr>
    </w:p>
    <w:p w:rsidR="00B95716" w:rsidRPr="004A3C5F" w:rsidRDefault="00B95716" w:rsidP="0037494A">
      <w:pPr>
        <w:pStyle w:val="Heading4"/>
        <w:spacing w:before="0" w:after="0" w:line="360" w:lineRule="auto"/>
        <w:ind w:firstLine="720"/>
        <w:rPr>
          <w:rFonts w:ascii="Times New Roman" w:hAnsi="Times New Roman"/>
          <w:b w:val="0"/>
          <w:sz w:val="26"/>
          <w:szCs w:val="26"/>
        </w:rPr>
      </w:pPr>
      <w:r w:rsidRPr="004A3C5F">
        <w:rPr>
          <w:rFonts w:ascii="Times New Roman" w:hAnsi="Times New Roman"/>
          <w:sz w:val="26"/>
          <w:szCs w:val="26"/>
        </w:rPr>
        <w:t>(b)</w:t>
      </w:r>
      <w:r w:rsidRPr="004A3C5F">
        <w:rPr>
          <w:rFonts w:ascii="Times New Roman" w:hAnsi="Times New Roman"/>
          <w:b w:val="0"/>
          <w:sz w:val="26"/>
          <w:szCs w:val="26"/>
        </w:rPr>
        <w:t xml:space="preserve">  </w:t>
      </w:r>
      <w:r w:rsidRPr="004A3C5F">
        <w:rPr>
          <w:rFonts w:ascii="Times New Roman" w:hAnsi="Times New Roman"/>
          <w:sz w:val="26"/>
          <w:szCs w:val="26"/>
        </w:rPr>
        <w:t>Avoided Costs of Supplying Electricity</w:t>
      </w:r>
    </w:p>
    <w:p w:rsidR="00B95716" w:rsidRPr="004A3C5F" w:rsidRDefault="00B95716" w:rsidP="0037494A">
      <w:pPr>
        <w:pStyle w:val="Heading4"/>
        <w:spacing w:before="0" w:after="0" w:line="360" w:lineRule="auto"/>
        <w:ind w:firstLine="720"/>
        <w:rPr>
          <w:rFonts w:ascii="Times New Roman" w:hAnsi="Times New Roman"/>
          <w:b w:val="0"/>
          <w:sz w:val="26"/>
          <w:szCs w:val="26"/>
        </w:rPr>
      </w:pPr>
    </w:p>
    <w:p w:rsidR="00B95716" w:rsidRPr="004A3C5F" w:rsidRDefault="00B95716" w:rsidP="0037494A">
      <w:pPr>
        <w:spacing w:line="360" w:lineRule="auto"/>
        <w:ind w:left="-54" w:firstLine="720"/>
        <w:rPr>
          <w:sz w:val="26"/>
          <w:szCs w:val="26"/>
        </w:rPr>
      </w:pPr>
      <w:r w:rsidRPr="004A3C5F">
        <w:rPr>
          <w:sz w:val="26"/>
          <w:szCs w:val="26"/>
        </w:rPr>
        <w:t>In the</w:t>
      </w:r>
      <w:r w:rsidRPr="004A3C5F">
        <w:rPr>
          <w:b/>
          <w:sz w:val="26"/>
          <w:szCs w:val="26"/>
        </w:rPr>
        <w:t xml:space="preserve"> </w:t>
      </w:r>
      <w:r w:rsidRPr="004A3C5F">
        <w:rPr>
          <w:i/>
          <w:sz w:val="26"/>
          <w:szCs w:val="26"/>
        </w:rPr>
        <w:t>Implementation Order</w:t>
      </w:r>
      <w:r w:rsidRPr="004A3C5F">
        <w:rPr>
          <w:sz w:val="26"/>
          <w:szCs w:val="26"/>
        </w:rPr>
        <w:t xml:space="preserve">, we noted that the benefits calculated in the TRC test would include the avoided supply costs such as reductions in transmission, distribution, and generation (including capacity) (GTD) costs for the period when there is a consumption reduction.  </w:t>
      </w:r>
      <w:r w:rsidRPr="004A3C5F">
        <w:rPr>
          <w:i/>
          <w:sz w:val="26"/>
          <w:szCs w:val="26"/>
        </w:rPr>
        <w:t>See</w:t>
      </w:r>
      <w:r w:rsidRPr="004A3C5F">
        <w:rPr>
          <w:sz w:val="26"/>
          <w:szCs w:val="26"/>
        </w:rPr>
        <w:t xml:space="preserve"> 66 Pa. C.S. § 2806.11(m).  For the purposes of calculating the TRC test, we must determine the appropriate methodologies for calculating the avoided monetary cost of supplying electricity that includes these GTD cost components.</w:t>
      </w:r>
      <w:r w:rsidRPr="004A3C5F">
        <w:rPr>
          <w:rStyle w:val="FootnoteReference"/>
          <w:sz w:val="26"/>
          <w:szCs w:val="26"/>
        </w:rPr>
        <w:footnoteReference w:id="12"/>
      </w:r>
      <w:r w:rsidRPr="004A3C5F">
        <w:rPr>
          <w:sz w:val="26"/>
          <w:szCs w:val="26"/>
        </w:rPr>
        <w:t xml:space="preserve">  The avoided costs provisions of the TRC test proposal prompted the most comments.  </w:t>
      </w:r>
    </w:p>
    <w:p w:rsidR="00B95716" w:rsidRPr="004A3C5F" w:rsidRDefault="00B95716" w:rsidP="0037494A">
      <w:pPr>
        <w:spacing w:line="360" w:lineRule="auto"/>
        <w:ind w:firstLine="720"/>
        <w:rPr>
          <w:sz w:val="26"/>
          <w:szCs w:val="26"/>
          <w:u w:val="single"/>
        </w:rPr>
      </w:pPr>
    </w:p>
    <w:p w:rsidR="00B95716" w:rsidRPr="004A3C5F" w:rsidRDefault="00B95716" w:rsidP="0037494A">
      <w:pPr>
        <w:spacing w:line="360" w:lineRule="auto"/>
        <w:ind w:firstLine="720"/>
        <w:rPr>
          <w:sz w:val="26"/>
          <w:szCs w:val="26"/>
        </w:rPr>
      </w:pPr>
      <w:r w:rsidRPr="004A3C5F">
        <w:rPr>
          <w:sz w:val="26"/>
          <w:szCs w:val="26"/>
        </w:rPr>
        <w:t>Our discussion of the proposal and the comments shall focus on two aspects:  prediction assumptions and adjustments.  We shall address each in turn.</w:t>
      </w:r>
    </w:p>
    <w:p w:rsidR="00B95716" w:rsidRPr="004A3C5F" w:rsidRDefault="00B95716" w:rsidP="0037494A">
      <w:pPr>
        <w:pStyle w:val="Heading4"/>
        <w:keepNext w:val="0"/>
        <w:spacing w:before="0" w:after="0" w:line="360" w:lineRule="auto"/>
        <w:ind w:firstLine="720"/>
        <w:rPr>
          <w:rFonts w:ascii="Times New Roman" w:hAnsi="Times New Roman"/>
          <w:b w:val="0"/>
          <w:sz w:val="26"/>
          <w:szCs w:val="26"/>
          <w:u w:val="single"/>
        </w:rPr>
      </w:pPr>
    </w:p>
    <w:p w:rsidR="00B95716" w:rsidRPr="004A3C5F" w:rsidRDefault="00B95716" w:rsidP="0037494A">
      <w:pPr>
        <w:pStyle w:val="Heading4"/>
        <w:keepNext w:val="0"/>
        <w:spacing w:before="0" w:after="0" w:line="360" w:lineRule="auto"/>
        <w:ind w:firstLine="720"/>
        <w:rPr>
          <w:rFonts w:ascii="Times New Roman" w:hAnsi="Times New Roman"/>
          <w:b w:val="0"/>
          <w:sz w:val="26"/>
          <w:szCs w:val="26"/>
        </w:rPr>
      </w:pPr>
      <w:r w:rsidRPr="004A3C5F">
        <w:rPr>
          <w:rFonts w:ascii="Times New Roman" w:hAnsi="Times New Roman"/>
          <w:sz w:val="26"/>
          <w:szCs w:val="26"/>
        </w:rPr>
        <w:t>Prediction Assumptions</w:t>
      </w:r>
      <w:r w:rsidRPr="004A3C5F">
        <w:rPr>
          <w:rFonts w:ascii="Times New Roman" w:hAnsi="Times New Roman"/>
          <w:b w:val="0"/>
          <w:sz w:val="26"/>
          <w:szCs w:val="26"/>
        </w:rPr>
        <w:t xml:space="preserve">:  We shall address prediction assumptions in several subparts:  predictions spread over 15 years; first, second, and third five years’ generation costs; transmission, distribution, and capacity costs; and other comments.  </w:t>
      </w:r>
    </w:p>
    <w:p w:rsidR="00B95716" w:rsidRPr="004A3C5F" w:rsidRDefault="00B95716" w:rsidP="0037494A">
      <w:pPr>
        <w:pStyle w:val="Heading4"/>
        <w:keepNext w:val="0"/>
        <w:spacing w:before="0" w:after="0" w:line="360" w:lineRule="auto"/>
        <w:ind w:firstLine="720"/>
        <w:rPr>
          <w:rFonts w:ascii="Times New Roman" w:hAnsi="Times New Roman"/>
          <w:b w:val="0"/>
          <w:sz w:val="26"/>
          <w:szCs w:val="26"/>
        </w:rPr>
      </w:pPr>
    </w:p>
    <w:p w:rsidR="00B95716" w:rsidRPr="004A3C5F" w:rsidRDefault="00B95716" w:rsidP="0037494A">
      <w:pPr>
        <w:spacing w:line="360" w:lineRule="auto"/>
        <w:ind w:firstLine="1440"/>
        <w:rPr>
          <w:sz w:val="26"/>
          <w:szCs w:val="26"/>
        </w:rPr>
      </w:pPr>
      <w:r w:rsidRPr="004A3C5F">
        <w:rPr>
          <w:b/>
          <w:sz w:val="26"/>
          <w:szCs w:val="26"/>
        </w:rPr>
        <w:t>Predictions Spread over Fifteen Years</w:t>
      </w:r>
      <w:r w:rsidRPr="004A3C5F">
        <w:rPr>
          <w:sz w:val="26"/>
          <w:szCs w:val="26"/>
        </w:rPr>
        <w:t xml:space="preserve">:  The proposal specified that the </w:t>
      </w:r>
      <w:r w:rsidR="002C7F48">
        <w:rPr>
          <w:sz w:val="26"/>
          <w:szCs w:val="26"/>
        </w:rPr>
        <w:t>15</w:t>
      </w:r>
      <w:r w:rsidR="002C7F48">
        <w:rPr>
          <w:sz w:val="26"/>
          <w:szCs w:val="26"/>
        </w:rPr>
        <w:noBreakHyphen/>
      </w:r>
      <w:r w:rsidRPr="004A3C5F">
        <w:rPr>
          <w:sz w:val="26"/>
          <w:szCs w:val="26"/>
        </w:rPr>
        <w:t xml:space="preserve">year period for calculating avoided electricity supply costs would be broken into three segments of five years each.  </w:t>
      </w:r>
    </w:p>
    <w:p w:rsidR="00B95716" w:rsidRPr="004A3C5F" w:rsidRDefault="00B95716" w:rsidP="0037494A">
      <w:pPr>
        <w:spacing w:line="360" w:lineRule="auto"/>
        <w:ind w:firstLine="1440"/>
        <w:rPr>
          <w:sz w:val="26"/>
          <w:szCs w:val="26"/>
        </w:rPr>
      </w:pPr>
    </w:p>
    <w:p w:rsidR="00B95716" w:rsidRPr="004A3C5F" w:rsidRDefault="00B95716" w:rsidP="0037494A">
      <w:pPr>
        <w:spacing w:line="360" w:lineRule="auto"/>
        <w:ind w:firstLine="720"/>
        <w:rPr>
          <w:sz w:val="26"/>
          <w:szCs w:val="26"/>
        </w:rPr>
      </w:pPr>
      <w:r w:rsidRPr="004A3C5F">
        <w:rPr>
          <w:sz w:val="26"/>
          <w:szCs w:val="26"/>
        </w:rPr>
        <w:t xml:space="preserve">EAPA (at 5) suggested that we use a single 15-year period rather than three five-year periods.  OCA (at 2-3) was concerned that the predictive assumptions used to calculate the cost of generation over the 15-year period may be unnecessarily complex for the intended purpose.  OCA (at 3) pointed out that NYMEX futures prices can be volatile and can change on a daily basis.  OCA suggested that the Commission specify the use of an average of futures prices over a defined period.  For consistency across the programs, OCA recommended that the Commission select a specific 30 or 60 day period for the NYMEX futures data that is to be used by all EDCs. </w:t>
      </w:r>
    </w:p>
    <w:p w:rsidR="00B95716" w:rsidRPr="004A3C5F" w:rsidRDefault="00B95716" w:rsidP="0037494A">
      <w:pPr>
        <w:spacing w:line="360" w:lineRule="auto"/>
        <w:ind w:firstLine="1440"/>
        <w:rPr>
          <w:sz w:val="26"/>
          <w:szCs w:val="26"/>
        </w:rPr>
      </w:pPr>
    </w:p>
    <w:p w:rsidR="00B95716" w:rsidRPr="004A3C5F" w:rsidRDefault="00B95716" w:rsidP="0037494A">
      <w:pPr>
        <w:spacing w:line="360" w:lineRule="auto"/>
        <w:ind w:firstLine="720"/>
        <w:rPr>
          <w:sz w:val="26"/>
          <w:szCs w:val="26"/>
        </w:rPr>
      </w:pPr>
      <w:r w:rsidRPr="004A3C5F">
        <w:rPr>
          <w:sz w:val="26"/>
          <w:szCs w:val="26"/>
        </w:rPr>
        <w:t xml:space="preserve">We elected to retain the three five-year periods, concluding that three five-year periods more accurately reflect the predictive process.  The nature and number of predictions change the farther out on the 15-year timeline that one goes.  Using three </w:t>
      </w:r>
      <w:r w:rsidRPr="00654773">
        <w:rPr>
          <w:sz w:val="26"/>
          <w:szCs w:val="26"/>
        </w:rPr>
        <w:t xml:space="preserve">periods allows </w:t>
      </w:r>
      <w:r w:rsidR="0092605A" w:rsidRPr="00654773">
        <w:rPr>
          <w:sz w:val="26"/>
          <w:szCs w:val="26"/>
        </w:rPr>
        <w:t xml:space="preserve">us </w:t>
      </w:r>
      <w:r w:rsidRPr="00654773">
        <w:rPr>
          <w:sz w:val="26"/>
          <w:szCs w:val="26"/>
        </w:rPr>
        <w:t xml:space="preserve">to take better advantage of known conditions relative to future </w:t>
      </w:r>
      <w:r w:rsidR="00747594" w:rsidRPr="00654773">
        <w:rPr>
          <w:sz w:val="26"/>
          <w:szCs w:val="26"/>
        </w:rPr>
        <w:t>uncertainty</w:t>
      </w:r>
      <w:r w:rsidRPr="00654773">
        <w:rPr>
          <w:sz w:val="26"/>
          <w:szCs w:val="26"/>
        </w:rPr>
        <w:t>.</w:t>
      </w:r>
    </w:p>
    <w:p w:rsidR="00B95716" w:rsidRPr="004A3C5F" w:rsidRDefault="00B95716" w:rsidP="0037494A">
      <w:pPr>
        <w:pStyle w:val="Heading4"/>
        <w:keepNext w:val="0"/>
        <w:spacing w:before="0" w:after="0" w:line="360" w:lineRule="auto"/>
        <w:ind w:firstLine="720"/>
        <w:rPr>
          <w:rFonts w:ascii="Times New Roman" w:hAnsi="Times New Roman"/>
          <w:b w:val="0"/>
          <w:sz w:val="26"/>
          <w:szCs w:val="26"/>
        </w:rPr>
      </w:pPr>
    </w:p>
    <w:p w:rsidR="00B95716" w:rsidRPr="004A3C5F" w:rsidRDefault="00B95716" w:rsidP="0037494A">
      <w:pPr>
        <w:spacing w:line="360" w:lineRule="auto"/>
        <w:ind w:firstLine="1440"/>
        <w:rPr>
          <w:sz w:val="26"/>
          <w:szCs w:val="26"/>
        </w:rPr>
      </w:pPr>
      <w:r w:rsidRPr="004A3C5F">
        <w:rPr>
          <w:b/>
          <w:sz w:val="26"/>
          <w:szCs w:val="26"/>
        </w:rPr>
        <w:t>First Five Years Generation Costs</w:t>
      </w:r>
      <w:r w:rsidRPr="004A3C5F">
        <w:rPr>
          <w:sz w:val="26"/>
          <w:szCs w:val="26"/>
        </w:rPr>
        <w:t>:  For the first five years, the proposal specified that we would use the wholesale electric generation prices as reflected in the NYMEX PJM</w:t>
      </w:r>
      <w:r w:rsidR="00B66880">
        <w:rPr>
          <w:rStyle w:val="FootnoteReference"/>
          <w:sz w:val="26"/>
          <w:szCs w:val="26"/>
        </w:rPr>
        <w:footnoteReference w:id="13"/>
      </w:r>
      <w:r w:rsidRPr="004A3C5F">
        <w:rPr>
          <w:sz w:val="26"/>
          <w:szCs w:val="26"/>
        </w:rPr>
        <w:t xml:space="preserve"> futures price.  This would be adjusted to reflect both on- and off-peak prices on a 50% on- and 50% off-peak basis.  This would possibly be further adjusted to reflect historical EDC-specific usage characteristics by customer, and rate, class.  </w:t>
      </w:r>
    </w:p>
    <w:p w:rsidR="00B95716" w:rsidRPr="004A3C5F" w:rsidRDefault="00B95716" w:rsidP="0037494A">
      <w:pPr>
        <w:pStyle w:val="Heading4"/>
        <w:keepNext w:val="0"/>
        <w:spacing w:before="0" w:after="0" w:line="360" w:lineRule="auto"/>
        <w:ind w:firstLine="1440"/>
        <w:rPr>
          <w:rFonts w:ascii="Times New Roman" w:hAnsi="Times New Roman"/>
          <w:b w:val="0"/>
          <w:sz w:val="26"/>
          <w:szCs w:val="26"/>
        </w:rPr>
      </w:pPr>
    </w:p>
    <w:p w:rsidR="00B95716" w:rsidRPr="0092605A" w:rsidRDefault="00B95716" w:rsidP="0037494A">
      <w:pPr>
        <w:pStyle w:val="Heading4"/>
        <w:keepNext w:val="0"/>
        <w:spacing w:before="0" w:after="0" w:line="360" w:lineRule="auto"/>
        <w:ind w:firstLine="720"/>
        <w:rPr>
          <w:rFonts w:ascii="Times New Roman" w:hAnsi="Times New Roman"/>
          <w:b w:val="0"/>
          <w:sz w:val="26"/>
          <w:szCs w:val="26"/>
        </w:rPr>
      </w:pPr>
      <w:r w:rsidRPr="004A3C5F">
        <w:rPr>
          <w:rFonts w:ascii="Times New Roman" w:hAnsi="Times New Roman"/>
          <w:b w:val="0"/>
          <w:sz w:val="26"/>
          <w:szCs w:val="26"/>
        </w:rPr>
        <w:t xml:space="preserve">After review of the comments, with respect to the NYMEX electric price, we shall specify use of the NYMEX “prompt month,” two months prior to the filing date, for use for the first five-year period calculations.  For these instant filings, we will use the May 28, 2009 closing data.  For 2010, that date would be </w:t>
      </w:r>
      <w:r w:rsidRPr="0092605A">
        <w:rPr>
          <w:rFonts w:ascii="Times New Roman" w:hAnsi="Times New Roman"/>
          <w:b w:val="0"/>
          <w:sz w:val="26"/>
          <w:szCs w:val="26"/>
        </w:rPr>
        <w:t>May 27, 2010.</w:t>
      </w:r>
      <w:r w:rsidRPr="0092605A">
        <w:rPr>
          <w:rStyle w:val="FootnoteReference"/>
          <w:rFonts w:ascii="Times New Roman" w:hAnsi="Times New Roman"/>
          <w:b w:val="0"/>
          <w:sz w:val="26"/>
          <w:szCs w:val="26"/>
        </w:rPr>
        <w:footnoteReference w:id="14"/>
      </w:r>
      <w:r w:rsidRPr="0092605A">
        <w:rPr>
          <w:rFonts w:ascii="Times New Roman" w:hAnsi="Times New Roman"/>
          <w:b w:val="0"/>
          <w:sz w:val="26"/>
          <w:szCs w:val="26"/>
        </w:rPr>
        <w:t xml:space="preserve">   </w:t>
      </w:r>
    </w:p>
    <w:p w:rsidR="00B95716" w:rsidRPr="0092605A" w:rsidRDefault="00B95716" w:rsidP="0037494A">
      <w:pPr>
        <w:spacing w:line="360" w:lineRule="auto"/>
        <w:rPr>
          <w:sz w:val="26"/>
          <w:szCs w:val="26"/>
        </w:rPr>
      </w:pPr>
    </w:p>
    <w:p w:rsidR="00B95716" w:rsidRPr="0092605A" w:rsidRDefault="00B95716" w:rsidP="0037494A">
      <w:pPr>
        <w:spacing w:line="360" w:lineRule="auto"/>
        <w:ind w:firstLine="1440"/>
        <w:rPr>
          <w:sz w:val="26"/>
          <w:szCs w:val="26"/>
        </w:rPr>
      </w:pPr>
      <w:r w:rsidRPr="0092605A">
        <w:rPr>
          <w:b/>
          <w:sz w:val="26"/>
          <w:szCs w:val="26"/>
        </w:rPr>
        <w:t>Second Five Years Generation Costs</w:t>
      </w:r>
      <w:r w:rsidRPr="0092605A">
        <w:rPr>
          <w:sz w:val="26"/>
          <w:szCs w:val="26"/>
        </w:rPr>
        <w:t>:  For the second five-year period, the proposal specified that we would use the NYMEX natural gas futures price.  The natural gas futures price would be converted into an estimated wholesale energy price through the use of a spark price spread</w:t>
      </w:r>
      <w:r w:rsidRPr="0092605A">
        <w:rPr>
          <w:rStyle w:val="FootnoteReference"/>
          <w:sz w:val="26"/>
          <w:szCs w:val="26"/>
        </w:rPr>
        <w:footnoteReference w:id="15"/>
      </w:r>
      <w:r w:rsidRPr="0092605A">
        <w:rPr>
          <w:sz w:val="26"/>
          <w:szCs w:val="26"/>
        </w:rPr>
        <w:t xml:space="preserve"> calculation.  </w:t>
      </w:r>
    </w:p>
    <w:p w:rsidR="00B95716" w:rsidRPr="0092605A" w:rsidRDefault="00B95716" w:rsidP="0037494A">
      <w:pPr>
        <w:spacing w:line="360" w:lineRule="auto"/>
        <w:ind w:firstLine="1440"/>
        <w:rPr>
          <w:sz w:val="26"/>
          <w:szCs w:val="26"/>
        </w:rPr>
      </w:pPr>
    </w:p>
    <w:p w:rsidR="00B95716" w:rsidRPr="004A3C5F" w:rsidRDefault="00B95716" w:rsidP="0037494A">
      <w:pPr>
        <w:spacing w:line="360" w:lineRule="auto"/>
        <w:ind w:firstLine="720"/>
        <w:rPr>
          <w:sz w:val="26"/>
          <w:szCs w:val="26"/>
        </w:rPr>
      </w:pPr>
      <w:r w:rsidRPr="0092605A">
        <w:rPr>
          <w:sz w:val="26"/>
          <w:szCs w:val="26"/>
        </w:rPr>
        <w:t>With regard to the second five-year segment, OCA (at 3) asserted that this methodology would introduce a level of complexity and uncertainty that may not be</w:t>
      </w:r>
      <w:r w:rsidRPr="004A3C5F">
        <w:rPr>
          <w:sz w:val="26"/>
          <w:szCs w:val="26"/>
        </w:rPr>
        <w:t xml:space="preserve"> needed for the purposes of TRC test calculations.  OCA (at 3) and PPL (at 3) noted the EIA</w:t>
      </w:r>
      <w:r w:rsidRPr="004A3C5F">
        <w:rPr>
          <w:rStyle w:val="FootnoteReference"/>
          <w:b/>
          <w:sz w:val="26"/>
          <w:szCs w:val="26"/>
        </w:rPr>
        <w:footnoteReference w:id="16"/>
      </w:r>
      <w:r w:rsidRPr="004A3C5F">
        <w:rPr>
          <w:sz w:val="26"/>
          <w:szCs w:val="26"/>
        </w:rPr>
        <w:t xml:space="preserve"> AEO</w:t>
      </w:r>
      <w:r w:rsidRPr="004A3C5F">
        <w:rPr>
          <w:rStyle w:val="FootnoteReference"/>
          <w:sz w:val="26"/>
          <w:szCs w:val="26"/>
        </w:rPr>
        <w:footnoteReference w:id="17"/>
      </w:r>
      <w:r w:rsidRPr="004A3C5F">
        <w:rPr>
          <w:sz w:val="26"/>
          <w:szCs w:val="26"/>
        </w:rPr>
        <w:t xml:space="preserve"> could be used in the TRC test for the second five years.  Allegheny (at 3) recommended not using the spark price spread and asked for a clarification on the marginal heat rate to be used in the spark price spread calculations.  PECO (at 2) would incorporate a market-implied heat rate. </w:t>
      </w:r>
    </w:p>
    <w:p w:rsidR="00B95716" w:rsidRPr="004A3C5F" w:rsidRDefault="00B95716" w:rsidP="0037494A">
      <w:pPr>
        <w:spacing w:line="360" w:lineRule="auto"/>
        <w:ind w:firstLine="720"/>
        <w:rPr>
          <w:sz w:val="26"/>
          <w:szCs w:val="26"/>
        </w:rPr>
      </w:pPr>
    </w:p>
    <w:p w:rsidR="00017AB2" w:rsidRDefault="00B95716" w:rsidP="0037494A">
      <w:pPr>
        <w:spacing w:line="360" w:lineRule="auto"/>
        <w:ind w:firstLine="720"/>
        <w:rPr>
          <w:sz w:val="26"/>
          <w:szCs w:val="26"/>
        </w:rPr>
      </w:pPr>
      <w:r w:rsidRPr="004A3C5F">
        <w:rPr>
          <w:sz w:val="26"/>
          <w:szCs w:val="26"/>
        </w:rPr>
        <w:t>Upon review of the comments, we shall retain use of the NYMEX natural gas futures price</w:t>
      </w:r>
      <w:r w:rsidR="000D7927">
        <w:rPr>
          <w:rStyle w:val="FootnoteReference"/>
          <w:sz w:val="26"/>
          <w:szCs w:val="26"/>
        </w:rPr>
        <w:footnoteReference w:id="18"/>
      </w:r>
      <w:r w:rsidRPr="004A3C5F">
        <w:rPr>
          <w:sz w:val="26"/>
          <w:szCs w:val="26"/>
        </w:rPr>
        <w:t xml:space="preserve"> but will adopt a timeline similar to the one we used for the first five years.  That is, we shall use the NYMEX prompt month, two months prior to the filing date.  As a rule, this date is about one day prior to the electric close.  </w:t>
      </w:r>
    </w:p>
    <w:p w:rsidR="00017AB2" w:rsidRDefault="00017AB2" w:rsidP="0037494A">
      <w:pPr>
        <w:spacing w:line="360" w:lineRule="auto"/>
        <w:ind w:firstLine="720"/>
        <w:rPr>
          <w:sz w:val="26"/>
          <w:szCs w:val="26"/>
        </w:rPr>
      </w:pPr>
    </w:p>
    <w:p w:rsidR="00B95716" w:rsidRPr="004A3C5F" w:rsidRDefault="00B95716" w:rsidP="0037494A">
      <w:pPr>
        <w:spacing w:line="360" w:lineRule="auto"/>
        <w:ind w:firstLine="720"/>
        <w:rPr>
          <w:sz w:val="26"/>
          <w:szCs w:val="26"/>
        </w:rPr>
      </w:pPr>
      <w:r w:rsidRPr="004A3C5F">
        <w:rPr>
          <w:sz w:val="26"/>
          <w:szCs w:val="26"/>
        </w:rPr>
        <w:lastRenderedPageBreak/>
        <w:t>With respect to the NYMEX natural gas issue</w:t>
      </w:r>
      <w:r w:rsidR="002C7F48">
        <w:rPr>
          <w:sz w:val="26"/>
          <w:szCs w:val="26"/>
        </w:rPr>
        <w:t>,</w:t>
      </w:r>
      <w:r w:rsidRPr="004A3C5F">
        <w:rPr>
          <w:rStyle w:val="FootnoteReference"/>
          <w:sz w:val="26"/>
          <w:szCs w:val="26"/>
        </w:rPr>
        <w:footnoteReference w:id="19"/>
      </w:r>
      <w:r w:rsidRPr="004A3C5F">
        <w:rPr>
          <w:sz w:val="26"/>
          <w:szCs w:val="26"/>
        </w:rPr>
        <w:t xml:space="preserve"> we shall adopt the heat rate used in the EIA AEO for 2009.</w:t>
      </w:r>
      <w:r w:rsidRPr="004A3C5F">
        <w:rPr>
          <w:rStyle w:val="FootnoteReference"/>
          <w:sz w:val="26"/>
          <w:szCs w:val="26"/>
        </w:rPr>
        <w:footnoteReference w:id="20"/>
      </w:r>
      <w:r w:rsidRPr="004A3C5F">
        <w:rPr>
          <w:sz w:val="26"/>
          <w:szCs w:val="26"/>
        </w:rPr>
        <w:t xml:space="preserve">  This </w:t>
      </w:r>
      <w:r w:rsidRPr="007A282D">
        <w:rPr>
          <w:sz w:val="26"/>
          <w:szCs w:val="26"/>
        </w:rPr>
        <w:t xml:space="preserve">will be adjusted annually, at the start of each new planning cycle, to reflect the updated EIA AEO assumptions.  </w:t>
      </w:r>
      <w:r w:rsidR="00D362EA" w:rsidRPr="007A282D">
        <w:rPr>
          <w:sz w:val="26"/>
          <w:szCs w:val="26"/>
        </w:rPr>
        <w:t>W</w:t>
      </w:r>
      <w:r w:rsidR="000F5EC0" w:rsidRPr="007A282D">
        <w:rPr>
          <w:sz w:val="26"/>
          <w:szCs w:val="26"/>
        </w:rPr>
        <w:t xml:space="preserve">e shall </w:t>
      </w:r>
      <w:r w:rsidR="00D362EA" w:rsidRPr="007A282D">
        <w:rPr>
          <w:sz w:val="26"/>
          <w:szCs w:val="26"/>
        </w:rPr>
        <w:t xml:space="preserve">also </w:t>
      </w:r>
      <w:r w:rsidR="000F5EC0" w:rsidRPr="007A282D">
        <w:rPr>
          <w:sz w:val="26"/>
          <w:szCs w:val="26"/>
        </w:rPr>
        <w:t xml:space="preserve">adopt </w:t>
      </w:r>
      <w:r w:rsidR="000F5EC0" w:rsidRPr="007A282D">
        <w:rPr>
          <w:color w:val="0D0D0D" w:themeColor="text1" w:themeTint="F2"/>
          <w:sz w:val="26"/>
          <w:szCs w:val="26"/>
        </w:rPr>
        <w:t>LBNL’s suggestion to</w:t>
      </w:r>
      <w:r w:rsidR="00D362EA" w:rsidRPr="007A282D">
        <w:rPr>
          <w:color w:val="0D0D0D" w:themeColor="text1" w:themeTint="F2"/>
          <w:sz w:val="26"/>
          <w:szCs w:val="26"/>
        </w:rPr>
        <w:t xml:space="preserve"> specify the </w:t>
      </w:r>
      <w:r w:rsidR="00C11D48" w:rsidRPr="007A282D">
        <w:rPr>
          <w:color w:val="0D0D0D" w:themeColor="text1" w:themeTint="F2"/>
          <w:sz w:val="26"/>
          <w:szCs w:val="26"/>
        </w:rPr>
        <w:t>Mid</w:t>
      </w:r>
      <w:r w:rsidR="00C11D48" w:rsidRPr="007A282D">
        <w:rPr>
          <w:color w:val="0D0D0D" w:themeColor="text1" w:themeTint="F2"/>
          <w:sz w:val="26"/>
          <w:szCs w:val="26"/>
        </w:rPr>
        <w:noBreakHyphen/>
      </w:r>
      <w:r w:rsidR="000F5EC0" w:rsidRPr="007A282D">
        <w:rPr>
          <w:color w:val="0D0D0D" w:themeColor="text1" w:themeTint="F2"/>
          <w:sz w:val="26"/>
          <w:szCs w:val="26"/>
        </w:rPr>
        <w:t>Atlantic</w:t>
      </w:r>
      <w:r w:rsidR="00D362EA" w:rsidRPr="007A282D">
        <w:rPr>
          <w:color w:val="0D0D0D" w:themeColor="text1" w:themeTint="F2"/>
          <w:sz w:val="26"/>
          <w:szCs w:val="26"/>
        </w:rPr>
        <w:t xml:space="preserve"> zone as the measure</w:t>
      </w:r>
      <w:r w:rsidR="000F5EC0" w:rsidRPr="007A282D">
        <w:rPr>
          <w:color w:val="0D0D0D" w:themeColor="text1" w:themeTint="F2"/>
          <w:sz w:val="26"/>
          <w:szCs w:val="26"/>
        </w:rPr>
        <w:t>,</w:t>
      </w:r>
      <w:r w:rsidR="000F5EC0" w:rsidRPr="007A282D">
        <w:rPr>
          <w:rStyle w:val="FootnoteReference"/>
          <w:color w:val="0D0D0D" w:themeColor="text1" w:themeTint="F2"/>
          <w:sz w:val="26"/>
          <w:szCs w:val="26"/>
        </w:rPr>
        <w:footnoteReference w:id="21"/>
      </w:r>
      <w:r w:rsidR="000F5EC0" w:rsidRPr="007A282D">
        <w:rPr>
          <w:color w:val="0D0D0D" w:themeColor="text1" w:themeTint="F2"/>
          <w:sz w:val="26"/>
          <w:szCs w:val="26"/>
        </w:rPr>
        <w:t xml:space="preserve"> which will be converted to cents/kWh by using 3413</w:t>
      </w:r>
      <w:r w:rsidR="00D362EA" w:rsidRPr="007A282D">
        <w:rPr>
          <w:color w:val="0D0D0D" w:themeColor="text1" w:themeTint="F2"/>
          <w:sz w:val="26"/>
          <w:szCs w:val="26"/>
        </w:rPr>
        <w:t> </w:t>
      </w:r>
      <w:r w:rsidR="000F5EC0" w:rsidRPr="007A282D">
        <w:rPr>
          <w:color w:val="0D0D0D"/>
          <w:sz w:val="26"/>
          <w:szCs w:val="26"/>
        </w:rPr>
        <w:t>BTUs/kWh.</w:t>
      </w:r>
      <w:r w:rsidR="00D362EA" w:rsidRPr="007A282D">
        <w:rPr>
          <w:color w:val="0D0D0D"/>
          <w:sz w:val="26"/>
          <w:szCs w:val="26"/>
        </w:rPr>
        <w:t xml:space="preserve">  </w:t>
      </w:r>
      <w:r w:rsidRPr="007A282D">
        <w:rPr>
          <w:sz w:val="26"/>
          <w:szCs w:val="26"/>
        </w:rPr>
        <w:t xml:space="preserve">We shall reject the use of the EIA AEO electric price data for years </w:t>
      </w:r>
      <w:r w:rsidR="002C7F48" w:rsidRPr="007A282D">
        <w:rPr>
          <w:sz w:val="26"/>
          <w:szCs w:val="26"/>
        </w:rPr>
        <w:t>five</w:t>
      </w:r>
      <w:r w:rsidRPr="007A282D">
        <w:rPr>
          <w:sz w:val="26"/>
          <w:szCs w:val="26"/>
        </w:rPr>
        <w:t xml:space="preserve"> through </w:t>
      </w:r>
      <w:r w:rsidR="002C7F48" w:rsidRPr="007A282D">
        <w:rPr>
          <w:sz w:val="26"/>
          <w:szCs w:val="26"/>
        </w:rPr>
        <w:t>ten</w:t>
      </w:r>
      <w:r w:rsidRPr="007A282D">
        <w:rPr>
          <w:sz w:val="26"/>
          <w:szCs w:val="26"/>
        </w:rPr>
        <w:t xml:space="preserve"> for two reasons:</w:t>
      </w:r>
      <w:r w:rsidRPr="004A3C5F">
        <w:rPr>
          <w:sz w:val="26"/>
          <w:szCs w:val="26"/>
        </w:rPr>
        <w:t xml:space="preserve">  The AEO data do not reflect the competitive energy market as fully as the NYMEX does, and historically the AEO electric price estimates have been shown to be more than 19% too high over time.</w:t>
      </w:r>
      <w:r w:rsidRPr="004A3C5F">
        <w:rPr>
          <w:rStyle w:val="FootnoteReference"/>
          <w:sz w:val="26"/>
          <w:szCs w:val="26"/>
        </w:rPr>
        <w:footnoteReference w:id="22"/>
      </w:r>
    </w:p>
    <w:p w:rsidR="00B95716" w:rsidRPr="004A3C5F" w:rsidRDefault="00B95716" w:rsidP="0037494A">
      <w:pPr>
        <w:spacing w:line="360" w:lineRule="auto"/>
        <w:rPr>
          <w:sz w:val="26"/>
          <w:szCs w:val="26"/>
        </w:rPr>
      </w:pPr>
    </w:p>
    <w:p w:rsidR="00B95716" w:rsidRPr="004A3C5F" w:rsidRDefault="00B95716" w:rsidP="0037494A">
      <w:pPr>
        <w:pStyle w:val="Heading4"/>
        <w:keepNext w:val="0"/>
        <w:spacing w:before="0" w:after="0" w:line="360" w:lineRule="auto"/>
        <w:ind w:firstLine="1440"/>
        <w:rPr>
          <w:rFonts w:ascii="Times New Roman" w:hAnsi="Times New Roman"/>
          <w:b w:val="0"/>
          <w:sz w:val="26"/>
          <w:szCs w:val="26"/>
        </w:rPr>
      </w:pPr>
      <w:r w:rsidRPr="004A3C5F">
        <w:rPr>
          <w:rFonts w:ascii="Times New Roman" w:hAnsi="Times New Roman"/>
          <w:sz w:val="26"/>
          <w:szCs w:val="26"/>
        </w:rPr>
        <w:t>Third Five Years Generation Costs:</w:t>
      </w:r>
      <w:r w:rsidRPr="004A3C5F">
        <w:rPr>
          <w:rFonts w:ascii="Times New Roman" w:hAnsi="Times New Roman"/>
          <w:b w:val="0"/>
          <w:sz w:val="26"/>
          <w:szCs w:val="26"/>
        </w:rPr>
        <w:t xml:space="preserve">  As proposed, the third five-year period would use the EIA AEO.  OCA (at 3) and PPL (at 3) supported use of the EIA AEO for the third five years.  We shall use the EIA AEO for the third five-year period.</w:t>
      </w:r>
    </w:p>
    <w:p w:rsidR="00B95716" w:rsidRPr="004A3C5F" w:rsidRDefault="00B95716" w:rsidP="0037494A">
      <w:pPr>
        <w:spacing w:line="360" w:lineRule="auto"/>
        <w:rPr>
          <w:sz w:val="26"/>
          <w:szCs w:val="26"/>
        </w:rPr>
      </w:pPr>
    </w:p>
    <w:p w:rsidR="00B95716" w:rsidRPr="004A3C5F" w:rsidRDefault="00B95716" w:rsidP="0037494A">
      <w:pPr>
        <w:pStyle w:val="Heading4"/>
        <w:keepNext w:val="0"/>
        <w:spacing w:before="0" w:after="0" w:line="360" w:lineRule="auto"/>
        <w:ind w:firstLine="720"/>
        <w:rPr>
          <w:rFonts w:ascii="Times New Roman" w:hAnsi="Times New Roman"/>
          <w:b w:val="0"/>
          <w:sz w:val="26"/>
          <w:szCs w:val="26"/>
        </w:rPr>
      </w:pPr>
      <w:r w:rsidRPr="004A3C5F">
        <w:rPr>
          <w:rFonts w:ascii="Times New Roman" w:hAnsi="Times New Roman"/>
          <w:sz w:val="26"/>
          <w:szCs w:val="26"/>
        </w:rPr>
        <w:tab/>
        <w:t>Transmission, Distribution, and Capacity Costs</w:t>
      </w:r>
      <w:r w:rsidRPr="004A3C5F">
        <w:rPr>
          <w:rFonts w:ascii="Times New Roman" w:hAnsi="Times New Roman"/>
          <w:b w:val="0"/>
          <w:sz w:val="26"/>
          <w:szCs w:val="26"/>
        </w:rPr>
        <w:t>:  The proposal provided that transmission prices, as set by FERC, to the EDC zone will be included; as will EDC distribution rates.  We proposed including an estimated price for the PJM RTO’s RPM</w:t>
      </w:r>
      <w:r w:rsidRPr="004A3C5F">
        <w:rPr>
          <w:rStyle w:val="FootnoteReference"/>
          <w:rFonts w:ascii="Times New Roman" w:hAnsi="Times New Roman"/>
          <w:b w:val="0"/>
          <w:sz w:val="26"/>
          <w:szCs w:val="26"/>
        </w:rPr>
        <w:footnoteReference w:id="23"/>
      </w:r>
      <w:r w:rsidRPr="004A3C5F">
        <w:rPr>
          <w:rFonts w:ascii="Times New Roman" w:hAnsi="Times New Roman"/>
          <w:b w:val="0"/>
          <w:sz w:val="26"/>
          <w:szCs w:val="26"/>
        </w:rPr>
        <w:t xml:space="preserve"> capacity price, broken down into a cents/kWh value.  Generally accepted ancillary service rates would be included to the extent known. </w:t>
      </w:r>
    </w:p>
    <w:p w:rsidR="00B95716" w:rsidRPr="004A3C5F" w:rsidRDefault="00B95716" w:rsidP="0037494A">
      <w:pPr>
        <w:spacing w:line="360" w:lineRule="auto"/>
        <w:ind w:firstLine="720"/>
        <w:rPr>
          <w:sz w:val="26"/>
          <w:szCs w:val="26"/>
        </w:rPr>
      </w:pPr>
    </w:p>
    <w:p w:rsidR="00B95716" w:rsidRPr="004A3C5F" w:rsidRDefault="00B95716" w:rsidP="0037494A">
      <w:pPr>
        <w:pStyle w:val="Heading4"/>
        <w:keepNext w:val="0"/>
        <w:spacing w:before="0" w:after="0" w:line="360" w:lineRule="auto"/>
        <w:ind w:firstLine="720"/>
        <w:rPr>
          <w:rFonts w:ascii="Times New Roman" w:hAnsi="Times New Roman"/>
          <w:b w:val="0"/>
          <w:sz w:val="26"/>
          <w:szCs w:val="26"/>
        </w:rPr>
      </w:pPr>
      <w:r w:rsidRPr="004A3C5F">
        <w:rPr>
          <w:rFonts w:ascii="Times New Roman" w:hAnsi="Times New Roman"/>
          <w:b w:val="0"/>
          <w:sz w:val="26"/>
          <w:szCs w:val="26"/>
        </w:rPr>
        <w:t xml:space="preserve">Allegheny (at 4) requested direction on the RPM prices after the last available PJM auction date.  PECO (at 4) would use an escalation factor to develop future capacity cost prices.  PPL (at 5) would have us escalate RPM capacity costs at an appropriate rate </w:t>
      </w:r>
      <w:r w:rsidRPr="004A3C5F">
        <w:rPr>
          <w:rFonts w:ascii="Times New Roman" w:hAnsi="Times New Roman"/>
          <w:b w:val="0"/>
          <w:sz w:val="26"/>
          <w:szCs w:val="26"/>
        </w:rPr>
        <w:lastRenderedPageBreak/>
        <w:t xml:space="preserve">and suggested that we not include an adjustment of auction determined rates.  LBNL (at 4) supported using a marginal T&amp;D system cost.  </w:t>
      </w:r>
    </w:p>
    <w:p w:rsidR="00B95716" w:rsidRPr="004A3C5F" w:rsidRDefault="00B95716" w:rsidP="0037494A">
      <w:pPr>
        <w:spacing w:line="360" w:lineRule="auto"/>
        <w:ind w:firstLine="720"/>
        <w:rPr>
          <w:sz w:val="26"/>
          <w:szCs w:val="26"/>
        </w:rPr>
      </w:pPr>
    </w:p>
    <w:p w:rsidR="00B95716" w:rsidRPr="004A3C5F" w:rsidRDefault="00B95716" w:rsidP="0037494A">
      <w:pPr>
        <w:pStyle w:val="Heading4"/>
        <w:keepNext w:val="0"/>
        <w:spacing w:before="0" w:after="0" w:line="360" w:lineRule="auto"/>
        <w:ind w:firstLine="720"/>
        <w:rPr>
          <w:rFonts w:ascii="Times New Roman" w:hAnsi="Times New Roman"/>
          <w:b w:val="0"/>
          <w:sz w:val="26"/>
          <w:szCs w:val="26"/>
        </w:rPr>
      </w:pPr>
      <w:r w:rsidRPr="004A3C5F">
        <w:rPr>
          <w:rFonts w:ascii="Times New Roman" w:hAnsi="Times New Roman"/>
          <w:b w:val="0"/>
          <w:sz w:val="26"/>
          <w:szCs w:val="26"/>
        </w:rPr>
        <w:t xml:space="preserve">Consistent with the proposal, transmission prices, as set by FERC, to the EDC zone will be included as will EDC distribution rates.  Generally accepted ancillary service rates will be included to the extent known.  For estimates of PJM RPM between the end of the 2013 planning year and the beginning of the use of the EIA AEO data in year 11, we will escalate the RPM at the U.S. Bureau of Labor and Statistics (BLS), the Electric Power GTD sector, industry index for Electric Power </w:t>
      </w:r>
      <w:r w:rsidRPr="004A3C5F">
        <w:rPr>
          <w:rFonts w:ascii="Times New Roman" w:hAnsi="Times New Roman"/>
          <w:b w:val="0"/>
          <w:color w:val="0D0D0D"/>
          <w:sz w:val="26"/>
          <w:szCs w:val="26"/>
        </w:rPr>
        <w:t xml:space="preserve">Generation, </w:t>
      </w:r>
      <w:hyperlink r:id="rId8" w:history="1">
        <w:r w:rsidRPr="004A3C5F">
          <w:rPr>
            <w:rFonts w:ascii="Times New Roman" w:hAnsi="Times New Roman"/>
            <w:b w:val="0"/>
            <w:color w:val="0D0D0D"/>
            <w:sz w:val="26"/>
            <w:szCs w:val="26"/>
            <w:u w:val="single"/>
          </w:rPr>
          <w:t>NAICS 221110</w:t>
        </w:r>
      </w:hyperlink>
      <w:r w:rsidRPr="004A3C5F">
        <w:rPr>
          <w:rFonts w:ascii="Times New Roman" w:hAnsi="Times New Roman"/>
          <w:b w:val="0"/>
          <w:bCs w:val="0"/>
          <w:color w:val="0D0D0D"/>
          <w:sz w:val="26"/>
          <w:szCs w:val="26"/>
        </w:rPr>
        <w:t>.</w:t>
      </w:r>
      <w:r w:rsidRPr="004A3C5F">
        <w:rPr>
          <w:rStyle w:val="FootnoteReference"/>
          <w:rFonts w:ascii="Times New Roman" w:hAnsi="Times New Roman"/>
          <w:b w:val="0"/>
          <w:bCs w:val="0"/>
          <w:color w:val="0D0D0D"/>
          <w:sz w:val="26"/>
          <w:szCs w:val="26"/>
        </w:rPr>
        <w:footnoteReference w:id="24"/>
      </w:r>
      <w:r w:rsidRPr="004A3C5F">
        <w:rPr>
          <w:rFonts w:ascii="Times New Roman" w:hAnsi="Times New Roman"/>
          <w:b w:val="0"/>
          <w:bCs w:val="0"/>
          <w:color w:val="0D0D0D"/>
          <w:sz w:val="26"/>
          <w:szCs w:val="26"/>
        </w:rPr>
        <w:t xml:space="preserve">  </w:t>
      </w:r>
      <w:r w:rsidRPr="004A3C5F">
        <w:rPr>
          <w:rFonts w:ascii="Times New Roman" w:hAnsi="Times New Roman"/>
          <w:b w:val="0"/>
          <w:color w:val="0D0D0D"/>
          <w:sz w:val="26"/>
          <w:szCs w:val="26"/>
        </w:rPr>
        <w:t>We</w:t>
      </w:r>
      <w:r w:rsidRPr="004A3C5F">
        <w:rPr>
          <w:rFonts w:ascii="Times New Roman" w:hAnsi="Times New Roman"/>
          <w:b w:val="0"/>
          <w:sz w:val="26"/>
          <w:szCs w:val="26"/>
        </w:rPr>
        <w:t xml:space="preserve"> will also escalate T&amp;D and ancillaries prices at the BLS factor to develop future price estimates.  We do, however, reject the use of marginal T&amp;D costs at this time.  We feel that introducing marginal costs for T&amp;D, although hypothetically more economically accurate, would increase the complexity without adding any assurance of greater accuracy.  </w:t>
      </w:r>
    </w:p>
    <w:p w:rsidR="00B95716" w:rsidRDefault="00B95716" w:rsidP="0037494A">
      <w:pPr>
        <w:spacing w:line="360" w:lineRule="auto"/>
        <w:ind w:firstLine="720"/>
        <w:rPr>
          <w:sz w:val="26"/>
          <w:szCs w:val="26"/>
        </w:rPr>
      </w:pPr>
    </w:p>
    <w:p w:rsidR="004F1151" w:rsidRPr="004A3C5F" w:rsidRDefault="004F1151" w:rsidP="004F1151">
      <w:pPr>
        <w:pStyle w:val="Heading4"/>
        <w:keepNext w:val="0"/>
        <w:spacing w:before="0" w:after="0" w:line="360" w:lineRule="auto"/>
        <w:ind w:firstLine="720"/>
        <w:rPr>
          <w:rFonts w:ascii="Times New Roman" w:hAnsi="Times New Roman"/>
          <w:b w:val="0"/>
          <w:sz w:val="26"/>
          <w:szCs w:val="26"/>
        </w:rPr>
      </w:pPr>
      <w:r w:rsidRPr="004A3C5F">
        <w:rPr>
          <w:rFonts w:ascii="Times New Roman" w:hAnsi="Times New Roman"/>
          <w:sz w:val="26"/>
          <w:szCs w:val="26"/>
        </w:rPr>
        <w:t>Transmission, Distribution, and Capacity Costs</w:t>
      </w:r>
      <w:r w:rsidRPr="004A3C5F">
        <w:rPr>
          <w:rFonts w:ascii="Times New Roman" w:hAnsi="Times New Roman"/>
          <w:b w:val="0"/>
          <w:sz w:val="26"/>
          <w:szCs w:val="26"/>
        </w:rPr>
        <w:t>:  The proposal provided that transmission prices, as set by FERC, to the EDC zone will be included; as will EDC distribution rates.  We proposed including an estimated price for the PJM RTO’s RPM</w:t>
      </w:r>
      <w:r w:rsidRPr="004A3C5F">
        <w:rPr>
          <w:rStyle w:val="FootnoteReference"/>
          <w:rFonts w:ascii="Times New Roman" w:hAnsi="Times New Roman"/>
          <w:b w:val="0"/>
          <w:sz w:val="26"/>
          <w:szCs w:val="26"/>
        </w:rPr>
        <w:footnoteReference w:id="25"/>
      </w:r>
      <w:r w:rsidRPr="004A3C5F">
        <w:rPr>
          <w:rFonts w:ascii="Times New Roman" w:hAnsi="Times New Roman"/>
          <w:b w:val="0"/>
          <w:sz w:val="26"/>
          <w:szCs w:val="26"/>
        </w:rPr>
        <w:t xml:space="preserve"> capacity price, broken down into a cents/kWh value.  Generally accepted ancillary service rates would be included to the extent known. </w:t>
      </w:r>
    </w:p>
    <w:p w:rsidR="004F1151" w:rsidRPr="004A3C5F" w:rsidRDefault="004F1151" w:rsidP="004F1151">
      <w:pPr>
        <w:spacing w:line="360" w:lineRule="auto"/>
        <w:ind w:firstLine="720"/>
        <w:rPr>
          <w:sz w:val="26"/>
          <w:szCs w:val="26"/>
        </w:rPr>
      </w:pPr>
    </w:p>
    <w:p w:rsidR="004F1151" w:rsidRPr="004A3C5F" w:rsidRDefault="004F1151" w:rsidP="004F1151">
      <w:pPr>
        <w:pStyle w:val="Heading4"/>
        <w:keepNext w:val="0"/>
        <w:spacing w:before="0" w:after="0" w:line="360" w:lineRule="auto"/>
        <w:ind w:firstLine="720"/>
        <w:rPr>
          <w:rFonts w:ascii="Times New Roman" w:hAnsi="Times New Roman"/>
          <w:b w:val="0"/>
          <w:sz w:val="26"/>
          <w:szCs w:val="26"/>
        </w:rPr>
      </w:pPr>
      <w:r w:rsidRPr="004A3C5F">
        <w:rPr>
          <w:rFonts w:ascii="Times New Roman" w:hAnsi="Times New Roman"/>
          <w:b w:val="0"/>
          <w:sz w:val="26"/>
          <w:szCs w:val="26"/>
        </w:rPr>
        <w:t xml:space="preserve">Allegheny (at 4) requested direction on the RPM prices after the last available PJM auction date.  PECO (at 4) would use an escalation factor to develop future capacity cost prices.  PPL (at 5) would have us escalate RPM capacity costs at an appropriate rate </w:t>
      </w:r>
      <w:r w:rsidRPr="004A3C5F">
        <w:rPr>
          <w:rFonts w:ascii="Times New Roman" w:hAnsi="Times New Roman"/>
          <w:b w:val="0"/>
          <w:sz w:val="26"/>
          <w:szCs w:val="26"/>
        </w:rPr>
        <w:lastRenderedPageBreak/>
        <w:t xml:space="preserve">and suggested that we not include an adjustment of auction determined rates.  LBNL (at 4) supported using a marginal T&amp;D system cost.  </w:t>
      </w:r>
    </w:p>
    <w:p w:rsidR="004F1151" w:rsidRPr="004A3C5F" w:rsidRDefault="004F1151" w:rsidP="004F1151">
      <w:pPr>
        <w:spacing w:line="360" w:lineRule="auto"/>
        <w:ind w:firstLine="720"/>
        <w:rPr>
          <w:sz w:val="26"/>
          <w:szCs w:val="26"/>
        </w:rPr>
      </w:pPr>
    </w:p>
    <w:p w:rsidR="004F1151" w:rsidRDefault="004F1151" w:rsidP="004F1151">
      <w:pPr>
        <w:pStyle w:val="Heading4"/>
        <w:keepNext w:val="0"/>
        <w:spacing w:before="0" w:after="0" w:line="360" w:lineRule="auto"/>
        <w:ind w:firstLine="720"/>
        <w:rPr>
          <w:rFonts w:ascii="Times New Roman" w:hAnsi="Times New Roman"/>
          <w:b w:val="0"/>
          <w:sz w:val="26"/>
          <w:szCs w:val="26"/>
        </w:rPr>
      </w:pPr>
      <w:r w:rsidRPr="004A3C5F">
        <w:rPr>
          <w:rFonts w:ascii="Times New Roman" w:hAnsi="Times New Roman"/>
          <w:b w:val="0"/>
          <w:sz w:val="26"/>
          <w:szCs w:val="26"/>
        </w:rPr>
        <w:t xml:space="preserve">Consistent with the proposal, transmission prices, as set by FERC, to the EDC zone will be included as will EDC distribution rates.  Generally accepted ancillary service rates will be included to the extent known.  For estimates of PJM RPM between the end of the 2013 planning year and the beginning of the use of the EIA AEO data in year 11, we will escalate the RPM at the U.S. Bureau of Labor and Statistics (BLS), the Electric Power GTD sector, industry index for Electric Power </w:t>
      </w:r>
      <w:r w:rsidRPr="004A3C5F">
        <w:rPr>
          <w:rFonts w:ascii="Times New Roman" w:hAnsi="Times New Roman"/>
          <w:b w:val="0"/>
          <w:color w:val="0D0D0D"/>
          <w:sz w:val="26"/>
          <w:szCs w:val="26"/>
        </w:rPr>
        <w:t xml:space="preserve">Generation, </w:t>
      </w:r>
      <w:hyperlink r:id="rId9" w:history="1">
        <w:r w:rsidRPr="004A3C5F">
          <w:rPr>
            <w:rFonts w:ascii="Times New Roman" w:hAnsi="Times New Roman"/>
            <w:b w:val="0"/>
            <w:color w:val="0D0D0D"/>
            <w:sz w:val="26"/>
            <w:szCs w:val="26"/>
            <w:u w:val="single"/>
          </w:rPr>
          <w:t>NAICS 221110</w:t>
        </w:r>
      </w:hyperlink>
      <w:r w:rsidRPr="004A3C5F">
        <w:rPr>
          <w:rFonts w:ascii="Times New Roman" w:hAnsi="Times New Roman"/>
          <w:b w:val="0"/>
          <w:bCs w:val="0"/>
          <w:color w:val="0D0D0D"/>
          <w:sz w:val="26"/>
          <w:szCs w:val="26"/>
        </w:rPr>
        <w:t>.</w:t>
      </w:r>
      <w:r w:rsidRPr="004A3C5F">
        <w:rPr>
          <w:rStyle w:val="FootnoteReference"/>
          <w:rFonts w:ascii="Times New Roman" w:hAnsi="Times New Roman"/>
          <w:b w:val="0"/>
          <w:bCs w:val="0"/>
          <w:color w:val="0D0D0D"/>
          <w:sz w:val="26"/>
          <w:szCs w:val="26"/>
        </w:rPr>
        <w:footnoteReference w:id="26"/>
      </w:r>
      <w:r w:rsidRPr="004A3C5F">
        <w:rPr>
          <w:rFonts w:ascii="Times New Roman" w:hAnsi="Times New Roman"/>
          <w:b w:val="0"/>
          <w:bCs w:val="0"/>
          <w:color w:val="0D0D0D"/>
          <w:sz w:val="26"/>
          <w:szCs w:val="26"/>
        </w:rPr>
        <w:t xml:space="preserve">  </w:t>
      </w:r>
      <w:r w:rsidRPr="004A3C5F">
        <w:rPr>
          <w:rFonts w:ascii="Times New Roman" w:hAnsi="Times New Roman"/>
          <w:b w:val="0"/>
          <w:color w:val="0D0D0D"/>
          <w:sz w:val="26"/>
          <w:szCs w:val="26"/>
        </w:rPr>
        <w:t>We</w:t>
      </w:r>
      <w:r w:rsidRPr="004A3C5F">
        <w:rPr>
          <w:rFonts w:ascii="Times New Roman" w:hAnsi="Times New Roman"/>
          <w:b w:val="0"/>
          <w:sz w:val="26"/>
          <w:szCs w:val="26"/>
        </w:rPr>
        <w:t xml:space="preserve"> will also escalate T&amp;D and ancillaries prices at the BLS factor to develop future price estimates.  We do, however, reject the use of marginal T&amp;D costs at this time.  We feel that introducing marginal costs for T&amp;D, although hypothetically more economically accurate, would increase the complexity without adding any assurance of greater accuracy.  </w:t>
      </w:r>
    </w:p>
    <w:p w:rsidR="004F1151" w:rsidRDefault="004F1151" w:rsidP="004F1151">
      <w:pPr>
        <w:spacing w:line="360" w:lineRule="auto"/>
      </w:pPr>
    </w:p>
    <w:p w:rsidR="004F1151" w:rsidRPr="00B41163" w:rsidRDefault="004F1151" w:rsidP="004F1151">
      <w:pPr>
        <w:pStyle w:val="PlainText"/>
        <w:spacing w:line="360" w:lineRule="auto"/>
        <w:rPr>
          <w:rFonts w:ascii="Times New Roman" w:eastAsia="Times New Roman" w:hAnsi="Times New Roman" w:cs="Times New Roman"/>
          <w:bCs/>
          <w:sz w:val="26"/>
          <w:szCs w:val="26"/>
        </w:rPr>
      </w:pPr>
      <w:r w:rsidRPr="00E745E1">
        <w:rPr>
          <w:rFonts w:ascii="Times New Roman" w:eastAsia="Times New Roman" w:hAnsi="Times New Roman" w:cs="Times New Roman"/>
          <w:bCs/>
          <w:sz w:val="26"/>
          <w:szCs w:val="26"/>
        </w:rPr>
        <w:tab/>
      </w:r>
      <w:r w:rsidRPr="007A282D">
        <w:rPr>
          <w:rFonts w:ascii="Times New Roman" w:eastAsia="Times New Roman" w:hAnsi="Times New Roman" w:cs="Times New Roman"/>
          <w:bCs/>
          <w:sz w:val="26"/>
          <w:szCs w:val="26"/>
        </w:rPr>
        <w:t xml:space="preserve">We proposed </w:t>
      </w:r>
      <w:r w:rsidR="004F4ABC" w:rsidRPr="007A282D">
        <w:rPr>
          <w:rFonts w:ascii="Times New Roman" w:eastAsia="Times New Roman" w:hAnsi="Times New Roman" w:cs="Times New Roman"/>
          <w:bCs/>
          <w:sz w:val="26"/>
          <w:szCs w:val="26"/>
        </w:rPr>
        <w:t xml:space="preserve">to convert </w:t>
      </w:r>
      <w:r w:rsidRPr="007A282D">
        <w:rPr>
          <w:rFonts w:ascii="Times New Roman" w:eastAsia="Times New Roman" w:hAnsi="Times New Roman" w:cs="Times New Roman"/>
          <w:bCs/>
          <w:sz w:val="26"/>
          <w:szCs w:val="26"/>
        </w:rPr>
        <w:t>the PJM RTO’s RPM capacity price into a cents/kWh value.  Upon reflection, we realize that this should be stated as dollars/MW-day relative to on-peak energy savings, especially in the context of demand-side programs (peak day reduction programs</w:t>
      </w:r>
      <w:r w:rsidRPr="007A282D">
        <w:rPr>
          <w:rStyle w:val="FootnoteReference"/>
          <w:color w:val="0D0D0D"/>
        </w:rPr>
        <w:footnoteReference w:id="27"/>
      </w:r>
      <w:r w:rsidRPr="007A282D">
        <w:rPr>
          <w:rFonts w:ascii="Times New Roman" w:eastAsia="Times New Roman" w:hAnsi="Times New Roman" w:cs="Times New Roman"/>
          <w:bCs/>
          <w:sz w:val="26"/>
          <w:szCs w:val="26"/>
        </w:rPr>
        <w:t>).  This is consistent RPM pricing and recognizes that the assumptions in reaching a cents/kWh projection will be different from the assumptions inherent in formulating a dollars/MW-day projection.  A baseline dollars/MW-day projection can be translated to cents/</w:t>
      </w:r>
      <w:r w:rsidR="007A282D">
        <w:rPr>
          <w:rFonts w:ascii="Times New Roman" w:eastAsia="Times New Roman" w:hAnsi="Times New Roman" w:cs="Times New Roman"/>
          <w:bCs/>
          <w:sz w:val="26"/>
          <w:szCs w:val="26"/>
        </w:rPr>
        <w:t>M</w:t>
      </w:r>
      <w:r w:rsidRPr="007A282D">
        <w:rPr>
          <w:rFonts w:ascii="Times New Roman" w:eastAsia="Times New Roman" w:hAnsi="Times New Roman" w:cs="Times New Roman"/>
          <w:bCs/>
          <w:sz w:val="26"/>
          <w:szCs w:val="26"/>
        </w:rPr>
        <w:t xml:space="preserve">Wh for each project, if appropriate and useful, </w:t>
      </w:r>
      <w:r w:rsidRPr="007A282D">
        <w:rPr>
          <w:rFonts w:ascii="Times New Roman" w:eastAsia="Times New Roman" w:hAnsi="Times New Roman" w:cs="Times New Roman"/>
          <w:bCs/>
          <w:sz w:val="26"/>
          <w:szCs w:val="26"/>
        </w:rPr>
        <w:lastRenderedPageBreak/>
        <w:t>based on that project’s profile and load factor.  To start with cents/kWh,</w:t>
      </w:r>
      <w:r w:rsidRPr="007A282D">
        <w:rPr>
          <w:rStyle w:val="FootnoteReference"/>
          <w:rFonts w:ascii="Times New Roman" w:eastAsia="Times New Roman" w:hAnsi="Times New Roman" w:cs="Times New Roman"/>
          <w:bCs/>
          <w:sz w:val="26"/>
          <w:szCs w:val="26"/>
        </w:rPr>
        <w:footnoteReference w:id="28"/>
      </w:r>
      <w:r w:rsidRPr="007A282D">
        <w:rPr>
          <w:rFonts w:ascii="Times New Roman" w:eastAsia="Times New Roman" w:hAnsi="Times New Roman" w:cs="Times New Roman"/>
          <w:bCs/>
          <w:sz w:val="26"/>
          <w:szCs w:val="26"/>
        </w:rPr>
        <w:t xml:space="preserve"> one would need to make numerous assumptions; </w:t>
      </w:r>
      <w:r w:rsidRPr="007A282D">
        <w:rPr>
          <w:rFonts w:ascii="Times New Roman" w:eastAsia="Times New Roman" w:hAnsi="Times New Roman" w:cs="Times New Roman"/>
          <w:bCs/>
          <w:i/>
          <w:sz w:val="26"/>
          <w:szCs w:val="26"/>
        </w:rPr>
        <w:t>e.g.</w:t>
      </w:r>
      <w:r w:rsidRPr="007A282D">
        <w:rPr>
          <w:rFonts w:ascii="Times New Roman" w:eastAsia="Times New Roman" w:hAnsi="Times New Roman" w:cs="Times New Roman"/>
          <w:bCs/>
          <w:sz w:val="26"/>
          <w:szCs w:val="26"/>
        </w:rPr>
        <w:t>, capacity factors.  We believe that it will be more accurate, and easier, for the EDCs to use the appropriate factor for a particular class in their territory than it would be for the Commission to specify all of these parameters for each class, for each EDC.  Starting with the PJM dollars/MW-day will accomplish this.</w:t>
      </w:r>
    </w:p>
    <w:p w:rsidR="004F1151" w:rsidRPr="004A3C5F" w:rsidRDefault="004F1151" w:rsidP="0037494A">
      <w:pPr>
        <w:spacing w:line="360" w:lineRule="auto"/>
        <w:ind w:firstLine="720"/>
        <w:rPr>
          <w:sz w:val="26"/>
          <w:szCs w:val="26"/>
        </w:rPr>
      </w:pPr>
    </w:p>
    <w:p w:rsidR="00B95716" w:rsidRPr="004A3C5F" w:rsidRDefault="00B95716" w:rsidP="0037494A">
      <w:pPr>
        <w:overflowPunct/>
        <w:spacing w:line="360" w:lineRule="auto"/>
        <w:ind w:firstLine="1440"/>
        <w:textAlignment w:val="auto"/>
        <w:rPr>
          <w:sz w:val="26"/>
          <w:szCs w:val="26"/>
        </w:rPr>
      </w:pPr>
      <w:r w:rsidRPr="004A3C5F">
        <w:rPr>
          <w:b/>
          <w:sz w:val="26"/>
          <w:szCs w:val="26"/>
        </w:rPr>
        <w:t>Other Comments</w:t>
      </w:r>
      <w:r w:rsidRPr="004A3C5F">
        <w:rPr>
          <w:sz w:val="26"/>
          <w:szCs w:val="26"/>
        </w:rPr>
        <w:t xml:space="preserve">:  </w:t>
      </w:r>
      <w:r w:rsidR="00AC03D7">
        <w:rPr>
          <w:sz w:val="26"/>
          <w:szCs w:val="26"/>
        </w:rPr>
        <w:t>FirstEnergy</w:t>
      </w:r>
      <w:r w:rsidRPr="004A3C5F">
        <w:rPr>
          <w:sz w:val="26"/>
          <w:szCs w:val="26"/>
        </w:rPr>
        <w:t xml:space="preserve"> (at 7) did not support including full retail GTD and ancillary rates, asserting that many of these costs are fixed and do not vary with the customers usage levels and asserted that full cost treatment would not reflect the marginal value of saved benefits.  PECO (at 3) recommended a number of changes in the calculation of the avoided costs, some of which would mathematically illustrate how the calculations would be performed such that confusion and future debate is minimized.  PPL (at 4) would have us allow for the inclusion of market prices based on that EDC’s POLR</w:t>
      </w:r>
      <w:r w:rsidR="00F6224B">
        <w:rPr>
          <w:rStyle w:val="FootnoteReference"/>
          <w:sz w:val="26"/>
          <w:szCs w:val="26"/>
        </w:rPr>
        <w:footnoteReference w:id="29"/>
      </w:r>
      <w:r w:rsidRPr="004A3C5F">
        <w:rPr>
          <w:sz w:val="26"/>
          <w:szCs w:val="26"/>
        </w:rPr>
        <w:t xml:space="preserve"> bids that have taken place to date.  </w:t>
      </w:r>
    </w:p>
    <w:p w:rsidR="00B95716" w:rsidRPr="004A3C5F" w:rsidRDefault="00B95716" w:rsidP="0037494A">
      <w:pPr>
        <w:spacing w:line="360" w:lineRule="auto"/>
        <w:ind w:firstLine="720"/>
        <w:rPr>
          <w:sz w:val="26"/>
          <w:szCs w:val="26"/>
        </w:rPr>
      </w:pPr>
    </w:p>
    <w:p w:rsidR="00B95716" w:rsidRPr="004A3C5F" w:rsidRDefault="00B95716" w:rsidP="0037494A">
      <w:pPr>
        <w:spacing w:line="360" w:lineRule="auto"/>
        <w:ind w:firstLine="720"/>
        <w:rPr>
          <w:sz w:val="26"/>
          <w:szCs w:val="26"/>
        </w:rPr>
      </w:pPr>
      <w:r w:rsidRPr="004A3C5F">
        <w:rPr>
          <w:sz w:val="26"/>
          <w:szCs w:val="26"/>
        </w:rPr>
        <w:t>As we said earlier in conjunction with prior suggestions, some of these recommended adjustments could be beneficial, but we believe it is inappropriate to adopt them without the other stakeholders having the opportunity to comment on them.  More to the point, while adding some certainty, these suggestions could also add complexity, without any assurance of accuracy, to a model that has already been criticized as being too complex.  The parties are welcome to revisit these issues in the stakeholder group sessions.</w:t>
      </w:r>
    </w:p>
    <w:p w:rsidR="00B95716" w:rsidRPr="004A3C5F" w:rsidRDefault="00B95716" w:rsidP="0037494A">
      <w:pPr>
        <w:spacing w:line="360" w:lineRule="auto"/>
        <w:ind w:firstLine="720"/>
        <w:rPr>
          <w:sz w:val="26"/>
          <w:szCs w:val="26"/>
        </w:rPr>
      </w:pPr>
    </w:p>
    <w:p w:rsidR="00B95716" w:rsidRPr="004A3C5F" w:rsidRDefault="00B95716" w:rsidP="0037494A">
      <w:pPr>
        <w:spacing w:line="360" w:lineRule="auto"/>
        <w:ind w:firstLine="720"/>
        <w:rPr>
          <w:sz w:val="26"/>
          <w:szCs w:val="26"/>
        </w:rPr>
      </w:pPr>
      <w:r w:rsidRPr="004A3C5F">
        <w:rPr>
          <w:sz w:val="26"/>
          <w:szCs w:val="26"/>
        </w:rPr>
        <w:lastRenderedPageBreak/>
        <w:t xml:space="preserve">PECO (at 3) would have us allow an EDC to use its “best judgment” in determining energy prices.  We reject this suggestion as there </w:t>
      </w:r>
      <w:r w:rsidR="00247D3E">
        <w:rPr>
          <w:sz w:val="26"/>
          <w:szCs w:val="26"/>
        </w:rPr>
        <w:t xml:space="preserve">are </w:t>
      </w:r>
      <w:r w:rsidRPr="004A3C5F">
        <w:rPr>
          <w:sz w:val="26"/>
          <w:szCs w:val="26"/>
        </w:rPr>
        <w:t xml:space="preserve">adequate provisions for determining the market price of energy.  </w:t>
      </w:r>
    </w:p>
    <w:p w:rsidR="00B95716" w:rsidRPr="004A3C5F" w:rsidRDefault="00B95716" w:rsidP="0037494A">
      <w:pPr>
        <w:spacing w:line="360" w:lineRule="auto"/>
        <w:ind w:firstLine="720"/>
        <w:rPr>
          <w:sz w:val="26"/>
          <w:szCs w:val="26"/>
        </w:rPr>
      </w:pPr>
    </w:p>
    <w:p w:rsidR="00B95716" w:rsidRPr="004A3C5F" w:rsidRDefault="00AC03D7" w:rsidP="0037494A">
      <w:pPr>
        <w:spacing w:line="360" w:lineRule="auto"/>
        <w:ind w:firstLine="720"/>
        <w:rPr>
          <w:bCs/>
          <w:color w:val="000000"/>
          <w:sz w:val="26"/>
          <w:szCs w:val="26"/>
        </w:rPr>
      </w:pPr>
      <w:r>
        <w:rPr>
          <w:sz w:val="26"/>
          <w:szCs w:val="26"/>
        </w:rPr>
        <w:t>FirstEnergy</w:t>
      </w:r>
      <w:r w:rsidR="00B95716" w:rsidRPr="004A3C5F">
        <w:rPr>
          <w:sz w:val="26"/>
          <w:szCs w:val="26"/>
        </w:rPr>
        <w:t xml:space="preserve"> (at 8) suggested development of a “proxy plant” to be used for avoided cost calculations after the final known RPM auction.  </w:t>
      </w:r>
      <w:r w:rsidR="00B95716" w:rsidRPr="004A3C5F">
        <w:rPr>
          <w:bCs/>
          <w:color w:val="000000"/>
          <w:sz w:val="26"/>
          <w:szCs w:val="26"/>
        </w:rPr>
        <w:t>Although used by the Commission in the past, we decline to use a “proxy plant” for capacity calculations.  Using it in TRC testing would add unnecessary complexity to the process and there are sufficient alternative means for addressing cost calculations after the final known RPM auction.</w:t>
      </w:r>
    </w:p>
    <w:p w:rsidR="00B95716" w:rsidRPr="004A3C5F" w:rsidRDefault="00B95716" w:rsidP="0037494A">
      <w:pPr>
        <w:spacing w:line="360" w:lineRule="auto"/>
        <w:ind w:firstLine="720"/>
        <w:rPr>
          <w:sz w:val="26"/>
          <w:szCs w:val="26"/>
        </w:rPr>
      </w:pPr>
    </w:p>
    <w:p w:rsidR="00B95716" w:rsidRPr="004A3C5F" w:rsidRDefault="00B95716" w:rsidP="0037494A">
      <w:pPr>
        <w:pStyle w:val="Heading4"/>
        <w:keepNext w:val="0"/>
        <w:spacing w:before="0" w:after="0" w:line="360" w:lineRule="auto"/>
        <w:ind w:firstLine="720"/>
        <w:rPr>
          <w:rFonts w:ascii="Times New Roman" w:hAnsi="Times New Roman"/>
          <w:b w:val="0"/>
          <w:sz w:val="26"/>
          <w:szCs w:val="26"/>
        </w:rPr>
      </w:pPr>
      <w:r w:rsidRPr="004A3C5F">
        <w:rPr>
          <w:rFonts w:ascii="Times New Roman" w:hAnsi="Times New Roman"/>
          <w:sz w:val="26"/>
          <w:szCs w:val="26"/>
        </w:rPr>
        <w:t>Adjustments</w:t>
      </w:r>
      <w:r w:rsidRPr="004A3C5F">
        <w:rPr>
          <w:rFonts w:ascii="Times New Roman" w:hAnsi="Times New Roman"/>
          <w:b w:val="0"/>
          <w:sz w:val="26"/>
          <w:szCs w:val="26"/>
        </w:rPr>
        <w:t>:  The proposal provided that the wholesale electric generation prices would be modified to reflect:  class time-of-use characteristics; congestion; zonal locational basis differences; losses; and, a market uncertainty adjustment.  GTD costs, not so adjusted, would be adjusted for losses, and market uncertainty.  Finally, gross receipts taxes would be added.</w:t>
      </w:r>
      <w:r w:rsidR="005E2F5A" w:rsidRPr="00033A35">
        <w:rPr>
          <w:rStyle w:val="FootnoteReference"/>
          <w:rFonts w:ascii="Times New Roman" w:hAnsi="Times New Roman"/>
          <w:b w:val="0"/>
          <w:sz w:val="26"/>
          <w:szCs w:val="26"/>
        </w:rPr>
        <w:footnoteReference w:id="30"/>
      </w:r>
      <w:r w:rsidRPr="004A3C5F">
        <w:rPr>
          <w:rFonts w:ascii="Times New Roman" w:hAnsi="Times New Roman"/>
          <w:b w:val="0"/>
          <w:sz w:val="26"/>
          <w:szCs w:val="26"/>
        </w:rPr>
        <w:t xml:space="preserve">  Not all the issues generated comments.  Those that did will be discussed in several subparts:  market uncertainty adjustments; uniform application; end-use adjustment; locational, temporal, and zonal adjustments; and AEPS </w:t>
      </w:r>
      <w:r w:rsidR="00654773">
        <w:rPr>
          <w:rFonts w:ascii="Times New Roman" w:hAnsi="Times New Roman"/>
          <w:b w:val="0"/>
          <w:sz w:val="26"/>
          <w:szCs w:val="26"/>
        </w:rPr>
        <w:t>Act</w:t>
      </w:r>
      <w:r w:rsidRPr="004A3C5F">
        <w:rPr>
          <w:rFonts w:ascii="Times New Roman" w:hAnsi="Times New Roman"/>
          <w:b w:val="0"/>
          <w:sz w:val="26"/>
          <w:szCs w:val="26"/>
        </w:rPr>
        <w:t xml:space="preserve"> and carbon issues.</w:t>
      </w:r>
    </w:p>
    <w:p w:rsidR="00B95716" w:rsidRPr="004A3C5F" w:rsidRDefault="00B95716" w:rsidP="0037494A">
      <w:pPr>
        <w:pStyle w:val="Heading4"/>
        <w:keepNext w:val="0"/>
        <w:spacing w:before="0" w:after="0" w:line="360" w:lineRule="auto"/>
        <w:ind w:firstLine="1440"/>
        <w:rPr>
          <w:rFonts w:ascii="Times New Roman" w:hAnsi="Times New Roman"/>
          <w:b w:val="0"/>
          <w:sz w:val="26"/>
          <w:szCs w:val="26"/>
        </w:rPr>
      </w:pPr>
    </w:p>
    <w:p w:rsidR="00B95716" w:rsidRPr="004A3C5F" w:rsidRDefault="00B95716" w:rsidP="0037494A">
      <w:pPr>
        <w:spacing w:line="360" w:lineRule="auto"/>
        <w:ind w:firstLine="1440"/>
        <w:rPr>
          <w:sz w:val="26"/>
          <w:szCs w:val="26"/>
        </w:rPr>
      </w:pPr>
      <w:r w:rsidRPr="004A3C5F">
        <w:rPr>
          <w:b/>
          <w:sz w:val="26"/>
          <w:szCs w:val="26"/>
        </w:rPr>
        <w:t>Market Uncertainty Adjustments</w:t>
      </w:r>
      <w:r w:rsidRPr="004A3C5F">
        <w:rPr>
          <w:sz w:val="26"/>
          <w:szCs w:val="26"/>
        </w:rPr>
        <w:t xml:space="preserve">:  OCA (at 3) questioned the proposal to adjust for market uncertainty.  OCA claimed it is unclear what such an adjustment is intended to reflect and asserted that, if such an adjustment </w:t>
      </w:r>
      <w:r w:rsidR="00247D3E">
        <w:rPr>
          <w:sz w:val="26"/>
          <w:szCs w:val="26"/>
        </w:rPr>
        <w:t>i</w:t>
      </w:r>
      <w:r w:rsidRPr="004A3C5F">
        <w:rPr>
          <w:sz w:val="26"/>
          <w:szCs w:val="26"/>
        </w:rPr>
        <w:t>s to be retained, then the Commission should explain it in detail and provide a uniform method of calculating the adjustment for all of the EDCs so that there is consistency in plan analysis.  Upon review, we shall withdraw the use of a market uncertainty adjustment.</w:t>
      </w:r>
    </w:p>
    <w:p w:rsidR="00B95716" w:rsidRPr="004A3C5F" w:rsidRDefault="00B95716" w:rsidP="0037494A">
      <w:pPr>
        <w:spacing w:line="360" w:lineRule="auto"/>
        <w:ind w:firstLine="720"/>
        <w:rPr>
          <w:sz w:val="26"/>
          <w:szCs w:val="26"/>
        </w:rPr>
      </w:pPr>
    </w:p>
    <w:p w:rsidR="00B95716" w:rsidRPr="007A282D" w:rsidRDefault="00B95716" w:rsidP="0037494A">
      <w:pPr>
        <w:spacing w:line="360" w:lineRule="auto"/>
        <w:ind w:firstLine="1440"/>
        <w:rPr>
          <w:sz w:val="26"/>
          <w:szCs w:val="26"/>
        </w:rPr>
      </w:pPr>
      <w:r w:rsidRPr="004A3C5F">
        <w:rPr>
          <w:b/>
          <w:sz w:val="26"/>
          <w:szCs w:val="26"/>
        </w:rPr>
        <w:lastRenderedPageBreak/>
        <w:t>Uniform Application</w:t>
      </w:r>
      <w:r w:rsidRPr="004A3C5F">
        <w:rPr>
          <w:sz w:val="26"/>
          <w:szCs w:val="26"/>
        </w:rPr>
        <w:t xml:space="preserve">:  OCA (at 2-3) suggested that the proposed adjustments may lack sufficient specificity to ensure that they are uniformly applied across the EDCs.  As regulators, we recognize that selective compliance and innocent misunderstanding of requirements will always be a factor in any process such as this.  At best, the annual reviews will assist the Commission, the statutory advocates, the EDCs, commercial and industrial user groups, consumers, and other interested parties an opportunity to compare the performances of the various EDCs under the requirements of Act 129 and our orders.  The EDCs should understand that we are looking for </w:t>
      </w:r>
      <w:r w:rsidRPr="007A282D">
        <w:rPr>
          <w:sz w:val="26"/>
          <w:szCs w:val="26"/>
        </w:rPr>
        <w:t xml:space="preserve">substantially uniform interpretation and application of the requirements. </w:t>
      </w:r>
    </w:p>
    <w:p w:rsidR="00B95716" w:rsidRPr="007A282D" w:rsidRDefault="00B95716" w:rsidP="0037494A">
      <w:pPr>
        <w:spacing w:line="360" w:lineRule="auto"/>
        <w:ind w:firstLine="720"/>
        <w:rPr>
          <w:sz w:val="26"/>
          <w:szCs w:val="26"/>
        </w:rPr>
      </w:pPr>
    </w:p>
    <w:p w:rsidR="001D40F0" w:rsidRPr="007A282D" w:rsidRDefault="00B95716" w:rsidP="001D40F0">
      <w:pPr>
        <w:spacing w:line="360" w:lineRule="auto"/>
        <w:ind w:firstLine="1440"/>
        <w:rPr>
          <w:sz w:val="26"/>
          <w:szCs w:val="26"/>
        </w:rPr>
      </w:pPr>
      <w:r w:rsidRPr="007A282D">
        <w:rPr>
          <w:b/>
          <w:sz w:val="26"/>
          <w:szCs w:val="26"/>
        </w:rPr>
        <w:t>End-Use Adjustments</w:t>
      </w:r>
      <w:r w:rsidRPr="007A282D">
        <w:rPr>
          <w:sz w:val="26"/>
          <w:szCs w:val="26"/>
        </w:rPr>
        <w:t>:</w:t>
      </w:r>
      <w:r w:rsidR="001D40F0" w:rsidRPr="007A282D">
        <w:rPr>
          <w:sz w:val="26"/>
          <w:szCs w:val="26"/>
        </w:rPr>
        <w:t xml:space="preserve">  PPL (at 5) suggested that end-use profiles for the efficiency program should be used rather than general overall rate class profiles.  For example, CFLs</w:t>
      </w:r>
      <w:r w:rsidR="001D40F0" w:rsidRPr="007A282D">
        <w:rPr>
          <w:rStyle w:val="FootnoteReference"/>
          <w:sz w:val="26"/>
          <w:szCs w:val="26"/>
        </w:rPr>
        <w:footnoteReference w:id="31"/>
      </w:r>
      <w:r w:rsidR="001D40F0" w:rsidRPr="007A282D">
        <w:rPr>
          <w:sz w:val="26"/>
          <w:szCs w:val="26"/>
        </w:rPr>
        <w:t xml:space="preserve"> would be adjusted for the residential use profile, not class time-of-use characteristics.  </w:t>
      </w:r>
    </w:p>
    <w:p w:rsidR="001D40F0" w:rsidRPr="007A282D" w:rsidRDefault="001D40F0" w:rsidP="001D40F0">
      <w:pPr>
        <w:spacing w:line="360" w:lineRule="auto"/>
        <w:ind w:firstLine="1440"/>
        <w:rPr>
          <w:sz w:val="26"/>
          <w:szCs w:val="26"/>
        </w:rPr>
      </w:pPr>
    </w:p>
    <w:p w:rsidR="001D40F0" w:rsidRDefault="001D40F0" w:rsidP="001D40F0">
      <w:pPr>
        <w:spacing w:line="360" w:lineRule="auto"/>
        <w:ind w:firstLine="1440"/>
        <w:rPr>
          <w:sz w:val="26"/>
          <w:szCs w:val="26"/>
        </w:rPr>
      </w:pPr>
      <w:r w:rsidRPr="007A282D">
        <w:rPr>
          <w:sz w:val="26"/>
          <w:szCs w:val="26"/>
        </w:rPr>
        <w:t xml:space="preserve">We agree.  It is appropriate to use end-use profiles for the program at hand.  Accordingly, EDCs are directed to use device-specific profiles, if available.  If not, the EDC should use the class average.  For example, CFLs are typically used during the night rather than during the day, yet overall residential usage profiles can be heavy during the day due to air conditioning and cooling load.  </w:t>
      </w:r>
    </w:p>
    <w:p w:rsidR="007A282D" w:rsidRPr="007A282D" w:rsidRDefault="007A282D" w:rsidP="001D40F0">
      <w:pPr>
        <w:spacing w:line="360" w:lineRule="auto"/>
        <w:ind w:firstLine="1440"/>
        <w:rPr>
          <w:sz w:val="26"/>
          <w:szCs w:val="26"/>
        </w:rPr>
      </w:pPr>
    </w:p>
    <w:p w:rsidR="00B95716" w:rsidRPr="004A3C5F" w:rsidRDefault="00B95716" w:rsidP="0037494A">
      <w:pPr>
        <w:spacing w:after="120" w:line="360" w:lineRule="auto"/>
        <w:ind w:firstLine="1440"/>
        <w:rPr>
          <w:bCs/>
          <w:sz w:val="26"/>
          <w:szCs w:val="26"/>
        </w:rPr>
      </w:pPr>
      <w:r w:rsidRPr="007A282D">
        <w:rPr>
          <w:b/>
          <w:bCs/>
          <w:sz w:val="26"/>
          <w:szCs w:val="26"/>
        </w:rPr>
        <w:t>Locational, Temporal, and Zonal Differences</w:t>
      </w:r>
      <w:r w:rsidRPr="007A282D">
        <w:rPr>
          <w:bCs/>
          <w:sz w:val="26"/>
          <w:szCs w:val="26"/>
        </w:rPr>
        <w:t xml:space="preserve">:  </w:t>
      </w:r>
      <w:r w:rsidRPr="007A282D">
        <w:rPr>
          <w:sz w:val="26"/>
          <w:szCs w:val="26"/>
        </w:rPr>
        <w:t>Allegheny (at 3) added that NYMEX forward prices vary by both timing of the forward price estimates and by EDC zone.  PECO (at 4) noted that the NYMEX PJM contract is only quoted through 2013.  PPL (at 4) supported zonal adjustment.  EAPA (at 5)</w:t>
      </w:r>
      <w:r w:rsidR="00AF46D2" w:rsidRPr="007A282D">
        <w:rPr>
          <w:sz w:val="26"/>
          <w:szCs w:val="26"/>
        </w:rPr>
        <w:t xml:space="preserve"> raised concerns about </w:t>
      </w:r>
      <w:r w:rsidRPr="007A282D">
        <w:rPr>
          <w:strike/>
          <w:sz w:val="26"/>
          <w:szCs w:val="26"/>
        </w:rPr>
        <w:t>would have us allow for</w:t>
      </w:r>
      <w:r w:rsidRPr="007A282D">
        <w:rPr>
          <w:sz w:val="26"/>
          <w:szCs w:val="26"/>
        </w:rPr>
        <w:t xml:space="preserve"> regional differences.  </w:t>
      </w:r>
      <w:r w:rsidRPr="007A282D">
        <w:rPr>
          <w:bCs/>
          <w:sz w:val="26"/>
          <w:szCs w:val="26"/>
        </w:rPr>
        <w:t>The Joint Supporters (at 5) asked the Commission to direct the EDCs to consider the locational and temporal differences for such factors as losses rather than simply allowing a regional average</w:t>
      </w:r>
      <w:r w:rsidRPr="004A3C5F">
        <w:rPr>
          <w:bCs/>
          <w:sz w:val="26"/>
          <w:szCs w:val="26"/>
        </w:rPr>
        <w:t xml:space="preserve"> annual loss factor to be employed.  </w:t>
      </w:r>
      <w:r w:rsidRPr="004A3C5F">
        <w:rPr>
          <w:bCs/>
          <w:sz w:val="26"/>
          <w:szCs w:val="26"/>
        </w:rPr>
        <w:lastRenderedPageBreak/>
        <w:t xml:space="preserve">The Joint Supporters alleged that losses are greater in the periphery of a distribution system than at the core, especially at times of special conditions, </w:t>
      </w:r>
      <w:r w:rsidRPr="004A3C5F">
        <w:rPr>
          <w:bCs/>
          <w:i/>
          <w:sz w:val="26"/>
          <w:szCs w:val="26"/>
        </w:rPr>
        <w:t>e.g.</w:t>
      </w:r>
      <w:r w:rsidRPr="004A3C5F">
        <w:rPr>
          <w:bCs/>
          <w:sz w:val="26"/>
          <w:szCs w:val="26"/>
        </w:rPr>
        <w:t xml:space="preserve">, peak demand.  The Joint Supporters suggested that the TRC test for programs and measures should be accorded advantaged treatment in such situations.  According to the Joint Supporters (at 6), the locational value of an energy efficiency measure, including self-generation, to be reflected in a TRC test evaluation can be noticeably improved in such circumstances.  </w:t>
      </w:r>
      <w:r w:rsidRPr="004A3C5F">
        <w:rPr>
          <w:sz w:val="26"/>
          <w:szCs w:val="26"/>
        </w:rPr>
        <w:t>LBNL (at 2) offered some clarifying points and (at 3) would include the Henry Hub forwards as specified in the proposal plus the basis differential between Henry Hub and Pennsylvania,</w:t>
      </w:r>
      <w:r w:rsidRPr="004A3C5F">
        <w:rPr>
          <w:rStyle w:val="FootnoteReference"/>
          <w:sz w:val="26"/>
          <w:szCs w:val="26"/>
        </w:rPr>
        <w:footnoteReference w:id="32"/>
      </w:r>
      <w:r w:rsidRPr="004A3C5F">
        <w:rPr>
          <w:sz w:val="26"/>
          <w:szCs w:val="26"/>
        </w:rPr>
        <w:t xml:space="preserve"> plus the appropriate pipeline delivery tariff for electric generation.  </w:t>
      </w:r>
    </w:p>
    <w:p w:rsidR="00B95716" w:rsidRPr="004A3C5F" w:rsidRDefault="00B95716" w:rsidP="0037494A">
      <w:pPr>
        <w:spacing w:after="120" w:line="360" w:lineRule="auto"/>
        <w:ind w:firstLine="720"/>
        <w:rPr>
          <w:bCs/>
          <w:sz w:val="26"/>
          <w:szCs w:val="26"/>
        </w:rPr>
      </w:pPr>
    </w:p>
    <w:p w:rsidR="00C3407A" w:rsidRPr="007A282D" w:rsidRDefault="00B95716" w:rsidP="00C3407A">
      <w:pPr>
        <w:spacing w:line="360" w:lineRule="auto"/>
        <w:ind w:firstLine="720"/>
        <w:rPr>
          <w:rFonts w:ascii="Tahoma" w:hAnsi="Tahoma" w:cs="Tahoma"/>
          <w:color w:val="0D0D0D" w:themeColor="text1" w:themeTint="F2"/>
          <w:sz w:val="20"/>
        </w:rPr>
      </w:pPr>
      <w:r w:rsidRPr="00C3407A">
        <w:rPr>
          <w:color w:val="0D0D0D" w:themeColor="text1" w:themeTint="F2"/>
          <w:sz w:val="26"/>
          <w:szCs w:val="26"/>
        </w:rPr>
        <w:t xml:space="preserve">After reviewing the comments, we shall </w:t>
      </w:r>
      <w:r w:rsidRPr="007A282D">
        <w:rPr>
          <w:color w:val="0D0D0D" w:themeColor="text1" w:themeTint="F2"/>
          <w:sz w:val="26"/>
          <w:szCs w:val="26"/>
        </w:rPr>
        <w:t xml:space="preserve">modify the proposal to provide for EDC zonal basis adjustments made based on the </w:t>
      </w:r>
      <w:r w:rsidRPr="007A282D">
        <w:rPr>
          <w:i/>
          <w:color w:val="0D0D0D" w:themeColor="text1" w:themeTint="F2"/>
          <w:sz w:val="26"/>
          <w:szCs w:val="26"/>
        </w:rPr>
        <w:t>PJM State of the Market</w:t>
      </w:r>
      <w:r w:rsidRPr="007A282D">
        <w:rPr>
          <w:color w:val="0D0D0D" w:themeColor="text1" w:themeTint="F2"/>
          <w:sz w:val="26"/>
          <w:szCs w:val="26"/>
        </w:rPr>
        <w:t xml:space="preserve"> report data “</w:t>
      </w:r>
      <w:r w:rsidRPr="007A282D">
        <w:rPr>
          <w:bCs/>
          <w:iCs/>
          <w:color w:val="0D0D0D" w:themeColor="text1" w:themeTint="F2"/>
          <w:sz w:val="26"/>
          <w:szCs w:val="26"/>
        </w:rPr>
        <w:t>Zonal real-time, simple average LMP</w:t>
      </w:r>
      <w:r w:rsidR="002034D6" w:rsidRPr="007A282D">
        <w:rPr>
          <w:rStyle w:val="FootnoteReference"/>
          <w:bCs/>
          <w:iCs/>
          <w:color w:val="0D0D0D" w:themeColor="text1" w:themeTint="F2"/>
          <w:sz w:val="26"/>
          <w:szCs w:val="26"/>
        </w:rPr>
        <w:footnoteReference w:id="33"/>
      </w:r>
      <w:r w:rsidRPr="007A282D">
        <w:rPr>
          <w:bCs/>
          <w:iCs/>
          <w:color w:val="0D0D0D" w:themeColor="text1" w:themeTint="F2"/>
          <w:sz w:val="26"/>
          <w:szCs w:val="26"/>
        </w:rPr>
        <w:t xml:space="preserve"> (</w:t>
      </w:r>
      <w:r w:rsidR="002034D6" w:rsidRPr="007A282D">
        <w:rPr>
          <w:bCs/>
          <w:iCs/>
          <w:color w:val="0D0D0D" w:themeColor="text1" w:themeTint="F2"/>
          <w:sz w:val="26"/>
          <w:szCs w:val="26"/>
        </w:rPr>
        <w:t>d</w:t>
      </w:r>
      <w:r w:rsidRPr="007A282D">
        <w:rPr>
          <w:bCs/>
          <w:iCs/>
          <w:color w:val="0D0D0D" w:themeColor="text1" w:themeTint="F2"/>
          <w:sz w:val="26"/>
          <w:szCs w:val="26"/>
        </w:rPr>
        <w:t>ollars per MWh).”</w:t>
      </w:r>
      <w:r w:rsidRPr="007A282D">
        <w:rPr>
          <w:rStyle w:val="FootnoteReference"/>
          <w:color w:val="0D0D0D" w:themeColor="text1" w:themeTint="F2"/>
          <w:sz w:val="26"/>
          <w:szCs w:val="26"/>
        </w:rPr>
        <w:footnoteReference w:id="34"/>
      </w:r>
      <w:r w:rsidRPr="007A282D">
        <w:rPr>
          <w:bCs/>
          <w:iCs/>
          <w:color w:val="0D0D0D" w:themeColor="text1" w:themeTint="F2"/>
          <w:sz w:val="26"/>
          <w:szCs w:val="26"/>
        </w:rPr>
        <w:t xml:space="preserve"> </w:t>
      </w:r>
      <w:r w:rsidR="00C3407A" w:rsidRPr="007A282D">
        <w:rPr>
          <w:bCs/>
          <w:iCs/>
          <w:color w:val="0D0D0D" w:themeColor="text1" w:themeTint="F2"/>
          <w:sz w:val="26"/>
          <w:szCs w:val="26"/>
        </w:rPr>
        <w:t xml:space="preserve"> </w:t>
      </w:r>
      <w:r w:rsidR="00C3407A" w:rsidRPr="007A282D">
        <w:rPr>
          <w:color w:val="0D0D0D" w:themeColor="text1" w:themeTint="F2"/>
          <w:sz w:val="26"/>
          <w:szCs w:val="26"/>
        </w:rPr>
        <w:t xml:space="preserve">Further, we shall provide for a basis adjustment to the natural gas prices in years six through ten, using the basis </w:t>
      </w:r>
      <w:r w:rsidR="0005173A" w:rsidRPr="007A282D">
        <w:rPr>
          <w:color w:val="0D0D0D" w:themeColor="text1" w:themeTint="F2"/>
          <w:sz w:val="26"/>
          <w:szCs w:val="26"/>
        </w:rPr>
        <w:t xml:space="preserve">differential </w:t>
      </w:r>
      <w:r w:rsidR="00C3407A" w:rsidRPr="007A282D">
        <w:rPr>
          <w:color w:val="0D0D0D" w:themeColor="text1" w:themeTint="F2"/>
          <w:sz w:val="26"/>
          <w:szCs w:val="26"/>
        </w:rPr>
        <w:t xml:space="preserve">between the Henry Hub as the source and TETCO M-3 </w:t>
      </w:r>
      <w:r w:rsidR="0005173A" w:rsidRPr="007A282D">
        <w:rPr>
          <w:color w:val="0D0D0D" w:themeColor="text1" w:themeTint="F2"/>
          <w:sz w:val="26"/>
          <w:szCs w:val="26"/>
        </w:rPr>
        <w:t xml:space="preserve">as the destination </w:t>
      </w:r>
      <w:r w:rsidR="00C3407A" w:rsidRPr="007A282D">
        <w:rPr>
          <w:color w:val="0D0D0D" w:themeColor="text1" w:themeTint="F2"/>
          <w:sz w:val="26"/>
          <w:szCs w:val="26"/>
        </w:rPr>
        <w:t xml:space="preserve">for utilities west of the Susquehanna and Transco Zone 6 </w:t>
      </w:r>
      <w:r w:rsidR="0005173A" w:rsidRPr="007A282D">
        <w:rPr>
          <w:color w:val="0D0D0D" w:themeColor="text1" w:themeTint="F2"/>
          <w:sz w:val="26"/>
          <w:szCs w:val="26"/>
        </w:rPr>
        <w:t xml:space="preserve">as the destination </w:t>
      </w:r>
      <w:r w:rsidR="00C3407A" w:rsidRPr="007A282D">
        <w:rPr>
          <w:color w:val="0D0D0D" w:themeColor="text1" w:themeTint="F2"/>
          <w:sz w:val="26"/>
          <w:szCs w:val="26"/>
        </w:rPr>
        <w:t>for utilities east of the Susquehanna.</w:t>
      </w:r>
      <w:r w:rsidR="00C3407A" w:rsidRPr="007A282D">
        <w:rPr>
          <w:rFonts w:ascii="Tahoma" w:hAnsi="Tahoma" w:cs="Tahoma"/>
          <w:color w:val="0D0D0D" w:themeColor="text1" w:themeTint="F2"/>
          <w:sz w:val="20"/>
        </w:rPr>
        <w:t xml:space="preserve"> </w:t>
      </w:r>
    </w:p>
    <w:p w:rsidR="00C3407A" w:rsidRPr="007A282D" w:rsidRDefault="00C3407A" w:rsidP="0037494A">
      <w:pPr>
        <w:pStyle w:val="Heading4"/>
        <w:keepNext w:val="0"/>
        <w:spacing w:before="0" w:after="0" w:line="360" w:lineRule="auto"/>
        <w:ind w:firstLine="720"/>
        <w:rPr>
          <w:rFonts w:ascii="Times New Roman" w:hAnsi="Times New Roman"/>
          <w:b w:val="0"/>
          <w:bCs w:val="0"/>
          <w:iCs/>
          <w:color w:val="000000"/>
          <w:sz w:val="26"/>
          <w:szCs w:val="26"/>
        </w:rPr>
      </w:pPr>
    </w:p>
    <w:p w:rsidR="00B95716" w:rsidRPr="007A282D" w:rsidRDefault="00B95716" w:rsidP="0037494A">
      <w:pPr>
        <w:spacing w:line="360" w:lineRule="auto"/>
        <w:ind w:firstLine="720"/>
        <w:rPr>
          <w:sz w:val="26"/>
          <w:szCs w:val="26"/>
        </w:rPr>
      </w:pPr>
      <w:r w:rsidRPr="004A3C5F">
        <w:rPr>
          <w:sz w:val="26"/>
          <w:szCs w:val="26"/>
        </w:rPr>
        <w:t xml:space="preserve">PECO (at 4) would calculate the zonal basis over the last 24 months.  </w:t>
      </w:r>
      <w:r w:rsidRPr="004A3C5F">
        <w:rPr>
          <w:bCs/>
          <w:iCs/>
          <w:color w:val="000000"/>
          <w:sz w:val="26"/>
          <w:szCs w:val="26"/>
        </w:rPr>
        <w:t xml:space="preserve">In particular, this suggestion would result in tens of thousands of calculations for each of the 24 months.  PECO does not show any data to indicate that such a further complication of the </w:t>
      </w:r>
      <w:r w:rsidRPr="007A282D">
        <w:rPr>
          <w:bCs/>
          <w:iCs/>
          <w:color w:val="000000"/>
          <w:sz w:val="26"/>
          <w:szCs w:val="26"/>
        </w:rPr>
        <w:t xml:space="preserve">process would add any benefit or be any more reliable than the method originally proposed. </w:t>
      </w:r>
      <w:r w:rsidR="00C3407A" w:rsidRPr="007A282D">
        <w:rPr>
          <w:bCs/>
          <w:iCs/>
          <w:color w:val="000000"/>
          <w:sz w:val="26"/>
          <w:szCs w:val="26"/>
        </w:rPr>
        <w:t xml:space="preserve"> In response to EAPA’s concern, we note that e</w:t>
      </w:r>
      <w:r w:rsidR="00C3407A" w:rsidRPr="007A282D">
        <w:rPr>
          <w:sz w:val="26"/>
          <w:szCs w:val="26"/>
        </w:rPr>
        <w:t>ach EDC is TRC-tested individually.</w:t>
      </w:r>
    </w:p>
    <w:p w:rsidR="00B95716" w:rsidRPr="007A282D" w:rsidRDefault="00B95716" w:rsidP="0037494A">
      <w:pPr>
        <w:spacing w:line="360" w:lineRule="auto"/>
        <w:ind w:firstLine="720"/>
        <w:rPr>
          <w:bCs/>
          <w:color w:val="000000"/>
          <w:sz w:val="26"/>
          <w:szCs w:val="26"/>
        </w:rPr>
      </w:pPr>
    </w:p>
    <w:p w:rsidR="00B95716" w:rsidRPr="004A3C5F" w:rsidRDefault="00B95716" w:rsidP="0037494A">
      <w:pPr>
        <w:spacing w:line="360" w:lineRule="auto"/>
        <w:ind w:firstLine="1440"/>
        <w:rPr>
          <w:bCs/>
          <w:color w:val="000000"/>
          <w:sz w:val="26"/>
          <w:szCs w:val="26"/>
        </w:rPr>
      </w:pPr>
      <w:r w:rsidRPr="007A282D">
        <w:rPr>
          <w:b/>
          <w:bCs/>
          <w:color w:val="000000"/>
          <w:sz w:val="26"/>
          <w:szCs w:val="26"/>
        </w:rPr>
        <w:lastRenderedPageBreak/>
        <w:t>Compliance</w:t>
      </w:r>
      <w:r w:rsidRPr="004A3C5F">
        <w:rPr>
          <w:b/>
          <w:bCs/>
          <w:color w:val="000000"/>
          <w:sz w:val="26"/>
          <w:szCs w:val="26"/>
        </w:rPr>
        <w:t xml:space="preserve"> with AEPS Act</w:t>
      </w:r>
      <w:r w:rsidRPr="004A3C5F">
        <w:rPr>
          <w:rStyle w:val="FootnoteReference"/>
          <w:sz w:val="26"/>
          <w:szCs w:val="26"/>
        </w:rPr>
        <w:footnoteReference w:id="35"/>
      </w:r>
      <w:r w:rsidRPr="004A3C5F">
        <w:rPr>
          <w:b/>
          <w:bCs/>
          <w:color w:val="000000"/>
          <w:sz w:val="26"/>
          <w:szCs w:val="26"/>
        </w:rPr>
        <w:t xml:space="preserve"> and Carbon Issues</w:t>
      </w:r>
      <w:r w:rsidRPr="004A3C5F">
        <w:rPr>
          <w:bCs/>
          <w:color w:val="000000"/>
          <w:sz w:val="26"/>
          <w:szCs w:val="26"/>
        </w:rPr>
        <w:t xml:space="preserve">:  </w:t>
      </w:r>
      <w:r w:rsidRPr="004A3C5F">
        <w:rPr>
          <w:sz w:val="26"/>
          <w:szCs w:val="26"/>
        </w:rPr>
        <w:t>PECO (at 4) would have us allow for the inclusion of carbon reduction related expenses.  PPL (at 5) would include a cost associated with AEPS Act compliance.  EAPA (at 3) suggested that the model should allow for the costs of AEPS Act compliance.</w:t>
      </w:r>
    </w:p>
    <w:p w:rsidR="00B95716" w:rsidRPr="004A3C5F" w:rsidRDefault="00B95716" w:rsidP="0037494A">
      <w:pPr>
        <w:spacing w:line="360" w:lineRule="auto"/>
        <w:ind w:firstLine="720"/>
        <w:rPr>
          <w:bCs/>
          <w:color w:val="000000"/>
          <w:sz w:val="26"/>
          <w:szCs w:val="26"/>
        </w:rPr>
      </w:pPr>
    </w:p>
    <w:p w:rsidR="00B95716" w:rsidRPr="00DF6BAB" w:rsidRDefault="00B95716" w:rsidP="0037494A">
      <w:pPr>
        <w:spacing w:line="360" w:lineRule="auto"/>
        <w:ind w:firstLine="720"/>
        <w:rPr>
          <w:sz w:val="26"/>
          <w:szCs w:val="26"/>
        </w:rPr>
      </w:pPr>
      <w:r w:rsidRPr="004A3C5F">
        <w:rPr>
          <w:bCs/>
          <w:color w:val="000000"/>
          <w:sz w:val="26"/>
          <w:szCs w:val="26"/>
        </w:rPr>
        <w:t>We will include the costs of compliance with the AEPS Act, which is known and knowable, but will exclude (at least until legislation is passed) carbon reduction expenses.  The cost of compliance with the AEPS Act is applicable to all the power “avoided” and is, therefore, an avoided cost.  Carbon costs legislation does not yet exist, and, thus, carbon “costs” and the costs of compliance with carbon legislation are not known or knowable and, thus, are not avoidable at this time.</w:t>
      </w:r>
    </w:p>
    <w:p w:rsidR="00B95716" w:rsidRDefault="00B95716" w:rsidP="0037494A">
      <w:pPr>
        <w:spacing w:line="360" w:lineRule="auto"/>
        <w:rPr>
          <w:sz w:val="26"/>
          <w:szCs w:val="26"/>
        </w:rPr>
      </w:pPr>
    </w:p>
    <w:p w:rsidR="00FD0AC2" w:rsidRPr="004046F4" w:rsidRDefault="00FD0AC2" w:rsidP="0037494A">
      <w:pPr>
        <w:pStyle w:val="Heading4"/>
        <w:keepNext w:val="0"/>
        <w:spacing w:before="0" w:after="0" w:line="360" w:lineRule="auto"/>
        <w:ind w:firstLine="720"/>
        <w:rPr>
          <w:rFonts w:ascii="Times New Roman" w:hAnsi="Times New Roman"/>
          <w:b w:val="0"/>
          <w:sz w:val="26"/>
          <w:szCs w:val="26"/>
        </w:rPr>
      </w:pPr>
    </w:p>
    <w:p w:rsidR="00D54315" w:rsidRPr="007733F3" w:rsidRDefault="002C0D87" w:rsidP="0037494A">
      <w:pPr>
        <w:keepNext/>
        <w:spacing w:line="360" w:lineRule="auto"/>
        <w:ind w:firstLine="720"/>
        <w:rPr>
          <w:b/>
          <w:sz w:val="26"/>
          <w:szCs w:val="26"/>
        </w:rPr>
      </w:pPr>
      <w:r w:rsidRPr="007733F3">
        <w:rPr>
          <w:b/>
          <w:sz w:val="26"/>
          <w:szCs w:val="26"/>
        </w:rPr>
        <w:t>(</w:t>
      </w:r>
      <w:r w:rsidR="00A97611" w:rsidRPr="007733F3">
        <w:rPr>
          <w:b/>
          <w:sz w:val="26"/>
          <w:szCs w:val="26"/>
        </w:rPr>
        <w:t>c</w:t>
      </w:r>
      <w:r w:rsidRPr="007733F3">
        <w:rPr>
          <w:b/>
          <w:sz w:val="26"/>
          <w:szCs w:val="26"/>
        </w:rPr>
        <w:t>)  Maximum 15-Year Measure Life</w:t>
      </w:r>
    </w:p>
    <w:p w:rsidR="00D54315" w:rsidRPr="007733F3" w:rsidRDefault="00D54315" w:rsidP="0037494A">
      <w:pPr>
        <w:keepNext/>
        <w:spacing w:line="360" w:lineRule="auto"/>
        <w:rPr>
          <w:sz w:val="26"/>
          <w:szCs w:val="26"/>
        </w:rPr>
      </w:pPr>
    </w:p>
    <w:p w:rsidR="00F66B0A" w:rsidRDefault="00D54315" w:rsidP="0037494A">
      <w:pPr>
        <w:spacing w:line="360" w:lineRule="auto"/>
        <w:rPr>
          <w:sz w:val="26"/>
          <w:szCs w:val="26"/>
        </w:rPr>
      </w:pPr>
      <w:r w:rsidRPr="007733F3">
        <w:rPr>
          <w:sz w:val="26"/>
          <w:szCs w:val="26"/>
        </w:rPr>
        <w:tab/>
        <w:t xml:space="preserve">Act 129 </w:t>
      </w:r>
      <w:r w:rsidR="009B5F73" w:rsidRPr="007733F3">
        <w:rPr>
          <w:sz w:val="26"/>
          <w:szCs w:val="26"/>
        </w:rPr>
        <w:t xml:space="preserve">limits the </w:t>
      </w:r>
      <w:r w:rsidR="00422020">
        <w:rPr>
          <w:sz w:val="26"/>
          <w:szCs w:val="26"/>
        </w:rPr>
        <w:t xml:space="preserve">evaluation and </w:t>
      </w:r>
      <w:r w:rsidR="009B5F73" w:rsidRPr="007733F3">
        <w:rPr>
          <w:sz w:val="26"/>
          <w:szCs w:val="26"/>
        </w:rPr>
        <w:t xml:space="preserve">TRC test process to consideration of </w:t>
      </w:r>
      <w:r w:rsidR="00192E36">
        <w:rPr>
          <w:sz w:val="26"/>
          <w:szCs w:val="26"/>
        </w:rPr>
        <w:t xml:space="preserve">energy efficiency </w:t>
      </w:r>
      <w:r w:rsidR="00C84D77" w:rsidRPr="007733F3">
        <w:rPr>
          <w:sz w:val="26"/>
          <w:szCs w:val="26"/>
        </w:rPr>
        <w:t xml:space="preserve">effective </w:t>
      </w:r>
      <w:r w:rsidR="008D28D8">
        <w:rPr>
          <w:sz w:val="26"/>
          <w:szCs w:val="26"/>
        </w:rPr>
        <w:t xml:space="preserve">measure </w:t>
      </w:r>
      <w:r w:rsidR="00C84D77" w:rsidRPr="007733F3">
        <w:rPr>
          <w:sz w:val="26"/>
          <w:szCs w:val="26"/>
        </w:rPr>
        <w:t>lives of 15 years or less</w:t>
      </w:r>
      <w:r w:rsidRPr="007733F3">
        <w:rPr>
          <w:sz w:val="26"/>
          <w:szCs w:val="26"/>
        </w:rPr>
        <w:t xml:space="preserve">.  </w:t>
      </w:r>
      <w:r w:rsidR="00F66B0A" w:rsidRPr="008A4D62">
        <w:rPr>
          <w:sz w:val="26"/>
          <w:szCs w:val="26"/>
        </w:rPr>
        <w:t xml:space="preserve">Several commenters (PECO at 5; PPL at 5-6; EAPA at 6; LBNL at 6) expressed </w:t>
      </w:r>
      <w:r w:rsidR="00F66B0A">
        <w:rPr>
          <w:sz w:val="26"/>
          <w:szCs w:val="26"/>
        </w:rPr>
        <w:t xml:space="preserve">agreement with </w:t>
      </w:r>
      <w:r w:rsidR="00F66B0A" w:rsidRPr="008A4D62">
        <w:rPr>
          <w:sz w:val="26"/>
          <w:szCs w:val="26"/>
        </w:rPr>
        <w:t xml:space="preserve">the position that, for the purpose of TRC </w:t>
      </w:r>
      <w:r w:rsidR="00F66B0A">
        <w:rPr>
          <w:sz w:val="26"/>
          <w:szCs w:val="26"/>
        </w:rPr>
        <w:t xml:space="preserve">test </w:t>
      </w:r>
      <w:r w:rsidR="00F66B0A" w:rsidRPr="008A4D62">
        <w:rPr>
          <w:sz w:val="26"/>
          <w:szCs w:val="26"/>
        </w:rPr>
        <w:t>calculation purposes</w:t>
      </w:r>
      <w:r w:rsidR="00F66B0A" w:rsidRPr="000C0114">
        <w:rPr>
          <w:sz w:val="26"/>
          <w:szCs w:val="26"/>
        </w:rPr>
        <w:t>, the energy or savings benefits</w:t>
      </w:r>
      <w:r w:rsidR="00F66B0A" w:rsidRPr="008A4D62">
        <w:rPr>
          <w:sz w:val="26"/>
          <w:szCs w:val="26"/>
        </w:rPr>
        <w:t xml:space="preserve"> of any given measure be limited to a maximum of 15 years</w:t>
      </w:r>
      <w:r w:rsidR="00F66B0A">
        <w:rPr>
          <w:sz w:val="26"/>
          <w:szCs w:val="26"/>
        </w:rPr>
        <w:t>.</w:t>
      </w:r>
    </w:p>
    <w:p w:rsidR="00F66B0A" w:rsidRDefault="00F66B0A" w:rsidP="0037494A">
      <w:pPr>
        <w:spacing w:line="360" w:lineRule="auto"/>
        <w:rPr>
          <w:sz w:val="26"/>
          <w:szCs w:val="26"/>
        </w:rPr>
      </w:pPr>
    </w:p>
    <w:p w:rsidR="00F66B0A" w:rsidRPr="006847E9" w:rsidRDefault="00D54315" w:rsidP="0037494A">
      <w:pPr>
        <w:spacing w:line="360" w:lineRule="auto"/>
        <w:ind w:firstLine="720"/>
        <w:rPr>
          <w:sz w:val="26"/>
        </w:rPr>
      </w:pPr>
      <w:r w:rsidRPr="007733F3">
        <w:rPr>
          <w:sz w:val="26"/>
          <w:szCs w:val="26"/>
        </w:rPr>
        <w:t xml:space="preserve">The Commission recognizes that </w:t>
      </w:r>
      <w:r w:rsidR="007157B6" w:rsidRPr="007733F3">
        <w:rPr>
          <w:sz w:val="26"/>
          <w:szCs w:val="26"/>
        </w:rPr>
        <w:t xml:space="preserve">EE&amp;C </w:t>
      </w:r>
      <w:r w:rsidRPr="007733F3">
        <w:rPr>
          <w:sz w:val="26"/>
          <w:szCs w:val="26"/>
        </w:rPr>
        <w:t>plans may include the provision and installation of measures that may have shorter or longer useful lives than 15</w:t>
      </w:r>
      <w:r w:rsidR="009B5F73" w:rsidRPr="007733F3">
        <w:rPr>
          <w:sz w:val="26"/>
          <w:szCs w:val="26"/>
        </w:rPr>
        <w:t> </w:t>
      </w:r>
      <w:r w:rsidRPr="007733F3">
        <w:rPr>
          <w:sz w:val="26"/>
          <w:szCs w:val="26"/>
        </w:rPr>
        <w:t>years.  However, for the purposes of calculating the TRC, the definition contained in the statute limit</w:t>
      </w:r>
      <w:r w:rsidR="009B5F73" w:rsidRPr="007733F3">
        <w:rPr>
          <w:sz w:val="26"/>
          <w:szCs w:val="26"/>
        </w:rPr>
        <w:t>s</w:t>
      </w:r>
      <w:r w:rsidRPr="007733F3">
        <w:rPr>
          <w:sz w:val="26"/>
          <w:szCs w:val="26"/>
        </w:rPr>
        <w:t xml:space="preserve"> the energy or demand savings’ benefits of any given measure to a maximum of 15 years even where the measure may have a useful life beyond 15 years.  </w:t>
      </w:r>
      <w:r w:rsidR="009B5F73" w:rsidRPr="007733F3">
        <w:rPr>
          <w:sz w:val="26"/>
          <w:szCs w:val="26"/>
        </w:rPr>
        <w:t xml:space="preserve">For example, if a high-efficiency product with an expected useful life of 20 years is placed in service as a result of an EDC’s EE&amp;C plan, the annual savings of only the first 15 years </w:t>
      </w:r>
      <w:r w:rsidR="000D1262" w:rsidRPr="007733F3">
        <w:rPr>
          <w:sz w:val="26"/>
          <w:szCs w:val="26"/>
        </w:rPr>
        <w:t xml:space="preserve">will be </w:t>
      </w:r>
      <w:r w:rsidR="000D1262" w:rsidRPr="007733F3">
        <w:rPr>
          <w:sz w:val="26"/>
          <w:szCs w:val="26"/>
        </w:rPr>
        <w:lastRenderedPageBreak/>
        <w:t>factored into the cost/benefit analysis under the TRC test.</w:t>
      </w:r>
      <w:r w:rsidR="00B97E0F">
        <w:rPr>
          <w:sz w:val="26"/>
          <w:szCs w:val="26"/>
        </w:rPr>
        <w:t xml:space="preserve">  </w:t>
      </w:r>
      <w:r w:rsidR="00F66B0A" w:rsidRPr="006847E9">
        <w:rPr>
          <w:sz w:val="26"/>
        </w:rPr>
        <w:t>Accordingly, for the purposes of the TRC test calculation</w:t>
      </w:r>
      <w:r w:rsidR="00F66B0A">
        <w:rPr>
          <w:sz w:val="26"/>
        </w:rPr>
        <w:t>,</w:t>
      </w:r>
      <w:r w:rsidR="00F66B0A" w:rsidRPr="006847E9">
        <w:rPr>
          <w:sz w:val="26"/>
        </w:rPr>
        <w:t xml:space="preserve"> any given measure is limited to a maximum of 15 years of savings benefits.  </w:t>
      </w:r>
      <w:r w:rsidR="00422020">
        <w:rPr>
          <w:sz w:val="26"/>
        </w:rPr>
        <w:t>The discussion, however, is not limited to this one aspect.</w:t>
      </w:r>
    </w:p>
    <w:p w:rsidR="006601DB" w:rsidRDefault="006601DB" w:rsidP="0037494A">
      <w:pPr>
        <w:spacing w:line="360" w:lineRule="auto"/>
        <w:rPr>
          <w:sz w:val="26"/>
          <w:szCs w:val="26"/>
        </w:rPr>
      </w:pPr>
    </w:p>
    <w:p w:rsidR="000D19CF" w:rsidRDefault="00B9197B" w:rsidP="0037494A">
      <w:pPr>
        <w:spacing w:line="360" w:lineRule="auto"/>
        <w:rPr>
          <w:sz w:val="26"/>
        </w:rPr>
      </w:pPr>
      <w:r>
        <w:rPr>
          <w:sz w:val="26"/>
          <w:szCs w:val="26"/>
        </w:rPr>
        <w:tab/>
        <w:t xml:space="preserve">PPL (at 5-6) raised the </w:t>
      </w:r>
      <w:r w:rsidR="000D19CF">
        <w:rPr>
          <w:sz w:val="26"/>
          <w:szCs w:val="26"/>
        </w:rPr>
        <w:t xml:space="preserve">additional </w:t>
      </w:r>
      <w:r>
        <w:rPr>
          <w:sz w:val="26"/>
          <w:szCs w:val="26"/>
        </w:rPr>
        <w:t xml:space="preserve">issue </w:t>
      </w:r>
      <w:r w:rsidR="0055776F">
        <w:rPr>
          <w:sz w:val="26"/>
          <w:szCs w:val="26"/>
        </w:rPr>
        <w:t xml:space="preserve">of </w:t>
      </w:r>
      <w:r>
        <w:rPr>
          <w:sz w:val="26"/>
          <w:szCs w:val="26"/>
        </w:rPr>
        <w:t xml:space="preserve">measures placed into service with useful lives longer than the time remaining in an EDC’s EE&amp;C plan.  </w:t>
      </w:r>
      <w:r w:rsidR="0055776F">
        <w:rPr>
          <w:sz w:val="26"/>
          <w:szCs w:val="26"/>
        </w:rPr>
        <w:t xml:space="preserve">EAPA (at 6) suggested that if a measure has a useful life greater than 15 years, then the remaining useful life beyond 15 years should be includable in a future EE&amp;C plan.  </w:t>
      </w:r>
      <w:r w:rsidR="006601DB">
        <w:rPr>
          <w:sz w:val="26"/>
          <w:szCs w:val="26"/>
        </w:rPr>
        <w:t xml:space="preserve">LBNL </w:t>
      </w:r>
      <w:r w:rsidR="00305D2E">
        <w:rPr>
          <w:sz w:val="26"/>
          <w:szCs w:val="26"/>
        </w:rPr>
        <w:t xml:space="preserve">(at 6) suggested that measures with useful lives beyond 15 years be specifically identified in an EDC’s plan and reports.  </w:t>
      </w:r>
      <w:r w:rsidR="00D25F66" w:rsidRPr="006847E9">
        <w:rPr>
          <w:sz w:val="26"/>
        </w:rPr>
        <w:t>PPL and EAPA</w:t>
      </w:r>
      <w:r w:rsidR="000D19CF">
        <w:rPr>
          <w:sz w:val="26"/>
        </w:rPr>
        <w:t xml:space="preserve">, in essence, </w:t>
      </w:r>
      <w:r w:rsidR="00D25F66">
        <w:rPr>
          <w:sz w:val="26"/>
        </w:rPr>
        <w:t>request</w:t>
      </w:r>
      <w:r w:rsidR="000D19CF">
        <w:rPr>
          <w:sz w:val="26"/>
        </w:rPr>
        <w:t xml:space="preserve">ed </w:t>
      </w:r>
      <w:r w:rsidR="00D25F66">
        <w:rPr>
          <w:sz w:val="26"/>
        </w:rPr>
        <w:t xml:space="preserve">that we permit the </w:t>
      </w:r>
      <w:r w:rsidR="00D25F66" w:rsidRPr="006847E9">
        <w:rPr>
          <w:sz w:val="26"/>
        </w:rPr>
        <w:t xml:space="preserve">inclusion of measures with lives greater than 15 years in the </w:t>
      </w:r>
      <w:r w:rsidR="00320BDB">
        <w:rPr>
          <w:sz w:val="26"/>
        </w:rPr>
        <w:t>e</w:t>
      </w:r>
      <w:r w:rsidR="00D25F66" w:rsidRPr="006847E9">
        <w:rPr>
          <w:sz w:val="26"/>
        </w:rPr>
        <w:t xml:space="preserve">valuation </w:t>
      </w:r>
      <w:r w:rsidR="00320BDB">
        <w:rPr>
          <w:sz w:val="26"/>
        </w:rPr>
        <w:t>m</w:t>
      </w:r>
      <w:r w:rsidR="00D25F66" w:rsidRPr="006847E9">
        <w:rPr>
          <w:sz w:val="26"/>
        </w:rPr>
        <w:t xml:space="preserve">easurement and </w:t>
      </w:r>
      <w:r w:rsidR="00320BDB">
        <w:rPr>
          <w:sz w:val="26"/>
        </w:rPr>
        <w:t>v</w:t>
      </w:r>
      <w:r w:rsidR="00D25F66" w:rsidRPr="006847E9">
        <w:rPr>
          <w:sz w:val="26"/>
        </w:rPr>
        <w:t xml:space="preserve">aluation (EM&amp;V) process.  </w:t>
      </w:r>
    </w:p>
    <w:p w:rsidR="000D19CF" w:rsidRDefault="000D19CF" w:rsidP="0037494A">
      <w:pPr>
        <w:spacing w:line="360" w:lineRule="auto"/>
        <w:rPr>
          <w:sz w:val="26"/>
        </w:rPr>
      </w:pPr>
    </w:p>
    <w:p w:rsidR="00D54315" w:rsidRPr="007733F3" w:rsidRDefault="00D25F66" w:rsidP="000D19CF">
      <w:pPr>
        <w:spacing w:line="360" w:lineRule="auto"/>
        <w:ind w:firstLine="720"/>
        <w:rPr>
          <w:sz w:val="26"/>
          <w:szCs w:val="26"/>
        </w:rPr>
      </w:pPr>
      <w:r w:rsidRPr="006847E9">
        <w:rPr>
          <w:sz w:val="26"/>
        </w:rPr>
        <w:t>We agree that for the purposes of capturing the energy or demand savings in EM&amp;V protocols, savings beyond 15 years</w:t>
      </w:r>
      <w:r>
        <w:rPr>
          <w:sz w:val="26"/>
        </w:rPr>
        <w:t xml:space="preserve">, or beyond the term of a particular EE&amp;C plan, </w:t>
      </w:r>
      <w:r w:rsidRPr="006847E9">
        <w:rPr>
          <w:sz w:val="26"/>
        </w:rPr>
        <w:t>should be captured where warranted and may also be included in future EE&amp;C plans.  In this way the full savings of measure with lives beyond 15 years will be captured, reported and credited to the Act 129 Programs.</w:t>
      </w:r>
      <w:r>
        <w:rPr>
          <w:sz w:val="26"/>
        </w:rPr>
        <w:t xml:space="preserve">  The suggestion that EDCs identify and report measures with useful lives expected to exceed 15 years will facilitate the capture of benefits that would otherwise not be factored into a TRC test.  Accordingly, useful lives longer than 15 years will be identified and reported</w:t>
      </w:r>
      <w:r w:rsidR="00750EAE">
        <w:rPr>
          <w:sz w:val="26"/>
        </w:rPr>
        <w:t>,</w:t>
      </w:r>
      <w:r>
        <w:rPr>
          <w:sz w:val="26"/>
        </w:rPr>
        <w:t xml:space="preserve"> and benefits from useful lives that exceed 15 years or the end of EE&amp;C plan during which they are placed in service may be carried forward to the next EE&amp;C plan</w:t>
      </w:r>
      <w:r w:rsidR="00750EAE">
        <w:rPr>
          <w:sz w:val="26"/>
        </w:rPr>
        <w:t xml:space="preserve"> providing such measures could have been included in the new plan</w:t>
      </w:r>
      <w:r>
        <w:rPr>
          <w:sz w:val="26"/>
        </w:rPr>
        <w:t xml:space="preserve"> </w:t>
      </w:r>
      <w:r w:rsidR="00750EAE">
        <w:rPr>
          <w:sz w:val="26"/>
        </w:rPr>
        <w:t>under the requirements then in effect for plan inclusion.</w:t>
      </w:r>
    </w:p>
    <w:p w:rsidR="00EA7C9E" w:rsidRPr="007733F3" w:rsidRDefault="00EA7C9E" w:rsidP="0037494A">
      <w:pPr>
        <w:pStyle w:val="p3"/>
        <w:widowControl/>
        <w:spacing w:line="360" w:lineRule="auto"/>
        <w:rPr>
          <w:sz w:val="26"/>
          <w:szCs w:val="26"/>
        </w:rPr>
      </w:pPr>
    </w:p>
    <w:p w:rsidR="00695205" w:rsidRPr="007733F3" w:rsidRDefault="00695205" w:rsidP="0037494A">
      <w:pPr>
        <w:keepNext/>
        <w:spacing w:line="360" w:lineRule="auto"/>
        <w:ind w:firstLine="720"/>
        <w:rPr>
          <w:b/>
          <w:sz w:val="26"/>
          <w:szCs w:val="26"/>
        </w:rPr>
      </w:pPr>
      <w:r w:rsidRPr="007733F3">
        <w:rPr>
          <w:b/>
          <w:sz w:val="26"/>
          <w:szCs w:val="26"/>
        </w:rPr>
        <w:lastRenderedPageBreak/>
        <w:t xml:space="preserve">(d)  Incentive Payments from </w:t>
      </w:r>
      <w:r w:rsidR="00332A62">
        <w:rPr>
          <w:b/>
          <w:sz w:val="26"/>
          <w:szCs w:val="26"/>
        </w:rPr>
        <w:t>an EDC</w:t>
      </w:r>
    </w:p>
    <w:p w:rsidR="00695205" w:rsidRPr="007733F3" w:rsidRDefault="00695205" w:rsidP="0037494A">
      <w:pPr>
        <w:keepNext/>
        <w:spacing w:line="360" w:lineRule="auto"/>
        <w:rPr>
          <w:sz w:val="26"/>
          <w:szCs w:val="26"/>
        </w:rPr>
      </w:pPr>
    </w:p>
    <w:p w:rsidR="00772189" w:rsidRPr="00E75F4D" w:rsidRDefault="00772189" w:rsidP="0037494A">
      <w:pPr>
        <w:spacing w:line="360" w:lineRule="auto"/>
        <w:ind w:firstLine="720"/>
        <w:rPr>
          <w:sz w:val="26"/>
          <w:szCs w:val="26"/>
        </w:rPr>
      </w:pPr>
      <w:r w:rsidRPr="00E75F4D">
        <w:rPr>
          <w:sz w:val="26"/>
          <w:szCs w:val="26"/>
        </w:rPr>
        <w:t xml:space="preserve">The </w:t>
      </w:r>
      <w:r w:rsidRPr="00E75F4D">
        <w:rPr>
          <w:i/>
          <w:sz w:val="26"/>
          <w:szCs w:val="26"/>
        </w:rPr>
        <w:t>Implementation Order</w:t>
      </w:r>
      <w:r w:rsidRPr="00E75F4D">
        <w:rPr>
          <w:sz w:val="26"/>
          <w:szCs w:val="26"/>
        </w:rPr>
        <w:t xml:space="preserve"> directs that the TRC test take into account the effects of an EE&amp;C plan on both participating and non-participating customers based on costs incurred by the EDC and participating customers.  </w:t>
      </w:r>
      <w:r>
        <w:rPr>
          <w:sz w:val="26"/>
          <w:szCs w:val="26"/>
        </w:rPr>
        <w:t xml:space="preserve">In the TRC test </w:t>
      </w:r>
      <w:r w:rsidR="00810E21">
        <w:rPr>
          <w:sz w:val="26"/>
          <w:szCs w:val="26"/>
        </w:rPr>
        <w:t>proposal</w:t>
      </w:r>
      <w:r>
        <w:rPr>
          <w:sz w:val="26"/>
          <w:szCs w:val="26"/>
        </w:rPr>
        <w:t>, we proposed that</w:t>
      </w:r>
      <w:r w:rsidRPr="00E75F4D">
        <w:rPr>
          <w:sz w:val="26"/>
          <w:szCs w:val="26"/>
        </w:rPr>
        <w:t xml:space="preserve"> costs calculated in the TRC test w</w:t>
      </w:r>
      <w:r>
        <w:rPr>
          <w:sz w:val="26"/>
          <w:szCs w:val="26"/>
        </w:rPr>
        <w:t>ould</w:t>
      </w:r>
      <w:r w:rsidRPr="00E75F4D">
        <w:rPr>
          <w:sz w:val="26"/>
          <w:szCs w:val="26"/>
        </w:rPr>
        <w:t xml:space="preserve"> include EE&amp;C plan costs whether paid by the EDC or by the participants.  Incentive payments from an EDC to a customer w</w:t>
      </w:r>
      <w:r>
        <w:rPr>
          <w:sz w:val="26"/>
          <w:szCs w:val="26"/>
        </w:rPr>
        <w:t>ould</w:t>
      </w:r>
      <w:r w:rsidRPr="00E75F4D">
        <w:rPr>
          <w:sz w:val="26"/>
          <w:szCs w:val="26"/>
        </w:rPr>
        <w:t xml:space="preserve"> not be included in the TRC test because such costs </w:t>
      </w:r>
      <w:r>
        <w:rPr>
          <w:sz w:val="26"/>
          <w:szCs w:val="26"/>
        </w:rPr>
        <w:t xml:space="preserve">would be </w:t>
      </w:r>
      <w:r w:rsidRPr="00E75F4D">
        <w:rPr>
          <w:sz w:val="26"/>
          <w:szCs w:val="26"/>
        </w:rPr>
        <w:t xml:space="preserve">a cost to the EDC and a benefit to the customer that </w:t>
      </w:r>
      <w:r>
        <w:rPr>
          <w:sz w:val="26"/>
          <w:szCs w:val="26"/>
        </w:rPr>
        <w:t xml:space="preserve">would </w:t>
      </w:r>
      <w:r w:rsidRPr="00E75F4D">
        <w:rPr>
          <w:sz w:val="26"/>
          <w:szCs w:val="26"/>
        </w:rPr>
        <w:t xml:space="preserve">cancel each other out.  </w:t>
      </w:r>
    </w:p>
    <w:p w:rsidR="00657BCD" w:rsidRDefault="00657BCD" w:rsidP="0037494A">
      <w:pPr>
        <w:spacing w:line="360" w:lineRule="auto"/>
        <w:ind w:firstLine="720"/>
        <w:rPr>
          <w:sz w:val="26"/>
          <w:szCs w:val="26"/>
        </w:rPr>
      </w:pPr>
    </w:p>
    <w:p w:rsidR="00332A62" w:rsidRPr="007733F3" w:rsidRDefault="00772189" w:rsidP="0037494A">
      <w:pPr>
        <w:spacing w:line="360" w:lineRule="auto"/>
        <w:ind w:firstLine="720"/>
        <w:rPr>
          <w:sz w:val="26"/>
          <w:szCs w:val="26"/>
        </w:rPr>
      </w:pPr>
      <w:r w:rsidRPr="00E75F4D">
        <w:rPr>
          <w:sz w:val="26"/>
          <w:szCs w:val="26"/>
        </w:rPr>
        <w:t>PECO (</w:t>
      </w:r>
      <w:r>
        <w:rPr>
          <w:sz w:val="26"/>
          <w:szCs w:val="26"/>
        </w:rPr>
        <w:t>at</w:t>
      </w:r>
      <w:r w:rsidRPr="00E75F4D">
        <w:rPr>
          <w:sz w:val="26"/>
          <w:szCs w:val="26"/>
        </w:rPr>
        <w:t xml:space="preserve"> 6), </w:t>
      </w:r>
      <w:r>
        <w:rPr>
          <w:sz w:val="26"/>
          <w:szCs w:val="26"/>
        </w:rPr>
        <w:t xml:space="preserve">the Joint Supporters </w:t>
      </w:r>
      <w:r w:rsidRPr="00E75F4D">
        <w:rPr>
          <w:sz w:val="26"/>
          <w:szCs w:val="26"/>
        </w:rPr>
        <w:t>(</w:t>
      </w:r>
      <w:r>
        <w:rPr>
          <w:sz w:val="26"/>
          <w:szCs w:val="26"/>
        </w:rPr>
        <w:t>at</w:t>
      </w:r>
      <w:r w:rsidRPr="00E75F4D">
        <w:rPr>
          <w:sz w:val="26"/>
          <w:szCs w:val="26"/>
        </w:rPr>
        <w:t xml:space="preserve"> 5)</w:t>
      </w:r>
      <w:r>
        <w:rPr>
          <w:sz w:val="26"/>
          <w:szCs w:val="26"/>
        </w:rPr>
        <w:t>,</w:t>
      </w:r>
      <w:r w:rsidRPr="00E75F4D">
        <w:rPr>
          <w:sz w:val="26"/>
          <w:szCs w:val="26"/>
        </w:rPr>
        <w:t xml:space="preserve"> and OCA (</w:t>
      </w:r>
      <w:r>
        <w:rPr>
          <w:sz w:val="26"/>
          <w:szCs w:val="26"/>
        </w:rPr>
        <w:t>at</w:t>
      </w:r>
      <w:r w:rsidRPr="00E75F4D">
        <w:rPr>
          <w:sz w:val="26"/>
          <w:szCs w:val="26"/>
        </w:rPr>
        <w:t xml:space="preserve"> 4) expressed agreement with the Commission’s proposed language regarding incentive payments from an EDC.  PPL (</w:t>
      </w:r>
      <w:r>
        <w:rPr>
          <w:sz w:val="26"/>
          <w:szCs w:val="26"/>
        </w:rPr>
        <w:t xml:space="preserve">at </w:t>
      </w:r>
      <w:r w:rsidRPr="00E75F4D">
        <w:rPr>
          <w:sz w:val="26"/>
          <w:szCs w:val="26"/>
        </w:rPr>
        <w:t>6) and EAPA (</w:t>
      </w:r>
      <w:r>
        <w:rPr>
          <w:sz w:val="26"/>
          <w:szCs w:val="26"/>
        </w:rPr>
        <w:t>at</w:t>
      </w:r>
      <w:r w:rsidRPr="00E75F4D">
        <w:rPr>
          <w:sz w:val="26"/>
          <w:szCs w:val="26"/>
        </w:rPr>
        <w:t xml:space="preserve"> 6) both comment</w:t>
      </w:r>
      <w:r>
        <w:rPr>
          <w:sz w:val="26"/>
          <w:szCs w:val="26"/>
        </w:rPr>
        <w:t>ed</w:t>
      </w:r>
      <w:r w:rsidRPr="00E75F4D">
        <w:rPr>
          <w:sz w:val="26"/>
          <w:szCs w:val="26"/>
        </w:rPr>
        <w:t xml:space="preserve"> that the proposed language could be read as being </w:t>
      </w:r>
      <w:r w:rsidR="00DE79CB" w:rsidRPr="00E75F4D">
        <w:rPr>
          <w:sz w:val="26"/>
          <w:szCs w:val="26"/>
        </w:rPr>
        <w:t>incons</w:t>
      </w:r>
      <w:r w:rsidR="00DE79CB">
        <w:rPr>
          <w:sz w:val="26"/>
          <w:szCs w:val="26"/>
        </w:rPr>
        <w:t>is</w:t>
      </w:r>
      <w:r w:rsidR="00DE79CB" w:rsidRPr="00E75F4D">
        <w:rPr>
          <w:sz w:val="26"/>
          <w:szCs w:val="26"/>
        </w:rPr>
        <w:t>tent</w:t>
      </w:r>
      <w:r w:rsidRPr="00E75F4D">
        <w:rPr>
          <w:sz w:val="26"/>
          <w:szCs w:val="26"/>
        </w:rPr>
        <w:t xml:space="preserve"> and suggest</w:t>
      </w:r>
      <w:r>
        <w:rPr>
          <w:sz w:val="26"/>
          <w:szCs w:val="26"/>
        </w:rPr>
        <w:t>ed</w:t>
      </w:r>
      <w:r w:rsidRPr="00E75F4D">
        <w:rPr>
          <w:sz w:val="26"/>
          <w:szCs w:val="26"/>
        </w:rPr>
        <w:t xml:space="preserve"> the addition of two words </w:t>
      </w:r>
      <w:r>
        <w:rPr>
          <w:sz w:val="26"/>
          <w:szCs w:val="26"/>
        </w:rPr>
        <w:t>(“generally” and “however”</w:t>
      </w:r>
      <w:r w:rsidR="00F6224B">
        <w:rPr>
          <w:sz w:val="26"/>
          <w:szCs w:val="26"/>
        </w:rPr>
        <w:t>)</w:t>
      </w:r>
      <w:r>
        <w:rPr>
          <w:sz w:val="26"/>
          <w:szCs w:val="26"/>
        </w:rPr>
        <w:t xml:space="preserve"> </w:t>
      </w:r>
      <w:r w:rsidRPr="00E75F4D">
        <w:rPr>
          <w:sz w:val="26"/>
          <w:szCs w:val="26"/>
        </w:rPr>
        <w:t xml:space="preserve">to </w:t>
      </w:r>
      <w:r>
        <w:rPr>
          <w:sz w:val="26"/>
          <w:szCs w:val="26"/>
        </w:rPr>
        <w:t xml:space="preserve">clarify the proposal and </w:t>
      </w:r>
      <w:r w:rsidRPr="00E75F4D">
        <w:rPr>
          <w:sz w:val="26"/>
          <w:szCs w:val="26"/>
        </w:rPr>
        <w:t xml:space="preserve">avoid uncertainty.  </w:t>
      </w:r>
      <w:r>
        <w:rPr>
          <w:sz w:val="26"/>
          <w:szCs w:val="26"/>
        </w:rPr>
        <w:t xml:space="preserve">We agree </w:t>
      </w:r>
      <w:r w:rsidR="00247D3E">
        <w:rPr>
          <w:sz w:val="26"/>
          <w:szCs w:val="26"/>
        </w:rPr>
        <w:t xml:space="preserve">with </w:t>
      </w:r>
      <w:r>
        <w:rPr>
          <w:sz w:val="26"/>
          <w:szCs w:val="26"/>
        </w:rPr>
        <w:t>this suggestion</w:t>
      </w:r>
      <w:r w:rsidR="00A83CA4">
        <w:rPr>
          <w:sz w:val="26"/>
          <w:szCs w:val="26"/>
        </w:rPr>
        <w:t xml:space="preserve">.  Accordingly, </w:t>
      </w:r>
      <w:r>
        <w:rPr>
          <w:sz w:val="26"/>
          <w:szCs w:val="26"/>
        </w:rPr>
        <w:t>c</w:t>
      </w:r>
      <w:r w:rsidRPr="00E75F4D">
        <w:rPr>
          <w:sz w:val="26"/>
          <w:szCs w:val="26"/>
        </w:rPr>
        <w:t xml:space="preserve">osts calculated in the TRC test will </w:t>
      </w:r>
      <w:r w:rsidRPr="005C5896">
        <w:rPr>
          <w:sz w:val="26"/>
          <w:szCs w:val="26"/>
        </w:rPr>
        <w:t>generally i</w:t>
      </w:r>
      <w:r w:rsidRPr="00E75F4D">
        <w:rPr>
          <w:sz w:val="26"/>
          <w:szCs w:val="26"/>
        </w:rPr>
        <w:t xml:space="preserve">nclude EE&amp;C plan costs whether paid by the EDC or by the participants.  </w:t>
      </w:r>
      <w:r>
        <w:rPr>
          <w:sz w:val="26"/>
          <w:szCs w:val="26"/>
        </w:rPr>
        <w:t>I</w:t>
      </w:r>
      <w:r w:rsidRPr="00E75F4D">
        <w:rPr>
          <w:sz w:val="26"/>
          <w:szCs w:val="26"/>
        </w:rPr>
        <w:t>ncentive payments from an EDC to a customer will not</w:t>
      </w:r>
      <w:r>
        <w:rPr>
          <w:sz w:val="26"/>
          <w:szCs w:val="26"/>
        </w:rPr>
        <w:t>, however,</w:t>
      </w:r>
      <w:r w:rsidRPr="00E75F4D">
        <w:rPr>
          <w:sz w:val="26"/>
          <w:szCs w:val="26"/>
        </w:rPr>
        <w:t xml:space="preserve"> be included in the TRC test because such costs are a cost to the EDC and a benefit to the customer that cancel each other out.</w:t>
      </w:r>
    </w:p>
    <w:p w:rsidR="00332A62" w:rsidRDefault="00332A62" w:rsidP="0037494A">
      <w:pPr>
        <w:spacing w:line="360" w:lineRule="auto"/>
        <w:ind w:firstLine="720"/>
        <w:rPr>
          <w:sz w:val="26"/>
          <w:szCs w:val="26"/>
        </w:rPr>
      </w:pPr>
    </w:p>
    <w:p w:rsidR="00332A62" w:rsidRDefault="00332A62" w:rsidP="0037494A">
      <w:pPr>
        <w:keepNext/>
        <w:spacing w:line="360" w:lineRule="auto"/>
        <w:ind w:firstLine="720"/>
        <w:rPr>
          <w:sz w:val="26"/>
          <w:szCs w:val="26"/>
        </w:rPr>
      </w:pPr>
      <w:r w:rsidRPr="007733F3">
        <w:rPr>
          <w:b/>
          <w:sz w:val="26"/>
          <w:szCs w:val="26"/>
        </w:rPr>
        <w:t>(</w:t>
      </w:r>
      <w:r>
        <w:rPr>
          <w:b/>
          <w:sz w:val="26"/>
          <w:szCs w:val="26"/>
        </w:rPr>
        <w:t>e</w:t>
      </w:r>
      <w:r w:rsidRPr="007733F3">
        <w:rPr>
          <w:b/>
          <w:sz w:val="26"/>
          <w:szCs w:val="26"/>
        </w:rPr>
        <w:t xml:space="preserve">)  Incentive Payments from </w:t>
      </w:r>
      <w:r>
        <w:rPr>
          <w:b/>
          <w:sz w:val="26"/>
          <w:szCs w:val="26"/>
        </w:rPr>
        <w:t>Outside Sources</w:t>
      </w:r>
    </w:p>
    <w:p w:rsidR="00332A62" w:rsidRDefault="00332A62" w:rsidP="0037494A">
      <w:pPr>
        <w:keepNext/>
        <w:spacing w:line="360" w:lineRule="auto"/>
        <w:ind w:firstLine="720"/>
        <w:rPr>
          <w:sz w:val="26"/>
          <w:szCs w:val="26"/>
        </w:rPr>
      </w:pPr>
    </w:p>
    <w:p w:rsidR="009556EC" w:rsidRDefault="003128D0" w:rsidP="0037494A">
      <w:pPr>
        <w:spacing w:line="360" w:lineRule="auto"/>
        <w:ind w:firstLine="720"/>
        <w:rPr>
          <w:sz w:val="26"/>
          <w:szCs w:val="26"/>
        </w:rPr>
      </w:pPr>
      <w:r>
        <w:rPr>
          <w:sz w:val="26"/>
          <w:szCs w:val="26"/>
        </w:rPr>
        <w:t xml:space="preserve">Consistent with </w:t>
      </w:r>
      <w:r w:rsidRPr="007733F3">
        <w:rPr>
          <w:sz w:val="26"/>
          <w:szCs w:val="26"/>
        </w:rPr>
        <w:t xml:space="preserve">the </w:t>
      </w:r>
      <w:r w:rsidRPr="007733F3">
        <w:rPr>
          <w:i/>
          <w:sz w:val="26"/>
          <w:szCs w:val="26"/>
        </w:rPr>
        <w:t>California Manual</w:t>
      </w:r>
      <w:r>
        <w:rPr>
          <w:sz w:val="26"/>
          <w:szCs w:val="26"/>
        </w:rPr>
        <w:t>,</w:t>
      </w:r>
      <w:r w:rsidRPr="007733F3">
        <w:rPr>
          <w:sz w:val="26"/>
          <w:szCs w:val="26"/>
        </w:rPr>
        <w:t xml:space="preserve"> tax credits </w:t>
      </w:r>
      <w:r>
        <w:rPr>
          <w:sz w:val="26"/>
          <w:szCs w:val="26"/>
        </w:rPr>
        <w:t xml:space="preserve">will be </w:t>
      </w:r>
      <w:r w:rsidRPr="007733F3">
        <w:rPr>
          <w:sz w:val="26"/>
          <w:szCs w:val="26"/>
        </w:rPr>
        <w:t xml:space="preserve">considered a reduction to costs </w:t>
      </w:r>
      <w:r>
        <w:rPr>
          <w:sz w:val="26"/>
          <w:szCs w:val="26"/>
        </w:rPr>
        <w:t xml:space="preserve">for the TRC </w:t>
      </w:r>
      <w:r w:rsidRPr="007733F3">
        <w:rPr>
          <w:sz w:val="26"/>
          <w:szCs w:val="26"/>
        </w:rPr>
        <w:t>test.</w:t>
      </w:r>
      <w:r w:rsidR="00CE38DA">
        <w:rPr>
          <w:sz w:val="26"/>
          <w:szCs w:val="26"/>
        </w:rPr>
        <w:t xml:space="preserve">  </w:t>
      </w:r>
    </w:p>
    <w:p w:rsidR="009556EC" w:rsidRDefault="009556EC" w:rsidP="0037494A">
      <w:pPr>
        <w:spacing w:line="360" w:lineRule="auto"/>
        <w:ind w:firstLine="720"/>
        <w:rPr>
          <w:sz w:val="26"/>
          <w:szCs w:val="26"/>
        </w:rPr>
      </w:pPr>
    </w:p>
    <w:p w:rsidR="00CE38DA" w:rsidRDefault="00CE6273" w:rsidP="0037494A">
      <w:pPr>
        <w:spacing w:line="360" w:lineRule="auto"/>
        <w:ind w:firstLine="720"/>
        <w:rPr>
          <w:sz w:val="26"/>
          <w:szCs w:val="26"/>
        </w:rPr>
      </w:pPr>
      <w:r>
        <w:rPr>
          <w:sz w:val="26"/>
          <w:szCs w:val="26"/>
        </w:rPr>
        <w:t>Also, i</w:t>
      </w:r>
      <w:r w:rsidR="00FB7142">
        <w:rPr>
          <w:sz w:val="26"/>
          <w:szCs w:val="26"/>
        </w:rPr>
        <w:t xml:space="preserve">t is possible that </w:t>
      </w:r>
      <w:r w:rsidR="00CC5B16">
        <w:rPr>
          <w:sz w:val="26"/>
          <w:szCs w:val="26"/>
        </w:rPr>
        <w:t xml:space="preserve">some </w:t>
      </w:r>
      <w:r w:rsidR="00FB7142">
        <w:rPr>
          <w:sz w:val="26"/>
          <w:szCs w:val="26"/>
        </w:rPr>
        <w:t xml:space="preserve">customers </w:t>
      </w:r>
      <w:r w:rsidR="00CC5B16">
        <w:rPr>
          <w:sz w:val="26"/>
          <w:szCs w:val="26"/>
        </w:rPr>
        <w:t xml:space="preserve">may </w:t>
      </w:r>
      <w:r w:rsidR="00FB7142">
        <w:rPr>
          <w:sz w:val="26"/>
          <w:szCs w:val="26"/>
        </w:rPr>
        <w:t xml:space="preserve">participate simultaneously </w:t>
      </w:r>
      <w:r w:rsidR="00CC5B16">
        <w:rPr>
          <w:sz w:val="26"/>
          <w:szCs w:val="26"/>
        </w:rPr>
        <w:t xml:space="preserve">in </w:t>
      </w:r>
      <w:r w:rsidR="00FB7142">
        <w:rPr>
          <w:sz w:val="26"/>
          <w:szCs w:val="26"/>
        </w:rPr>
        <w:t>Act</w:t>
      </w:r>
      <w:r>
        <w:rPr>
          <w:sz w:val="26"/>
          <w:szCs w:val="26"/>
        </w:rPr>
        <w:t> </w:t>
      </w:r>
      <w:r w:rsidR="00FB7142">
        <w:rPr>
          <w:sz w:val="26"/>
          <w:szCs w:val="26"/>
        </w:rPr>
        <w:t xml:space="preserve">1 programs and </w:t>
      </w:r>
      <w:r w:rsidR="0052697F">
        <w:rPr>
          <w:sz w:val="26"/>
          <w:szCs w:val="26"/>
        </w:rPr>
        <w:t xml:space="preserve">in </w:t>
      </w:r>
      <w:r w:rsidR="00FB7142">
        <w:rPr>
          <w:sz w:val="26"/>
          <w:szCs w:val="26"/>
        </w:rPr>
        <w:t>Act 129 pr</w:t>
      </w:r>
      <w:r w:rsidR="00EA7F2B">
        <w:rPr>
          <w:sz w:val="26"/>
          <w:szCs w:val="26"/>
        </w:rPr>
        <w:t>ograms</w:t>
      </w:r>
      <w:r w:rsidR="00FB7142">
        <w:rPr>
          <w:sz w:val="26"/>
          <w:szCs w:val="26"/>
        </w:rPr>
        <w:t xml:space="preserve">.  </w:t>
      </w:r>
      <w:r w:rsidR="00FB7142" w:rsidRPr="007733F3">
        <w:rPr>
          <w:sz w:val="26"/>
          <w:szCs w:val="26"/>
        </w:rPr>
        <w:t xml:space="preserve">This situation gives rise to the possibility that an end-use customer could be a recipient of an incentive/rebate from both Act 1 and Act 129 programs.  </w:t>
      </w:r>
      <w:r w:rsidR="00695205" w:rsidRPr="007733F3">
        <w:rPr>
          <w:sz w:val="26"/>
          <w:szCs w:val="26"/>
        </w:rPr>
        <w:t>The amount of incentives that P</w:t>
      </w:r>
      <w:r w:rsidR="00F6224B">
        <w:rPr>
          <w:sz w:val="26"/>
          <w:szCs w:val="26"/>
        </w:rPr>
        <w:t>ennsylvania</w:t>
      </w:r>
      <w:r w:rsidR="00695205" w:rsidRPr="007733F3">
        <w:rPr>
          <w:sz w:val="26"/>
          <w:szCs w:val="26"/>
        </w:rPr>
        <w:t xml:space="preserve"> customers can receive for energy </w:t>
      </w:r>
      <w:r w:rsidR="00695205" w:rsidRPr="007733F3">
        <w:rPr>
          <w:sz w:val="26"/>
          <w:szCs w:val="26"/>
        </w:rPr>
        <w:lastRenderedPageBreak/>
        <w:t>efficiency and conservation measure</w:t>
      </w:r>
      <w:r w:rsidR="008D28D8">
        <w:rPr>
          <w:sz w:val="26"/>
          <w:szCs w:val="26"/>
        </w:rPr>
        <w:t>s</w:t>
      </w:r>
      <w:r w:rsidR="00695205" w:rsidRPr="007733F3">
        <w:rPr>
          <w:sz w:val="26"/>
          <w:szCs w:val="26"/>
        </w:rPr>
        <w:t xml:space="preserve"> have </w:t>
      </w:r>
      <w:r w:rsidR="008D448B">
        <w:rPr>
          <w:sz w:val="26"/>
          <w:szCs w:val="26"/>
        </w:rPr>
        <w:t xml:space="preserve">expanded </w:t>
      </w:r>
      <w:r w:rsidR="00695205" w:rsidRPr="007733F3">
        <w:rPr>
          <w:sz w:val="26"/>
          <w:szCs w:val="26"/>
        </w:rPr>
        <w:t xml:space="preserve">and will </w:t>
      </w:r>
      <w:r w:rsidR="008D448B">
        <w:rPr>
          <w:sz w:val="26"/>
          <w:szCs w:val="26"/>
        </w:rPr>
        <w:t xml:space="preserve">likely continue to </w:t>
      </w:r>
      <w:r w:rsidR="00695205" w:rsidRPr="007733F3">
        <w:rPr>
          <w:sz w:val="26"/>
          <w:szCs w:val="26"/>
        </w:rPr>
        <w:t>expand as new programs develop from the implementation of</w:t>
      </w:r>
      <w:r w:rsidR="008D448B">
        <w:rPr>
          <w:sz w:val="26"/>
          <w:szCs w:val="26"/>
        </w:rPr>
        <w:t xml:space="preserve"> Act 1</w:t>
      </w:r>
      <w:r w:rsidR="00695205" w:rsidRPr="007733F3">
        <w:rPr>
          <w:sz w:val="26"/>
          <w:szCs w:val="26"/>
        </w:rPr>
        <w:t xml:space="preserve"> and from moneys received through the American Recovery and Reinvestment Act of 2009.  </w:t>
      </w:r>
    </w:p>
    <w:p w:rsidR="00CE38DA" w:rsidRDefault="00CE38DA" w:rsidP="0037494A">
      <w:pPr>
        <w:spacing w:line="360" w:lineRule="auto"/>
        <w:ind w:firstLine="720"/>
        <w:rPr>
          <w:sz w:val="26"/>
          <w:szCs w:val="26"/>
        </w:rPr>
      </w:pPr>
    </w:p>
    <w:p w:rsidR="00695205" w:rsidRPr="007733F3" w:rsidRDefault="00695205" w:rsidP="0037494A">
      <w:pPr>
        <w:spacing w:line="360" w:lineRule="auto"/>
        <w:ind w:firstLine="720"/>
        <w:rPr>
          <w:sz w:val="26"/>
          <w:szCs w:val="26"/>
        </w:rPr>
      </w:pPr>
      <w:r w:rsidRPr="007733F3">
        <w:rPr>
          <w:sz w:val="26"/>
          <w:szCs w:val="26"/>
        </w:rPr>
        <w:t xml:space="preserve">In </w:t>
      </w:r>
      <w:r w:rsidR="00F62075">
        <w:rPr>
          <w:sz w:val="26"/>
          <w:szCs w:val="26"/>
        </w:rPr>
        <w:t xml:space="preserve">the TRC test </w:t>
      </w:r>
      <w:r w:rsidR="00810E21">
        <w:rPr>
          <w:sz w:val="26"/>
          <w:szCs w:val="26"/>
        </w:rPr>
        <w:t>proposal</w:t>
      </w:r>
      <w:r w:rsidR="00F62075">
        <w:rPr>
          <w:sz w:val="26"/>
          <w:szCs w:val="26"/>
        </w:rPr>
        <w:t xml:space="preserve">, we proposed that </w:t>
      </w:r>
      <w:r w:rsidRPr="007733F3">
        <w:rPr>
          <w:sz w:val="26"/>
          <w:szCs w:val="26"/>
        </w:rPr>
        <w:t xml:space="preserve">incentive payments from sources outside of the Act 129 programs </w:t>
      </w:r>
      <w:r w:rsidR="00F62075">
        <w:rPr>
          <w:sz w:val="26"/>
          <w:szCs w:val="26"/>
        </w:rPr>
        <w:t xml:space="preserve">should be considered </w:t>
      </w:r>
      <w:r w:rsidRPr="007733F3">
        <w:rPr>
          <w:sz w:val="26"/>
          <w:szCs w:val="26"/>
        </w:rPr>
        <w:t>benefit</w:t>
      </w:r>
      <w:r w:rsidR="000D19CF">
        <w:rPr>
          <w:sz w:val="26"/>
          <w:szCs w:val="26"/>
        </w:rPr>
        <w:t>s</w:t>
      </w:r>
      <w:r w:rsidRPr="007733F3">
        <w:rPr>
          <w:sz w:val="26"/>
          <w:szCs w:val="26"/>
        </w:rPr>
        <w:t xml:space="preserve"> that decrease costs to customers participating in programs and should be accounted for in the TRC calculations.  These incentives, whether they be rebates or tax credits</w:t>
      </w:r>
      <w:r w:rsidR="00F6224B">
        <w:rPr>
          <w:sz w:val="26"/>
          <w:szCs w:val="26"/>
        </w:rPr>
        <w:t>,</w:t>
      </w:r>
      <w:r w:rsidRPr="007733F3">
        <w:rPr>
          <w:sz w:val="26"/>
          <w:szCs w:val="26"/>
        </w:rPr>
        <w:t xml:space="preserve"> w</w:t>
      </w:r>
      <w:r w:rsidR="00F62075">
        <w:rPr>
          <w:sz w:val="26"/>
          <w:szCs w:val="26"/>
        </w:rPr>
        <w:t xml:space="preserve">ould </w:t>
      </w:r>
      <w:r w:rsidRPr="007733F3">
        <w:rPr>
          <w:sz w:val="26"/>
          <w:szCs w:val="26"/>
        </w:rPr>
        <w:t>reduce the participat</w:t>
      </w:r>
      <w:r w:rsidR="00E15938">
        <w:rPr>
          <w:sz w:val="26"/>
          <w:szCs w:val="26"/>
        </w:rPr>
        <w:t>ing customers’</w:t>
      </w:r>
      <w:r w:rsidRPr="007733F3">
        <w:rPr>
          <w:sz w:val="26"/>
          <w:szCs w:val="26"/>
        </w:rPr>
        <w:t xml:space="preserve"> costs</w:t>
      </w:r>
      <w:r w:rsidR="006F6EC3">
        <w:rPr>
          <w:sz w:val="26"/>
          <w:szCs w:val="26"/>
        </w:rPr>
        <w:t>,</w:t>
      </w:r>
      <w:r w:rsidRPr="007733F3">
        <w:rPr>
          <w:sz w:val="26"/>
          <w:szCs w:val="26"/>
        </w:rPr>
        <w:t xml:space="preserve"> </w:t>
      </w:r>
      <w:r w:rsidR="00F62075">
        <w:rPr>
          <w:sz w:val="26"/>
          <w:szCs w:val="26"/>
        </w:rPr>
        <w:t>and they</w:t>
      </w:r>
      <w:r w:rsidRPr="007733F3">
        <w:rPr>
          <w:sz w:val="26"/>
          <w:szCs w:val="26"/>
        </w:rPr>
        <w:t xml:space="preserve"> should</w:t>
      </w:r>
      <w:r w:rsidR="00F62075">
        <w:rPr>
          <w:sz w:val="26"/>
          <w:szCs w:val="26"/>
        </w:rPr>
        <w:t>, therefore,</w:t>
      </w:r>
      <w:r w:rsidRPr="007733F3">
        <w:rPr>
          <w:sz w:val="26"/>
          <w:szCs w:val="26"/>
        </w:rPr>
        <w:t xml:space="preserve"> be reflected in lower program costs</w:t>
      </w:r>
      <w:r w:rsidR="00E15938">
        <w:rPr>
          <w:sz w:val="26"/>
          <w:szCs w:val="26"/>
        </w:rPr>
        <w:t xml:space="preserve"> and </w:t>
      </w:r>
      <w:r w:rsidR="00F6224B">
        <w:rPr>
          <w:sz w:val="26"/>
          <w:szCs w:val="26"/>
        </w:rPr>
        <w:t>be</w:t>
      </w:r>
      <w:r w:rsidR="00F2266A">
        <w:rPr>
          <w:sz w:val="26"/>
          <w:szCs w:val="26"/>
        </w:rPr>
        <w:t xml:space="preserve"> </w:t>
      </w:r>
      <w:r w:rsidR="00E15938">
        <w:rPr>
          <w:sz w:val="26"/>
          <w:szCs w:val="26"/>
        </w:rPr>
        <w:t xml:space="preserve">factored into </w:t>
      </w:r>
      <w:r w:rsidR="008D28D8">
        <w:rPr>
          <w:sz w:val="26"/>
          <w:szCs w:val="26"/>
        </w:rPr>
        <w:t xml:space="preserve">an EDC’s </w:t>
      </w:r>
      <w:r w:rsidR="00E15938">
        <w:rPr>
          <w:sz w:val="26"/>
          <w:szCs w:val="26"/>
        </w:rPr>
        <w:t>TRC test</w:t>
      </w:r>
      <w:r w:rsidRPr="007733F3">
        <w:rPr>
          <w:sz w:val="26"/>
          <w:szCs w:val="26"/>
        </w:rPr>
        <w:t xml:space="preserve">. </w:t>
      </w:r>
    </w:p>
    <w:p w:rsidR="00695205" w:rsidRDefault="00695205" w:rsidP="0037494A">
      <w:pPr>
        <w:spacing w:line="360" w:lineRule="auto"/>
        <w:rPr>
          <w:sz w:val="26"/>
          <w:szCs w:val="26"/>
        </w:rPr>
      </w:pPr>
    </w:p>
    <w:p w:rsidR="004A6E3E" w:rsidRDefault="004A6E3E" w:rsidP="0037494A">
      <w:pPr>
        <w:spacing w:line="360" w:lineRule="auto"/>
        <w:ind w:firstLine="720"/>
        <w:rPr>
          <w:sz w:val="26"/>
          <w:szCs w:val="26"/>
        </w:rPr>
      </w:pPr>
      <w:r>
        <w:rPr>
          <w:sz w:val="26"/>
          <w:szCs w:val="26"/>
        </w:rPr>
        <w:t xml:space="preserve">PPL (at 6), the Joint Supporters (at 5), EAPA (at 7), and OCA (at 4) agreed with the proposal.  </w:t>
      </w:r>
      <w:r w:rsidRPr="00305E88">
        <w:rPr>
          <w:sz w:val="26"/>
          <w:szCs w:val="26"/>
        </w:rPr>
        <w:t xml:space="preserve">EAPA </w:t>
      </w:r>
      <w:r>
        <w:rPr>
          <w:sz w:val="26"/>
          <w:szCs w:val="26"/>
        </w:rPr>
        <w:t>added that this approach “</w:t>
      </w:r>
      <w:r w:rsidRPr="00305E88">
        <w:rPr>
          <w:sz w:val="26"/>
          <w:szCs w:val="26"/>
        </w:rPr>
        <w:t xml:space="preserve">encourages coordination </w:t>
      </w:r>
      <w:r w:rsidR="001D5EB8">
        <w:rPr>
          <w:sz w:val="26"/>
          <w:szCs w:val="26"/>
        </w:rPr>
        <w:t>o</w:t>
      </w:r>
      <w:r w:rsidRPr="00305E88">
        <w:rPr>
          <w:sz w:val="26"/>
          <w:szCs w:val="26"/>
        </w:rPr>
        <w:t xml:space="preserve">f energy efficiency and conservation programs sponsored by parties other than EDCs, allowing for greater participation by consumers who may very well need multiple incentives to install a particular measure particularly in light of the present economy.”  </w:t>
      </w:r>
    </w:p>
    <w:p w:rsidR="004A6E3E" w:rsidRDefault="004A6E3E" w:rsidP="0037494A">
      <w:pPr>
        <w:spacing w:line="360" w:lineRule="auto"/>
        <w:rPr>
          <w:sz w:val="26"/>
          <w:szCs w:val="26"/>
        </w:rPr>
      </w:pPr>
    </w:p>
    <w:p w:rsidR="004A6E3E" w:rsidRDefault="004A6E3E" w:rsidP="0037494A">
      <w:pPr>
        <w:spacing w:line="360" w:lineRule="auto"/>
        <w:ind w:firstLine="720"/>
        <w:rPr>
          <w:sz w:val="26"/>
          <w:szCs w:val="26"/>
        </w:rPr>
      </w:pPr>
      <w:r w:rsidRPr="00305E88">
        <w:rPr>
          <w:sz w:val="26"/>
          <w:szCs w:val="26"/>
        </w:rPr>
        <w:t>PECO (</w:t>
      </w:r>
      <w:r>
        <w:rPr>
          <w:sz w:val="26"/>
          <w:szCs w:val="26"/>
        </w:rPr>
        <w:t>at</w:t>
      </w:r>
      <w:r w:rsidRPr="00305E88">
        <w:rPr>
          <w:sz w:val="26"/>
          <w:szCs w:val="26"/>
        </w:rPr>
        <w:t xml:space="preserve"> 6) </w:t>
      </w:r>
      <w:r>
        <w:rPr>
          <w:sz w:val="26"/>
          <w:szCs w:val="26"/>
        </w:rPr>
        <w:t xml:space="preserve">qualified its agreement </w:t>
      </w:r>
      <w:r w:rsidR="00DC09A7">
        <w:rPr>
          <w:sz w:val="26"/>
          <w:szCs w:val="26"/>
        </w:rPr>
        <w:t xml:space="preserve">with the proposal </w:t>
      </w:r>
      <w:r>
        <w:rPr>
          <w:sz w:val="26"/>
          <w:szCs w:val="26"/>
        </w:rPr>
        <w:t xml:space="preserve">by suggesting that EDCs should not be required to search out every possible incentive as such </w:t>
      </w:r>
      <w:r w:rsidR="00B50F34">
        <w:rPr>
          <w:sz w:val="26"/>
          <w:szCs w:val="26"/>
        </w:rPr>
        <w:t xml:space="preserve">research </w:t>
      </w:r>
      <w:r>
        <w:rPr>
          <w:sz w:val="26"/>
          <w:szCs w:val="26"/>
        </w:rPr>
        <w:t xml:space="preserve">would drive up EE&amp;C plan costs.  </w:t>
      </w:r>
      <w:r w:rsidR="003F4547">
        <w:rPr>
          <w:sz w:val="26"/>
          <w:szCs w:val="26"/>
        </w:rPr>
        <w:t xml:space="preserve">We acknowledge that EDCs </w:t>
      </w:r>
      <w:r w:rsidR="001D5EB8">
        <w:rPr>
          <w:sz w:val="26"/>
          <w:szCs w:val="26"/>
        </w:rPr>
        <w:t xml:space="preserve">are </w:t>
      </w:r>
      <w:r w:rsidR="003F4547">
        <w:rPr>
          <w:sz w:val="26"/>
          <w:szCs w:val="26"/>
        </w:rPr>
        <w:t>not financial or tax consultants</w:t>
      </w:r>
      <w:r w:rsidR="00DB2016">
        <w:rPr>
          <w:sz w:val="26"/>
          <w:szCs w:val="26"/>
        </w:rPr>
        <w:t>, but Section 2806.1(k)</w:t>
      </w:r>
      <w:r w:rsidR="003F4547">
        <w:rPr>
          <w:sz w:val="26"/>
          <w:szCs w:val="26"/>
        </w:rPr>
        <w:t xml:space="preserve"> </w:t>
      </w:r>
      <w:r w:rsidR="00CB41E3">
        <w:rPr>
          <w:color w:val="0D0D0D" w:themeColor="text1" w:themeTint="F2"/>
          <w:sz w:val="26"/>
          <w:szCs w:val="26"/>
        </w:rPr>
        <w:t xml:space="preserve">does mandate that each EDC </w:t>
      </w:r>
      <w:r w:rsidR="000B20A3">
        <w:rPr>
          <w:color w:val="0D0D0D" w:themeColor="text1" w:themeTint="F2"/>
          <w:sz w:val="26"/>
          <w:szCs w:val="26"/>
        </w:rPr>
        <w:t>“</w:t>
      </w:r>
      <w:r w:rsidR="00CB41E3">
        <w:rPr>
          <w:b/>
          <w:i/>
          <w:color w:val="0D0D0D" w:themeColor="text1" w:themeTint="F2"/>
          <w:sz w:val="26"/>
          <w:szCs w:val="26"/>
        </w:rPr>
        <w:t>shall</w:t>
      </w:r>
      <w:r w:rsidR="00CB41E3">
        <w:rPr>
          <w:color w:val="0D0D0D" w:themeColor="text1" w:themeTint="F2"/>
          <w:sz w:val="26"/>
          <w:szCs w:val="26"/>
        </w:rPr>
        <w:t>, upon request by any person, provide a list of all eligible federal and state funding programs available to ratepayers for [EE&amp;C measure.  Said] list shall be posted on the [EDC’s] internet website.”  (</w:t>
      </w:r>
      <w:r w:rsidR="000B20A3">
        <w:rPr>
          <w:color w:val="0D0D0D" w:themeColor="text1" w:themeTint="F2"/>
          <w:sz w:val="26"/>
          <w:szCs w:val="26"/>
        </w:rPr>
        <w:t>E</w:t>
      </w:r>
      <w:r w:rsidR="00CB41E3">
        <w:rPr>
          <w:color w:val="0D0D0D" w:themeColor="text1" w:themeTint="F2"/>
          <w:sz w:val="26"/>
          <w:szCs w:val="26"/>
        </w:rPr>
        <w:t>mphasis added.)</w:t>
      </w:r>
      <w:r w:rsidR="00D157C6">
        <w:rPr>
          <w:sz w:val="26"/>
          <w:szCs w:val="26"/>
        </w:rPr>
        <w:t xml:space="preserve">  </w:t>
      </w:r>
      <w:r w:rsidR="000B20A3">
        <w:rPr>
          <w:sz w:val="26"/>
          <w:szCs w:val="26"/>
        </w:rPr>
        <w:t>This is obligatory, not optional, language.  Furthermore, i</w:t>
      </w:r>
      <w:r w:rsidR="00D157C6">
        <w:rPr>
          <w:sz w:val="26"/>
          <w:szCs w:val="26"/>
        </w:rPr>
        <w:t xml:space="preserve">t </w:t>
      </w:r>
      <w:r w:rsidR="00CB41E3">
        <w:rPr>
          <w:sz w:val="26"/>
          <w:szCs w:val="26"/>
        </w:rPr>
        <w:t xml:space="preserve">clearly </w:t>
      </w:r>
      <w:r w:rsidR="00D157C6">
        <w:rPr>
          <w:sz w:val="26"/>
          <w:szCs w:val="26"/>
        </w:rPr>
        <w:t>behoove</w:t>
      </w:r>
      <w:r w:rsidR="000B20A3">
        <w:rPr>
          <w:sz w:val="26"/>
          <w:szCs w:val="26"/>
        </w:rPr>
        <w:t>s</w:t>
      </w:r>
      <w:r w:rsidR="00D157C6">
        <w:rPr>
          <w:sz w:val="26"/>
          <w:szCs w:val="26"/>
        </w:rPr>
        <w:t xml:space="preserve"> an EDC to be aware of such incentives and rebates as participant costs are fact</w:t>
      </w:r>
      <w:r w:rsidR="00B50F34">
        <w:rPr>
          <w:sz w:val="26"/>
          <w:szCs w:val="26"/>
        </w:rPr>
        <w:t>o</w:t>
      </w:r>
      <w:r w:rsidR="00D157C6">
        <w:rPr>
          <w:sz w:val="26"/>
          <w:szCs w:val="26"/>
        </w:rPr>
        <w:t>red into the TRC test</w:t>
      </w:r>
      <w:r w:rsidR="006F6EC3">
        <w:rPr>
          <w:sz w:val="26"/>
          <w:szCs w:val="26"/>
        </w:rPr>
        <w:t>,</w:t>
      </w:r>
      <w:r w:rsidR="00B50F34">
        <w:rPr>
          <w:sz w:val="26"/>
          <w:szCs w:val="26"/>
        </w:rPr>
        <w:t xml:space="preserve"> and awareness of such cost-reducing incentives and rebates works to </w:t>
      </w:r>
      <w:r w:rsidR="006F6EC3">
        <w:rPr>
          <w:sz w:val="26"/>
          <w:szCs w:val="26"/>
        </w:rPr>
        <w:t xml:space="preserve">an </w:t>
      </w:r>
      <w:r w:rsidR="00B50F34">
        <w:rPr>
          <w:sz w:val="26"/>
          <w:szCs w:val="26"/>
        </w:rPr>
        <w:t>EDC’s advantage in the long run</w:t>
      </w:r>
      <w:r w:rsidR="00D157C6">
        <w:rPr>
          <w:sz w:val="26"/>
          <w:szCs w:val="26"/>
        </w:rPr>
        <w:t xml:space="preserve">.  </w:t>
      </w:r>
    </w:p>
    <w:p w:rsidR="004A6E3E" w:rsidRDefault="004A6E3E" w:rsidP="0037494A">
      <w:pPr>
        <w:spacing w:line="360" w:lineRule="auto"/>
        <w:rPr>
          <w:sz w:val="26"/>
          <w:szCs w:val="26"/>
        </w:rPr>
      </w:pPr>
    </w:p>
    <w:p w:rsidR="004A6E3E" w:rsidRDefault="004A6E3E" w:rsidP="0037494A">
      <w:pPr>
        <w:spacing w:line="360" w:lineRule="auto"/>
        <w:ind w:firstLine="720"/>
        <w:rPr>
          <w:sz w:val="26"/>
          <w:szCs w:val="26"/>
        </w:rPr>
      </w:pPr>
      <w:r w:rsidRPr="00305E88">
        <w:rPr>
          <w:sz w:val="26"/>
          <w:szCs w:val="26"/>
        </w:rPr>
        <w:lastRenderedPageBreak/>
        <w:t xml:space="preserve">SEF </w:t>
      </w:r>
      <w:r>
        <w:rPr>
          <w:sz w:val="26"/>
          <w:szCs w:val="26"/>
        </w:rPr>
        <w:t xml:space="preserve">(at 3) </w:t>
      </w:r>
      <w:r w:rsidRPr="00305E88">
        <w:rPr>
          <w:sz w:val="26"/>
          <w:szCs w:val="26"/>
        </w:rPr>
        <w:t>recommend</w:t>
      </w:r>
      <w:r w:rsidR="00127FEA">
        <w:rPr>
          <w:sz w:val="26"/>
          <w:szCs w:val="26"/>
        </w:rPr>
        <w:t>ed</w:t>
      </w:r>
      <w:r w:rsidRPr="00305E88">
        <w:rPr>
          <w:sz w:val="26"/>
          <w:szCs w:val="26"/>
        </w:rPr>
        <w:t xml:space="preserve"> having payments related to environmental attributes </w:t>
      </w:r>
      <w:r w:rsidR="00542722">
        <w:rPr>
          <w:sz w:val="26"/>
          <w:szCs w:val="26"/>
        </w:rPr>
        <w:t xml:space="preserve">such as alternate energy credits (AECs) and carbon financial instruments (CFIs) </w:t>
      </w:r>
      <w:r w:rsidRPr="00305E88">
        <w:rPr>
          <w:sz w:val="26"/>
          <w:szCs w:val="26"/>
        </w:rPr>
        <w:t xml:space="preserve">be specifically included in the TRC test.  </w:t>
      </w:r>
      <w:r w:rsidRPr="00686DE3">
        <w:rPr>
          <w:sz w:val="26"/>
          <w:szCs w:val="26"/>
        </w:rPr>
        <w:t>I</w:t>
      </w:r>
      <w:r w:rsidR="00542722">
        <w:rPr>
          <w:sz w:val="26"/>
          <w:szCs w:val="26"/>
        </w:rPr>
        <w:t>n our opinion, i</w:t>
      </w:r>
      <w:r w:rsidRPr="00686DE3">
        <w:rPr>
          <w:sz w:val="26"/>
          <w:szCs w:val="26"/>
        </w:rPr>
        <w:t xml:space="preserve">ncluding these attributes would add unwarranted complexity to the calculations based on the uncertainty of value for the environmental attributes.  </w:t>
      </w:r>
      <w:r w:rsidR="00542722">
        <w:rPr>
          <w:sz w:val="26"/>
          <w:szCs w:val="26"/>
        </w:rPr>
        <w:t>Accordingly, t</w:t>
      </w:r>
      <w:r w:rsidR="00542722" w:rsidRPr="00686DE3">
        <w:rPr>
          <w:sz w:val="26"/>
          <w:szCs w:val="26"/>
        </w:rPr>
        <w:t xml:space="preserve">he Commission declines to adopt the specific inclusion of payments related to environmental attributes to the TRC test.  </w:t>
      </w:r>
    </w:p>
    <w:p w:rsidR="004A6E3E" w:rsidRDefault="004A6E3E" w:rsidP="0037494A">
      <w:pPr>
        <w:spacing w:line="360" w:lineRule="auto"/>
        <w:rPr>
          <w:sz w:val="26"/>
          <w:szCs w:val="26"/>
        </w:rPr>
      </w:pPr>
    </w:p>
    <w:p w:rsidR="004A6E3E" w:rsidRPr="00FA2EB1" w:rsidRDefault="004A6E3E" w:rsidP="0037494A">
      <w:pPr>
        <w:spacing w:line="360" w:lineRule="auto"/>
        <w:ind w:firstLine="720"/>
        <w:rPr>
          <w:sz w:val="26"/>
          <w:szCs w:val="26"/>
        </w:rPr>
      </w:pPr>
      <w:r w:rsidRPr="00305E88">
        <w:rPr>
          <w:sz w:val="26"/>
          <w:szCs w:val="26"/>
        </w:rPr>
        <w:t xml:space="preserve">LBNL </w:t>
      </w:r>
      <w:r>
        <w:rPr>
          <w:sz w:val="26"/>
          <w:szCs w:val="26"/>
        </w:rPr>
        <w:t xml:space="preserve">(at 4) </w:t>
      </w:r>
      <w:r w:rsidRPr="00305E88">
        <w:rPr>
          <w:sz w:val="26"/>
          <w:szCs w:val="26"/>
        </w:rPr>
        <w:t>recommend</w:t>
      </w:r>
      <w:r w:rsidR="00D13646">
        <w:rPr>
          <w:sz w:val="26"/>
          <w:szCs w:val="26"/>
        </w:rPr>
        <w:t>ed</w:t>
      </w:r>
      <w:r w:rsidRPr="00305E88">
        <w:rPr>
          <w:sz w:val="26"/>
          <w:szCs w:val="26"/>
        </w:rPr>
        <w:t xml:space="preserve"> </w:t>
      </w:r>
      <w:r>
        <w:rPr>
          <w:sz w:val="26"/>
          <w:szCs w:val="26"/>
        </w:rPr>
        <w:t xml:space="preserve">that </w:t>
      </w:r>
      <w:r w:rsidRPr="00305E88">
        <w:rPr>
          <w:sz w:val="26"/>
          <w:szCs w:val="26"/>
        </w:rPr>
        <w:t xml:space="preserve">Gross Receipts Tax savings </w:t>
      </w:r>
      <w:r>
        <w:rPr>
          <w:sz w:val="26"/>
          <w:szCs w:val="26"/>
        </w:rPr>
        <w:t xml:space="preserve">be excluded </w:t>
      </w:r>
      <w:r w:rsidRPr="00305E88">
        <w:rPr>
          <w:sz w:val="26"/>
          <w:szCs w:val="26"/>
        </w:rPr>
        <w:t>as a benefit</w:t>
      </w:r>
      <w:r>
        <w:rPr>
          <w:sz w:val="26"/>
          <w:szCs w:val="26"/>
        </w:rPr>
        <w:t xml:space="preserve">, </w:t>
      </w:r>
      <w:r w:rsidRPr="00305E88">
        <w:rPr>
          <w:sz w:val="26"/>
          <w:szCs w:val="26"/>
        </w:rPr>
        <w:t xml:space="preserve">that </w:t>
      </w:r>
      <w:r w:rsidR="00654773">
        <w:rPr>
          <w:sz w:val="26"/>
          <w:szCs w:val="26"/>
        </w:rPr>
        <w:t>Act</w:t>
      </w:r>
      <w:r w:rsidRPr="00305E88">
        <w:rPr>
          <w:sz w:val="26"/>
          <w:szCs w:val="26"/>
        </w:rPr>
        <w:t xml:space="preserve"> 1 funds be excluded from the TRC </w:t>
      </w:r>
      <w:r>
        <w:rPr>
          <w:sz w:val="26"/>
          <w:szCs w:val="26"/>
        </w:rPr>
        <w:t xml:space="preserve">test, and that </w:t>
      </w:r>
      <w:r w:rsidRPr="00305E88">
        <w:rPr>
          <w:sz w:val="26"/>
          <w:szCs w:val="26"/>
        </w:rPr>
        <w:t>federal tax credits and ARRA</w:t>
      </w:r>
      <w:r w:rsidR="00B31F3A">
        <w:rPr>
          <w:rStyle w:val="FootnoteReference"/>
          <w:sz w:val="26"/>
          <w:szCs w:val="26"/>
        </w:rPr>
        <w:footnoteReference w:id="36"/>
      </w:r>
      <w:r w:rsidRPr="00305E88">
        <w:rPr>
          <w:sz w:val="26"/>
          <w:szCs w:val="26"/>
        </w:rPr>
        <w:t xml:space="preserve"> funds </w:t>
      </w:r>
      <w:r>
        <w:rPr>
          <w:sz w:val="26"/>
          <w:szCs w:val="26"/>
        </w:rPr>
        <w:t xml:space="preserve">be considered </w:t>
      </w:r>
      <w:r w:rsidRPr="00305E88">
        <w:rPr>
          <w:sz w:val="26"/>
          <w:szCs w:val="26"/>
        </w:rPr>
        <w:t>a benefit.</w:t>
      </w:r>
      <w:r>
        <w:rPr>
          <w:sz w:val="26"/>
          <w:szCs w:val="26"/>
        </w:rPr>
        <w:t xml:space="preserve">  </w:t>
      </w:r>
      <w:r w:rsidR="00B31F3A">
        <w:rPr>
          <w:sz w:val="26"/>
          <w:szCs w:val="26"/>
        </w:rPr>
        <w:t xml:space="preserve">LBNL asserted that most states use federal tax savings as benefits to </w:t>
      </w:r>
      <w:r w:rsidR="002151AC">
        <w:rPr>
          <w:sz w:val="26"/>
          <w:szCs w:val="26"/>
        </w:rPr>
        <w:t xml:space="preserve">the </w:t>
      </w:r>
      <w:r w:rsidR="00B31F3A">
        <w:rPr>
          <w:sz w:val="26"/>
          <w:szCs w:val="26"/>
        </w:rPr>
        <w:t xml:space="preserve">state </w:t>
      </w:r>
      <w:r w:rsidR="002151AC">
        <w:rPr>
          <w:sz w:val="26"/>
          <w:szCs w:val="26"/>
        </w:rPr>
        <w:t xml:space="preserve">(and federal tax costs are a cost for the state) </w:t>
      </w:r>
      <w:r w:rsidR="00B31F3A">
        <w:rPr>
          <w:sz w:val="26"/>
          <w:szCs w:val="26"/>
        </w:rPr>
        <w:t>but exclude sales tax</w:t>
      </w:r>
      <w:r w:rsidR="00D13646">
        <w:rPr>
          <w:sz w:val="26"/>
          <w:szCs w:val="26"/>
        </w:rPr>
        <w:t xml:space="preserve"> savings</w:t>
      </w:r>
      <w:r w:rsidR="002151AC">
        <w:rPr>
          <w:sz w:val="26"/>
          <w:szCs w:val="26"/>
        </w:rPr>
        <w:t xml:space="preserve"> and costs from the TRC test calculation</w:t>
      </w:r>
      <w:r w:rsidR="00B31F3A">
        <w:rPr>
          <w:sz w:val="26"/>
          <w:szCs w:val="26"/>
        </w:rPr>
        <w:t xml:space="preserve">.  </w:t>
      </w:r>
      <w:r w:rsidR="002151AC">
        <w:rPr>
          <w:sz w:val="26"/>
          <w:szCs w:val="26"/>
        </w:rPr>
        <w:t xml:space="preserve">The </w:t>
      </w:r>
      <w:r w:rsidR="000A5FBC">
        <w:rPr>
          <w:sz w:val="26"/>
          <w:szCs w:val="26"/>
        </w:rPr>
        <w:t>a</w:t>
      </w:r>
      <w:r w:rsidR="002151AC">
        <w:rPr>
          <w:sz w:val="26"/>
          <w:szCs w:val="26"/>
        </w:rPr>
        <w:t>ssumpti</w:t>
      </w:r>
      <w:r w:rsidR="000A5FBC">
        <w:rPr>
          <w:sz w:val="26"/>
          <w:szCs w:val="26"/>
        </w:rPr>
        <w:t>o</w:t>
      </w:r>
      <w:r w:rsidR="002151AC">
        <w:rPr>
          <w:sz w:val="26"/>
          <w:szCs w:val="26"/>
        </w:rPr>
        <w:t>n is that state taxes that are reduced as a result of energy efficiency or (demand reduction) will be offset by either increases in tax rates or structures or by</w:t>
      </w:r>
      <w:r w:rsidR="00542722">
        <w:rPr>
          <w:sz w:val="26"/>
          <w:szCs w:val="26"/>
        </w:rPr>
        <w:t xml:space="preserve"> a decrease in state services that affect the same populatio</w:t>
      </w:r>
      <w:r w:rsidR="00542722" w:rsidRPr="00FA2EB1">
        <w:rPr>
          <w:sz w:val="26"/>
          <w:szCs w:val="26"/>
        </w:rPr>
        <w:t xml:space="preserve">n.  </w:t>
      </w:r>
    </w:p>
    <w:p w:rsidR="00033A35" w:rsidRPr="00FA2EB1" w:rsidRDefault="00033A35" w:rsidP="0037494A">
      <w:pPr>
        <w:spacing w:line="360" w:lineRule="auto"/>
        <w:ind w:firstLine="720"/>
        <w:rPr>
          <w:sz w:val="26"/>
          <w:szCs w:val="26"/>
        </w:rPr>
      </w:pPr>
    </w:p>
    <w:p w:rsidR="00033A35" w:rsidRPr="00305E88" w:rsidRDefault="00033A35" w:rsidP="0037494A">
      <w:pPr>
        <w:spacing w:line="360" w:lineRule="auto"/>
        <w:ind w:firstLine="720"/>
        <w:rPr>
          <w:sz w:val="26"/>
          <w:szCs w:val="26"/>
        </w:rPr>
      </w:pPr>
      <w:r w:rsidRPr="00FA2EB1">
        <w:rPr>
          <w:sz w:val="26"/>
          <w:szCs w:val="26"/>
        </w:rPr>
        <w:t>In our opinion, the avoidance of the GRT and the inclusion of incentives from Act 1should be viewed as incentives received by customers, similar to incentive payments to customers from EDCs.  The GRT and Act 1 effects would, however, be cancelled out by tax payments by Pennsylvania residents and businesses over time.  Accordingly, the Commission shall exclude GRT avoidance and Act 1 incentive payments from the TRC test cost/benefit calculations, consistent with the LBNL comments.  Further, we also agree with LBNL on the treatment of federal tax credits and ARRA incentive payments</w:t>
      </w:r>
      <w:r w:rsidR="000F5EC0" w:rsidRPr="00FA2EB1">
        <w:rPr>
          <w:sz w:val="26"/>
          <w:szCs w:val="26"/>
        </w:rPr>
        <w:t>, specifically that federal tax credits and ARRA incentive payments should be considered benefits in TRC testing</w:t>
      </w:r>
      <w:r w:rsidRPr="00FA2EB1">
        <w:rPr>
          <w:sz w:val="26"/>
          <w:szCs w:val="26"/>
        </w:rPr>
        <w:t xml:space="preserve">.  This treatment of costs and benefits for TRC test purposes will help ensure that Act 129 programs reflect true program costs and benefits to Pennsylvania residents and businesses and will ensure that </w:t>
      </w:r>
      <w:r w:rsidRPr="00FA2EB1">
        <w:rPr>
          <w:sz w:val="26"/>
          <w:szCs w:val="26"/>
        </w:rPr>
        <w:lastRenderedPageBreak/>
        <w:t>ratepayer funds are used in a more optimal and economic manner when choosing efficiency and conservation.  This TRC test standard does not otherwise discourage participation in Act 1 programs.  Despite the exclusion of the GRT and state incentives in the TRC test calculations as benefits, residents and businesses are encouraged to participate in all available local, state, and federal incentive programs.</w:t>
      </w:r>
      <w:r w:rsidRPr="00FA2EB1">
        <w:rPr>
          <w:rStyle w:val="FootnoteReference"/>
          <w:sz w:val="26"/>
          <w:szCs w:val="26"/>
        </w:rPr>
        <w:footnoteReference w:id="37"/>
      </w:r>
    </w:p>
    <w:p w:rsidR="004A6E3E" w:rsidRPr="007733F3" w:rsidRDefault="004A6E3E" w:rsidP="0037494A">
      <w:pPr>
        <w:spacing w:line="360" w:lineRule="auto"/>
        <w:rPr>
          <w:sz w:val="26"/>
          <w:szCs w:val="26"/>
        </w:rPr>
      </w:pPr>
    </w:p>
    <w:p w:rsidR="00EA7C9E" w:rsidRPr="007733F3" w:rsidRDefault="00EA7C9E" w:rsidP="0037494A">
      <w:pPr>
        <w:keepNext/>
        <w:spacing w:line="360" w:lineRule="auto"/>
        <w:ind w:firstLine="720"/>
        <w:rPr>
          <w:sz w:val="26"/>
          <w:szCs w:val="26"/>
        </w:rPr>
      </w:pPr>
      <w:r w:rsidRPr="007733F3">
        <w:rPr>
          <w:b/>
          <w:sz w:val="26"/>
          <w:szCs w:val="26"/>
        </w:rPr>
        <w:t>(</w:t>
      </w:r>
      <w:r w:rsidR="00332A62">
        <w:rPr>
          <w:b/>
          <w:sz w:val="26"/>
          <w:szCs w:val="26"/>
        </w:rPr>
        <w:t>f</w:t>
      </w:r>
      <w:r w:rsidRPr="007733F3">
        <w:rPr>
          <w:b/>
          <w:sz w:val="26"/>
          <w:szCs w:val="26"/>
        </w:rPr>
        <w:t xml:space="preserve">)  </w:t>
      </w:r>
      <w:r w:rsidR="00DE4402" w:rsidRPr="007733F3">
        <w:rPr>
          <w:b/>
          <w:sz w:val="26"/>
          <w:szCs w:val="26"/>
        </w:rPr>
        <w:t xml:space="preserve">Savings Claims from Act 1 </w:t>
      </w:r>
      <w:r w:rsidR="00E42500">
        <w:rPr>
          <w:b/>
          <w:sz w:val="26"/>
          <w:szCs w:val="26"/>
        </w:rPr>
        <w:t xml:space="preserve">Programs </w:t>
      </w:r>
      <w:r w:rsidR="00A27745">
        <w:rPr>
          <w:b/>
          <w:sz w:val="26"/>
          <w:szCs w:val="26"/>
        </w:rPr>
        <w:t>a</w:t>
      </w:r>
      <w:r w:rsidR="00DE4402" w:rsidRPr="007733F3">
        <w:rPr>
          <w:b/>
          <w:sz w:val="26"/>
          <w:szCs w:val="26"/>
        </w:rPr>
        <w:t xml:space="preserve">nd </w:t>
      </w:r>
      <w:r w:rsidR="00A27745">
        <w:rPr>
          <w:b/>
          <w:sz w:val="26"/>
          <w:szCs w:val="26"/>
        </w:rPr>
        <w:t xml:space="preserve">Act </w:t>
      </w:r>
      <w:r w:rsidR="00DE4402" w:rsidRPr="007733F3">
        <w:rPr>
          <w:b/>
          <w:sz w:val="26"/>
          <w:szCs w:val="26"/>
        </w:rPr>
        <w:t>129 P</w:t>
      </w:r>
      <w:r w:rsidR="00A27745">
        <w:rPr>
          <w:b/>
          <w:sz w:val="26"/>
          <w:szCs w:val="26"/>
        </w:rPr>
        <w:t>rograms</w:t>
      </w:r>
    </w:p>
    <w:p w:rsidR="00EA7C9E" w:rsidRPr="007733F3" w:rsidRDefault="00EA7C9E" w:rsidP="0037494A">
      <w:pPr>
        <w:keepNext/>
        <w:spacing w:line="360" w:lineRule="auto"/>
        <w:rPr>
          <w:sz w:val="26"/>
          <w:szCs w:val="26"/>
        </w:rPr>
      </w:pPr>
    </w:p>
    <w:p w:rsidR="00683D69" w:rsidRDefault="00EA7C9E" w:rsidP="0037494A">
      <w:pPr>
        <w:spacing w:line="360" w:lineRule="auto"/>
        <w:rPr>
          <w:sz w:val="26"/>
          <w:szCs w:val="26"/>
        </w:rPr>
      </w:pPr>
      <w:r w:rsidRPr="007733F3">
        <w:rPr>
          <w:sz w:val="26"/>
          <w:szCs w:val="26"/>
        </w:rPr>
        <w:tab/>
      </w:r>
      <w:r w:rsidR="00ED5854">
        <w:rPr>
          <w:sz w:val="26"/>
          <w:szCs w:val="26"/>
        </w:rPr>
        <w:t>As noted above, i</w:t>
      </w:r>
      <w:r w:rsidR="00FB7142">
        <w:rPr>
          <w:sz w:val="26"/>
          <w:szCs w:val="26"/>
        </w:rPr>
        <w:t xml:space="preserve">t is possible that customers </w:t>
      </w:r>
      <w:r w:rsidR="007B578F">
        <w:rPr>
          <w:sz w:val="26"/>
          <w:szCs w:val="26"/>
        </w:rPr>
        <w:t xml:space="preserve">may </w:t>
      </w:r>
      <w:r w:rsidR="00FB7142">
        <w:rPr>
          <w:sz w:val="26"/>
          <w:szCs w:val="26"/>
        </w:rPr>
        <w:t xml:space="preserve">participate simultaneously </w:t>
      </w:r>
      <w:r w:rsidR="000D23BE">
        <w:rPr>
          <w:sz w:val="26"/>
          <w:szCs w:val="26"/>
        </w:rPr>
        <w:t xml:space="preserve">with </w:t>
      </w:r>
      <w:r w:rsidR="00FB7142">
        <w:rPr>
          <w:sz w:val="26"/>
          <w:szCs w:val="26"/>
        </w:rPr>
        <w:t>Act</w:t>
      </w:r>
      <w:r w:rsidR="007B578F">
        <w:rPr>
          <w:sz w:val="26"/>
          <w:szCs w:val="26"/>
        </w:rPr>
        <w:t> </w:t>
      </w:r>
      <w:r w:rsidR="00FB7142">
        <w:rPr>
          <w:sz w:val="26"/>
          <w:szCs w:val="26"/>
        </w:rPr>
        <w:t>1 programs and Act 129</w:t>
      </w:r>
      <w:r w:rsidR="00127FEA">
        <w:rPr>
          <w:sz w:val="26"/>
          <w:szCs w:val="26"/>
        </w:rPr>
        <w:t xml:space="preserve"> programs.</w:t>
      </w:r>
      <w:r w:rsidR="00320BDB">
        <w:rPr>
          <w:rStyle w:val="FootnoteReference"/>
          <w:sz w:val="26"/>
          <w:szCs w:val="26"/>
        </w:rPr>
        <w:footnoteReference w:id="38"/>
      </w:r>
      <w:r w:rsidR="00FB7142">
        <w:rPr>
          <w:sz w:val="26"/>
          <w:szCs w:val="26"/>
        </w:rPr>
        <w:t xml:space="preserve">  </w:t>
      </w:r>
      <w:r w:rsidRPr="007733F3">
        <w:rPr>
          <w:sz w:val="26"/>
          <w:szCs w:val="26"/>
        </w:rPr>
        <w:t xml:space="preserve">This raises the issue as to how the savings benefits will be attributed to the </w:t>
      </w:r>
      <w:r w:rsidR="008D28D8">
        <w:rPr>
          <w:sz w:val="26"/>
          <w:szCs w:val="26"/>
        </w:rPr>
        <w:t xml:space="preserve">two </w:t>
      </w:r>
      <w:r w:rsidRPr="007733F3">
        <w:rPr>
          <w:sz w:val="26"/>
          <w:szCs w:val="26"/>
        </w:rPr>
        <w:t>programs.</w:t>
      </w:r>
      <w:r w:rsidR="00ED5854">
        <w:rPr>
          <w:sz w:val="26"/>
          <w:szCs w:val="26"/>
        </w:rPr>
        <w:t xml:space="preserve">  </w:t>
      </w:r>
      <w:r w:rsidR="00683D69">
        <w:rPr>
          <w:sz w:val="26"/>
          <w:szCs w:val="26"/>
        </w:rPr>
        <w:t xml:space="preserve">We said in the TRC test </w:t>
      </w:r>
      <w:r w:rsidR="00810E21">
        <w:rPr>
          <w:sz w:val="26"/>
          <w:szCs w:val="26"/>
        </w:rPr>
        <w:t>proposal</w:t>
      </w:r>
      <w:r w:rsidR="00683D69">
        <w:rPr>
          <w:sz w:val="26"/>
          <w:szCs w:val="26"/>
        </w:rPr>
        <w:t xml:space="preserve"> that, a</w:t>
      </w:r>
      <w:r w:rsidR="00683D69" w:rsidRPr="007733F3">
        <w:rPr>
          <w:sz w:val="26"/>
          <w:szCs w:val="26"/>
        </w:rPr>
        <w:t>s a practical matter, it would be very difficult and time consuming to determine on a case-by-case basis the precise role an Act</w:t>
      </w:r>
      <w:r w:rsidR="00683D69">
        <w:rPr>
          <w:sz w:val="26"/>
          <w:szCs w:val="26"/>
        </w:rPr>
        <w:t> </w:t>
      </w:r>
      <w:r w:rsidR="00683D69" w:rsidRPr="007733F3">
        <w:rPr>
          <w:sz w:val="26"/>
          <w:szCs w:val="26"/>
        </w:rPr>
        <w:t>1 incentive/rebate versus an Act 129 incentive/rebate played in motivating the customer to participate in the program</w:t>
      </w:r>
      <w:r w:rsidR="00320BDB">
        <w:rPr>
          <w:sz w:val="26"/>
          <w:szCs w:val="26"/>
        </w:rPr>
        <w:t>.  T</w:t>
      </w:r>
      <w:r w:rsidR="00683D69" w:rsidRPr="007733F3">
        <w:rPr>
          <w:sz w:val="26"/>
          <w:szCs w:val="26"/>
        </w:rPr>
        <w:t>hus</w:t>
      </w:r>
      <w:r w:rsidR="00320BDB">
        <w:rPr>
          <w:sz w:val="26"/>
          <w:szCs w:val="26"/>
        </w:rPr>
        <w:t>,</w:t>
      </w:r>
      <w:r w:rsidR="00683D69" w:rsidRPr="007733F3">
        <w:rPr>
          <w:sz w:val="26"/>
          <w:szCs w:val="26"/>
        </w:rPr>
        <w:t xml:space="preserve"> </w:t>
      </w:r>
      <w:r w:rsidR="00320BDB">
        <w:rPr>
          <w:sz w:val="26"/>
          <w:szCs w:val="26"/>
        </w:rPr>
        <w:t xml:space="preserve">it would be virtually impossible to determine how </w:t>
      </w:r>
      <w:r w:rsidR="00683D69" w:rsidRPr="007733F3">
        <w:rPr>
          <w:sz w:val="26"/>
          <w:szCs w:val="26"/>
        </w:rPr>
        <w:t xml:space="preserve">to attribute savings to each program in proportion to the degree of motivation each incentive played in the customer’s decision.  </w:t>
      </w:r>
    </w:p>
    <w:p w:rsidR="00683D69" w:rsidRDefault="00683D69" w:rsidP="0037494A">
      <w:pPr>
        <w:spacing w:line="360" w:lineRule="auto"/>
        <w:rPr>
          <w:sz w:val="26"/>
          <w:szCs w:val="26"/>
        </w:rPr>
      </w:pPr>
    </w:p>
    <w:p w:rsidR="0068051C" w:rsidRDefault="00E31F49" w:rsidP="0037494A">
      <w:pPr>
        <w:spacing w:line="360" w:lineRule="auto"/>
        <w:ind w:firstLine="720"/>
        <w:rPr>
          <w:sz w:val="26"/>
          <w:szCs w:val="26"/>
        </w:rPr>
      </w:pPr>
      <w:r>
        <w:rPr>
          <w:sz w:val="26"/>
        </w:rPr>
        <w:t>PE</w:t>
      </w:r>
      <w:r w:rsidR="0068051C" w:rsidRPr="006847E9">
        <w:rPr>
          <w:sz w:val="26"/>
        </w:rPr>
        <w:t>CO</w:t>
      </w:r>
      <w:r w:rsidR="0068051C">
        <w:rPr>
          <w:sz w:val="26"/>
        </w:rPr>
        <w:t xml:space="preserve"> </w:t>
      </w:r>
      <w:r>
        <w:rPr>
          <w:sz w:val="26"/>
        </w:rPr>
        <w:t>(</w:t>
      </w:r>
      <w:r w:rsidR="0068051C">
        <w:rPr>
          <w:sz w:val="26"/>
        </w:rPr>
        <w:t xml:space="preserve">at </w:t>
      </w:r>
      <w:r w:rsidR="0068051C" w:rsidRPr="006847E9">
        <w:rPr>
          <w:sz w:val="26"/>
        </w:rPr>
        <w:t>6</w:t>
      </w:r>
      <w:r>
        <w:rPr>
          <w:sz w:val="26"/>
        </w:rPr>
        <w:t>),</w:t>
      </w:r>
      <w:r w:rsidR="0068051C" w:rsidRPr="006847E9">
        <w:rPr>
          <w:sz w:val="26"/>
        </w:rPr>
        <w:t xml:space="preserve"> PPL</w:t>
      </w:r>
      <w:r w:rsidR="0068051C">
        <w:rPr>
          <w:sz w:val="26"/>
        </w:rPr>
        <w:t xml:space="preserve"> </w:t>
      </w:r>
      <w:r>
        <w:rPr>
          <w:sz w:val="26"/>
        </w:rPr>
        <w:t>(</w:t>
      </w:r>
      <w:r w:rsidR="0068051C">
        <w:rPr>
          <w:sz w:val="26"/>
        </w:rPr>
        <w:t xml:space="preserve">at </w:t>
      </w:r>
      <w:r w:rsidR="0068051C" w:rsidRPr="006847E9">
        <w:rPr>
          <w:sz w:val="26"/>
        </w:rPr>
        <w:t>7</w:t>
      </w:r>
      <w:r>
        <w:rPr>
          <w:sz w:val="26"/>
        </w:rPr>
        <w:t>),</w:t>
      </w:r>
      <w:r w:rsidR="0068051C" w:rsidRPr="006847E9">
        <w:rPr>
          <w:sz w:val="26"/>
        </w:rPr>
        <w:t xml:space="preserve"> EAPA</w:t>
      </w:r>
      <w:r w:rsidR="0068051C">
        <w:rPr>
          <w:sz w:val="26"/>
        </w:rPr>
        <w:t xml:space="preserve"> </w:t>
      </w:r>
      <w:r>
        <w:rPr>
          <w:sz w:val="26"/>
        </w:rPr>
        <w:t>(</w:t>
      </w:r>
      <w:r w:rsidR="0068051C">
        <w:rPr>
          <w:sz w:val="26"/>
        </w:rPr>
        <w:t>at</w:t>
      </w:r>
      <w:r w:rsidR="0068051C" w:rsidRPr="006847E9">
        <w:rPr>
          <w:sz w:val="26"/>
        </w:rPr>
        <w:t xml:space="preserve"> 7</w:t>
      </w:r>
      <w:r>
        <w:rPr>
          <w:sz w:val="26"/>
        </w:rPr>
        <w:t>),</w:t>
      </w:r>
      <w:r w:rsidR="0068051C" w:rsidRPr="006847E9">
        <w:rPr>
          <w:sz w:val="26"/>
        </w:rPr>
        <w:t xml:space="preserve"> </w:t>
      </w:r>
      <w:r w:rsidR="00D071EE">
        <w:rPr>
          <w:sz w:val="26"/>
        </w:rPr>
        <w:t xml:space="preserve">LBNL (at 4), </w:t>
      </w:r>
      <w:r>
        <w:rPr>
          <w:sz w:val="26"/>
        </w:rPr>
        <w:t xml:space="preserve">and </w:t>
      </w:r>
      <w:r w:rsidR="0068051C" w:rsidRPr="006847E9">
        <w:rPr>
          <w:sz w:val="26"/>
        </w:rPr>
        <w:t>OCA</w:t>
      </w:r>
      <w:r w:rsidR="0068051C">
        <w:rPr>
          <w:sz w:val="26"/>
        </w:rPr>
        <w:t xml:space="preserve"> </w:t>
      </w:r>
      <w:r>
        <w:rPr>
          <w:sz w:val="26"/>
        </w:rPr>
        <w:t>(</w:t>
      </w:r>
      <w:r w:rsidR="0068051C">
        <w:rPr>
          <w:sz w:val="26"/>
        </w:rPr>
        <w:t>at</w:t>
      </w:r>
      <w:r w:rsidR="0068051C" w:rsidRPr="006847E9">
        <w:rPr>
          <w:sz w:val="26"/>
        </w:rPr>
        <w:t xml:space="preserve"> 5) </w:t>
      </w:r>
      <w:r>
        <w:rPr>
          <w:sz w:val="26"/>
        </w:rPr>
        <w:t xml:space="preserve">expressed general support </w:t>
      </w:r>
      <w:r w:rsidR="0068051C" w:rsidRPr="006847E9">
        <w:rPr>
          <w:sz w:val="26"/>
        </w:rPr>
        <w:t>for the position that for the purpose of TRC testing, if the end-use customer is a recipient of an incentive/rebate from an Act 129 program</w:t>
      </w:r>
      <w:r w:rsidR="0068051C">
        <w:rPr>
          <w:sz w:val="26"/>
        </w:rPr>
        <w:t xml:space="preserve"> then </w:t>
      </w:r>
      <w:r w:rsidR="0068051C" w:rsidRPr="006847E9">
        <w:rPr>
          <w:sz w:val="26"/>
        </w:rPr>
        <w:t xml:space="preserve">the EDC </w:t>
      </w:r>
      <w:r w:rsidR="0068051C">
        <w:rPr>
          <w:sz w:val="26"/>
        </w:rPr>
        <w:t xml:space="preserve">should be able to </w:t>
      </w:r>
      <w:r w:rsidR="0068051C" w:rsidRPr="006847E9">
        <w:rPr>
          <w:sz w:val="26"/>
        </w:rPr>
        <w:t xml:space="preserve">claim the entire savings of that equipment or service </w:t>
      </w:r>
      <w:r>
        <w:rPr>
          <w:sz w:val="26"/>
        </w:rPr>
        <w:t xml:space="preserve">regardless </w:t>
      </w:r>
      <w:r w:rsidR="0068051C" w:rsidRPr="006847E9">
        <w:rPr>
          <w:sz w:val="26"/>
        </w:rPr>
        <w:t xml:space="preserve">of whether the customer may have also received an incentive/rebate from an Act 1 Program.  Parties noted that this provision would tend to support cooperation between the programs, rather than competition </w:t>
      </w:r>
      <w:r w:rsidR="0068051C">
        <w:rPr>
          <w:sz w:val="26"/>
        </w:rPr>
        <w:t xml:space="preserve">that </w:t>
      </w:r>
      <w:r w:rsidR="0068051C" w:rsidRPr="006847E9">
        <w:rPr>
          <w:sz w:val="26"/>
        </w:rPr>
        <w:t xml:space="preserve">could hinder </w:t>
      </w:r>
      <w:r w:rsidR="0068051C">
        <w:rPr>
          <w:sz w:val="26"/>
        </w:rPr>
        <w:t xml:space="preserve">Act 129 </w:t>
      </w:r>
      <w:r w:rsidR="0068051C" w:rsidRPr="006847E9">
        <w:rPr>
          <w:sz w:val="26"/>
        </w:rPr>
        <w:t xml:space="preserve">program participation.  </w:t>
      </w:r>
    </w:p>
    <w:p w:rsidR="0068051C" w:rsidRDefault="0068051C" w:rsidP="0037494A">
      <w:pPr>
        <w:spacing w:line="360" w:lineRule="auto"/>
        <w:rPr>
          <w:sz w:val="26"/>
          <w:szCs w:val="26"/>
        </w:rPr>
      </w:pPr>
    </w:p>
    <w:p w:rsidR="00EA7C9E" w:rsidRPr="007733F3" w:rsidRDefault="00E31F49" w:rsidP="0037494A">
      <w:pPr>
        <w:spacing w:line="360" w:lineRule="auto"/>
        <w:ind w:firstLine="720"/>
        <w:rPr>
          <w:sz w:val="26"/>
          <w:szCs w:val="26"/>
        </w:rPr>
      </w:pPr>
      <w:r>
        <w:rPr>
          <w:sz w:val="26"/>
        </w:rPr>
        <w:lastRenderedPageBreak/>
        <w:t>Accordingly</w:t>
      </w:r>
      <w:r w:rsidRPr="006847E9">
        <w:rPr>
          <w:sz w:val="26"/>
        </w:rPr>
        <w:t xml:space="preserve">, </w:t>
      </w:r>
      <w:r>
        <w:rPr>
          <w:sz w:val="26"/>
        </w:rPr>
        <w:t xml:space="preserve">EDCs will be able to fully include a measure’s benefits in the TRC test if any portion of the measure is attributable to Act 129.  </w:t>
      </w:r>
      <w:r w:rsidR="00ED5854">
        <w:rPr>
          <w:sz w:val="26"/>
          <w:szCs w:val="26"/>
        </w:rPr>
        <w:t xml:space="preserve">For the purposes of TRC testing, </w:t>
      </w:r>
      <w:r w:rsidR="00EA7C9E" w:rsidRPr="007733F3">
        <w:rPr>
          <w:sz w:val="26"/>
          <w:szCs w:val="26"/>
        </w:rPr>
        <w:t xml:space="preserve">if the end-use customer is a recipient of an incentive/rebate from </w:t>
      </w:r>
      <w:r w:rsidR="00ED5854">
        <w:rPr>
          <w:sz w:val="26"/>
          <w:szCs w:val="26"/>
        </w:rPr>
        <w:t>an</w:t>
      </w:r>
      <w:r w:rsidR="00EA7C9E" w:rsidRPr="007733F3">
        <w:rPr>
          <w:sz w:val="26"/>
          <w:szCs w:val="26"/>
        </w:rPr>
        <w:t xml:space="preserve"> Act 129 program</w:t>
      </w:r>
      <w:r w:rsidR="00ED5854">
        <w:rPr>
          <w:sz w:val="26"/>
          <w:szCs w:val="26"/>
        </w:rPr>
        <w:t xml:space="preserve">, even if the customer is also a recipient of an Act 1 incentive or rebate for the same </w:t>
      </w:r>
      <w:r w:rsidR="008D28D8">
        <w:rPr>
          <w:sz w:val="26"/>
          <w:szCs w:val="26"/>
        </w:rPr>
        <w:t>equipment or service</w:t>
      </w:r>
      <w:r w:rsidR="00ED5854">
        <w:rPr>
          <w:sz w:val="26"/>
          <w:szCs w:val="26"/>
        </w:rPr>
        <w:t xml:space="preserve">, </w:t>
      </w:r>
      <w:r w:rsidR="00F2266A">
        <w:rPr>
          <w:sz w:val="26"/>
          <w:szCs w:val="26"/>
        </w:rPr>
        <w:t xml:space="preserve">we conclude that </w:t>
      </w:r>
      <w:r w:rsidR="00EA7C9E" w:rsidRPr="007733F3">
        <w:rPr>
          <w:sz w:val="26"/>
          <w:szCs w:val="26"/>
        </w:rPr>
        <w:t xml:space="preserve">the </w:t>
      </w:r>
      <w:r w:rsidR="00ED5854">
        <w:rPr>
          <w:sz w:val="26"/>
          <w:szCs w:val="26"/>
        </w:rPr>
        <w:t xml:space="preserve">entire </w:t>
      </w:r>
      <w:r w:rsidR="00EA7C9E" w:rsidRPr="007733F3">
        <w:rPr>
          <w:sz w:val="26"/>
          <w:szCs w:val="26"/>
        </w:rPr>
        <w:t xml:space="preserve">savings </w:t>
      </w:r>
      <w:r w:rsidR="00ED5854">
        <w:rPr>
          <w:sz w:val="26"/>
          <w:szCs w:val="26"/>
        </w:rPr>
        <w:t xml:space="preserve">of that </w:t>
      </w:r>
      <w:r w:rsidR="008D28D8">
        <w:rPr>
          <w:sz w:val="26"/>
          <w:szCs w:val="26"/>
        </w:rPr>
        <w:t>equipment or service</w:t>
      </w:r>
      <w:r w:rsidR="00ED5854">
        <w:rPr>
          <w:sz w:val="26"/>
          <w:szCs w:val="26"/>
        </w:rPr>
        <w:t xml:space="preserve"> </w:t>
      </w:r>
      <w:r w:rsidR="00EA7C9E" w:rsidRPr="007733F3">
        <w:rPr>
          <w:sz w:val="26"/>
          <w:szCs w:val="26"/>
        </w:rPr>
        <w:t xml:space="preserve">can </w:t>
      </w:r>
      <w:r w:rsidR="00F2266A">
        <w:rPr>
          <w:sz w:val="26"/>
          <w:szCs w:val="26"/>
        </w:rPr>
        <w:t xml:space="preserve">also </w:t>
      </w:r>
      <w:r w:rsidR="00EA7C9E" w:rsidRPr="007733F3">
        <w:rPr>
          <w:sz w:val="26"/>
          <w:szCs w:val="26"/>
        </w:rPr>
        <w:t>be claimed by the EDC</w:t>
      </w:r>
      <w:r w:rsidR="00ED5854">
        <w:rPr>
          <w:sz w:val="26"/>
          <w:szCs w:val="26"/>
        </w:rPr>
        <w:t xml:space="preserve"> for TRC testing</w:t>
      </w:r>
      <w:r w:rsidR="008D28D8">
        <w:rPr>
          <w:sz w:val="26"/>
          <w:szCs w:val="26"/>
        </w:rPr>
        <w:t xml:space="preserve"> purposes</w:t>
      </w:r>
      <w:r w:rsidR="00EA7C9E" w:rsidRPr="007733F3">
        <w:rPr>
          <w:sz w:val="26"/>
          <w:szCs w:val="26"/>
        </w:rPr>
        <w:t xml:space="preserve">.  </w:t>
      </w:r>
    </w:p>
    <w:p w:rsidR="00EA7C9E" w:rsidRPr="007733F3" w:rsidRDefault="00EA7C9E" w:rsidP="0037494A">
      <w:pPr>
        <w:pStyle w:val="p3"/>
        <w:widowControl/>
        <w:spacing w:line="360" w:lineRule="auto"/>
        <w:rPr>
          <w:sz w:val="26"/>
          <w:szCs w:val="26"/>
        </w:rPr>
      </w:pPr>
    </w:p>
    <w:p w:rsidR="00EA7C9E" w:rsidRPr="007733F3" w:rsidRDefault="00EA7C9E" w:rsidP="0037494A">
      <w:pPr>
        <w:keepNext/>
        <w:spacing w:line="360" w:lineRule="auto"/>
        <w:ind w:firstLine="720"/>
        <w:rPr>
          <w:sz w:val="26"/>
          <w:szCs w:val="26"/>
          <w:u w:val="single"/>
        </w:rPr>
      </w:pPr>
      <w:r w:rsidRPr="007733F3">
        <w:rPr>
          <w:b/>
          <w:sz w:val="26"/>
          <w:szCs w:val="26"/>
        </w:rPr>
        <w:t>(</w:t>
      </w:r>
      <w:r w:rsidR="00332A62">
        <w:rPr>
          <w:b/>
          <w:sz w:val="26"/>
          <w:szCs w:val="26"/>
        </w:rPr>
        <w:t>g</w:t>
      </w:r>
      <w:r w:rsidRPr="007733F3">
        <w:rPr>
          <w:b/>
          <w:sz w:val="26"/>
          <w:szCs w:val="26"/>
        </w:rPr>
        <w:t xml:space="preserve">)  </w:t>
      </w:r>
      <w:r w:rsidR="00DE4402" w:rsidRPr="007733F3">
        <w:rPr>
          <w:b/>
          <w:sz w:val="26"/>
          <w:szCs w:val="26"/>
        </w:rPr>
        <w:t xml:space="preserve">Net-to-Gross </w:t>
      </w:r>
      <w:r w:rsidR="008B1234">
        <w:rPr>
          <w:b/>
          <w:sz w:val="26"/>
          <w:szCs w:val="26"/>
        </w:rPr>
        <w:t>(NTG) A</w:t>
      </w:r>
      <w:r w:rsidR="00DE4402" w:rsidRPr="007733F3">
        <w:rPr>
          <w:b/>
          <w:sz w:val="26"/>
          <w:szCs w:val="26"/>
        </w:rPr>
        <w:t>djustments to Savings</w:t>
      </w:r>
    </w:p>
    <w:p w:rsidR="00EA7C9E" w:rsidRPr="007733F3" w:rsidRDefault="00EA7C9E" w:rsidP="0037494A">
      <w:pPr>
        <w:keepNext/>
        <w:spacing w:line="360" w:lineRule="auto"/>
        <w:rPr>
          <w:sz w:val="26"/>
          <w:szCs w:val="26"/>
        </w:rPr>
      </w:pPr>
    </w:p>
    <w:p w:rsidR="00EA7C9E" w:rsidRPr="007733F3" w:rsidRDefault="00EA7C9E" w:rsidP="0037494A">
      <w:pPr>
        <w:spacing w:line="360" w:lineRule="auto"/>
        <w:rPr>
          <w:sz w:val="26"/>
          <w:szCs w:val="26"/>
        </w:rPr>
      </w:pPr>
      <w:r w:rsidRPr="007733F3">
        <w:rPr>
          <w:sz w:val="26"/>
          <w:szCs w:val="26"/>
        </w:rPr>
        <w:tab/>
        <w:t xml:space="preserve">A common consideration for determining the cost benefit of energy efficiency programs is whether to make adjustments to gross energy savings through the use of a </w:t>
      </w:r>
      <w:r w:rsidR="000B3268">
        <w:rPr>
          <w:sz w:val="26"/>
          <w:szCs w:val="26"/>
        </w:rPr>
        <w:t>NTG</w:t>
      </w:r>
      <w:r w:rsidRPr="007733F3">
        <w:rPr>
          <w:sz w:val="26"/>
          <w:szCs w:val="26"/>
        </w:rPr>
        <w:t xml:space="preserve"> ratio.  </w:t>
      </w:r>
      <w:r w:rsidR="000D3750">
        <w:rPr>
          <w:sz w:val="26"/>
          <w:szCs w:val="26"/>
        </w:rPr>
        <w:t>I</w:t>
      </w:r>
      <w:r w:rsidR="000D3750" w:rsidRPr="007733F3">
        <w:rPr>
          <w:sz w:val="26"/>
          <w:szCs w:val="26"/>
        </w:rPr>
        <w:t xml:space="preserve">n the absence of data specific to Act 129 programs, </w:t>
      </w:r>
      <w:r w:rsidR="006A3B1A">
        <w:rPr>
          <w:sz w:val="26"/>
          <w:szCs w:val="26"/>
        </w:rPr>
        <w:t>w</w:t>
      </w:r>
      <w:r w:rsidR="00BC6B45">
        <w:rPr>
          <w:sz w:val="26"/>
          <w:szCs w:val="26"/>
        </w:rPr>
        <w:t xml:space="preserve">e </w:t>
      </w:r>
      <w:r w:rsidR="00347941">
        <w:rPr>
          <w:sz w:val="26"/>
          <w:szCs w:val="26"/>
        </w:rPr>
        <w:t xml:space="preserve">proposed </w:t>
      </w:r>
      <w:r w:rsidR="00BC6B45">
        <w:rPr>
          <w:sz w:val="26"/>
          <w:szCs w:val="26"/>
        </w:rPr>
        <w:t xml:space="preserve">not </w:t>
      </w:r>
      <w:r w:rsidR="00347941">
        <w:rPr>
          <w:sz w:val="26"/>
          <w:szCs w:val="26"/>
        </w:rPr>
        <w:t xml:space="preserve">to </w:t>
      </w:r>
      <w:r w:rsidR="00BC6B45">
        <w:rPr>
          <w:sz w:val="26"/>
          <w:szCs w:val="26"/>
        </w:rPr>
        <w:t xml:space="preserve">require NTG adjustments </w:t>
      </w:r>
      <w:r w:rsidR="000D3750">
        <w:rPr>
          <w:sz w:val="26"/>
          <w:szCs w:val="26"/>
        </w:rPr>
        <w:t>for the first year</w:t>
      </w:r>
      <w:r w:rsidR="00BC6B45">
        <w:rPr>
          <w:sz w:val="26"/>
          <w:szCs w:val="26"/>
        </w:rPr>
        <w:t xml:space="preserve">.  </w:t>
      </w:r>
      <w:r w:rsidR="00A32AC6">
        <w:rPr>
          <w:sz w:val="26"/>
          <w:szCs w:val="26"/>
        </w:rPr>
        <w:t>A</w:t>
      </w:r>
      <w:r w:rsidRPr="007733F3">
        <w:rPr>
          <w:sz w:val="26"/>
          <w:szCs w:val="26"/>
        </w:rPr>
        <w:t xml:space="preserve"> NTG </w:t>
      </w:r>
      <w:r w:rsidR="00A32AC6">
        <w:rPr>
          <w:sz w:val="26"/>
          <w:szCs w:val="26"/>
        </w:rPr>
        <w:t xml:space="preserve">adjustment would </w:t>
      </w:r>
      <w:r w:rsidRPr="007733F3">
        <w:rPr>
          <w:sz w:val="26"/>
          <w:szCs w:val="26"/>
        </w:rPr>
        <w:t>adjust the cost-effectiveness results so that the</w:t>
      </w:r>
      <w:r w:rsidR="00B60866">
        <w:rPr>
          <w:sz w:val="26"/>
          <w:szCs w:val="26"/>
        </w:rPr>
        <w:t xml:space="preserve"> results would </w:t>
      </w:r>
      <w:r w:rsidRPr="007733F3">
        <w:rPr>
          <w:sz w:val="26"/>
          <w:szCs w:val="26"/>
        </w:rPr>
        <w:t>only reflect those energy efficiency gains that are attributed to and are a direct result of the energy efficiency program in question</w:t>
      </w:r>
      <w:r w:rsidR="00A93918">
        <w:rPr>
          <w:sz w:val="26"/>
          <w:szCs w:val="26"/>
        </w:rPr>
        <w:t>.</w:t>
      </w:r>
      <w:r w:rsidRPr="007733F3">
        <w:rPr>
          <w:rStyle w:val="FootnoteReference"/>
          <w:sz w:val="26"/>
          <w:szCs w:val="26"/>
        </w:rPr>
        <w:footnoteReference w:id="39"/>
      </w:r>
      <w:r w:rsidRPr="007733F3">
        <w:rPr>
          <w:sz w:val="26"/>
          <w:szCs w:val="26"/>
        </w:rPr>
        <w:t xml:space="preserve">  </w:t>
      </w:r>
      <w:r w:rsidR="00B60866">
        <w:rPr>
          <w:sz w:val="26"/>
          <w:szCs w:val="26"/>
        </w:rPr>
        <w:t>A</w:t>
      </w:r>
      <w:r w:rsidR="00247D3E">
        <w:rPr>
          <w:sz w:val="26"/>
          <w:szCs w:val="26"/>
        </w:rPr>
        <w:t xml:space="preserve"> NTG</w:t>
      </w:r>
      <w:r w:rsidRPr="007733F3">
        <w:rPr>
          <w:sz w:val="26"/>
          <w:szCs w:val="26"/>
        </w:rPr>
        <w:t xml:space="preserve"> </w:t>
      </w:r>
      <w:r w:rsidR="00B60866">
        <w:rPr>
          <w:sz w:val="26"/>
          <w:szCs w:val="26"/>
        </w:rPr>
        <w:t xml:space="preserve">would </w:t>
      </w:r>
      <w:r w:rsidRPr="007733F3">
        <w:rPr>
          <w:sz w:val="26"/>
          <w:szCs w:val="26"/>
        </w:rPr>
        <w:t xml:space="preserve">give evaluators an estimate of savings achieved as a direct result of program expenditures by removing savings that would have occurred even absent a conservation program.  Three common factors </w:t>
      </w:r>
      <w:r w:rsidR="0065440C">
        <w:rPr>
          <w:sz w:val="26"/>
          <w:szCs w:val="26"/>
        </w:rPr>
        <w:t xml:space="preserve">among others </w:t>
      </w:r>
      <w:r w:rsidRPr="007733F3">
        <w:rPr>
          <w:sz w:val="26"/>
          <w:szCs w:val="26"/>
        </w:rPr>
        <w:t xml:space="preserve">addressed through the NTG are </w:t>
      </w:r>
      <w:r w:rsidR="00BC6B45">
        <w:rPr>
          <w:sz w:val="26"/>
          <w:szCs w:val="26"/>
        </w:rPr>
        <w:t>“</w:t>
      </w:r>
      <w:r w:rsidRPr="007733F3">
        <w:rPr>
          <w:sz w:val="26"/>
          <w:szCs w:val="26"/>
        </w:rPr>
        <w:t>free riders,</w:t>
      </w:r>
      <w:r w:rsidR="00BC6B45">
        <w:rPr>
          <w:sz w:val="26"/>
          <w:szCs w:val="26"/>
        </w:rPr>
        <w:t>”</w:t>
      </w:r>
      <w:r w:rsidRPr="007733F3">
        <w:rPr>
          <w:sz w:val="26"/>
          <w:szCs w:val="26"/>
        </w:rPr>
        <w:t xml:space="preserve"> </w:t>
      </w:r>
      <w:r w:rsidR="00BC6B45">
        <w:rPr>
          <w:sz w:val="26"/>
          <w:szCs w:val="26"/>
        </w:rPr>
        <w:t>“</w:t>
      </w:r>
      <w:r w:rsidRPr="007733F3">
        <w:rPr>
          <w:sz w:val="26"/>
          <w:szCs w:val="26"/>
        </w:rPr>
        <w:t>take-back effect,</w:t>
      </w:r>
      <w:r w:rsidR="00BC6B45">
        <w:rPr>
          <w:sz w:val="26"/>
          <w:szCs w:val="26"/>
        </w:rPr>
        <w:t>”</w:t>
      </w:r>
      <w:r w:rsidRPr="007733F3">
        <w:rPr>
          <w:sz w:val="26"/>
          <w:szCs w:val="26"/>
        </w:rPr>
        <w:t xml:space="preserve"> and </w:t>
      </w:r>
      <w:r w:rsidR="00BC6B45">
        <w:rPr>
          <w:sz w:val="26"/>
          <w:szCs w:val="26"/>
        </w:rPr>
        <w:t>“</w:t>
      </w:r>
      <w:r w:rsidRPr="007733F3">
        <w:rPr>
          <w:sz w:val="26"/>
          <w:szCs w:val="26"/>
        </w:rPr>
        <w:t>spillover effect</w:t>
      </w:r>
      <w:r w:rsidR="00BC6B45">
        <w:rPr>
          <w:sz w:val="26"/>
          <w:szCs w:val="26"/>
        </w:rPr>
        <w:t>”</w:t>
      </w:r>
      <w:r w:rsidRPr="007733F3">
        <w:rPr>
          <w:sz w:val="26"/>
          <w:szCs w:val="26"/>
        </w:rPr>
        <w:t xml:space="preserve"> sometimes referred to as </w:t>
      </w:r>
      <w:r w:rsidR="00BC6B45">
        <w:rPr>
          <w:sz w:val="26"/>
          <w:szCs w:val="26"/>
        </w:rPr>
        <w:t>“</w:t>
      </w:r>
      <w:r w:rsidRPr="007733F3">
        <w:rPr>
          <w:sz w:val="26"/>
          <w:szCs w:val="26"/>
        </w:rPr>
        <w:t>free drivers.</w:t>
      </w:r>
      <w:r w:rsidR="00A93918">
        <w:rPr>
          <w:sz w:val="26"/>
          <w:szCs w:val="26"/>
        </w:rPr>
        <w:t>”</w:t>
      </w:r>
      <w:r w:rsidR="0065440C">
        <w:rPr>
          <w:rStyle w:val="FootnoteReference"/>
          <w:sz w:val="26"/>
          <w:szCs w:val="26"/>
        </w:rPr>
        <w:footnoteReference w:id="40"/>
      </w:r>
      <w:r w:rsidRPr="007733F3">
        <w:rPr>
          <w:sz w:val="26"/>
          <w:szCs w:val="26"/>
        </w:rPr>
        <w:t xml:space="preserve">   </w:t>
      </w:r>
    </w:p>
    <w:p w:rsidR="00EA7C9E" w:rsidRPr="007733F3" w:rsidRDefault="00EA7C9E" w:rsidP="0037494A">
      <w:pPr>
        <w:spacing w:line="360" w:lineRule="auto"/>
        <w:rPr>
          <w:sz w:val="26"/>
          <w:szCs w:val="26"/>
        </w:rPr>
      </w:pPr>
    </w:p>
    <w:p w:rsidR="00EA7C9E" w:rsidRPr="007733F3" w:rsidRDefault="00EA7C9E" w:rsidP="0037494A">
      <w:pPr>
        <w:spacing w:line="360" w:lineRule="auto"/>
        <w:rPr>
          <w:sz w:val="26"/>
          <w:szCs w:val="26"/>
        </w:rPr>
      </w:pPr>
      <w:r w:rsidRPr="007733F3">
        <w:rPr>
          <w:sz w:val="26"/>
          <w:szCs w:val="26"/>
        </w:rPr>
        <w:lastRenderedPageBreak/>
        <w:tab/>
        <w:t>N</w:t>
      </w:r>
      <w:r w:rsidR="003C5228">
        <w:rPr>
          <w:sz w:val="26"/>
          <w:szCs w:val="26"/>
        </w:rPr>
        <w:t>TG</w:t>
      </w:r>
      <w:r w:rsidRPr="007733F3">
        <w:rPr>
          <w:sz w:val="26"/>
          <w:szCs w:val="26"/>
        </w:rPr>
        <w:t xml:space="preserve"> adjustments are likely to be influenced by program</w:t>
      </w:r>
      <w:r w:rsidR="0081622A">
        <w:rPr>
          <w:sz w:val="26"/>
          <w:szCs w:val="26"/>
        </w:rPr>
        <w:t>-</w:t>
      </w:r>
      <w:r w:rsidRPr="007733F3">
        <w:rPr>
          <w:sz w:val="26"/>
          <w:szCs w:val="26"/>
        </w:rPr>
        <w:t xml:space="preserve"> or measure-specific applications.  The degree to which free-rider</w:t>
      </w:r>
      <w:r w:rsidR="00A32AC6">
        <w:rPr>
          <w:sz w:val="26"/>
          <w:szCs w:val="26"/>
        </w:rPr>
        <w:t>s</w:t>
      </w:r>
      <w:r w:rsidRPr="007733F3">
        <w:rPr>
          <w:sz w:val="26"/>
          <w:szCs w:val="26"/>
        </w:rPr>
        <w:t xml:space="preserve"> </w:t>
      </w:r>
      <w:r w:rsidR="00A32AC6">
        <w:rPr>
          <w:sz w:val="26"/>
          <w:szCs w:val="26"/>
        </w:rPr>
        <w:t xml:space="preserve">and </w:t>
      </w:r>
      <w:r w:rsidRPr="007733F3">
        <w:rPr>
          <w:sz w:val="26"/>
          <w:szCs w:val="26"/>
        </w:rPr>
        <w:t>take-back and spillover effect</w:t>
      </w:r>
      <w:r w:rsidR="004F50DB">
        <w:rPr>
          <w:sz w:val="26"/>
          <w:szCs w:val="26"/>
        </w:rPr>
        <w:t>s</w:t>
      </w:r>
      <w:r w:rsidRPr="007733F3">
        <w:rPr>
          <w:sz w:val="26"/>
          <w:szCs w:val="26"/>
        </w:rPr>
        <w:t xml:space="preserve"> are factors that are present in </w:t>
      </w:r>
      <w:r w:rsidR="00F2266A">
        <w:rPr>
          <w:sz w:val="26"/>
          <w:szCs w:val="26"/>
        </w:rPr>
        <w:t xml:space="preserve">EDC </w:t>
      </w:r>
      <w:r w:rsidRPr="007733F3">
        <w:rPr>
          <w:sz w:val="26"/>
          <w:szCs w:val="26"/>
        </w:rPr>
        <w:t>programs is best determined by research conducted at the program-participant level.  This research comes at a cost and</w:t>
      </w:r>
      <w:r w:rsidR="00BA543E">
        <w:rPr>
          <w:sz w:val="26"/>
          <w:szCs w:val="26"/>
        </w:rPr>
        <w:t xml:space="preserve"> would,</w:t>
      </w:r>
      <w:r w:rsidRPr="007733F3">
        <w:rPr>
          <w:sz w:val="26"/>
          <w:szCs w:val="26"/>
        </w:rPr>
        <w:t xml:space="preserve"> th</w:t>
      </w:r>
      <w:r w:rsidR="00B60866">
        <w:rPr>
          <w:sz w:val="26"/>
          <w:szCs w:val="26"/>
        </w:rPr>
        <w:t>us</w:t>
      </w:r>
      <w:r w:rsidRPr="007733F3">
        <w:rPr>
          <w:sz w:val="26"/>
          <w:szCs w:val="26"/>
        </w:rPr>
        <w:t xml:space="preserve">, increase program costs.  If adjustments are </w:t>
      </w:r>
      <w:r w:rsidR="00B60866">
        <w:rPr>
          <w:sz w:val="26"/>
          <w:szCs w:val="26"/>
        </w:rPr>
        <w:t xml:space="preserve">to be </w:t>
      </w:r>
      <w:r w:rsidRPr="007733F3">
        <w:rPr>
          <w:sz w:val="26"/>
          <w:szCs w:val="26"/>
        </w:rPr>
        <w:t>made through NTG that result in reductions to claimed savings because of free-rider</w:t>
      </w:r>
      <w:r w:rsidR="00A32AC6">
        <w:rPr>
          <w:sz w:val="26"/>
          <w:szCs w:val="26"/>
        </w:rPr>
        <w:t>s</w:t>
      </w:r>
      <w:r w:rsidRPr="007733F3">
        <w:rPr>
          <w:sz w:val="26"/>
          <w:szCs w:val="26"/>
        </w:rPr>
        <w:t xml:space="preserve"> and take-back effect</w:t>
      </w:r>
      <w:r w:rsidR="004F50DB">
        <w:rPr>
          <w:sz w:val="26"/>
          <w:szCs w:val="26"/>
        </w:rPr>
        <w:t>s</w:t>
      </w:r>
      <w:r w:rsidRPr="007733F3">
        <w:rPr>
          <w:sz w:val="26"/>
          <w:szCs w:val="26"/>
        </w:rPr>
        <w:t xml:space="preserve"> that are not cancelled out by spillover effect</w:t>
      </w:r>
      <w:r w:rsidR="004F50DB">
        <w:rPr>
          <w:sz w:val="26"/>
          <w:szCs w:val="26"/>
        </w:rPr>
        <w:t>s</w:t>
      </w:r>
      <w:r w:rsidRPr="007733F3">
        <w:rPr>
          <w:sz w:val="26"/>
          <w:szCs w:val="26"/>
        </w:rPr>
        <w:t xml:space="preserve">, then EDCs </w:t>
      </w:r>
      <w:r w:rsidR="00B60866">
        <w:rPr>
          <w:sz w:val="26"/>
          <w:szCs w:val="26"/>
        </w:rPr>
        <w:t xml:space="preserve">would have to </w:t>
      </w:r>
      <w:r w:rsidRPr="007733F3">
        <w:rPr>
          <w:sz w:val="26"/>
          <w:szCs w:val="26"/>
        </w:rPr>
        <w:t>implement additional reduction measures to meet the mandated reduction targets.  The EDCs w</w:t>
      </w:r>
      <w:r w:rsidR="006D662A">
        <w:rPr>
          <w:sz w:val="26"/>
          <w:szCs w:val="26"/>
        </w:rPr>
        <w:t xml:space="preserve">ould </w:t>
      </w:r>
      <w:r w:rsidRPr="007733F3">
        <w:rPr>
          <w:sz w:val="26"/>
          <w:szCs w:val="26"/>
        </w:rPr>
        <w:t xml:space="preserve">incur additional program costs to implement the additional reduction measures.  On the other hand, with the implementation of additional reduction measures, there </w:t>
      </w:r>
      <w:r w:rsidR="00B60866">
        <w:rPr>
          <w:sz w:val="26"/>
          <w:szCs w:val="26"/>
        </w:rPr>
        <w:t>would be</w:t>
      </w:r>
      <w:r w:rsidRPr="007733F3">
        <w:rPr>
          <w:sz w:val="26"/>
          <w:szCs w:val="26"/>
        </w:rPr>
        <w:t xml:space="preserve"> the potential for incremental reductions in the future cost of wholesale power which could benefit all customers.</w:t>
      </w:r>
    </w:p>
    <w:p w:rsidR="00EA7C9E" w:rsidRPr="007733F3" w:rsidRDefault="00EA7C9E" w:rsidP="0037494A">
      <w:pPr>
        <w:spacing w:line="360" w:lineRule="auto"/>
        <w:rPr>
          <w:sz w:val="26"/>
          <w:szCs w:val="26"/>
        </w:rPr>
      </w:pPr>
    </w:p>
    <w:p w:rsidR="00EA7C9E" w:rsidRDefault="00EA7C9E" w:rsidP="0037494A">
      <w:pPr>
        <w:spacing w:line="360" w:lineRule="auto"/>
        <w:rPr>
          <w:sz w:val="26"/>
          <w:szCs w:val="26"/>
        </w:rPr>
      </w:pPr>
      <w:r w:rsidRPr="007733F3">
        <w:rPr>
          <w:sz w:val="26"/>
          <w:szCs w:val="26"/>
        </w:rPr>
        <w:tab/>
        <w:t>In order to assess the potential for incorporating NTG adjustments when determining the cost-effectiveness of Act 129 programs, the Commission propose</w:t>
      </w:r>
      <w:r w:rsidR="0081622A">
        <w:rPr>
          <w:sz w:val="26"/>
          <w:szCs w:val="26"/>
        </w:rPr>
        <w:t>d</w:t>
      </w:r>
      <w:r w:rsidRPr="007733F3">
        <w:rPr>
          <w:sz w:val="26"/>
          <w:szCs w:val="26"/>
        </w:rPr>
        <w:t xml:space="preserve"> a two-step process.  </w:t>
      </w:r>
      <w:r w:rsidR="00DE79CB" w:rsidRPr="007733F3">
        <w:rPr>
          <w:sz w:val="26"/>
          <w:szCs w:val="26"/>
        </w:rPr>
        <w:t>First, in the absence of data specific to Act 129 programs, the</w:t>
      </w:r>
      <w:r w:rsidR="00DE79CB">
        <w:rPr>
          <w:sz w:val="26"/>
          <w:szCs w:val="26"/>
        </w:rPr>
        <w:t xml:space="preserve">re would be </w:t>
      </w:r>
      <w:r w:rsidR="00DE79CB" w:rsidRPr="007733F3">
        <w:rPr>
          <w:sz w:val="26"/>
          <w:szCs w:val="26"/>
        </w:rPr>
        <w:t xml:space="preserve">no NTG adjustments made for the first year of the programs.  </w:t>
      </w:r>
      <w:r w:rsidRPr="007733F3">
        <w:rPr>
          <w:sz w:val="26"/>
          <w:szCs w:val="26"/>
        </w:rPr>
        <w:t xml:space="preserve">Second, the Commission </w:t>
      </w:r>
      <w:r w:rsidR="00B60866">
        <w:rPr>
          <w:sz w:val="26"/>
          <w:szCs w:val="26"/>
        </w:rPr>
        <w:t xml:space="preserve">would </w:t>
      </w:r>
      <w:r w:rsidRPr="007733F3">
        <w:rPr>
          <w:sz w:val="26"/>
          <w:szCs w:val="26"/>
        </w:rPr>
        <w:t xml:space="preserve">direct EDCs to initially study </w:t>
      </w:r>
      <w:r w:rsidR="0065440C">
        <w:rPr>
          <w:sz w:val="26"/>
          <w:szCs w:val="26"/>
        </w:rPr>
        <w:t>the degree to which</w:t>
      </w:r>
      <w:r w:rsidR="0065440C" w:rsidRPr="007733F3">
        <w:rPr>
          <w:sz w:val="26"/>
          <w:szCs w:val="26"/>
        </w:rPr>
        <w:t xml:space="preserve"> </w:t>
      </w:r>
      <w:r w:rsidRPr="007733F3">
        <w:rPr>
          <w:sz w:val="26"/>
          <w:szCs w:val="26"/>
        </w:rPr>
        <w:t>free-rider</w:t>
      </w:r>
      <w:r w:rsidR="0065440C">
        <w:rPr>
          <w:sz w:val="26"/>
          <w:szCs w:val="26"/>
        </w:rPr>
        <w:t>s</w:t>
      </w:r>
      <w:r w:rsidRPr="007733F3">
        <w:rPr>
          <w:sz w:val="26"/>
          <w:szCs w:val="26"/>
        </w:rPr>
        <w:t>, take-back</w:t>
      </w:r>
      <w:r w:rsidR="003C5228">
        <w:rPr>
          <w:sz w:val="26"/>
          <w:szCs w:val="26"/>
        </w:rPr>
        <w:t xml:space="preserve"> effect</w:t>
      </w:r>
      <w:r w:rsidR="00FE4061">
        <w:rPr>
          <w:sz w:val="26"/>
          <w:szCs w:val="26"/>
        </w:rPr>
        <w:t>,</w:t>
      </w:r>
      <w:r w:rsidRPr="007733F3">
        <w:rPr>
          <w:sz w:val="26"/>
          <w:szCs w:val="26"/>
        </w:rPr>
        <w:t xml:space="preserve"> spillover effect</w:t>
      </w:r>
      <w:r w:rsidR="000D3750">
        <w:rPr>
          <w:sz w:val="26"/>
          <w:szCs w:val="26"/>
        </w:rPr>
        <w:t>,</w:t>
      </w:r>
      <w:r w:rsidRPr="007733F3">
        <w:rPr>
          <w:sz w:val="26"/>
          <w:szCs w:val="26"/>
        </w:rPr>
        <w:t xml:space="preserve"> </w:t>
      </w:r>
      <w:r w:rsidR="0065440C">
        <w:rPr>
          <w:sz w:val="26"/>
          <w:szCs w:val="26"/>
        </w:rPr>
        <w:t xml:space="preserve">or other factors that affect the NTG adjustment </w:t>
      </w:r>
      <w:r w:rsidRPr="007733F3">
        <w:rPr>
          <w:sz w:val="26"/>
          <w:szCs w:val="26"/>
        </w:rPr>
        <w:t xml:space="preserve">are present for the more prevalent efficiency measures that are implemented </w:t>
      </w:r>
      <w:r w:rsidR="00FE4061">
        <w:rPr>
          <w:sz w:val="26"/>
          <w:szCs w:val="26"/>
        </w:rPr>
        <w:t>pursuant to their EE&amp;C plans</w:t>
      </w:r>
      <w:r w:rsidRPr="007733F3">
        <w:rPr>
          <w:sz w:val="26"/>
          <w:szCs w:val="26"/>
        </w:rPr>
        <w:t xml:space="preserve">.  The EDC studies </w:t>
      </w:r>
      <w:r w:rsidR="007C6B4B">
        <w:rPr>
          <w:sz w:val="26"/>
          <w:szCs w:val="26"/>
        </w:rPr>
        <w:t xml:space="preserve">would </w:t>
      </w:r>
      <w:r w:rsidRPr="007733F3">
        <w:rPr>
          <w:sz w:val="26"/>
          <w:szCs w:val="26"/>
        </w:rPr>
        <w:t>be coordinated and overseen by a statewide evaluator should the Commission decide to contract for statewide evaluation services.</w:t>
      </w:r>
      <w:r w:rsidR="00001D21">
        <w:rPr>
          <w:rStyle w:val="FootnoteReference"/>
          <w:sz w:val="26"/>
          <w:szCs w:val="26"/>
        </w:rPr>
        <w:footnoteReference w:id="41"/>
      </w:r>
      <w:r w:rsidRPr="007733F3">
        <w:rPr>
          <w:sz w:val="26"/>
          <w:szCs w:val="26"/>
        </w:rPr>
        <w:t xml:space="preserve">  The results of the studies w</w:t>
      </w:r>
      <w:r w:rsidR="007C6B4B">
        <w:rPr>
          <w:sz w:val="26"/>
          <w:szCs w:val="26"/>
        </w:rPr>
        <w:t xml:space="preserve">ould </w:t>
      </w:r>
      <w:r w:rsidRPr="007733F3">
        <w:rPr>
          <w:sz w:val="26"/>
          <w:szCs w:val="26"/>
        </w:rPr>
        <w:t xml:space="preserve">be used to determine if NTG adjustments should </w:t>
      </w:r>
      <w:r w:rsidR="00BC6B45">
        <w:rPr>
          <w:sz w:val="26"/>
          <w:szCs w:val="26"/>
        </w:rPr>
        <w:t>be made in the future and, if so</w:t>
      </w:r>
      <w:r w:rsidRPr="007733F3">
        <w:rPr>
          <w:sz w:val="26"/>
          <w:szCs w:val="26"/>
        </w:rPr>
        <w:t xml:space="preserve">, what efficiency measures should have adjustments </w:t>
      </w:r>
      <w:r w:rsidR="00BC6B45">
        <w:rPr>
          <w:sz w:val="26"/>
          <w:szCs w:val="26"/>
        </w:rPr>
        <w:t xml:space="preserve">as well as </w:t>
      </w:r>
      <w:r w:rsidRPr="007733F3">
        <w:rPr>
          <w:sz w:val="26"/>
          <w:szCs w:val="26"/>
        </w:rPr>
        <w:t>what</w:t>
      </w:r>
      <w:r w:rsidR="00BC6B45">
        <w:rPr>
          <w:sz w:val="26"/>
          <w:szCs w:val="26"/>
        </w:rPr>
        <w:t xml:space="preserve">, if any, </w:t>
      </w:r>
      <w:r w:rsidRPr="007733F3">
        <w:rPr>
          <w:sz w:val="26"/>
          <w:szCs w:val="26"/>
        </w:rPr>
        <w:t>the NTG ratio adjustment should be (</w:t>
      </w:r>
      <w:r w:rsidR="003C5228" w:rsidRPr="003C5228">
        <w:rPr>
          <w:i/>
          <w:sz w:val="26"/>
          <w:szCs w:val="26"/>
        </w:rPr>
        <w:t>i.e.</w:t>
      </w:r>
      <w:r w:rsidR="003C5228">
        <w:rPr>
          <w:sz w:val="26"/>
          <w:szCs w:val="26"/>
        </w:rPr>
        <w:t xml:space="preserve">, the </w:t>
      </w:r>
      <w:r w:rsidRPr="007733F3">
        <w:rPr>
          <w:sz w:val="26"/>
          <w:szCs w:val="26"/>
        </w:rPr>
        <w:t>magnitude of adjustments).</w:t>
      </w:r>
    </w:p>
    <w:p w:rsidR="008D2551" w:rsidRDefault="008D2551" w:rsidP="0037494A">
      <w:pPr>
        <w:spacing w:line="360" w:lineRule="auto"/>
        <w:rPr>
          <w:sz w:val="26"/>
          <w:szCs w:val="26"/>
        </w:rPr>
      </w:pPr>
    </w:p>
    <w:p w:rsidR="00A37FFB" w:rsidRPr="00A37FFB" w:rsidRDefault="007C6B4B" w:rsidP="0037494A">
      <w:pPr>
        <w:spacing w:line="360" w:lineRule="auto"/>
        <w:ind w:firstLine="720"/>
        <w:rPr>
          <w:sz w:val="26"/>
          <w:szCs w:val="26"/>
        </w:rPr>
      </w:pPr>
      <w:r>
        <w:rPr>
          <w:sz w:val="26"/>
          <w:szCs w:val="26"/>
        </w:rPr>
        <w:t xml:space="preserve">The </w:t>
      </w:r>
      <w:r w:rsidR="00A37FFB" w:rsidRPr="00A37FFB">
        <w:rPr>
          <w:sz w:val="26"/>
          <w:szCs w:val="26"/>
        </w:rPr>
        <w:t>comment</w:t>
      </w:r>
      <w:r w:rsidR="00DA5426">
        <w:rPr>
          <w:sz w:val="26"/>
          <w:szCs w:val="26"/>
        </w:rPr>
        <w:t>s</w:t>
      </w:r>
      <w:r w:rsidR="00A37FFB" w:rsidRPr="00A37FFB">
        <w:rPr>
          <w:sz w:val="26"/>
          <w:szCs w:val="26"/>
        </w:rPr>
        <w:t xml:space="preserve"> on this issue supported the proposal to have no NTG adjustment for </w:t>
      </w:r>
      <w:r w:rsidR="00DA5426">
        <w:rPr>
          <w:sz w:val="26"/>
          <w:szCs w:val="26"/>
        </w:rPr>
        <w:t xml:space="preserve">at least the </w:t>
      </w:r>
      <w:r w:rsidR="00A37FFB" w:rsidRPr="00A37FFB">
        <w:rPr>
          <w:sz w:val="26"/>
          <w:szCs w:val="26"/>
        </w:rPr>
        <w:t>first</w:t>
      </w:r>
      <w:r w:rsidR="00DA5426">
        <w:rPr>
          <w:sz w:val="26"/>
          <w:szCs w:val="26"/>
        </w:rPr>
        <w:t xml:space="preserve"> </w:t>
      </w:r>
      <w:r w:rsidR="00A37FFB" w:rsidRPr="00A37FFB">
        <w:rPr>
          <w:sz w:val="26"/>
          <w:szCs w:val="26"/>
        </w:rPr>
        <w:t>year</w:t>
      </w:r>
      <w:r w:rsidR="00DA5426">
        <w:rPr>
          <w:sz w:val="26"/>
          <w:szCs w:val="26"/>
        </w:rPr>
        <w:t xml:space="preserve"> of</w:t>
      </w:r>
      <w:r w:rsidR="00A37FFB" w:rsidRPr="00A37FFB">
        <w:rPr>
          <w:sz w:val="26"/>
          <w:szCs w:val="26"/>
        </w:rPr>
        <w:t xml:space="preserve"> EE&amp;C programs.  </w:t>
      </w:r>
      <w:r w:rsidR="00696F60">
        <w:rPr>
          <w:sz w:val="26"/>
          <w:szCs w:val="26"/>
        </w:rPr>
        <w:t xml:space="preserve">OCA (at 5-6) agreed with the proposal as </w:t>
      </w:r>
      <w:r w:rsidR="00696F60">
        <w:rPr>
          <w:sz w:val="26"/>
          <w:szCs w:val="26"/>
        </w:rPr>
        <w:lastRenderedPageBreak/>
        <w:t xml:space="preserve">drafted.  </w:t>
      </w:r>
      <w:r w:rsidR="00A37FFB" w:rsidRPr="00A37FFB">
        <w:rPr>
          <w:sz w:val="26"/>
          <w:szCs w:val="26"/>
        </w:rPr>
        <w:t>PECO (at</w:t>
      </w:r>
      <w:r>
        <w:rPr>
          <w:sz w:val="26"/>
          <w:szCs w:val="26"/>
        </w:rPr>
        <w:t> </w:t>
      </w:r>
      <w:r w:rsidR="00A37FFB" w:rsidRPr="00A37FFB">
        <w:rPr>
          <w:sz w:val="26"/>
          <w:szCs w:val="26"/>
        </w:rPr>
        <w:t xml:space="preserve">7) noted that data may not be available to make such an adjustment until the second or third program year.  Allegheny (at 3-4) suggested that no NTG adjustment should be made for the initial four year </w:t>
      </w:r>
      <w:r w:rsidR="00DE7DA7">
        <w:rPr>
          <w:sz w:val="26"/>
          <w:szCs w:val="26"/>
        </w:rPr>
        <w:t>EE&amp;C plans</w:t>
      </w:r>
      <w:r w:rsidR="00A37FFB" w:rsidRPr="00A37FFB">
        <w:rPr>
          <w:sz w:val="26"/>
          <w:szCs w:val="26"/>
        </w:rPr>
        <w:t xml:space="preserve">. </w:t>
      </w:r>
      <w:r w:rsidR="00DE7DA7">
        <w:rPr>
          <w:sz w:val="26"/>
          <w:szCs w:val="26"/>
        </w:rPr>
        <w:t xml:space="preserve"> </w:t>
      </w:r>
      <w:r w:rsidR="00A37FFB" w:rsidRPr="00A37FFB">
        <w:rPr>
          <w:sz w:val="26"/>
          <w:szCs w:val="26"/>
        </w:rPr>
        <w:t>PPL (at 8) noted that if a NTG adjustment is to be made, then a NTG ratio is needed for each year of the life of the program because the market may change over a long life measure.</w:t>
      </w:r>
    </w:p>
    <w:p w:rsidR="00A37FFB" w:rsidRPr="00A37FFB" w:rsidRDefault="00A37FFB" w:rsidP="0037494A">
      <w:pPr>
        <w:spacing w:line="360" w:lineRule="auto"/>
        <w:rPr>
          <w:sz w:val="26"/>
          <w:szCs w:val="26"/>
        </w:rPr>
      </w:pPr>
    </w:p>
    <w:p w:rsidR="00A37FFB" w:rsidRPr="00A37FFB" w:rsidRDefault="00A37FFB" w:rsidP="0037494A">
      <w:pPr>
        <w:spacing w:line="360" w:lineRule="auto"/>
        <w:ind w:firstLine="720"/>
        <w:rPr>
          <w:sz w:val="26"/>
          <w:szCs w:val="26"/>
        </w:rPr>
      </w:pPr>
      <w:r w:rsidRPr="00A37FFB">
        <w:rPr>
          <w:sz w:val="26"/>
          <w:szCs w:val="26"/>
        </w:rPr>
        <w:t>Allegheny (at 3), PPL (at 8), EAPA (at 8) and NAESCO (at 6) were concerned about the cost of conducting a NTG study at the program level.  Allegheny proposed that any NTG study be funded through a surcharge.  PPL proposed that the costs of a</w:t>
      </w:r>
      <w:r w:rsidR="00247D3E">
        <w:rPr>
          <w:sz w:val="26"/>
          <w:szCs w:val="26"/>
        </w:rPr>
        <w:t xml:space="preserve"> NTG</w:t>
      </w:r>
      <w:r w:rsidRPr="00A37FFB">
        <w:rPr>
          <w:sz w:val="26"/>
          <w:szCs w:val="26"/>
        </w:rPr>
        <w:t xml:space="preserve"> study not come out of EE&amp;C plan budget and suggested that the statewide evaluator should be responsible for the study.  EAPA supported EDCs recovering the costs of NTG studies outside of EE&amp;C plan spending budget.  NAESCO provided a history of California’s experience with calculating the NTG ratio including the expense and contested environment created between various parties, noting that California is considering discontinuing using the NTG adjustment.  </w:t>
      </w:r>
    </w:p>
    <w:p w:rsidR="00A37FFB" w:rsidRPr="00A37FFB" w:rsidRDefault="00A37FFB" w:rsidP="0037494A">
      <w:pPr>
        <w:spacing w:line="360" w:lineRule="auto"/>
        <w:rPr>
          <w:sz w:val="26"/>
          <w:szCs w:val="26"/>
        </w:rPr>
      </w:pPr>
    </w:p>
    <w:p w:rsidR="00A37FFB" w:rsidRPr="00A37FFB" w:rsidRDefault="00A37FFB" w:rsidP="0037494A">
      <w:pPr>
        <w:spacing w:line="360" w:lineRule="auto"/>
        <w:ind w:firstLine="720"/>
        <w:rPr>
          <w:sz w:val="26"/>
          <w:szCs w:val="26"/>
        </w:rPr>
      </w:pPr>
      <w:r w:rsidRPr="00A37FFB">
        <w:rPr>
          <w:sz w:val="26"/>
          <w:szCs w:val="26"/>
        </w:rPr>
        <w:t xml:space="preserve">PECO (at 7) and EAPA (at 8) suggested that the NTG study should be a coordinated effort between the EDCs and the statewide evaluator.  PECO (at 8), PPL (at 8), and LBNL (at 5) stressed that NTG adjustments should only be prospective. </w:t>
      </w:r>
    </w:p>
    <w:p w:rsidR="00A37FFB" w:rsidRPr="00A37FFB" w:rsidRDefault="00A37FFB" w:rsidP="0037494A">
      <w:pPr>
        <w:spacing w:line="360" w:lineRule="auto"/>
        <w:rPr>
          <w:sz w:val="26"/>
          <w:szCs w:val="26"/>
        </w:rPr>
      </w:pPr>
    </w:p>
    <w:p w:rsidR="00A37FFB" w:rsidRPr="00A37FFB" w:rsidRDefault="00A37FFB" w:rsidP="0037494A">
      <w:pPr>
        <w:spacing w:line="360" w:lineRule="auto"/>
        <w:ind w:firstLine="720"/>
        <w:rPr>
          <w:sz w:val="26"/>
          <w:szCs w:val="26"/>
        </w:rPr>
      </w:pPr>
      <w:r w:rsidRPr="00A37FFB">
        <w:rPr>
          <w:sz w:val="26"/>
          <w:szCs w:val="26"/>
        </w:rPr>
        <w:t>After reviewing the comments, we shall go forward without a</w:t>
      </w:r>
      <w:r w:rsidR="00247D3E">
        <w:rPr>
          <w:sz w:val="26"/>
          <w:szCs w:val="26"/>
        </w:rPr>
        <w:t xml:space="preserve"> NTG</w:t>
      </w:r>
      <w:r w:rsidRPr="00A37FFB">
        <w:rPr>
          <w:sz w:val="26"/>
          <w:szCs w:val="26"/>
        </w:rPr>
        <w:t xml:space="preserve"> ratio (and adjustment) for the first year.  We shall, however, convene a stakeholder process to examine the issues associated with developing a NTG adjustment rather than direct the EDCs to study the matter.  The issues will include, but not be limited to: </w:t>
      </w:r>
    </w:p>
    <w:p w:rsidR="00A37FFB" w:rsidRPr="00A37FFB" w:rsidRDefault="00A37FFB" w:rsidP="0037494A">
      <w:pPr>
        <w:spacing w:line="360" w:lineRule="auto"/>
        <w:rPr>
          <w:sz w:val="26"/>
          <w:szCs w:val="26"/>
        </w:rPr>
      </w:pPr>
    </w:p>
    <w:p w:rsidR="00A37FFB" w:rsidRPr="00A37FFB" w:rsidRDefault="00A37FFB" w:rsidP="0037494A">
      <w:pPr>
        <w:numPr>
          <w:ilvl w:val="0"/>
          <w:numId w:val="13"/>
        </w:numPr>
        <w:overflowPunct/>
        <w:autoSpaceDE/>
        <w:autoSpaceDN/>
        <w:adjustRightInd/>
        <w:spacing w:line="360" w:lineRule="auto"/>
        <w:textAlignment w:val="auto"/>
        <w:rPr>
          <w:sz w:val="26"/>
          <w:szCs w:val="26"/>
        </w:rPr>
      </w:pPr>
      <w:r w:rsidRPr="00A37FFB">
        <w:rPr>
          <w:sz w:val="26"/>
          <w:szCs w:val="26"/>
        </w:rPr>
        <w:t xml:space="preserve">How to conduct a cost-effective NTG adjustment? </w:t>
      </w:r>
    </w:p>
    <w:p w:rsidR="00A37FFB" w:rsidRPr="00A37FFB" w:rsidRDefault="00A37FFB" w:rsidP="0037494A">
      <w:pPr>
        <w:numPr>
          <w:ilvl w:val="0"/>
          <w:numId w:val="13"/>
        </w:numPr>
        <w:overflowPunct/>
        <w:autoSpaceDE/>
        <w:autoSpaceDN/>
        <w:adjustRightInd/>
        <w:spacing w:line="360" w:lineRule="auto"/>
        <w:textAlignment w:val="auto"/>
        <w:rPr>
          <w:sz w:val="26"/>
          <w:szCs w:val="26"/>
        </w:rPr>
      </w:pPr>
      <w:r w:rsidRPr="00A37FFB">
        <w:rPr>
          <w:sz w:val="26"/>
          <w:szCs w:val="26"/>
        </w:rPr>
        <w:t xml:space="preserve">How many NTG adjustments are needed? </w:t>
      </w:r>
    </w:p>
    <w:p w:rsidR="00A37FFB" w:rsidRPr="00A37FFB" w:rsidRDefault="00A37FFB" w:rsidP="0037494A">
      <w:pPr>
        <w:numPr>
          <w:ilvl w:val="0"/>
          <w:numId w:val="13"/>
        </w:numPr>
        <w:overflowPunct/>
        <w:autoSpaceDE/>
        <w:autoSpaceDN/>
        <w:adjustRightInd/>
        <w:spacing w:line="360" w:lineRule="auto"/>
        <w:textAlignment w:val="auto"/>
        <w:rPr>
          <w:sz w:val="26"/>
          <w:szCs w:val="26"/>
        </w:rPr>
      </w:pPr>
      <w:r w:rsidRPr="00A37FFB">
        <w:rPr>
          <w:sz w:val="26"/>
          <w:szCs w:val="26"/>
        </w:rPr>
        <w:t>Should they be measure-specific by EDC and do they change by measure year?</w:t>
      </w:r>
    </w:p>
    <w:p w:rsidR="00A37FFB" w:rsidRPr="00A37FFB" w:rsidRDefault="007C6B4B" w:rsidP="0037494A">
      <w:pPr>
        <w:numPr>
          <w:ilvl w:val="0"/>
          <w:numId w:val="13"/>
        </w:numPr>
        <w:overflowPunct/>
        <w:autoSpaceDE/>
        <w:autoSpaceDN/>
        <w:adjustRightInd/>
        <w:spacing w:line="360" w:lineRule="auto"/>
        <w:textAlignment w:val="auto"/>
        <w:rPr>
          <w:sz w:val="26"/>
          <w:szCs w:val="26"/>
        </w:rPr>
      </w:pPr>
      <w:r>
        <w:rPr>
          <w:sz w:val="26"/>
          <w:szCs w:val="26"/>
        </w:rPr>
        <w:t>How should the studies be funded?</w:t>
      </w:r>
      <w:r w:rsidR="00A37FFB" w:rsidRPr="00A37FFB">
        <w:rPr>
          <w:sz w:val="26"/>
          <w:szCs w:val="26"/>
        </w:rPr>
        <w:t xml:space="preserve"> </w:t>
      </w:r>
    </w:p>
    <w:p w:rsidR="00A37FFB" w:rsidRDefault="00A37FFB" w:rsidP="0037494A">
      <w:pPr>
        <w:numPr>
          <w:ilvl w:val="0"/>
          <w:numId w:val="13"/>
        </w:numPr>
        <w:overflowPunct/>
        <w:autoSpaceDE/>
        <w:autoSpaceDN/>
        <w:adjustRightInd/>
        <w:spacing w:line="360" w:lineRule="auto"/>
        <w:textAlignment w:val="auto"/>
        <w:rPr>
          <w:sz w:val="26"/>
          <w:szCs w:val="26"/>
        </w:rPr>
      </w:pPr>
      <w:r w:rsidRPr="00A37FFB">
        <w:rPr>
          <w:sz w:val="26"/>
          <w:szCs w:val="26"/>
        </w:rPr>
        <w:lastRenderedPageBreak/>
        <w:t>How should the NTG adjustment studies be coordinated between EDCs and their evaluators and the statewide evaluator(s)?</w:t>
      </w:r>
    </w:p>
    <w:p w:rsidR="00715001" w:rsidRDefault="00715001" w:rsidP="0037494A">
      <w:pPr>
        <w:numPr>
          <w:ilvl w:val="0"/>
          <w:numId w:val="13"/>
        </w:numPr>
        <w:overflowPunct/>
        <w:autoSpaceDE/>
        <w:autoSpaceDN/>
        <w:adjustRightInd/>
        <w:spacing w:line="360" w:lineRule="auto"/>
        <w:textAlignment w:val="auto"/>
        <w:rPr>
          <w:sz w:val="26"/>
          <w:szCs w:val="26"/>
        </w:rPr>
      </w:pPr>
      <w:r>
        <w:rPr>
          <w:sz w:val="26"/>
          <w:szCs w:val="26"/>
        </w:rPr>
        <w:t xml:space="preserve">When, if ever, should NTG adjustments </w:t>
      </w:r>
      <w:r w:rsidR="00696F60">
        <w:rPr>
          <w:sz w:val="26"/>
          <w:szCs w:val="26"/>
        </w:rPr>
        <w:t>be initiated?</w:t>
      </w:r>
    </w:p>
    <w:p w:rsidR="00696F60" w:rsidRDefault="00DE79CB" w:rsidP="0037494A">
      <w:pPr>
        <w:numPr>
          <w:ilvl w:val="0"/>
          <w:numId w:val="13"/>
        </w:numPr>
        <w:overflowPunct/>
        <w:autoSpaceDE/>
        <w:autoSpaceDN/>
        <w:adjustRightInd/>
        <w:spacing w:line="360" w:lineRule="auto"/>
        <w:textAlignment w:val="auto"/>
        <w:rPr>
          <w:sz w:val="26"/>
          <w:szCs w:val="26"/>
        </w:rPr>
      </w:pPr>
      <w:r>
        <w:rPr>
          <w:sz w:val="26"/>
          <w:szCs w:val="26"/>
        </w:rPr>
        <w:t>If initiated, how should NTG adjustments be timed or applied?</w:t>
      </w:r>
    </w:p>
    <w:p w:rsidR="00DE7DA7" w:rsidRPr="00A37FFB" w:rsidRDefault="00DE7DA7" w:rsidP="0037494A">
      <w:pPr>
        <w:numPr>
          <w:ilvl w:val="0"/>
          <w:numId w:val="13"/>
        </w:numPr>
        <w:overflowPunct/>
        <w:autoSpaceDE/>
        <w:autoSpaceDN/>
        <w:adjustRightInd/>
        <w:spacing w:line="360" w:lineRule="auto"/>
        <w:textAlignment w:val="auto"/>
        <w:rPr>
          <w:sz w:val="26"/>
          <w:szCs w:val="26"/>
        </w:rPr>
      </w:pPr>
      <w:r>
        <w:rPr>
          <w:sz w:val="26"/>
          <w:szCs w:val="26"/>
        </w:rPr>
        <w:t xml:space="preserve">To what extent, if any, should the NTG adjustment be limited to prospective application? </w:t>
      </w:r>
    </w:p>
    <w:p w:rsidR="00DE7DA7" w:rsidRDefault="00DE7DA7" w:rsidP="0037494A">
      <w:pPr>
        <w:spacing w:line="360" w:lineRule="auto"/>
        <w:rPr>
          <w:sz w:val="26"/>
          <w:szCs w:val="26"/>
        </w:rPr>
      </w:pPr>
    </w:p>
    <w:p w:rsidR="000B4706" w:rsidRPr="007733F3" w:rsidRDefault="000B4706" w:rsidP="0037494A">
      <w:pPr>
        <w:spacing w:line="360" w:lineRule="auto"/>
        <w:ind w:firstLine="720"/>
        <w:rPr>
          <w:b/>
          <w:sz w:val="26"/>
          <w:szCs w:val="26"/>
        </w:rPr>
      </w:pPr>
      <w:r w:rsidRPr="007733F3">
        <w:rPr>
          <w:b/>
          <w:sz w:val="26"/>
          <w:szCs w:val="26"/>
        </w:rPr>
        <w:t>(</w:t>
      </w:r>
      <w:r>
        <w:rPr>
          <w:b/>
          <w:sz w:val="26"/>
          <w:szCs w:val="26"/>
        </w:rPr>
        <w:t>h</w:t>
      </w:r>
      <w:r w:rsidRPr="007733F3">
        <w:rPr>
          <w:b/>
          <w:sz w:val="26"/>
          <w:szCs w:val="26"/>
        </w:rPr>
        <w:t xml:space="preserve">)  </w:t>
      </w:r>
      <w:r>
        <w:rPr>
          <w:b/>
          <w:sz w:val="26"/>
          <w:szCs w:val="26"/>
        </w:rPr>
        <w:t>Discount Rate</w:t>
      </w:r>
      <w:r w:rsidR="00F87CDD">
        <w:rPr>
          <w:b/>
          <w:sz w:val="26"/>
          <w:szCs w:val="26"/>
        </w:rPr>
        <w:t>/Cost of Capital</w:t>
      </w:r>
      <w:r w:rsidR="00550F2C">
        <w:rPr>
          <w:b/>
          <w:sz w:val="26"/>
          <w:szCs w:val="26"/>
        </w:rPr>
        <w:t>/Weighted Cost of Capital (WACC)</w:t>
      </w:r>
    </w:p>
    <w:p w:rsidR="000B4706" w:rsidRPr="007733F3" w:rsidRDefault="000B4706" w:rsidP="0037494A">
      <w:pPr>
        <w:spacing w:line="360" w:lineRule="auto"/>
        <w:rPr>
          <w:sz w:val="26"/>
          <w:szCs w:val="26"/>
        </w:rPr>
      </w:pPr>
    </w:p>
    <w:p w:rsidR="003625DB" w:rsidRDefault="00B662F8" w:rsidP="0037494A">
      <w:pPr>
        <w:spacing w:line="360" w:lineRule="auto"/>
        <w:ind w:firstLine="720"/>
        <w:rPr>
          <w:sz w:val="26"/>
          <w:szCs w:val="26"/>
        </w:rPr>
      </w:pPr>
      <w:r w:rsidRPr="00D22627">
        <w:rPr>
          <w:sz w:val="26"/>
          <w:szCs w:val="26"/>
        </w:rPr>
        <w:t xml:space="preserve">We did not address this issue as a separate item of discussion in the TRC test </w:t>
      </w:r>
      <w:r w:rsidR="00810E21">
        <w:rPr>
          <w:sz w:val="26"/>
          <w:szCs w:val="26"/>
        </w:rPr>
        <w:t>proposal</w:t>
      </w:r>
      <w:r w:rsidRPr="00D22627">
        <w:rPr>
          <w:sz w:val="26"/>
          <w:szCs w:val="26"/>
        </w:rPr>
        <w:t xml:space="preserve">.  </w:t>
      </w:r>
      <w:r w:rsidR="003625DB">
        <w:rPr>
          <w:sz w:val="26"/>
          <w:szCs w:val="26"/>
        </w:rPr>
        <w:t>It w</w:t>
      </w:r>
      <w:r w:rsidR="00550F2C">
        <w:rPr>
          <w:sz w:val="26"/>
          <w:szCs w:val="26"/>
        </w:rPr>
        <w:t>a</w:t>
      </w:r>
      <w:r w:rsidR="003625DB">
        <w:rPr>
          <w:sz w:val="26"/>
          <w:szCs w:val="26"/>
        </w:rPr>
        <w:t>s mentioned in particular in conjunction with the adjustments portion of the avoided generation costs segment.  Specifically, the propos</w:t>
      </w:r>
      <w:r w:rsidR="003625DB" w:rsidRPr="009871D2">
        <w:rPr>
          <w:sz w:val="26"/>
          <w:szCs w:val="26"/>
        </w:rPr>
        <w:t>al provided that</w:t>
      </w:r>
      <w:r w:rsidR="003625DB">
        <w:rPr>
          <w:sz w:val="26"/>
          <w:szCs w:val="26"/>
        </w:rPr>
        <w:t xml:space="preserve"> t</w:t>
      </w:r>
      <w:r w:rsidR="003625DB" w:rsidRPr="009871D2">
        <w:rPr>
          <w:sz w:val="26"/>
          <w:szCs w:val="26"/>
        </w:rPr>
        <w:t>he total annual GTD costs, as modified and reflected on a cents/kWh basis, would be discounted</w:t>
      </w:r>
      <w:r w:rsidR="003625DB" w:rsidRPr="009871D2">
        <w:rPr>
          <w:rStyle w:val="FootnoteReference"/>
          <w:sz w:val="26"/>
          <w:szCs w:val="26"/>
        </w:rPr>
        <w:footnoteReference w:id="42"/>
      </w:r>
      <w:r w:rsidR="003625DB" w:rsidRPr="009871D2">
        <w:rPr>
          <w:sz w:val="26"/>
          <w:szCs w:val="26"/>
        </w:rPr>
        <w:t xml:space="preserve"> over the </w:t>
      </w:r>
      <w:r w:rsidR="003625DB">
        <w:rPr>
          <w:sz w:val="26"/>
          <w:szCs w:val="26"/>
        </w:rPr>
        <w:t>15</w:t>
      </w:r>
      <w:r w:rsidR="003625DB" w:rsidRPr="009871D2">
        <w:rPr>
          <w:sz w:val="26"/>
          <w:szCs w:val="26"/>
        </w:rPr>
        <w:t xml:space="preserve">-year study period.  </w:t>
      </w:r>
      <w:r w:rsidR="003625DB">
        <w:rPr>
          <w:sz w:val="26"/>
          <w:szCs w:val="26"/>
        </w:rPr>
        <w:t>An</w:t>
      </w:r>
      <w:r w:rsidR="003625DB" w:rsidRPr="009871D2">
        <w:rPr>
          <w:sz w:val="26"/>
          <w:szCs w:val="26"/>
        </w:rPr>
        <w:t xml:space="preserve"> EDC’s WACC, calculated each year at the time of the EDC’s filing, would be used as the discount factor.  The aggregated set of discounted benefits avoided by the project would be defined as its “net benefit” of the project.  The net benefit would then be compared to the net cost.  </w:t>
      </w:r>
    </w:p>
    <w:p w:rsidR="003625DB" w:rsidRDefault="003625DB" w:rsidP="0037494A">
      <w:pPr>
        <w:spacing w:line="360" w:lineRule="auto"/>
        <w:ind w:firstLine="720"/>
        <w:rPr>
          <w:sz w:val="26"/>
          <w:szCs w:val="26"/>
        </w:rPr>
      </w:pPr>
    </w:p>
    <w:p w:rsidR="00B662F8" w:rsidRDefault="00B662F8" w:rsidP="0037494A">
      <w:pPr>
        <w:spacing w:line="360" w:lineRule="auto"/>
        <w:ind w:firstLine="720"/>
        <w:rPr>
          <w:sz w:val="26"/>
          <w:szCs w:val="26"/>
        </w:rPr>
      </w:pPr>
      <w:r>
        <w:rPr>
          <w:sz w:val="26"/>
          <w:szCs w:val="26"/>
        </w:rPr>
        <w:t xml:space="preserve">Several </w:t>
      </w:r>
      <w:r w:rsidRPr="00D22627">
        <w:rPr>
          <w:sz w:val="26"/>
          <w:szCs w:val="26"/>
        </w:rPr>
        <w:t xml:space="preserve">commenters raised the question of what discount rate should be used in the TRC test.  The Joint Supporters (at 6) urged the adoption of the historic twelve-month average of ten-year Treasury </w:t>
      </w:r>
      <w:r w:rsidR="00DE79CB" w:rsidRPr="00D22627">
        <w:rPr>
          <w:sz w:val="26"/>
          <w:szCs w:val="26"/>
        </w:rPr>
        <w:t>note</w:t>
      </w:r>
      <w:r w:rsidRPr="00D22627">
        <w:rPr>
          <w:sz w:val="26"/>
          <w:szCs w:val="26"/>
        </w:rPr>
        <w:t xml:space="preserve"> yields as the discount rate, asserting that this is the method adopted by the Massachusetts Department of Public Utilities.  </w:t>
      </w:r>
      <w:r w:rsidR="00AB454A" w:rsidRPr="00913644">
        <w:rPr>
          <w:rFonts w:cs="Arial"/>
          <w:bCs/>
          <w:sz w:val="26"/>
          <w:szCs w:val="26"/>
        </w:rPr>
        <w:t xml:space="preserve">In support of their position, the Joint Supporters (at 6) asserted that an EDC’s own </w:t>
      </w:r>
      <w:r w:rsidR="003C6741">
        <w:rPr>
          <w:rFonts w:cs="Arial"/>
          <w:bCs/>
          <w:sz w:val="26"/>
          <w:szCs w:val="26"/>
        </w:rPr>
        <w:t>WACC</w:t>
      </w:r>
      <w:r w:rsidR="00AB454A" w:rsidRPr="00913644">
        <w:rPr>
          <w:rFonts w:cs="Arial"/>
          <w:bCs/>
          <w:sz w:val="26"/>
          <w:szCs w:val="26"/>
        </w:rPr>
        <w:t xml:space="preserve"> is significantly higher than </w:t>
      </w:r>
      <w:r w:rsidR="00AB454A">
        <w:rPr>
          <w:rFonts w:cs="Arial"/>
          <w:bCs/>
          <w:sz w:val="26"/>
          <w:szCs w:val="26"/>
        </w:rPr>
        <w:t xml:space="preserve">the cost of </w:t>
      </w:r>
      <w:r w:rsidR="00AB454A" w:rsidRPr="00913644">
        <w:rPr>
          <w:rFonts w:cs="Arial"/>
          <w:bCs/>
          <w:sz w:val="26"/>
          <w:szCs w:val="26"/>
        </w:rPr>
        <w:t xml:space="preserve">capital available to the customers that the EDC is seeking to assist.  </w:t>
      </w:r>
      <w:r w:rsidRPr="00D22627">
        <w:rPr>
          <w:sz w:val="26"/>
          <w:szCs w:val="26"/>
        </w:rPr>
        <w:t>NAESCO (at 4-5) presented a detailed argument that discount rates should be keyed to the specific individual programs to reflect a program</w:t>
      </w:r>
      <w:r w:rsidRPr="00D22627">
        <w:rPr>
          <w:sz w:val="26"/>
          <w:szCs w:val="26"/>
        </w:rPr>
        <w:noBreakHyphen/>
        <w:t xml:space="preserve">relevant cost of capital.  NAESCO noted that an EDC’s </w:t>
      </w:r>
      <w:r w:rsidR="003C6741">
        <w:rPr>
          <w:sz w:val="26"/>
          <w:szCs w:val="26"/>
        </w:rPr>
        <w:t>WACC</w:t>
      </w:r>
      <w:r w:rsidRPr="00D22627">
        <w:rPr>
          <w:sz w:val="26"/>
          <w:szCs w:val="26"/>
        </w:rPr>
        <w:t xml:space="preserve"> is not an accurate representation of the cost of capital for </w:t>
      </w:r>
      <w:r w:rsidRPr="00D22627">
        <w:rPr>
          <w:sz w:val="26"/>
          <w:szCs w:val="26"/>
        </w:rPr>
        <w:lastRenderedPageBreak/>
        <w:t xml:space="preserve">programs such as retrofits of residential, public, and institutional buildings.  NAESCO suggested that the rate on a second mortgage or home equity line-of-credit may be a more appropriate discount rate for residential programs and that municipal leases may be a more appropriate </w:t>
      </w:r>
      <w:r w:rsidR="00DE79CB">
        <w:rPr>
          <w:sz w:val="26"/>
          <w:szCs w:val="26"/>
        </w:rPr>
        <w:t xml:space="preserve">comparison for </w:t>
      </w:r>
      <w:r w:rsidRPr="00D22627">
        <w:rPr>
          <w:sz w:val="26"/>
          <w:szCs w:val="26"/>
        </w:rPr>
        <w:t xml:space="preserve">discount rate for public and institutional buildings.  NAESCO noted that currently these rates are lower than a typical EDC’s </w:t>
      </w:r>
      <w:r w:rsidR="00360E60">
        <w:rPr>
          <w:sz w:val="26"/>
          <w:szCs w:val="26"/>
        </w:rPr>
        <w:t>WACC</w:t>
      </w:r>
      <w:r w:rsidRPr="00D22627">
        <w:rPr>
          <w:sz w:val="26"/>
          <w:szCs w:val="26"/>
        </w:rPr>
        <w:t xml:space="preserve"> and that the use of an EDC’s </w:t>
      </w:r>
      <w:r w:rsidR="00360E60">
        <w:rPr>
          <w:sz w:val="26"/>
          <w:szCs w:val="26"/>
        </w:rPr>
        <w:t>WACC</w:t>
      </w:r>
      <w:r w:rsidRPr="00D22627">
        <w:rPr>
          <w:sz w:val="26"/>
          <w:szCs w:val="26"/>
        </w:rPr>
        <w:t xml:space="preserve"> would inaccurately lower net present values and TRC test scores of an energy efficiency program or the entire portfolio.</w:t>
      </w:r>
      <w:r>
        <w:rPr>
          <w:sz w:val="26"/>
          <w:szCs w:val="26"/>
        </w:rPr>
        <w:t xml:space="preserve">  </w:t>
      </w:r>
    </w:p>
    <w:p w:rsidR="00550F2C" w:rsidRDefault="00550F2C" w:rsidP="0037494A">
      <w:pPr>
        <w:spacing w:line="360" w:lineRule="auto"/>
        <w:ind w:firstLine="720"/>
        <w:rPr>
          <w:sz w:val="26"/>
          <w:szCs w:val="26"/>
        </w:rPr>
      </w:pPr>
    </w:p>
    <w:p w:rsidR="00550F2C" w:rsidRDefault="00550F2C" w:rsidP="0037494A">
      <w:pPr>
        <w:spacing w:line="360" w:lineRule="auto"/>
        <w:ind w:firstLine="720"/>
        <w:rPr>
          <w:sz w:val="26"/>
          <w:szCs w:val="26"/>
        </w:rPr>
      </w:pPr>
      <w:r w:rsidRPr="00D22627">
        <w:rPr>
          <w:sz w:val="26"/>
          <w:szCs w:val="26"/>
        </w:rPr>
        <w:t xml:space="preserve">LBNL (at 5) supported using an EDC’s post-tax </w:t>
      </w:r>
      <w:r>
        <w:rPr>
          <w:sz w:val="26"/>
          <w:szCs w:val="26"/>
        </w:rPr>
        <w:t>WACC</w:t>
      </w:r>
      <w:r w:rsidRPr="00D22627">
        <w:rPr>
          <w:sz w:val="26"/>
          <w:szCs w:val="26"/>
        </w:rPr>
        <w:t xml:space="preserve"> as the discount rate.  LBNL noted the importance of explicitly stating that the time period examined is the expected useful life of the measure.  </w:t>
      </w:r>
      <w:r w:rsidRPr="009871D2">
        <w:rPr>
          <w:sz w:val="26"/>
          <w:szCs w:val="26"/>
        </w:rPr>
        <w:t>OCA (at 3) claimed that the Commission should provide additional detail as to the determination of the EDC’s WACC that is to serve as the disco</w:t>
      </w:r>
      <w:r w:rsidRPr="00DF6BAB">
        <w:rPr>
          <w:sz w:val="26"/>
          <w:szCs w:val="26"/>
        </w:rPr>
        <w:t>unt rate in the calculation, including the time period used to determine the WACC and the methodology.  For consistency of program review across the EDCs, OCA (at 4) asserted that each EDC should use the same methodology and time frame for determining their WACC for purposes of the discount rate.</w:t>
      </w:r>
      <w:r>
        <w:rPr>
          <w:sz w:val="26"/>
          <w:szCs w:val="26"/>
        </w:rPr>
        <w:t xml:space="preserve">  Further, OCA (at 3-4) requested more clarification on an EDC’s use of its WACC and the time frame for discounting.</w:t>
      </w:r>
    </w:p>
    <w:p w:rsidR="00B662F8" w:rsidRPr="00D22627" w:rsidRDefault="00B662F8" w:rsidP="0037494A">
      <w:pPr>
        <w:spacing w:line="360" w:lineRule="auto"/>
        <w:rPr>
          <w:sz w:val="26"/>
          <w:szCs w:val="26"/>
        </w:rPr>
      </w:pPr>
    </w:p>
    <w:p w:rsidR="00B662F8" w:rsidRPr="00D22627" w:rsidRDefault="00B662F8" w:rsidP="0037494A">
      <w:pPr>
        <w:spacing w:line="360" w:lineRule="auto"/>
        <w:ind w:firstLine="720"/>
        <w:rPr>
          <w:sz w:val="26"/>
          <w:szCs w:val="26"/>
        </w:rPr>
      </w:pPr>
      <w:r w:rsidRPr="00D22627">
        <w:rPr>
          <w:sz w:val="26"/>
          <w:szCs w:val="26"/>
        </w:rPr>
        <w:t xml:space="preserve">We agree that using an EDC’s </w:t>
      </w:r>
      <w:r w:rsidR="00360E60">
        <w:rPr>
          <w:sz w:val="26"/>
          <w:szCs w:val="26"/>
        </w:rPr>
        <w:t>WACC</w:t>
      </w:r>
      <w:r w:rsidRPr="00D22627">
        <w:rPr>
          <w:sz w:val="26"/>
          <w:szCs w:val="26"/>
        </w:rPr>
        <w:t xml:space="preserve"> may cause some energy efficiency programs to be undervalued and that the appropriate discount rate requires further consideration.  Because of the short time period to complete this Order, for the first year of TRC testing we </w:t>
      </w:r>
      <w:r w:rsidR="003D655B">
        <w:rPr>
          <w:sz w:val="26"/>
          <w:szCs w:val="26"/>
        </w:rPr>
        <w:t xml:space="preserve">shall, nonetheless, </w:t>
      </w:r>
      <w:r w:rsidRPr="00D22627">
        <w:rPr>
          <w:sz w:val="26"/>
          <w:szCs w:val="26"/>
        </w:rPr>
        <w:t xml:space="preserve">use the EDC’s post-tax </w:t>
      </w:r>
      <w:r w:rsidR="00360E60">
        <w:rPr>
          <w:sz w:val="26"/>
          <w:szCs w:val="26"/>
        </w:rPr>
        <w:t>WACC</w:t>
      </w:r>
      <w:r w:rsidRPr="00D22627">
        <w:rPr>
          <w:sz w:val="26"/>
          <w:szCs w:val="26"/>
        </w:rPr>
        <w:t xml:space="preserve"> as the discount rate.  The source of the discount rate will be an EDC’s (or its parent’s) </w:t>
      </w:r>
      <w:r w:rsidR="00360E60">
        <w:rPr>
          <w:sz w:val="26"/>
          <w:szCs w:val="26"/>
        </w:rPr>
        <w:t>WACC</w:t>
      </w:r>
      <w:r w:rsidRPr="00D22627">
        <w:rPr>
          <w:sz w:val="26"/>
          <w:szCs w:val="26"/>
        </w:rPr>
        <w:t xml:space="preserve"> based on its most recent SEC 10-Q report.</w:t>
      </w:r>
      <w:r w:rsidRPr="00D22627">
        <w:rPr>
          <w:rStyle w:val="FootnoteReference"/>
          <w:sz w:val="26"/>
          <w:szCs w:val="26"/>
        </w:rPr>
        <w:footnoteReference w:id="43"/>
      </w:r>
      <w:r w:rsidRPr="00D22627">
        <w:rPr>
          <w:sz w:val="26"/>
          <w:szCs w:val="26"/>
        </w:rPr>
        <w:t xml:space="preserve">  We envision that this will be the April 1</w:t>
      </w:r>
      <w:r w:rsidR="000403EE" w:rsidRPr="000403EE">
        <w:rPr>
          <w:sz w:val="26"/>
          <w:szCs w:val="26"/>
          <w:vertAlign w:val="superscript"/>
        </w:rPr>
        <w:t>st</w:t>
      </w:r>
      <w:r w:rsidR="000403EE">
        <w:rPr>
          <w:sz w:val="26"/>
          <w:szCs w:val="26"/>
        </w:rPr>
        <w:t xml:space="preserve"> </w:t>
      </w:r>
      <w:r w:rsidRPr="00D22627">
        <w:rPr>
          <w:sz w:val="26"/>
          <w:szCs w:val="26"/>
        </w:rPr>
        <w:t>SEC report filing.</w:t>
      </w:r>
      <w:r w:rsidRPr="00D22627">
        <w:rPr>
          <w:rStyle w:val="FootnoteReference"/>
          <w:sz w:val="26"/>
          <w:szCs w:val="26"/>
        </w:rPr>
        <w:footnoteReference w:id="44"/>
      </w:r>
      <w:r w:rsidRPr="00D22627">
        <w:rPr>
          <w:sz w:val="26"/>
          <w:szCs w:val="26"/>
        </w:rPr>
        <w:t xml:space="preserve">  The discounted time period will be the expected useful life of the measure.  Our </w:t>
      </w:r>
      <w:r w:rsidRPr="00D22627">
        <w:rPr>
          <w:sz w:val="26"/>
          <w:szCs w:val="26"/>
        </w:rPr>
        <w:lastRenderedPageBreak/>
        <w:t>decision to take this approach for the first year will not, however, be controlling for future years.</w:t>
      </w:r>
    </w:p>
    <w:p w:rsidR="00B662F8" w:rsidRPr="00D22627" w:rsidRDefault="00B662F8" w:rsidP="0037494A">
      <w:pPr>
        <w:spacing w:line="360" w:lineRule="auto"/>
        <w:rPr>
          <w:sz w:val="26"/>
          <w:szCs w:val="26"/>
        </w:rPr>
      </w:pPr>
    </w:p>
    <w:p w:rsidR="00B662F8" w:rsidRDefault="00B662F8" w:rsidP="0037494A">
      <w:pPr>
        <w:spacing w:line="360" w:lineRule="auto"/>
        <w:ind w:firstLine="720"/>
        <w:rPr>
          <w:sz w:val="26"/>
          <w:szCs w:val="26"/>
        </w:rPr>
      </w:pPr>
      <w:r w:rsidRPr="00D22627">
        <w:rPr>
          <w:sz w:val="26"/>
          <w:szCs w:val="26"/>
        </w:rPr>
        <w:t xml:space="preserve">Accordingly, while we will use the EDC’s post-tax </w:t>
      </w:r>
      <w:r w:rsidR="00360E60">
        <w:rPr>
          <w:sz w:val="26"/>
          <w:szCs w:val="26"/>
        </w:rPr>
        <w:t>WACC</w:t>
      </w:r>
      <w:r w:rsidRPr="00D22627">
        <w:rPr>
          <w:sz w:val="26"/>
          <w:szCs w:val="26"/>
        </w:rPr>
        <w:t xml:space="preserve"> as the discount rate for the first year, on a going-forward basis for years beyond the first year of TRC testing, the issues of the appropriate discount rate, whether we should adopt multiple discount rates, and the sources of the discount rates will be addressed in the future in stakeholder working group sessions.  </w:t>
      </w:r>
    </w:p>
    <w:p w:rsidR="00063045" w:rsidRDefault="00063045" w:rsidP="0037494A">
      <w:pPr>
        <w:spacing w:line="360" w:lineRule="auto"/>
        <w:ind w:firstLine="720"/>
        <w:rPr>
          <w:sz w:val="26"/>
          <w:szCs w:val="26"/>
        </w:rPr>
      </w:pPr>
    </w:p>
    <w:p w:rsidR="00063045" w:rsidRPr="000F67B9" w:rsidRDefault="000F67B9" w:rsidP="0037494A">
      <w:pPr>
        <w:spacing w:line="360" w:lineRule="auto"/>
        <w:ind w:left="720"/>
        <w:rPr>
          <w:b/>
          <w:sz w:val="26"/>
          <w:szCs w:val="26"/>
        </w:rPr>
      </w:pPr>
      <w:r w:rsidRPr="000F67B9">
        <w:rPr>
          <w:b/>
          <w:sz w:val="26"/>
          <w:szCs w:val="26"/>
        </w:rPr>
        <w:t xml:space="preserve">(i)  </w:t>
      </w:r>
      <w:r w:rsidR="00063045" w:rsidRPr="000F67B9">
        <w:rPr>
          <w:b/>
          <w:sz w:val="26"/>
          <w:szCs w:val="26"/>
        </w:rPr>
        <w:t>Incremental Costs</w:t>
      </w:r>
    </w:p>
    <w:p w:rsidR="000B4706" w:rsidRDefault="000B4706" w:rsidP="0037494A">
      <w:pPr>
        <w:spacing w:line="360" w:lineRule="auto"/>
        <w:rPr>
          <w:sz w:val="26"/>
          <w:szCs w:val="26"/>
        </w:rPr>
      </w:pPr>
    </w:p>
    <w:p w:rsidR="00063045" w:rsidRPr="000A7DCB" w:rsidRDefault="00063045" w:rsidP="0037494A">
      <w:pPr>
        <w:spacing w:line="360" w:lineRule="auto"/>
        <w:ind w:firstLine="720"/>
        <w:rPr>
          <w:sz w:val="26"/>
          <w:szCs w:val="26"/>
        </w:rPr>
      </w:pPr>
      <w:r w:rsidRPr="000A7DCB">
        <w:rPr>
          <w:sz w:val="26"/>
          <w:szCs w:val="26"/>
        </w:rPr>
        <w:t>LBNL (at 5) recommend</w:t>
      </w:r>
      <w:r>
        <w:rPr>
          <w:sz w:val="26"/>
          <w:szCs w:val="26"/>
        </w:rPr>
        <w:t>ed</w:t>
      </w:r>
      <w:r w:rsidRPr="000A7DCB">
        <w:rPr>
          <w:sz w:val="26"/>
          <w:szCs w:val="26"/>
        </w:rPr>
        <w:t xml:space="preserve"> a clarification of incremental costs be made by incorporating explicit language to address what is implied.  LBNL suggest</w:t>
      </w:r>
      <w:r>
        <w:rPr>
          <w:sz w:val="26"/>
          <w:szCs w:val="26"/>
        </w:rPr>
        <w:t>ed</w:t>
      </w:r>
      <w:r w:rsidRPr="000A7DCB">
        <w:rPr>
          <w:sz w:val="26"/>
          <w:szCs w:val="26"/>
        </w:rPr>
        <w:t xml:space="preserve"> that the TRC test proposal implies “for the purposes of calculating the energy efficiency costs, only the incremental energy efficiency costs and savings should be used.”  </w:t>
      </w:r>
      <w:r w:rsidR="009F15C5" w:rsidRPr="000A7DCB">
        <w:rPr>
          <w:sz w:val="26"/>
          <w:szCs w:val="26"/>
        </w:rPr>
        <w:t>LBNL note</w:t>
      </w:r>
      <w:r w:rsidR="008840D5">
        <w:rPr>
          <w:sz w:val="26"/>
          <w:szCs w:val="26"/>
        </w:rPr>
        <w:t>d</w:t>
      </w:r>
      <w:r w:rsidR="009F15C5" w:rsidRPr="000A7DCB">
        <w:rPr>
          <w:sz w:val="26"/>
          <w:szCs w:val="26"/>
        </w:rPr>
        <w:t xml:space="preserve"> that the</w:t>
      </w:r>
      <w:r w:rsidR="008840D5">
        <w:rPr>
          <w:sz w:val="26"/>
          <w:szCs w:val="26"/>
        </w:rPr>
        <w:t xml:space="preserve"> 200</w:t>
      </w:r>
      <w:r w:rsidR="00247D3E">
        <w:rPr>
          <w:sz w:val="26"/>
          <w:szCs w:val="26"/>
        </w:rPr>
        <w:t>7</w:t>
      </w:r>
      <w:r w:rsidR="008840D5">
        <w:rPr>
          <w:sz w:val="26"/>
          <w:szCs w:val="26"/>
        </w:rPr>
        <w:t xml:space="preserve"> NAPEE </w:t>
      </w:r>
      <w:r w:rsidR="009F15C5" w:rsidRPr="00072C67">
        <w:rPr>
          <w:i/>
          <w:sz w:val="26"/>
          <w:szCs w:val="26"/>
        </w:rPr>
        <w:t>Guide to Resource Planning with Energy Efficiency</w:t>
      </w:r>
      <w:r w:rsidR="009F15C5" w:rsidRPr="000A7DCB">
        <w:rPr>
          <w:rStyle w:val="FootnoteReference"/>
          <w:sz w:val="26"/>
          <w:szCs w:val="26"/>
        </w:rPr>
        <w:footnoteReference w:id="45"/>
      </w:r>
      <w:r w:rsidR="009F15C5" w:rsidRPr="000A7DCB">
        <w:rPr>
          <w:sz w:val="26"/>
          <w:szCs w:val="26"/>
        </w:rPr>
        <w:t xml:space="preserve"> provides a description of incremental costs and savings to use with varying types of energy efficiency programs</w:t>
      </w:r>
      <w:r w:rsidR="00C11C8A">
        <w:rPr>
          <w:sz w:val="26"/>
          <w:szCs w:val="26"/>
        </w:rPr>
        <w:t xml:space="preserve">.  </w:t>
      </w:r>
      <w:r w:rsidRPr="000A7DCB">
        <w:rPr>
          <w:sz w:val="26"/>
          <w:szCs w:val="26"/>
        </w:rPr>
        <w:t>LBNL suggest</w:t>
      </w:r>
      <w:r>
        <w:rPr>
          <w:sz w:val="26"/>
          <w:szCs w:val="26"/>
        </w:rPr>
        <w:t>ed</w:t>
      </w:r>
      <w:r w:rsidRPr="000A7DCB">
        <w:rPr>
          <w:sz w:val="26"/>
          <w:szCs w:val="26"/>
        </w:rPr>
        <w:t xml:space="preserve"> that the Commission </w:t>
      </w:r>
      <w:r w:rsidR="008840D5">
        <w:rPr>
          <w:sz w:val="26"/>
          <w:szCs w:val="26"/>
        </w:rPr>
        <w:t xml:space="preserve">should </w:t>
      </w:r>
      <w:r w:rsidRPr="000A7DCB">
        <w:rPr>
          <w:sz w:val="26"/>
          <w:szCs w:val="26"/>
        </w:rPr>
        <w:t xml:space="preserve">include a definition of incremental costs that </w:t>
      </w:r>
      <w:r>
        <w:rPr>
          <w:sz w:val="26"/>
          <w:szCs w:val="26"/>
        </w:rPr>
        <w:t xml:space="preserve">would </w:t>
      </w:r>
      <w:r w:rsidRPr="000A7DCB">
        <w:rPr>
          <w:sz w:val="26"/>
          <w:szCs w:val="26"/>
        </w:rPr>
        <w:t xml:space="preserve">recognize that energy efficiency costs and savings will vary with measure implementation relative to the natural life of the equipment or device being replaced.  </w:t>
      </w:r>
    </w:p>
    <w:p w:rsidR="00063045" w:rsidRPr="000A7DCB" w:rsidRDefault="00063045" w:rsidP="0037494A">
      <w:pPr>
        <w:spacing w:line="360" w:lineRule="auto"/>
        <w:rPr>
          <w:sz w:val="26"/>
          <w:szCs w:val="26"/>
        </w:rPr>
      </w:pPr>
    </w:p>
    <w:p w:rsidR="00063045" w:rsidRPr="000A7DCB" w:rsidRDefault="00063045" w:rsidP="0037494A">
      <w:pPr>
        <w:spacing w:line="360" w:lineRule="auto"/>
        <w:ind w:firstLine="720"/>
        <w:rPr>
          <w:sz w:val="26"/>
          <w:szCs w:val="26"/>
        </w:rPr>
      </w:pPr>
      <w:r w:rsidRPr="000A7DCB">
        <w:rPr>
          <w:sz w:val="26"/>
          <w:szCs w:val="26"/>
        </w:rPr>
        <w:t>We agree with LBNL that energy efficiency cost calculations should use only the incremental energy efficiency costs and savings</w:t>
      </w:r>
      <w:r>
        <w:rPr>
          <w:sz w:val="26"/>
          <w:szCs w:val="26"/>
        </w:rPr>
        <w:t>,</w:t>
      </w:r>
      <w:r w:rsidRPr="000A7DCB">
        <w:rPr>
          <w:sz w:val="26"/>
          <w:szCs w:val="26"/>
        </w:rPr>
        <w:t xml:space="preserve"> and we recognize that the incremental costs and saving will vary depending on the type of energy efficiency </w:t>
      </w:r>
      <w:r>
        <w:rPr>
          <w:sz w:val="26"/>
          <w:szCs w:val="26"/>
        </w:rPr>
        <w:t xml:space="preserve">device or </w:t>
      </w:r>
      <w:r w:rsidRPr="000A7DCB">
        <w:rPr>
          <w:sz w:val="26"/>
          <w:szCs w:val="26"/>
        </w:rPr>
        <w:t xml:space="preserve">measure </w:t>
      </w:r>
      <w:r w:rsidRPr="000A7DCB">
        <w:rPr>
          <w:sz w:val="26"/>
          <w:szCs w:val="26"/>
        </w:rPr>
        <w:lastRenderedPageBreak/>
        <w:t xml:space="preserve">being implemented.  </w:t>
      </w:r>
      <w:r w:rsidR="00C11C8A">
        <w:rPr>
          <w:sz w:val="26"/>
          <w:szCs w:val="26"/>
        </w:rPr>
        <w:t>In this context, i</w:t>
      </w:r>
      <w:r w:rsidR="00C11C8A" w:rsidRPr="000A7DCB">
        <w:rPr>
          <w:sz w:val="26"/>
          <w:szCs w:val="26"/>
        </w:rPr>
        <w:t>ncremental cost for a device</w:t>
      </w:r>
      <w:r w:rsidR="00C11C8A">
        <w:rPr>
          <w:rStyle w:val="FootnoteReference"/>
          <w:sz w:val="26"/>
          <w:szCs w:val="26"/>
        </w:rPr>
        <w:footnoteReference w:id="46"/>
      </w:r>
      <w:r w:rsidR="00C11C8A" w:rsidRPr="000A7DCB">
        <w:rPr>
          <w:sz w:val="26"/>
          <w:szCs w:val="26"/>
        </w:rPr>
        <w:t xml:space="preserve"> </w:t>
      </w:r>
      <w:r w:rsidR="00C11C8A">
        <w:rPr>
          <w:sz w:val="26"/>
          <w:szCs w:val="26"/>
        </w:rPr>
        <w:t xml:space="preserve">or measure </w:t>
      </w:r>
      <w:r w:rsidR="00C11C8A" w:rsidRPr="000A7DCB">
        <w:rPr>
          <w:sz w:val="26"/>
          <w:szCs w:val="26"/>
        </w:rPr>
        <w:t xml:space="preserve">that </w:t>
      </w:r>
      <w:r w:rsidR="00C11C8A">
        <w:rPr>
          <w:sz w:val="26"/>
          <w:szCs w:val="26"/>
        </w:rPr>
        <w:t xml:space="preserve">has </w:t>
      </w:r>
      <w:r w:rsidR="00C11C8A" w:rsidRPr="000A7DCB">
        <w:rPr>
          <w:sz w:val="26"/>
          <w:szCs w:val="26"/>
        </w:rPr>
        <w:t xml:space="preserve">reached the end of its useful life </w:t>
      </w:r>
      <w:r w:rsidR="00C11C8A">
        <w:rPr>
          <w:sz w:val="26"/>
          <w:szCs w:val="26"/>
        </w:rPr>
        <w:t xml:space="preserve">is </w:t>
      </w:r>
      <w:r w:rsidR="00C11C8A" w:rsidRPr="000A7DCB">
        <w:rPr>
          <w:sz w:val="26"/>
          <w:szCs w:val="26"/>
        </w:rPr>
        <w:t xml:space="preserve">the additional cost incurred to purchase </w:t>
      </w:r>
      <w:r w:rsidR="00C11C8A">
        <w:rPr>
          <w:sz w:val="26"/>
          <w:szCs w:val="26"/>
        </w:rPr>
        <w:t>an</w:t>
      </w:r>
      <w:r w:rsidR="00C11C8A" w:rsidRPr="000A7DCB">
        <w:rPr>
          <w:sz w:val="26"/>
          <w:szCs w:val="26"/>
        </w:rPr>
        <w:t xml:space="preserve"> efficient device or measure over </w:t>
      </w:r>
      <w:r w:rsidR="00C11C8A">
        <w:rPr>
          <w:sz w:val="26"/>
          <w:szCs w:val="26"/>
        </w:rPr>
        <w:t xml:space="preserve">and above </w:t>
      </w:r>
      <w:r w:rsidR="00C11C8A" w:rsidRPr="000A7DCB">
        <w:rPr>
          <w:sz w:val="26"/>
          <w:szCs w:val="26"/>
        </w:rPr>
        <w:t>the cost of the standard (</w:t>
      </w:r>
      <w:r w:rsidR="00C11C8A" w:rsidRPr="00C11C8A">
        <w:rPr>
          <w:i/>
          <w:sz w:val="26"/>
          <w:szCs w:val="26"/>
        </w:rPr>
        <w:t>i.e.</w:t>
      </w:r>
      <w:r w:rsidR="00C11C8A">
        <w:rPr>
          <w:sz w:val="26"/>
          <w:szCs w:val="26"/>
        </w:rPr>
        <w:t xml:space="preserve">, </w:t>
      </w:r>
      <w:r w:rsidR="00C11C8A" w:rsidRPr="000A7DCB">
        <w:rPr>
          <w:sz w:val="26"/>
          <w:szCs w:val="26"/>
        </w:rPr>
        <w:t>less efficient) device or measure</w:t>
      </w:r>
      <w:r w:rsidR="00C11C8A">
        <w:rPr>
          <w:sz w:val="26"/>
          <w:szCs w:val="26"/>
        </w:rPr>
        <w:t>.  For</w:t>
      </w:r>
      <w:r w:rsidR="00C11C8A" w:rsidRPr="000A7DCB">
        <w:rPr>
          <w:sz w:val="26"/>
          <w:szCs w:val="26"/>
        </w:rPr>
        <w:t xml:space="preserve"> replacement of a functioning device, incremental cost is the whole amount of the new efficient device or measure (including installation costs) being purchased.  </w:t>
      </w:r>
      <w:r w:rsidRPr="000A7DCB">
        <w:rPr>
          <w:sz w:val="26"/>
          <w:szCs w:val="26"/>
        </w:rPr>
        <w:t xml:space="preserve">The use of incremental costs will provide more accurate calculations for the measures being implemented.  </w:t>
      </w:r>
      <w:r>
        <w:rPr>
          <w:sz w:val="26"/>
          <w:szCs w:val="26"/>
        </w:rPr>
        <w:t xml:space="preserve">Accordingly, </w:t>
      </w:r>
      <w:r w:rsidRPr="000A7DCB">
        <w:rPr>
          <w:sz w:val="26"/>
          <w:szCs w:val="26"/>
        </w:rPr>
        <w:t xml:space="preserve">we </w:t>
      </w:r>
      <w:r>
        <w:rPr>
          <w:sz w:val="26"/>
          <w:szCs w:val="26"/>
        </w:rPr>
        <w:t xml:space="preserve">shall </w:t>
      </w:r>
      <w:r w:rsidRPr="000A7DCB">
        <w:rPr>
          <w:sz w:val="26"/>
          <w:szCs w:val="26"/>
        </w:rPr>
        <w:t xml:space="preserve">incorporate incremental costs where appropriate in the </w:t>
      </w:r>
      <w:r>
        <w:rPr>
          <w:sz w:val="26"/>
          <w:szCs w:val="26"/>
        </w:rPr>
        <w:t xml:space="preserve">TRC test process, </w:t>
      </w:r>
      <w:r w:rsidRPr="000A7DCB">
        <w:rPr>
          <w:sz w:val="26"/>
          <w:szCs w:val="26"/>
        </w:rPr>
        <w:t xml:space="preserve">and </w:t>
      </w:r>
      <w:r>
        <w:rPr>
          <w:sz w:val="26"/>
          <w:szCs w:val="26"/>
        </w:rPr>
        <w:t xml:space="preserve">we shall </w:t>
      </w:r>
      <w:r w:rsidRPr="000A7DCB">
        <w:rPr>
          <w:sz w:val="26"/>
          <w:szCs w:val="26"/>
        </w:rPr>
        <w:t>direct EDCs to use calculations that include incremental costs.  For the purpose of defining incremental costs</w:t>
      </w:r>
      <w:r>
        <w:rPr>
          <w:sz w:val="26"/>
          <w:szCs w:val="26"/>
        </w:rPr>
        <w:t>,</w:t>
      </w:r>
      <w:r w:rsidRPr="000A7DCB">
        <w:rPr>
          <w:sz w:val="26"/>
          <w:szCs w:val="26"/>
        </w:rPr>
        <w:t xml:space="preserve"> the Commission will </w:t>
      </w:r>
      <w:r>
        <w:rPr>
          <w:sz w:val="26"/>
          <w:szCs w:val="26"/>
        </w:rPr>
        <w:t xml:space="preserve">look to </w:t>
      </w:r>
      <w:r w:rsidRPr="000A7DCB">
        <w:rPr>
          <w:sz w:val="26"/>
          <w:szCs w:val="26"/>
        </w:rPr>
        <w:t>Section 4.1 of the Guide to Resource Planning with Energy Efficiency, A Resource of the National Action Plan for Energy Efficiency</w:t>
      </w:r>
      <w:r>
        <w:rPr>
          <w:sz w:val="26"/>
          <w:szCs w:val="26"/>
        </w:rPr>
        <w:t>, November</w:t>
      </w:r>
      <w:r w:rsidR="00C27DD7">
        <w:rPr>
          <w:sz w:val="26"/>
          <w:szCs w:val="26"/>
        </w:rPr>
        <w:t> </w:t>
      </w:r>
      <w:r>
        <w:rPr>
          <w:sz w:val="26"/>
          <w:szCs w:val="26"/>
        </w:rPr>
        <w:t xml:space="preserve">2007, for guidance.   </w:t>
      </w:r>
    </w:p>
    <w:p w:rsidR="00063045" w:rsidRDefault="00063045" w:rsidP="0037494A">
      <w:pPr>
        <w:spacing w:line="360" w:lineRule="auto"/>
        <w:rPr>
          <w:sz w:val="26"/>
          <w:szCs w:val="26"/>
        </w:rPr>
      </w:pPr>
    </w:p>
    <w:p w:rsidR="008D2551" w:rsidRPr="008D2551" w:rsidRDefault="008D2551" w:rsidP="0037494A">
      <w:pPr>
        <w:spacing w:line="360" w:lineRule="auto"/>
        <w:rPr>
          <w:b/>
          <w:sz w:val="26"/>
          <w:szCs w:val="26"/>
        </w:rPr>
      </w:pPr>
      <w:r>
        <w:rPr>
          <w:b/>
          <w:sz w:val="26"/>
          <w:szCs w:val="26"/>
        </w:rPr>
        <w:t>TRC Test Formulae for use in Pennsylvania</w:t>
      </w:r>
    </w:p>
    <w:p w:rsidR="00217EDB" w:rsidRDefault="00217EDB" w:rsidP="0037494A">
      <w:pPr>
        <w:pStyle w:val="p3"/>
        <w:widowControl/>
        <w:spacing w:line="360" w:lineRule="auto"/>
        <w:rPr>
          <w:sz w:val="26"/>
          <w:szCs w:val="26"/>
        </w:rPr>
      </w:pPr>
    </w:p>
    <w:p w:rsidR="008D2551" w:rsidRDefault="00915B93" w:rsidP="0037494A">
      <w:pPr>
        <w:pStyle w:val="p3"/>
        <w:widowControl/>
        <w:tabs>
          <w:tab w:val="clear" w:pos="204"/>
        </w:tabs>
        <w:spacing w:line="360" w:lineRule="auto"/>
        <w:rPr>
          <w:sz w:val="26"/>
          <w:szCs w:val="26"/>
        </w:rPr>
      </w:pPr>
      <w:r>
        <w:rPr>
          <w:sz w:val="26"/>
          <w:szCs w:val="26"/>
        </w:rPr>
        <w:tab/>
        <w:t xml:space="preserve">The definitions and formulae to be used in Pennsylvania-specific TRC testing are set forth in the Appendix to this order.  Our original proposal had included several definitions and formulae not specifically relevant to the TRC test.  At the suggestion of </w:t>
      </w:r>
      <w:r w:rsidR="005E08BA">
        <w:rPr>
          <w:sz w:val="26"/>
          <w:szCs w:val="26"/>
        </w:rPr>
        <w:t xml:space="preserve">PECO (at 8), PPL (at 8), and EAPA (at 6-7), we have eliminated the definitions and formulae that do not apply to TRC testing.  Generally speaking, the definitions and formulae have been taken from the </w:t>
      </w:r>
      <w:r w:rsidR="005E08BA">
        <w:rPr>
          <w:i/>
          <w:sz w:val="26"/>
          <w:szCs w:val="26"/>
        </w:rPr>
        <w:t>California Manual</w:t>
      </w:r>
      <w:r w:rsidR="005E08BA">
        <w:rPr>
          <w:sz w:val="26"/>
          <w:szCs w:val="26"/>
        </w:rPr>
        <w:t xml:space="preserve"> without further specific attribution.  </w:t>
      </w:r>
    </w:p>
    <w:p w:rsidR="008D2551" w:rsidRPr="007733F3" w:rsidRDefault="008D2551" w:rsidP="0037494A">
      <w:pPr>
        <w:pStyle w:val="p3"/>
        <w:widowControl/>
        <w:spacing w:line="360" w:lineRule="auto"/>
        <w:rPr>
          <w:sz w:val="26"/>
          <w:szCs w:val="26"/>
        </w:rPr>
      </w:pPr>
    </w:p>
    <w:p w:rsidR="00A311B4" w:rsidRPr="007733F3" w:rsidRDefault="00F03618" w:rsidP="0037494A">
      <w:pPr>
        <w:pStyle w:val="p3"/>
        <w:keepNext/>
        <w:widowControl/>
        <w:tabs>
          <w:tab w:val="clear" w:pos="204"/>
        </w:tabs>
        <w:spacing w:line="360" w:lineRule="auto"/>
        <w:jc w:val="center"/>
        <w:rPr>
          <w:b/>
          <w:sz w:val="26"/>
          <w:szCs w:val="26"/>
          <w:u w:val="single"/>
        </w:rPr>
      </w:pPr>
      <w:r w:rsidRPr="007733F3">
        <w:rPr>
          <w:b/>
          <w:sz w:val="26"/>
          <w:szCs w:val="26"/>
          <w:u w:val="single"/>
        </w:rPr>
        <w:lastRenderedPageBreak/>
        <w:t>Conclusion</w:t>
      </w:r>
    </w:p>
    <w:p w:rsidR="00A311B4" w:rsidRPr="007733F3" w:rsidRDefault="00A311B4" w:rsidP="0037494A">
      <w:pPr>
        <w:pStyle w:val="p3"/>
        <w:keepNext/>
        <w:widowControl/>
        <w:tabs>
          <w:tab w:val="clear" w:pos="204"/>
        </w:tabs>
        <w:spacing w:line="360" w:lineRule="auto"/>
        <w:rPr>
          <w:sz w:val="26"/>
          <w:szCs w:val="26"/>
        </w:rPr>
      </w:pPr>
    </w:p>
    <w:p w:rsidR="00FA40BB" w:rsidRPr="007733F3" w:rsidRDefault="00F03618" w:rsidP="0037494A">
      <w:pPr>
        <w:pStyle w:val="p3"/>
        <w:widowControl/>
        <w:tabs>
          <w:tab w:val="clear" w:pos="204"/>
        </w:tabs>
        <w:spacing w:line="360" w:lineRule="auto"/>
        <w:rPr>
          <w:b/>
          <w:sz w:val="26"/>
          <w:szCs w:val="26"/>
        </w:rPr>
      </w:pPr>
      <w:r w:rsidRPr="007733F3">
        <w:rPr>
          <w:sz w:val="26"/>
          <w:szCs w:val="26"/>
        </w:rPr>
        <w:tab/>
        <w:t xml:space="preserve">The EDCs must file their EE&amp;C plans by July 1, 2009.  In order to design the plans, the EDCs must know how results will be tested.  </w:t>
      </w:r>
      <w:r w:rsidR="00084BEE">
        <w:rPr>
          <w:sz w:val="26"/>
          <w:szCs w:val="26"/>
        </w:rPr>
        <w:t xml:space="preserve">The EDCs should structure their EE&amp;C plans consistent with the </w:t>
      </w:r>
      <w:r w:rsidR="00C327F1" w:rsidRPr="007733F3">
        <w:rPr>
          <w:sz w:val="26"/>
          <w:szCs w:val="26"/>
        </w:rPr>
        <w:t xml:space="preserve">TRC testing </w:t>
      </w:r>
      <w:r w:rsidR="00084BEE">
        <w:rPr>
          <w:sz w:val="26"/>
          <w:szCs w:val="26"/>
        </w:rPr>
        <w:t xml:space="preserve">constraints set forth in </w:t>
      </w:r>
      <w:r w:rsidR="00C327F1" w:rsidRPr="007733F3">
        <w:rPr>
          <w:sz w:val="26"/>
          <w:szCs w:val="26"/>
        </w:rPr>
        <w:t>this order</w:t>
      </w:r>
      <w:r w:rsidR="002E1F5F">
        <w:rPr>
          <w:sz w:val="26"/>
          <w:szCs w:val="26"/>
        </w:rPr>
        <w:t>.</w:t>
      </w:r>
      <w:r w:rsidR="00084BEE">
        <w:rPr>
          <w:sz w:val="26"/>
          <w:szCs w:val="26"/>
        </w:rPr>
        <w:t xml:space="preserve">  The actual formulae and definitions are set forth in the Appendix, hereto</w:t>
      </w:r>
      <w:r w:rsidRPr="007733F3">
        <w:rPr>
          <w:sz w:val="26"/>
          <w:szCs w:val="26"/>
        </w:rPr>
        <w:t xml:space="preserve">; </w:t>
      </w:r>
      <w:r w:rsidR="00FA40BB" w:rsidRPr="007733F3">
        <w:rPr>
          <w:b/>
          <w:sz w:val="26"/>
          <w:szCs w:val="26"/>
        </w:rPr>
        <w:t>THEREFORE</w:t>
      </w:r>
      <w:r w:rsidR="006B1962" w:rsidRPr="007733F3">
        <w:rPr>
          <w:b/>
          <w:sz w:val="26"/>
          <w:szCs w:val="26"/>
        </w:rPr>
        <w:t>,</w:t>
      </w:r>
    </w:p>
    <w:p w:rsidR="00DF0470" w:rsidRPr="007733F3" w:rsidRDefault="001D0127" w:rsidP="0037494A">
      <w:pPr>
        <w:keepNext/>
        <w:spacing w:line="360" w:lineRule="auto"/>
        <w:rPr>
          <w:b/>
          <w:bCs/>
          <w:sz w:val="26"/>
          <w:szCs w:val="26"/>
        </w:rPr>
      </w:pPr>
      <w:r w:rsidRPr="007733F3">
        <w:rPr>
          <w:b/>
          <w:bCs/>
          <w:sz w:val="26"/>
          <w:szCs w:val="26"/>
        </w:rPr>
        <w:tab/>
      </w:r>
      <w:r w:rsidR="006B1962" w:rsidRPr="007733F3">
        <w:rPr>
          <w:b/>
          <w:bCs/>
          <w:sz w:val="26"/>
          <w:szCs w:val="26"/>
        </w:rPr>
        <w:t>I</w:t>
      </w:r>
      <w:r w:rsidR="00DF0470" w:rsidRPr="007733F3">
        <w:rPr>
          <w:b/>
          <w:bCs/>
          <w:sz w:val="26"/>
          <w:szCs w:val="26"/>
        </w:rPr>
        <w:t>T IS ORDERED:</w:t>
      </w:r>
    </w:p>
    <w:p w:rsidR="00F66768" w:rsidRPr="007733F3" w:rsidRDefault="00F66768" w:rsidP="0037494A">
      <w:pPr>
        <w:keepNext/>
        <w:spacing w:line="360" w:lineRule="auto"/>
        <w:rPr>
          <w:b/>
          <w:bCs/>
          <w:sz w:val="26"/>
          <w:szCs w:val="26"/>
        </w:rPr>
      </w:pPr>
    </w:p>
    <w:p w:rsidR="00F16BA7" w:rsidRDefault="00F16BA7" w:rsidP="0037494A">
      <w:pPr>
        <w:spacing w:line="360" w:lineRule="auto"/>
        <w:rPr>
          <w:bCs/>
          <w:sz w:val="26"/>
          <w:szCs w:val="26"/>
        </w:rPr>
      </w:pPr>
      <w:r w:rsidRPr="007733F3">
        <w:rPr>
          <w:bCs/>
          <w:sz w:val="26"/>
          <w:szCs w:val="26"/>
        </w:rPr>
        <w:tab/>
        <w:t>1.</w:t>
      </w:r>
      <w:r w:rsidRPr="007733F3">
        <w:rPr>
          <w:bCs/>
          <w:sz w:val="26"/>
          <w:szCs w:val="26"/>
        </w:rPr>
        <w:tab/>
        <w:t xml:space="preserve">That the Commission hereby </w:t>
      </w:r>
      <w:r w:rsidR="00EA2F28" w:rsidRPr="007733F3">
        <w:rPr>
          <w:bCs/>
          <w:sz w:val="26"/>
          <w:szCs w:val="26"/>
        </w:rPr>
        <w:t xml:space="preserve">adopts use of </w:t>
      </w:r>
      <w:r w:rsidR="00484024">
        <w:rPr>
          <w:bCs/>
          <w:sz w:val="26"/>
          <w:szCs w:val="26"/>
        </w:rPr>
        <w:t>a</w:t>
      </w:r>
      <w:r w:rsidR="00EA2F28" w:rsidRPr="007733F3">
        <w:rPr>
          <w:bCs/>
          <w:sz w:val="26"/>
          <w:szCs w:val="26"/>
        </w:rPr>
        <w:t xml:space="preserve"> </w:t>
      </w:r>
      <w:r w:rsidR="00311541" w:rsidRPr="007733F3">
        <w:rPr>
          <w:bCs/>
          <w:sz w:val="26"/>
          <w:szCs w:val="26"/>
        </w:rPr>
        <w:t xml:space="preserve">total resource cost </w:t>
      </w:r>
      <w:r w:rsidR="00E63C93">
        <w:rPr>
          <w:bCs/>
          <w:sz w:val="26"/>
          <w:szCs w:val="26"/>
        </w:rPr>
        <w:t xml:space="preserve">(TRC) </w:t>
      </w:r>
      <w:r w:rsidR="00311541" w:rsidRPr="007733F3">
        <w:rPr>
          <w:bCs/>
          <w:sz w:val="26"/>
          <w:szCs w:val="26"/>
        </w:rPr>
        <w:t>test</w:t>
      </w:r>
      <w:r w:rsidR="00EA2F28" w:rsidRPr="007733F3">
        <w:rPr>
          <w:bCs/>
          <w:sz w:val="26"/>
          <w:szCs w:val="26"/>
        </w:rPr>
        <w:t xml:space="preserve">, consistent with this order.  </w:t>
      </w:r>
    </w:p>
    <w:p w:rsidR="00F4771A" w:rsidRDefault="00B40EC1" w:rsidP="0037494A">
      <w:pPr>
        <w:spacing w:line="360" w:lineRule="auto"/>
        <w:rPr>
          <w:bCs/>
          <w:sz w:val="26"/>
          <w:szCs w:val="26"/>
        </w:rPr>
      </w:pPr>
      <w:r>
        <w:rPr>
          <w:bCs/>
          <w:sz w:val="26"/>
          <w:szCs w:val="26"/>
        </w:rPr>
        <w:tab/>
        <w:t>2.</w:t>
      </w:r>
      <w:r>
        <w:rPr>
          <w:bCs/>
          <w:sz w:val="26"/>
          <w:szCs w:val="26"/>
        </w:rPr>
        <w:tab/>
        <w:t xml:space="preserve">That a stakeholder group be convened by Commission staff to address the issues identified herein and such other issues as may arise in </w:t>
      </w:r>
      <w:r w:rsidR="00C6101E">
        <w:rPr>
          <w:bCs/>
          <w:sz w:val="26"/>
          <w:szCs w:val="26"/>
        </w:rPr>
        <w:t xml:space="preserve">the </w:t>
      </w:r>
      <w:r>
        <w:rPr>
          <w:bCs/>
          <w:sz w:val="26"/>
          <w:szCs w:val="26"/>
        </w:rPr>
        <w:t>total resource cost test process.</w:t>
      </w:r>
    </w:p>
    <w:p w:rsidR="00B40EC1" w:rsidRDefault="00B40EC1" w:rsidP="0037494A">
      <w:pPr>
        <w:spacing w:line="360" w:lineRule="auto"/>
        <w:rPr>
          <w:bCs/>
          <w:sz w:val="26"/>
          <w:szCs w:val="26"/>
        </w:rPr>
      </w:pPr>
    </w:p>
    <w:p w:rsidR="00E63C93" w:rsidRDefault="00E63C93" w:rsidP="0037494A">
      <w:pPr>
        <w:spacing w:line="360" w:lineRule="auto"/>
        <w:rPr>
          <w:bCs/>
          <w:sz w:val="26"/>
          <w:szCs w:val="26"/>
        </w:rPr>
      </w:pPr>
      <w:r>
        <w:rPr>
          <w:bCs/>
          <w:sz w:val="26"/>
          <w:szCs w:val="26"/>
        </w:rPr>
        <w:tab/>
        <w:t>3.</w:t>
      </w:r>
      <w:r>
        <w:rPr>
          <w:bCs/>
          <w:sz w:val="26"/>
          <w:szCs w:val="26"/>
        </w:rPr>
        <w:tab/>
        <w:t>That the TRC test established by this order may be amended in the future by order of the Commission</w:t>
      </w:r>
      <w:r w:rsidR="005F1C27">
        <w:rPr>
          <w:bCs/>
          <w:sz w:val="26"/>
          <w:szCs w:val="26"/>
        </w:rPr>
        <w:t xml:space="preserve"> based upon our experience and/or input from stakeholders</w:t>
      </w:r>
      <w:r>
        <w:rPr>
          <w:bCs/>
          <w:sz w:val="26"/>
          <w:szCs w:val="26"/>
        </w:rPr>
        <w:t>.</w:t>
      </w:r>
    </w:p>
    <w:p w:rsidR="00E63C93" w:rsidRPr="007733F3" w:rsidRDefault="00E63C93" w:rsidP="0037494A">
      <w:pPr>
        <w:spacing w:line="360" w:lineRule="auto"/>
        <w:rPr>
          <w:bCs/>
          <w:sz w:val="26"/>
          <w:szCs w:val="26"/>
        </w:rPr>
      </w:pPr>
    </w:p>
    <w:p w:rsidR="009817CF" w:rsidRDefault="00E63C93" w:rsidP="00D72BE5">
      <w:pPr>
        <w:spacing w:line="360" w:lineRule="auto"/>
        <w:ind w:firstLine="720"/>
        <w:rPr>
          <w:sz w:val="26"/>
          <w:szCs w:val="26"/>
        </w:rPr>
      </w:pPr>
      <w:r>
        <w:rPr>
          <w:sz w:val="26"/>
          <w:szCs w:val="26"/>
        </w:rPr>
        <w:t>4</w:t>
      </w:r>
      <w:r w:rsidR="00F4771A" w:rsidRPr="007733F3">
        <w:rPr>
          <w:sz w:val="26"/>
          <w:szCs w:val="26"/>
        </w:rPr>
        <w:t>.</w:t>
      </w:r>
      <w:r w:rsidR="00F4771A" w:rsidRPr="007733F3">
        <w:rPr>
          <w:sz w:val="26"/>
          <w:szCs w:val="26"/>
        </w:rPr>
        <w:tab/>
        <w:t>That copies of this order be served upon the Office of Consumer Advocate, the Office of Small Business Advocate, and part</w:t>
      </w:r>
      <w:r w:rsidR="002E1F5F">
        <w:rPr>
          <w:sz w:val="26"/>
          <w:szCs w:val="26"/>
        </w:rPr>
        <w:t>ies</w:t>
      </w:r>
      <w:r w:rsidR="00F4771A" w:rsidRPr="007733F3">
        <w:rPr>
          <w:sz w:val="26"/>
          <w:szCs w:val="26"/>
        </w:rPr>
        <w:t xml:space="preserve"> </w:t>
      </w:r>
      <w:r w:rsidR="002E1F5F">
        <w:rPr>
          <w:sz w:val="26"/>
          <w:szCs w:val="26"/>
        </w:rPr>
        <w:t xml:space="preserve">to </w:t>
      </w:r>
      <w:r w:rsidR="00685E7D" w:rsidRPr="00685E7D">
        <w:rPr>
          <w:i/>
          <w:sz w:val="26"/>
          <w:szCs w:val="26"/>
        </w:rPr>
        <w:t>Energy Efficiency and Conservation Program</w:t>
      </w:r>
      <w:r w:rsidR="00685E7D">
        <w:rPr>
          <w:sz w:val="26"/>
          <w:szCs w:val="26"/>
        </w:rPr>
        <w:t>,</w:t>
      </w:r>
      <w:r w:rsidR="00685E7D" w:rsidRPr="007733F3">
        <w:rPr>
          <w:sz w:val="26"/>
          <w:szCs w:val="26"/>
        </w:rPr>
        <w:t xml:space="preserve"> </w:t>
      </w:r>
      <w:r w:rsidR="00F4771A" w:rsidRPr="007733F3">
        <w:rPr>
          <w:sz w:val="26"/>
          <w:szCs w:val="26"/>
        </w:rPr>
        <w:t>Docket No. M</w:t>
      </w:r>
      <w:r w:rsidR="00F4771A" w:rsidRPr="007733F3">
        <w:rPr>
          <w:sz w:val="26"/>
          <w:szCs w:val="26"/>
        </w:rPr>
        <w:noBreakHyphen/>
        <w:t>2008</w:t>
      </w:r>
      <w:r w:rsidR="00F4771A" w:rsidRPr="007733F3">
        <w:rPr>
          <w:sz w:val="26"/>
          <w:szCs w:val="26"/>
        </w:rPr>
        <w:noBreakHyphen/>
      </w:r>
      <w:r w:rsidR="00685E7D" w:rsidRPr="00235CED">
        <w:rPr>
          <w:sz w:val="26"/>
          <w:szCs w:val="26"/>
        </w:rPr>
        <w:t>2069887</w:t>
      </w:r>
      <w:r w:rsidR="00F4771A" w:rsidRPr="007733F3">
        <w:rPr>
          <w:sz w:val="26"/>
          <w:szCs w:val="26"/>
        </w:rPr>
        <w:t xml:space="preserve">.  That a copy of this order be posted on the Commission’s Act 129 website page.  </w:t>
      </w:r>
    </w:p>
    <w:p w:rsidR="00D72BE5" w:rsidRDefault="00D72BE5" w:rsidP="00D72BE5">
      <w:pPr>
        <w:spacing w:line="360" w:lineRule="auto"/>
        <w:ind w:firstLine="720"/>
        <w:rPr>
          <w:sz w:val="26"/>
          <w:szCs w:val="26"/>
        </w:rPr>
      </w:pPr>
    </w:p>
    <w:p w:rsidR="00472924" w:rsidRPr="007733F3" w:rsidRDefault="00633E8E" w:rsidP="00017AB2">
      <w:pPr>
        <w:keepNext/>
        <w:spacing w:line="360" w:lineRule="auto"/>
        <w:rPr>
          <w:sz w:val="26"/>
          <w:szCs w:val="26"/>
        </w:rPr>
      </w:pPr>
      <w:r w:rsidRPr="007733F3">
        <w:rPr>
          <w:bCs/>
          <w:sz w:val="26"/>
          <w:szCs w:val="26"/>
        </w:rPr>
        <w:lastRenderedPageBreak/>
        <w:tab/>
      </w:r>
      <w:r w:rsidR="00E63C93">
        <w:rPr>
          <w:bCs/>
          <w:sz w:val="26"/>
          <w:szCs w:val="26"/>
        </w:rPr>
        <w:t>5</w:t>
      </w:r>
      <w:r w:rsidRPr="007733F3">
        <w:rPr>
          <w:bCs/>
          <w:sz w:val="26"/>
          <w:szCs w:val="26"/>
        </w:rPr>
        <w:t>.</w:t>
      </w:r>
      <w:r w:rsidRPr="007733F3">
        <w:rPr>
          <w:bCs/>
          <w:sz w:val="26"/>
          <w:szCs w:val="26"/>
        </w:rPr>
        <w:tab/>
        <w:t>That</w:t>
      </w:r>
      <w:r w:rsidR="00571CC0">
        <w:rPr>
          <w:bCs/>
          <w:sz w:val="26"/>
          <w:szCs w:val="26"/>
        </w:rPr>
        <w:t xml:space="preserve"> the contacts for this order are </w:t>
      </w:r>
      <w:r w:rsidR="00C327F1" w:rsidRPr="007733F3">
        <w:rPr>
          <w:sz w:val="26"/>
          <w:szCs w:val="26"/>
        </w:rPr>
        <w:t>Wayne Williams</w:t>
      </w:r>
      <w:r w:rsidR="007972D4" w:rsidRPr="007733F3">
        <w:rPr>
          <w:sz w:val="26"/>
          <w:szCs w:val="26"/>
        </w:rPr>
        <w:t xml:space="preserve">, </w:t>
      </w:r>
      <w:r w:rsidR="00C04FA0">
        <w:rPr>
          <w:sz w:val="26"/>
          <w:szCs w:val="26"/>
        </w:rPr>
        <w:t xml:space="preserve">Bureau of </w:t>
      </w:r>
      <w:r w:rsidR="00EC2D28">
        <w:rPr>
          <w:sz w:val="26"/>
          <w:szCs w:val="26"/>
        </w:rPr>
        <w:t>Conservation, Economics, and Energy Policy (</w:t>
      </w:r>
      <w:r w:rsidR="00621997" w:rsidRPr="0034385C">
        <w:rPr>
          <w:sz w:val="26"/>
          <w:szCs w:val="26"/>
        </w:rPr>
        <w:t>CEEP</w:t>
      </w:r>
      <w:r w:rsidR="00EC2D28">
        <w:rPr>
          <w:sz w:val="26"/>
          <w:szCs w:val="26"/>
        </w:rPr>
        <w:t>)</w:t>
      </w:r>
      <w:r w:rsidR="00621997" w:rsidRPr="007733F3">
        <w:rPr>
          <w:sz w:val="26"/>
          <w:szCs w:val="26"/>
        </w:rPr>
        <w:t xml:space="preserve">, </w:t>
      </w:r>
      <w:hyperlink r:id="rId10" w:history="1">
        <w:r w:rsidR="007972D4" w:rsidRPr="007733F3">
          <w:rPr>
            <w:rStyle w:val="Hyperlink"/>
            <w:sz w:val="26"/>
            <w:szCs w:val="26"/>
          </w:rPr>
          <w:t>waywilliam@state.pa.us</w:t>
        </w:r>
      </w:hyperlink>
      <w:r w:rsidR="007972D4" w:rsidRPr="007733F3">
        <w:rPr>
          <w:sz w:val="26"/>
          <w:szCs w:val="26"/>
        </w:rPr>
        <w:t xml:space="preserve">; </w:t>
      </w:r>
      <w:r w:rsidR="00621997" w:rsidRPr="007733F3">
        <w:rPr>
          <w:sz w:val="26"/>
          <w:szCs w:val="26"/>
        </w:rPr>
        <w:t>Louise</w:t>
      </w:r>
      <w:r w:rsidR="00EC2D28">
        <w:rPr>
          <w:sz w:val="26"/>
          <w:szCs w:val="26"/>
        </w:rPr>
        <w:t> </w:t>
      </w:r>
      <w:r w:rsidR="00621997" w:rsidRPr="007733F3">
        <w:rPr>
          <w:sz w:val="26"/>
          <w:szCs w:val="26"/>
        </w:rPr>
        <w:t xml:space="preserve">Fink Smith, Law Bureau, </w:t>
      </w:r>
      <w:hyperlink r:id="rId11" w:history="1">
        <w:r w:rsidR="00621997" w:rsidRPr="007733F3">
          <w:rPr>
            <w:rStyle w:val="Hyperlink"/>
            <w:sz w:val="26"/>
            <w:szCs w:val="26"/>
          </w:rPr>
          <w:t>finksmith@state.pa.us</w:t>
        </w:r>
      </w:hyperlink>
      <w:r w:rsidR="00311541" w:rsidRPr="007733F3">
        <w:rPr>
          <w:sz w:val="26"/>
          <w:szCs w:val="26"/>
        </w:rPr>
        <w:t xml:space="preserve">; and Kriss Brown, Law Bureau, </w:t>
      </w:r>
      <w:hyperlink r:id="rId12" w:history="1">
        <w:r w:rsidR="00311541" w:rsidRPr="007733F3">
          <w:rPr>
            <w:rStyle w:val="Hyperlink"/>
            <w:sz w:val="26"/>
            <w:szCs w:val="26"/>
          </w:rPr>
          <w:t>kribrown@state.pa.us</w:t>
        </w:r>
      </w:hyperlink>
      <w:r w:rsidR="00621997" w:rsidRPr="007733F3">
        <w:rPr>
          <w:sz w:val="26"/>
          <w:szCs w:val="26"/>
        </w:rPr>
        <w:t xml:space="preserve">. </w:t>
      </w:r>
    </w:p>
    <w:p w:rsidR="00DF0470" w:rsidRPr="007733F3" w:rsidRDefault="00517647" w:rsidP="00017AB2">
      <w:pPr>
        <w:keepNext/>
        <w:tabs>
          <w:tab w:val="left" w:pos="742"/>
        </w:tabs>
        <w:spacing w:line="360" w:lineRule="auto"/>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2686050</wp:posOffset>
            </wp:positionH>
            <wp:positionV relativeFrom="paragraph">
              <wp:posOffset>251460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571750" cy="1295400"/>
                    </a:xfrm>
                    <a:prstGeom prst="rect">
                      <a:avLst/>
                    </a:prstGeom>
                    <a:noFill/>
                    <a:ln w="9525">
                      <a:noFill/>
                      <a:miter lim="800000"/>
                      <a:headEnd/>
                      <a:tailEnd/>
                    </a:ln>
                  </pic:spPr>
                </pic:pic>
              </a:graphicData>
            </a:graphic>
          </wp:anchor>
        </w:drawing>
      </w:r>
    </w:p>
    <w:p w:rsidR="007972D4" w:rsidRPr="007733F3" w:rsidRDefault="007972D4" w:rsidP="00017AB2">
      <w:pPr>
        <w:keepNext/>
        <w:tabs>
          <w:tab w:val="left" w:pos="742"/>
        </w:tabs>
        <w:rPr>
          <w:sz w:val="26"/>
          <w:szCs w:val="26"/>
        </w:rPr>
      </w:pPr>
    </w:p>
    <w:p w:rsidR="00DF0470" w:rsidRPr="007733F3" w:rsidRDefault="00DF0470" w:rsidP="00017AB2">
      <w:pPr>
        <w:pStyle w:val="p17"/>
        <w:keepNext/>
        <w:widowControl/>
        <w:ind w:left="5057"/>
        <w:rPr>
          <w:b/>
          <w:bCs/>
          <w:sz w:val="26"/>
          <w:szCs w:val="26"/>
        </w:rPr>
      </w:pPr>
      <w:r w:rsidRPr="007733F3">
        <w:rPr>
          <w:b/>
          <w:bCs/>
          <w:sz w:val="26"/>
          <w:szCs w:val="26"/>
        </w:rPr>
        <w:t>BY THE COMMISSION</w:t>
      </w:r>
    </w:p>
    <w:p w:rsidR="00DF0470" w:rsidRPr="007733F3" w:rsidRDefault="00DF0470" w:rsidP="0037494A">
      <w:pPr>
        <w:tabs>
          <w:tab w:val="left" w:pos="5057"/>
        </w:tabs>
        <w:rPr>
          <w:bCs/>
          <w:sz w:val="26"/>
          <w:szCs w:val="26"/>
        </w:rPr>
      </w:pPr>
    </w:p>
    <w:p w:rsidR="00DF0470" w:rsidRPr="007733F3" w:rsidRDefault="00DF0470" w:rsidP="0037494A">
      <w:pPr>
        <w:tabs>
          <w:tab w:val="left" w:pos="5057"/>
        </w:tabs>
        <w:rPr>
          <w:bCs/>
          <w:sz w:val="26"/>
          <w:szCs w:val="26"/>
        </w:rPr>
      </w:pPr>
    </w:p>
    <w:p w:rsidR="00DF0470" w:rsidRPr="007733F3" w:rsidRDefault="00DF0470" w:rsidP="0037494A">
      <w:pPr>
        <w:tabs>
          <w:tab w:val="left" w:pos="5057"/>
        </w:tabs>
        <w:rPr>
          <w:bCs/>
          <w:sz w:val="26"/>
          <w:szCs w:val="26"/>
        </w:rPr>
      </w:pPr>
    </w:p>
    <w:p w:rsidR="00DF0470" w:rsidRPr="007733F3" w:rsidRDefault="00DF0470" w:rsidP="0037494A">
      <w:pPr>
        <w:pStyle w:val="p18"/>
        <w:ind w:left="5062"/>
        <w:rPr>
          <w:sz w:val="26"/>
          <w:szCs w:val="26"/>
        </w:rPr>
      </w:pPr>
      <w:r w:rsidRPr="007733F3">
        <w:rPr>
          <w:sz w:val="26"/>
          <w:szCs w:val="26"/>
        </w:rPr>
        <w:t>James J. McNulty</w:t>
      </w:r>
    </w:p>
    <w:p w:rsidR="00DF0470" w:rsidRPr="007733F3" w:rsidRDefault="00DF0470" w:rsidP="0037494A">
      <w:pPr>
        <w:pStyle w:val="p18"/>
        <w:ind w:left="5062"/>
        <w:rPr>
          <w:sz w:val="26"/>
          <w:szCs w:val="26"/>
        </w:rPr>
      </w:pPr>
      <w:r w:rsidRPr="007733F3">
        <w:rPr>
          <w:sz w:val="26"/>
          <w:szCs w:val="26"/>
        </w:rPr>
        <w:t>Secretary</w:t>
      </w:r>
    </w:p>
    <w:p w:rsidR="00DF0470" w:rsidRPr="007733F3" w:rsidRDefault="00DF0470" w:rsidP="0037494A">
      <w:pPr>
        <w:tabs>
          <w:tab w:val="left" w:pos="5062"/>
        </w:tabs>
        <w:rPr>
          <w:sz w:val="26"/>
          <w:szCs w:val="26"/>
        </w:rPr>
      </w:pPr>
    </w:p>
    <w:p w:rsidR="00DF3B12" w:rsidRPr="007733F3" w:rsidRDefault="00DF3B12" w:rsidP="0037494A">
      <w:pPr>
        <w:tabs>
          <w:tab w:val="left" w:pos="5062"/>
        </w:tabs>
        <w:rPr>
          <w:sz w:val="26"/>
          <w:szCs w:val="26"/>
        </w:rPr>
      </w:pPr>
    </w:p>
    <w:p w:rsidR="00DF0470" w:rsidRDefault="00DF0470" w:rsidP="0037494A">
      <w:pPr>
        <w:pStyle w:val="p14"/>
        <w:rPr>
          <w:sz w:val="26"/>
          <w:szCs w:val="26"/>
        </w:rPr>
      </w:pPr>
      <w:r w:rsidRPr="007733F3">
        <w:rPr>
          <w:sz w:val="26"/>
          <w:szCs w:val="26"/>
        </w:rPr>
        <w:t>(SEAL)</w:t>
      </w:r>
    </w:p>
    <w:p w:rsidR="0094589D" w:rsidRPr="007733F3" w:rsidRDefault="0094589D" w:rsidP="0037494A">
      <w:pPr>
        <w:pStyle w:val="p14"/>
        <w:rPr>
          <w:sz w:val="26"/>
          <w:szCs w:val="26"/>
        </w:rPr>
      </w:pPr>
    </w:p>
    <w:p w:rsidR="00DF0470" w:rsidRDefault="00DF0470" w:rsidP="0037494A">
      <w:pPr>
        <w:pStyle w:val="p14"/>
        <w:rPr>
          <w:sz w:val="26"/>
          <w:szCs w:val="26"/>
        </w:rPr>
      </w:pPr>
      <w:r w:rsidRPr="007733F3">
        <w:rPr>
          <w:sz w:val="26"/>
          <w:szCs w:val="26"/>
        </w:rPr>
        <w:t xml:space="preserve">ORDER ADOPTED:  </w:t>
      </w:r>
      <w:r w:rsidR="007972D4" w:rsidRPr="007733F3">
        <w:rPr>
          <w:sz w:val="26"/>
          <w:szCs w:val="26"/>
        </w:rPr>
        <w:t xml:space="preserve"> </w:t>
      </w:r>
      <w:r w:rsidR="00C04FA0">
        <w:rPr>
          <w:sz w:val="26"/>
          <w:szCs w:val="26"/>
        </w:rPr>
        <w:t>June 18</w:t>
      </w:r>
      <w:r w:rsidR="00472924" w:rsidRPr="007733F3">
        <w:rPr>
          <w:sz w:val="26"/>
          <w:szCs w:val="26"/>
        </w:rPr>
        <w:t xml:space="preserve">, </w:t>
      </w:r>
      <w:r w:rsidR="00855DFD" w:rsidRPr="007733F3">
        <w:rPr>
          <w:sz w:val="26"/>
          <w:szCs w:val="26"/>
        </w:rPr>
        <w:t>2009</w:t>
      </w:r>
    </w:p>
    <w:p w:rsidR="0094589D" w:rsidRPr="007733F3" w:rsidRDefault="0094589D" w:rsidP="0037494A">
      <w:pPr>
        <w:pStyle w:val="p14"/>
        <w:rPr>
          <w:sz w:val="26"/>
          <w:szCs w:val="26"/>
        </w:rPr>
      </w:pPr>
    </w:p>
    <w:p w:rsidR="00133342" w:rsidRPr="00517647" w:rsidRDefault="00DF0470" w:rsidP="0037494A">
      <w:pPr>
        <w:pStyle w:val="p14"/>
        <w:rPr>
          <w:b/>
          <w:sz w:val="26"/>
          <w:szCs w:val="26"/>
        </w:rPr>
        <w:sectPr w:rsidR="00133342" w:rsidRPr="00517647" w:rsidSect="003724FD">
          <w:footerReference w:type="default" r:id="rId14"/>
          <w:footerReference w:type="first" r:id="rId15"/>
          <w:type w:val="continuous"/>
          <w:pgSz w:w="12240" w:h="15840"/>
          <w:pgMar w:top="1440" w:right="1440" w:bottom="1440" w:left="1440" w:header="720" w:footer="720" w:gutter="0"/>
          <w:cols w:space="720"/>
          <w:titlePg/>
        </w:sectPr>
      </w:pPr>
      <w:r w:rsidRPr="007733F3">
        <w:rPr>
          <w:sz w:val="26"/>
          <w:szCs w:val="26"/>
        </w:rPr>
        <w:t xml:space="preserve">ORDER ENTERED:  </w:t>
      </w:r>
      <w:r w:rsidR="00517647">
        <w:rPr>
          <w:b/>
          <w:sz w:val="26"/>
          <w:szCs w:val="26"/>
        </w:rPr>
        <w:t>JUNE 23, 2009</w:t>
      </w:r>
    </w:p>
    <w:p w:rsidR="00DC0E08" w:rsidRPr="007733F3" w:rsidRDefault="00DC0E08" w:rsidP="0037494A">
      <w:pPr>
        <w:pStyle w:val="p14"/>
        <w:rPr>
          <w:sz w:val="26"/>
          <w:szCs w:val="26"/>
        </w:rPr>
      </w:pPr>
    </w:p>
    <w:p w:rsidR="00DD1DD9" w:rsidRPr="0075435C" w:rsidRDefault="00DD1DD9" w:rsidP="0037494A">
      <w:pPr>
        <w:pStyle w:val="p14"/>
        <w:jc w:val="center"/>
        <w:rPr>
          <w:b/>
          <w:sz w:val="34"/>
          <w:szCs w:val="26"/>
        </w:rPr>
      </w:pPr>
      <w:r w:rsidRPr="0075435C">
        <w:rPr>
          <w:b/>
          <w:sz w:val="34"/>
          <w:szCs w:val="26"/>
        </w:rPr>
        <w:t>Appendix</w:t>
      </w:r>
    </w:p>
    <w:p w:rsidR="00DD1DD9" w:rsidRDefault="00DD1DD9" w:rsidP="0037494A">
      <w:pPr>
        <w:pStyle w:val="p14"/>
        <w:rPr>
          <w:sz w:val="26"/>
          <w:szCs w:val="26"/>
        </w:rPr>
      </w:pPr>
    </w:p>
    <w:p w:rsidR="0075435C" w:rsidRDefault="0075435C" w:rsidP="0037494A">
      <w:pPr>
        <w:pStyle w:val="p14"/>
        <w:rPr>
          <w:sz w:val="26"/>
          <w:szCs w:val="26"/>
        </w:rPr>
      </w:pPr>
    </w:p>
    <w:p w:rsidR="0075435C" w:rsidRPr="007733F3" w:rsidRDefault="0075435C" w:rsidP="0037494A">
      <w:pPr>
        <w:pStyle w:val="p14"/>
        <w:rPr>
          <w:sz w:val="26"/>
          <w:szCs w:val="26"/>
        </w:rPr>
      </w:pPr>
    </w:p>
    <w:p w:rsidR="00D367C1" w:rsidRDefault="00DD1DD9" w:rsidP="0037494A">
      <w:pPr>
        <w:pStyle w:val="p14"/>
        <w:jc w:val="center"/>
        <w:rPr>
          <w:sz w:val="26"/>
          <w:szCs w:val="26"/>
        </w:rPr>
      </w:pPr>
      <w:r w:rsidRPr="007733F3">
        <w:rPr>
          <w:sz w:val="26"/>
          <w:szCs w:val="26"/>
        </w:rPr>
        <w:t xml:space="preserve">The definitions and formulae to be used for the </w:t>
      </w:r>
      <w:r w:rsidR="00D367C1">
        <w:rPr>
          <w:sz w:val="26"/>
          <w:szCs w:val="26"/>
        </w:rPr>
        <w:t xml:space="preserve">Pennsylvania-specific </w:t>
      </w:r>
      <w:r w:rsidRPr="007733F3">
        <w:rPr>
          <w:sz w:val="26"/>
          <w:szCs w:val="26"/>
        </w:rPr>
        <w:t xml:space="preserve">TRC test, consistent with Act 129 </w:t>
      </w:r>
      <w:r w:rsidR="00D367C1">
        <w:rPr>
          <w:sz w:val="26"/>
          <w:szCs w:val="26"/>
        </w:rPr>
        <w:t xml:space="preserve">of 2008, </w:t>
      </w:r>
      <w:r w:rsidRPr="007733F3">
        <w:rPr>
          <w:sz w:val="26"/>
          <w:szCs w:val="26"/>
        </w:rPr>
        <w:t xml:space="preserve">are </w:t>
      </w:r>
      <w:r w:rsidR="00D367C1">
        <w:rPr>
          <w:sz w:val="26"/>
          <w:szCs w:val="26"/>
        </w:rPr>
        <w:t>set forth in this Appendix.</w:t>
      </w:r>
    </w:p>
    <w:p w:rsidR="00D367C1" w:rsidRDefault="00D367C1" w:rsidP="0037494A">
      <w:pPr>
        <w:pStyle w:val="p14"/>
        <w:jc w:val="center"/>
        <w:rPr>
          <w:sz w:val="26"/>
          <w:szCs w:val="26"/>
        </w:rPr>
      </w:pPr>
    </w:p>
    <w:p w:rsidR="00FC193D" w:rsidRDefault="00D367C1" w:rsidP="0037494A">
      <w:pPr>
        <w:pStyle w:val="p14"/>
        <w:jc w:val="center"/>
        <w:rPr>
          <w:sz w:val="26"/>
          <w:szCs w:val="26"/>
        </w:rPr>
      </w:pPr>
      <w:r>
        <w:rPr>
          <w:sz w:val="26"/>
          <w:szCs w:val="26"/>
        </w:rPr>
        <w:t xml:space="preserve">The definitions and formulae </w:t>
      </w:r>
      <w:r w:rsidR="007B0FF8">
        <w:rPr>
          <w:sz w:val="26"/>
          <w:szCs w:val="26"/>
        </w:rPr>
        <w:t xml:space="preserve">in this Appendix </w:t>
      </w:r>
      <w:r>
        <w:rPr>
          <w:sz w:val="26"/>
          <w:szCs w:val="26"/>
        </w:rPr>
        <w:t>are taken from pages 10 – 12, 15-17, and</w:t>
      </w:r>
      <w:r w:rsidR="007B0FF8">
        <w:rPr>
          <w:sz w:val="26"/>
          <w:szCs w:val="26"/>
        </w:rPr>
        <w:t> </w:t>
      </w:r>
      <w:r>
        <w:rPr>
          <w:sz w:val="26"/>
          <w:szCs w:val="26"/>
        </w:rPr>
        <w:t xml:space="preserve">22 of the </w:t>
      </w:r>
      <w:r w:rsidRPr="00D367C1">
        <w:rPr>
          <w:i/>
          <w:sz w:val="26"/>
          <w:szCs w:val="26"/>
        </w:rPr>
        <w:t>California Manu</w:t>
      </w:r>
      <w:r>
        <w:rPr>
          <w:i/>
          <w:sz w:val="26"/>
          <w:szCs w:val="26"/>
        </w:rPr>
        <w:t>a</w:t>
      </w:r>
      <w:r w:rsidRPr="00D367C1">
        <w:rPr>
          <w:i/>
          <w:sz w:val="26"/>
          <w:szCs w:val="26"/>
        </w:rPr>
        <w:t>l</w:t>
      </w:r>
      <w:r w:rsidR="00823592" w:rsidRPr="007733F3">
        <w:rPr>
          <w:rStyle w:val="FootnoteReference"/>
          <w:sz w:val="26"/>
          <w:szCs w:val="26"/>
        </w:rPr>
        <w:footnoteReference w:id="47"/>
      </w:r>
      <w:r w:rsidR="00823592" w:rsidRPr="007733F3">
        <w:rPr>
          <w:sz w:val="26"/>
          <w:szCs w:val="26"/>
        </w:rPr>
        <w:t xml:space="preserve"> </w:t>
      </w:r>
      <w:r w:rsidR="007B0FF8">
        <w:rPr>
          <w:sz w:val="26"/>
          <w:szCs w:val="26"/>
        </w:rPr>
        <w:t>without further specific attribution.</w:t>
      </w:r>
    </w:p>
    <w:p w:rsidR="00D367C1" w:rsidRDefault="00D367C1" w:rsidP="0037494A">
      <w:pPr>
        <w:pStyle w:val="p14"/>
        <w:jc w:val="center"/>
        <w:rPr>
          <w:sz w:val="26"/>
          <w:szCs w:val="26"/>
        </w:rPr>
      </w:pPr>
    </w:p>
    <w:p w:rsidR="00C877BD" w:rsidRDefault="00C877BD" w:rsidP="0037494A">
      <w:r>
        <w:rPr>
          <w:sz w:val="26"/>
          <w:szCs w:val="26"/>
        </w:rPr>
        <w:br w:type="page"/>
      </w:r>
    </w:p>
    <w:p w:rsidR="00C877BD" w:rsidRPr="007349B4" w:rsidRDefault="00C877BD" w:rsidP="0037494A">
      <w:pPr>
        <w:tabs>
          <w:tab w:val="left" w:pos="1620"/>
        </w:tabs>
        <w:jc w:val="center"/>
        <w:rPr>
          <w:b/>
          <w:sz w:val="26"/>
          <w:szCs w:val="26"/>
        </w:rPr>
      </w:pPr>
      <w:r w:rsidRPr="007349B4">
        <w:rPr>
          <w:b/>
          <w:sz w:val="26"/>
          <w:szCs w:val="26"/>
        </w:rPr>
        <w:lastRenderedPageBreak/>
        <w:t>TRC Formulae</w:t>
      </w:r>
    </w:p>
    <w:p w:rsidR="00C877BD" w:rsidRPr="007349B4" w:rsidRDefault="00C877BD" w:rsidP="0037494A">
      <w:pPr>
        <w:tabs>
          <w:tab w:val="left" w:pos="1620"/>
        </w:tabs>
        <w:rPr>
          <w:sz w:val="26"/>
          <w:szCs w:val="26"/>
        </w:rPr>
      </w:pPr>
    </w:p>
    <w:p w:rsidR="007349B4" w:rsidRPr="007349B4" w:rsidRDefault="007349B4" w:rsidP="0037494A">
      <w:pPr>
        <w:tabs>
          <w:tab w:val="left" w:pos="1620"/>
        </w:tabs>
        <w:rPr>
          <w:sz w:val="26"/>
          <w:szCs w:val="26"/>
        </w:rPr>
      </w:pPr>
    </w:p>
    <w:p w:rsidR="00C877BD" w:rsidRPr="007349B4" w:rsidRDefault="00C877BD" w:rsidP="0037494A">
      <w:pPr>
        <w:tabs>
          <w:tab w:val="left" w:pos="1620"/>
        </w:tabs>
        <w:spacing w:line="360" w:lineRule="auto"/>
        <w:rPr>
          <w:sz w:val="26"/>
          <w:szCs w:val="26"/>
        </w:rPr>
      </w:pPr>
      <w:r w:rsidRPr="007349B4">
        <w:rPr>
          <w:sz w:val="26"/>
          <w:szCs w:val="26"/>
        </w:rPr>
        <w:t>The formulae for the net present value (NPV</w:t>
      </w:r>
      <w:r w:rsidRPr="007349B4">
        <w:rPr>
          <w:sz w:val="26"/>
          <w:szCs w:val="26"/>
          <w:vertAlign w:val="subscript"/>
        </w:rPr>
        <w:t>TRC</w:t>
      </w:r>
      <w:r w:rsidRPr="007349B4">
        <w:rPr>
          <w:sz w:val="26"/>
          <w:szCs w:val="26"/>
        </w:rPr>
        <w:t>), the benefit-cost ratio (BCR</w:t>
      </w:r>
      <w:r w:rsidRPr="007349B4">
        <w:rPr>
          <w:sz w:val="26"/>
          <w:szCs w:val="26"/>
          <w:vertAlign w:val="subscript"/>
        </w:rPr>
        <w:t>TRC</w:t>
      </w:r>
      <w:r w:rsidRPr="007349B4">
        <w:rPr>
          <w:sz w:val="26"/>
          <w:szCs w:val="26"/>
        </w:rPr>
        <w:t>), and the levelized costs are:</w:t>
      </w:r>
    </w:p>
    <w:p w:rsidR="00C877BD" w:rsidRPr="007349B4" w:rsidRDefault="00C877BD" w:rsidP="0037494A">
      <w:pPr>
        <w:tabs>
          <w:tab w:val="left" w:pos="1620"/>
        </w:tabs>
        <w:spacing w:line="360" w:lineRule="auto"/>
        <w:rPr>
          <w:sz w:val="26"/>
          <w:szCs w:val="26"/>
        </w:rPr>
      </w:pPr>
    </w:p>
    <w:tbl>
      <w:tblPr>
        <w:tblW w:w="0" w:type="auto"/>
        <w:tblLook w:val="04A0"/>
      </w:tblPr>
      <w:tblGrid>
        <w:gridCol w:w="1278"/>
        <w:gridCol w:w="540"/>
        <w:gridCol w:w="7758"/>
      </w:tblGrid>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NPV</w:t>
            </w:r>
            <w:r w:rsidRPr="007349B4">
              <w:rPr>
                <w:sz w:val="26"/>
                <w:szCs w:val="26"/>
                <w:vertAlign w:val="subscript"/>
              </w:rPr>
              <w:t>TRC</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7349B4" w:rsidRDefault="00C877BD" w:rsidP="0037494A">
            <w:pPr>
              <w:tabs>
                <w:tab w:val="left" w:pos="1620"/>
              </w:tabs>
              <w:rPr>
                <w:sz w:val="26"/>
                <w:szCs w:val="26"/>
              </w:rPr>
            </w:pPr>
            <w:r w:rsidRPr="007349B4">
              <w:rPr>
                <w:sz w:val="26"/>
                <w:szCs w:val="26"/>
              </w:rPr>
              <w:t>B</w:t>
            </w:r>
            <w:r w:rsidRPr="007349B4">
              <w:rPr>
                <w:sz w:val="26"/>
                <w:szCs w:val="26"/>
                <w:vertAlign w:val="subscript"/>
              </w:rPr>
              <w:t>TRC</w:t>
            </w:r>
            <w:r w:rsidRPr="007349B4">
              <w:rPr>
                <w:sz w:val="26"/>
                <w:szCs w:val="26"/>
              </w:rPr>
              <w:t xml:space="preserve"> – C</w:t>
            </w:r>
            <w:r w:rsidRPr="007349B4">
              <w:rPr>
                <w:sz w:val="26"/>
                <w:szCs w:val="26"/>
                <w:vertAlign w:val="subscript"/>
              </w:rPr>
              <w:t>TRC</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BCR</w:t>
            </w:r>
            <w:r w:rsidRPr="007349B4">
              <w:rPr>
                <w:sz w:val="26"/>
                <w:szCs w:val="26"/>
                <w:vertAlign w:val="subscript"/>
              </w:rPr>
              <w:t>TRC</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7349B4" w:rsidRDefault="00C877BD" w:rsidP="0037494A">
            <w:pPr>
              <w:tabs>
                <w:tab w:val="left" w:pos="1620"/>
              </w:tabs>
              <w:rPr>
                <w:sz w:val="26"/>
                <w:szCs w:val="26"/>
              </w:rPr>
            </w:pPr>
            <w:r w:rsidRPr="007349B4">
              <w:rPr>
                <w:sz w:val="26"/>
                <w:szCs w:val="26"/>
              </w:rPr>
              <w:t>B</w:t>
            </w:r>
            <w:r w:rsidRPr="007349B4">
              <w:rPr>
                <w:sz w:val="26"/>
                <w:szCs w:val="26"/>
                <w:vertAlign w:val="subscript"/>
              </w:rPr>
              <w:t>TRC</w:t>
            </w:r>
            <w:r w:rsidRPr="007349B4">
              <w:rPr>
                <w:sz w:val="26"/>
                <w:szCs w:val="26"/>
              </w:rPr>
              <w:t>/C</w:t>
            </w:r>
            <w:r w:rsidRPr="007349B4">
              <w:rPr>
                <w:sz w:val="26"/>
                <w:szCs w:val="26"/>
                <w:vertAlign w:val="subscript"/>
              </w:rPr>
              <w:t>TRC</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LC</w:t>
            </w:r>
            <w:r w:rsidRPr="007349B4">
              <w:rPr>
                <w:sz w:val="26"/>
                <w:szCs w:val="26"/>
                <w:vertAlign w:val="subscript"/>
              </w:rPr>
              <w:t>TRC</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7349B4" w:rsidRDefault="00C877BD" w:rsidP="0037494A">
            <w:pPr>
              <w:tabs>
                <w:tab w:val="left" w:pos="1620"/>
              </w:tabs>
              <w:rPr>
                <w:sz w:val="26"/>
                <w:szCs w:val="26"/>
              </w:rPr>
            </w:pPr>
            <w:r w:rsidRPr="007349B4">
              <w:rPr>
                <w:sz w:val="26"/>
                <w:szCs w:val="26"/>
              </w:rPr>
              <w:t>LCRC/IMP</w:t>
            </w:r>
          </w:p>
        </w:tc>
      </w:tr>
    </w:tbl>
    <w:p w:rsidR="00C877BD" w:rsidRPr="007349B4" w:rsidRDefault="00C877BD" w:rsidP="0037494A">
      <w:pPr>
        <w:tabs>
          <w:tab w:val="left" w:pos="1620"/>
        </w:tabs>
        <w:rPr>
          <w:sz w:val="26"/>
          <w:szCs w:val="26"/>
        </w:rPr>
      </w:pPr>
    </w:p>
    <w:p w:rsidR="00C877BD" w:rsidRPr="007349B4" w:rsidRDefault="00C877BD" w:rsidP="0037494A">
      <w:pPr>
        <w:tabs>
          <w:tab w:val="left" w:pos="1620"/>
        </w:tabs>
        <w:rPr>
          <w:sz w:val="26"/>
          <w:szCs w:val="26"/>
        </w:rPr>
      </w:pPr>
    </w:p>
    <w:p w:rsidR="00C877BD" w:rsidRPr="007349B4" w:rsidRDefault="00C877BD" w:rsidP="0037494A">
      <w:pPr>
        <w:tabs>
          <w:tab w:val="left" w:pos="1620"/>
        </w:tabs>
        <w:rPr>
          <w:sz w:val="26"/>
          <w:szCs w:val="26"/>
        </w:rPr>
      </w:pPr>
    </w:p>
    <w:p w:rsidR="00C877BD" w:rsidRPr="007349B4" w:rsidRDefault="00C877BD" w:rsidP="0037494A">
      <w:pPr>
        <w:tabs>
          <w:tab w:val="left" w:pos="1620"/>
        </w:tabs>
        <w:rPr>
          <w:sz w:val="26"/>
          <w:szCs w:val="26"/>
        </w:rPr>
      </w:pPr>
    </w:p>
    <w:p w:rsidR="00C877BD" w:rsidRPr="007349B4" w:rsidRDefault="00C877BD" w:rsidP="0037494A">
      <w:pPr>
        <w:tabs>
          <w:tab w:val="left" w:pos="1620"/>
        </w:tabs>
        <w:spacing w:line="360" w:lineRule="auto"/>
        <w:rPr>
          <w:sz w:val="26"/>
          <w:szCs w:val="26"/>
        </w:rPr>
      </w:pPr>
      <w:r w:rsidRPr="007349B4">
        <w:rPr>
          <w:sz w:val="26"/>
          <w:szCs w:val="26"/>
        </w:rPr>
        <w:t>The B</w:t>
      </w:r>
      <w:r w:rsidRPr="007349B4">
        <w:rPr>
          <w:sz w:val="26"/>
          <w:szCs w:val="26"/>
          <w:vertAlign w:val="subscript"/>
        </w:rPr>
        <w:t>TRC</w:t>
      </w:r>
      <w:r w:rsidRPr="007349B4">
        <w:rPr>
          <w:sz w:val="26"/>
          <w:szCs w:val="26"/>
        </w:rPr>
        <w:t>, C</w:t>
      </w:r>
      <w:r w:rsidRPr="007349B4">
        <w:rPr>
          <w:sz w:val="26"/>
          <w:szCs w:val="26"/>
          <w:vertAlign w:val="subscript"/>
        </w:rPr>
        <w:t>TRC</w:t>
      </w:r>
      <w:r w:rsidRPr="007349B4">
        <w:rPr>
          <w:sz w:val="26"/>
          <w:szCs w:val="26"/>
        </w:rPr>
        <w:t xml:space="preserve">, LCRC, and IMP terms are defined as follows.  The first summation in the BTRC equation should be used for conservation and load management programs.  For fuel substitution programs, both the first and second summations should be used.  </w:t>
      </w:r>
    </w:p>
    <w:p w:rsidR="00C877BD" w:rsidRPr="007349B4" w:rsidRDefault="00C877BD" w:rsidP="0037494A">
      <w:pPr>
        <w:tabs>
          <w:tab w:val="left" w:pos="1620"/>
        </w:tabs>
        <w:spacing w:line="360" w:lineRule="auto"/>
        <w:rPr>
          <w:sz w:val="26"/>
          <w:szCs w:val="26"/>
        </w:rPr>
      </w:pPr>
    </w:p>
    <w:p w:rsidR="00C877BD" w:rsidRPr="007349B4" w:rsidRDefault="00112F81" w:rsidP="0037494A">
      <w:pPr>
        <w:tabs>
          <w:tab w:val="left" w:pos="1620"/>
        </w:tabs>
        <w:rPr>
          <w:sz w:val="26"/>
          <w:szCs w:val="26"/>
        </w:rPr>
      </w:pPr>
      <m:oMathPara>
        <m:oMath>
          <m:sSub>
            <m:sSubPr>
              <m:ctrlPr>
                <w:rPr>
                  <w:rFonts w:ascii="Cambria Math" w:hAnsi="Cambria Math"/>
                  <w:i/>
                </w:rPr>
              </m:ctrlPr>
            </m:sSubPr>
            <m:e>
              <m:r>
                <w:rPr>
                  <w:rFonts w:ascii="Cambria Math" w:hAnsi="Cambria Math"/>
                </w:rPr>
                <m:t>B</m:t>
              </m:r>
            </m:e>
            <m:sub>
              <m:r>
                <w:rPr>
                  <w:rFonts w:ascii="Cambria Math" w:hAnsi="Cambria Math"/>
                </w:rPr>
                <m:t>TRC</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UAC</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TC</m:t>
                      </m:r>
                    </m:e>
                    <m:sub>
                      <m:r>
                        <w:rPr>
                          <w:rFonts w:ascii="Cambria Math" w:hAnsi="Cambria Math"/>
                        </w:rPr>
                        <m:t>t</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1+d</m:t>
                          </m:r>
                        </m:e>
                      </m:d>
                    </m:e>
                    <m:sup>
                      <m:r>
                        <w:rPr>
                          <w:rFonts w:ascii="Cambria Math" w:hAnsi="Cambria Math"/>
                        </w:rPr>
                        <m:t>t-1</m:t>
                      </m:r>
                    </m:sup>
                  </m:sSup>
                </m:den>
              </m:f>
            </m:e>
          </m:nary>
          <m:r>
            <w:rPr>
              <w:rFonts w:ascii="Cambria Math" w:hAnsi="Cambria Math"/>
            </w:rPr>
            <m:t xml:space="preserve">+ </m:t>
          </m:r>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UAC</m:t>
                      </m:r>
                    </m:e>
                    <m:sub>
                      <m:r>
                        <w:rPr>
                          <w:rFonts w:ascii="Cambria Math" w:hAnsi="Cambria Math"/>
                        </w:rPr>
                        <m:t>at</m:t>
                      </m:r>
                    </m:sub>
                  </m:sSub>
                  <m:r>
                    <w:rPr>
                      <w:rFonts w:ascii="Cambria Math" w:hAnsi="Cambria Math"/>
                    </w:rPr>
                    <m:t xml:space="preserve">+ </m:t>
                  </m:r>
                  <m:sSub>
                    <m:sSubPr>
                      <m:ctrlPr>
                        <w:rPr>
                          <w:rFonts w:ascii="Cambria Math" w:hAnsi="Cambria Math"/>
                          <w:i/>
                        </w:rPr>
                      </m:ctrlPr>
                    </m:sSubPr>
                    <m:e>
                      <m:r>
                        <w:rPr>
                          <w:rFonts w:ascii="Cambria Math" w:hAnsi="Cambria Math"/>
                        </w:rPr>
                        <m:t>PAC</m:t>
                      </m:r>
                    </m:e>
                    <m:sub>
                      <m:r>
                        <w:rPr>
                          <w:rFonts w:ascii="Cambria Math" w:hAnsi="Cambria Math"/>
                        </w:rPr>
                        <m:t>at</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1+d</m:t>
                          </m:r>
                        </m:e>
                      </m:d>
                    </m:e>
                    <m:sup>
                      <m:r>
                        <w:rPr>
                          <w:rFonts w:ascii="Cambria Math" w:hAnsi="Cambria Math"/>
                        </w:rPr>
                        <m:t>t-1</m:t>
                      </m:r>
                    </m:sup>
                  </m:sSup>
                </m:den>
              </m:f>
            </m:e>
          </m:nary>
        </m:oMath>
      </m:oMathPara>
    </w:p>
    <w:p w:rsidR="00C877BD" w:rsidRPr="007349B4" w:rsidRDefault="00C877BD" w:rsidP="0037494A">
      <w:pPr>
        <w:tabs>
          <w:tab w:val="left" w:pos="1620"/>
        </w:tabs>
        <w:rPr>
          <w:sz w:val="26"/>
          <w:szCs w:val="26"/>
        </w:rPr>
      </w:pPr>
    </w:p>
    <w:p w:rsidR="00C877BD" w:rsidRPr="007349B4" w:rsidRDefault="00774975" w:rsidP="0037494A">
      <w:pPr>
        <w:tabs>
          <w:tab w:val="left" w:pos="1620"/>
        </w:tabs>
        <w:rPr>
          <w:sz w:val="26"/>
          <w:szCs w:val="26"/>
        </w:rPr>
      </w:pPr>
      <m:oMathPara>
        <m:oMath>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 xml:space="preserve">TRC </m:t>
              </m:r>
            </m:sub>
          </m:sSub>
          <m:r>
            <w:rPr>
              <w:rFonts w:ascii="Cambria Math" w:hAnsi="Cambria Math"/>
            </w:rPr>
            <m:t xml:space="preserve"> = </m:t>
          </m:r>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PRC</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PCN</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UIC</m:t>
                      </m:r>
                    </m:e>
                    <m:sub>
                      <m:r>
                        <w:rPr>
                          <w:rFonts w:ascii="Cambria Math" w:hAnsi="Cambria Math"/>
                        </w:rPr>
                        <m:t>t</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1+d</m:t>
                          </m:r>
                        </m:e>
                      </m:d>
                    </m:e>
                    <m:sup>
                      <m:r>
                        <w:rPr>
                          <w:rFonts w:ascii="Cambria Math" w:hAnsi="Cambria Math"/>
                        </w:rPr>
                        <m:t>t-1</m:t>
                      </m:r>
                    </m:sup>
                  </m:sSup>
                </m:den>
              </m:f>
            </m:e>
          </m:nary>
          <m:r>
            <w:rPr>
              <w:rFonts w:ascii="Cambria Math" w:hAnsi="Cambria Math"/>
            </w:rPr>
            <m:t xml:space="preserve"> </m:t>
          </m:r>
        </m:oMath>
      </m:oMathPara>
    </w:p>
    <w:p w:rsidR="00C877BD" w:rsidRPr="007349B4" w:rsidRDefault="00C877BD" w:rsidP="0037494A">
      <w:pPr>
        <w:tabs>
          <w:tab w:val="left" w:pos="1620"/>
        </w:tabs>
        <w:rPr>
          <w:sz w:val="26"/>
          <w:szCs w:val="26"/>
        </w:rPr>
      </w:pPr>
    </w:p>
    <w:p w:rsidR="00C877BD" w:rsidRPr="007349B4" w:rsidRDefault="00774975" w:rsidP="0037494A">
      <w:pPr>
        <w:tabs>
          <w:tab w:val="left" w:pos="1620"/>
        </w:tabs>
        <w:rPr>
          <w:sz w:val="26"/>
          <w:szCs w:val="26"/>
        </w:rPr>
      </w:pPr>
      <m:oMathPara>
        <m:oMath>
          <m:r>
            <w:rPr>
              <w:rFonts w:ascii="Cambria Math" w:hAnsi="Cambria Math"/>
            </w:rPr>
            <m:t xml:space="preserve">LCRC= </m:t>
          </m:r>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PRC</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PCN</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TC</m:t>
                      </m:r>
                    </m:e>
                    <m:sub>
                      <m:r>
                        <w:rPr>
                          <w:rFonts w:ascii="Cambria Math" w:hAnsi="Cambria Math"/>
                        </w:rPr>
                        <m:t>t</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1+d</m:t>
                          </m:r>
                        </m:e>
                      </m:d>
                    </m:e>
                    <m:sup>
                      <m:r>
                        <w:rPr>
                          <w:rFonts w:ascii="Cambria Math" w:hAnsi="Cambria Math"/>
                        </w:rPr>
                        <m:t>t-1</m:t>
                      </m:r>
                    </m:sup>
                  </m:sSup>
                </m:den>
              </m:f>
            </m:e>
          </m:nary>
        </m:oMath>
      </m:oMathPara>
    </w:p>
    <w:p w:rsidR="00C877BD" w:rsidRPr="007349B4" w:rsidRDefault="00C877BD" w:rsidP="0037494A">
      <w:pPr>
        <w:tabs>
          <w:tab w:val="left" w:pos="1620"/>
        </w:tabs>
        <w:rPr>
          <w:sz w:val="26"/>
          <w:szCs w:val="26"/>
        </w:rPr>
      </w:pPr>
    </w:p>
    <w:p w:rsidR="00C877BD" w:rsidRPr="007349B4" w:rsidRDefault="00774975" w:rsidP="0037494A">
      <w:pPr>
        <w:tabs>
          <w:tab w:val="left" w:pos="1620"/>
        </w:tabs>
        <w:rPr>
          <w:sz w:val="26"/>
          <w:szCs w:val="26"/>
        </w:rPr>
      </w:pPr>
      <m:oMathPara>
        <m:oMath>
          <m:r>
            <w:rPr>
              <w:rFonts w:ascii="Cambria Math" w:hAnsi="Cambria Math"/>
              <w:sz w:val="28"/>
            </w:rPr>
            <m:t xml:space="preserve">IMP= </m:t>
          </m:r>
          <m:f>
            <m:fPr>
              <m:ctrlPr>
                <w:rPr>
                  <w:rFonts w:ascii="Cambria Math" w:hAnsi="Cambria Math"/>
                  <w:i/>
                  <w:sz w:val="28"/>
                </w:rPr>
              </m:ctrlPr>
            </m:fPr>
            <m:num>
              <m:nary>
                <m:naryPr>
                  <m:chr m:val="∑"/>
                  <m:limLoc m:val="undOvr"/>
                  <m:ctrlPr>
                    <w:rPr>
                      <w:rFonts w:ascii="Cambria Math" w:hAnsi="Cambria Math"/>
                      <w:i/>
                      <w:sz w:val="28"/>
                    </w:rPr>
                  </m:ctrlPr>
                </m:naryPr>
                <m:sub>
                  <m:r>
                    <w:rPr>
                      <w:rFonts w:ascii="Cambria Math" w:hAnsi="Cambria Math"/>
                      <w:sz w:val="28"/>
                    </w:rPr>
                    <m:t>t=1</m:t>
                  </m:r>
                </m:sub>
                <m:sup>
                  <m:r>
                    <w:rPr>
                      <w:rFonts w:ascii="Cambria Math" w:hAnsi="Cambria Math"/>
                      <w:sz w:val="28"/>
                    </w:rPr>
                    <m:t>n</m:t>
                  </m:r>
                </m:sup>
                <m:e>
                  <m:d>
                    <m:dPr>
                      <m:begChr m:val="["/>
                      <m:endChr m:val="]"/>
                      <m:ctrlPr>
                        <w:rPr>
                          <w:rFonts w:ascii="Cambria Math" w:hAnsi="Cambria Math"/>
                          <w:i/>
                          <w:sz w:val="28"/>
                        </w:rPr>
                      </m:ctrlPr>
                    </m:dPr>
                    <m:e>
                      <m:d>
                        <m:dPr>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i=1</m:t>
                              </m:r>
                            </m:sub>
                            <m:sup>
                              <m:r>
                                <w:rPr>
                                  <w:rFonts w:ascii="Cambria Math" w:hAnsi="Cambria Math"/>
                                  <w:sz w:val="28"/>
                                </w:rPr>
                                <m:t>n</m:t>
                              </m:r>
                            </m:sup>
                            <m:e>
                              <m:r>
                                <w:rPr>
                                  <w:rFonts w:ascii="Cambria Math" w:hAnsi="Cambria Math"/>
                                  <w:sz w:val="28"/>
                                </w:rPr>
                                <m:t>∆</m:t>
                              </m:r>
                              <m:sSub>
                                <m:sSubPr>
                                  <m:ctrlPr>
                                    <w:rPr>
                                      <w:rFonts w:ascii="Cambria Math" w:hAnsi="Cambria Math"/>
                                      <w:i/>
                                      <w:sz w:val="28"/>
                                    </w:rPr>
                                  </m:ctrlPr>
                                </m:sSubPr>
                                <m:e>
                                  <m:r>
                                    <w:rPr>
                                      <w:rFonts w:ascii="Cambria Math" w:hAnsi="Cambria Math"/>
                                      <w:sz w:val="28"/>
                                    </w:rPr>
                                    <m:t>EN</m:t>
                                  </m:r>
                                </m:e>
                                <m:sub>
                                  <m:r>
                                    <w:rPr>
                                      <w:rFonts w:ascii="Cambria Math" w:hAnsi="Cambria Math"/>
                                      <w:sz w:val="28"/>
                                    </w:rPr>
                                    <m:t>it</m:t>
                                  </m:r>
                                </m:sub>
                              </m:sSub>
                            </m:e>
                          </m:nary>
                        </m:e>
                      </m:d>
                      <m:r>
                        <w:rPr>
                          <w:rFonts w:ascii="Cambria Math" w:hAnsi="Cambria Math"/>
                          <w:sz w:val="28"/>
                        </w:rPr>
                        <m:t xml:space="preserve"> or (∆</m:t>
                      </m:r>
                      <m:sSub>
                        <m:sSubPr>
                          <m:ctrlPr>
                            <w:rPr>
                              <w:rFonts w:ascii="Cambria Math" w:hAnsi="Cambria Math"/>
                              <w:i/>
                              <w:sz w:val="28"/>
                            </w:rPr>
                          </m:ctrlPr>
                        </m:sSubPr>
                        <m:e>
                          <m:r>
                            <w:rPr>
                              <w:rFonts w:ascii="Cambria Math" w:hAnsi="Cambria Math"/>
                              <w:sz w:val="28"/>
                            </w:rPr>
                            <m:t>DN</m:t>
                          </m:r>
                        </m:e>
                        <m:sub>
                          <m:r>
                            <w:rPr>
                              <w:rFonts w:ascii="Cambria Math" w:hAnsi="Cambria Math"/>
                              <w:sz w:val="28"/>
                            </w:rPr>
                            <m:t>it</m:t>
                          </m:r>
                        </m:sub>
                      </m:sSub>
                      <m:r>
                        <w:rPr>
                          <w:rFonts w:ascii="Cambria Math" w:hAnsi="Cambria Math"/>
                          <w:sz w:val="28"/>
                        </w:rPr>
                        <m:t xml:space="preserve"> where I=peak period) </m:t>
                      </m:r>
                    </m:e>
                  </m:d>
                </m:e>
              </m:nary>
            </m:num>
            <m:den>
              <m:sSup>
                <m:sSupPr>
                  <m:ctrlPr>
                    <w:rPr>
                      <w:rFonts w:ascii="Cambria Math" w:hAnsi="Cambria Math"/>
                      <w:i/>
                      <w:sz w:val="28"/>
                    </w:rPr>
                  </m:ctrlPr>
                </m:sSupPr>
                <m:e>
                  <m:d>
                    <m:dPr>
                      <m:ctrlPr>
                        <w:rPr>
                          <w:rFonts w:ascii="Cambria Math" w:hAnsi="Cambria Math"/>
                          <w:i/>
                          <w:sz w:val="28"/>
                        </w:rPr>
                      </m:ctrlPr>
                    </m:dPr>
                    <m:e>
                      <m:r>
                        <w:rPr>
                          <w:rFonts w:ascii="Cambria Math" w:hAnsi="Cambria Math"/>
                          <w:sz w:val="28"/>
                        </w:rPr>
                        <m:t>1+d</m:t>
                      </m:r>
                    </m:e>
                  </m:d>
                </m:e>
                <m:sup>
                  <m:r>
                    <w:rPr>
                      <w:rFonts w:ascii="Cambria Math" w:hAnsi="Cambria Math"/>
                      <w:sz w:val="28"/>
                    </w:rPr>
                    <m:t>t-1</m:t>
                  </m:r>
                </m:sup>
              </m:sSup>
            </m:den>
          </m:f>
        </m:oMath>
      </m:oMathPara>
    </w:p>
    <w:p w:rsidR="00C877BD" w:rsidRPr="007349B4" w:rsidRDefault="00C877BD" w:rsidP="0037494A">
      <w:pPr>
        <w:tabs>
          <w:tab w:val="left" w:pos="1620"/>
        </w:tabs>
        <w:rPr>
          <w:sz w:val="26"/>
          <w:szCs w:val="26"/>
        </w:rPr>
      </w:pPr>
    </w:p>
    <w:p w:rsidR="00C877BD" w:rsidRPr="008650E4" w:rsidRDefault="00C877BD" w:rsidP="0037494A">
      <w:pPr>
        <w:pStyle w:val="Heading4"/>
        <w:keepNext w:val="0"/>
        <w:spacing w:before="0" w:after="0" w:line="360" w:lineRule="auto"/>
        <w:ind w:firstLine="720"/>
        <w:rPr>
          <w:rFonts w:ascii="Times New Roman" w:hAnsi="Times New Roman"/>
          <w:b w:val="0"/>
          <w:sz w:val="26"/>
          <w:szCs w:val="26"/>
        </w:rPr>
      </w:pPr>
      <w:r w:rsidRPr="007349B4">
        <w:rPr>
          <w:sz w:val="26"/>
          <w:szCs w:val="26"/>
        </w:rPr>
        <w:br w:type="page"/>
      </w:r>
    </w:p>
    <w:p w:rsidR="00C04FA0" w:rsidRDefault="00C04FA0" w:rsidP="0037494A">
      <w:pPr>
        <w:pStyle w:val="Heading4"/>
        <w:keepNext w:val="0"/>
        <w:spacing w:before="0" w:after="0" w:line="360" w:lineRule="auto"/>
        <w:ind w:firstLine="720"/>
        <w:rPr>
          <w:rFonts w:ascii="Times New Roman" w:hAnsi="Times New Roman"/>
          <w:b w:val="0"/>
          <w:sz w:val="26"/>
          <w:szCs w:val="26"/>
        </w:rPr>
      </w:pPr>
    </w:p>
    <w:p w:rsidR="00C04FA0" w:rsidRDefault="00C04FA0" w:rsidP="0037494A">
      <w:pPr>
        <w:pStyle w:val="Heading4"/>
        <w:keepNext w:val="0"/>
        <w:spacing w:before="0" w:after="0" w:line="360" w:lineRule="auto"/>
        <w:ind w:firstLine="720"/>
        <w:rPr>
          <w:rFonts w:ascii="Times New Roman" w:hAnsi="Times New Roman"/>
          <w:b w:val="0"/>
          <w:sz w:val="26"/>
          <w:szCs w:val="26"/>
        </w:rPr>
      </w:pPr>
    </w:p>
    <w:p w:rsidR="00C877BD" w:rsidRPr="00C04FA0" w:rsidRDefault="00C877BD" w:rsidP="0037494A">
      <w:pPr>
        <w:pStyle w:val="Heading4"/>
        <w:keepNext w:val="0"/>
        <w:spacing w:before="0" w:after="0" w:line="360" w:lineRule="auto"/>
        <w:ind w:firstLine="720"/>
        <w:rPr>
          <w:rFonts w:ascii="Times New Roman" w:hAnsi="Times New Roman"/>
          <w:b w:val="0"/>
          <w:sz w:val="26"/>
          <w:szCs w:val="26"/>
        </w:rPr>
      </w:pPr>
      <w:r w:rsidRPr="00C04FA0">
        <w:rPr>
          <w:rFonts w:ascii="Times New Roman" w:hAnsi="Times New Roman"/>
          <w:b w:val="0"/>
          <w:sz w:val="26"/>
          <w:szCs w:val="26"/>
        </w:rPr>
        <w:t>The utility avoided cost terms (</w:t>
      </w:r>
      <w:r w:rsidR="00002D02" w:rsidRPr="00C04FA0">
        <w:rPr>
          <w:rFonts w:ascii="Times New Roman" w:hAnsi="Times New Roman"/>
          <w:b w:val="0"/>
          <w:sz w:val="26"/>
          <w:szCs w:val="26"/>
        </w:rPr>
        <w:t>UAC</w:t>
      </w:r>
      <w:r w:rsidR="00002D02" w:rsidRPr="00C04FA0">
        <w:rPr>
          <w:rFonts w:ascii="Times New Roman" w:hAnsi="Times New Roman"/>
          <w:b w:val="0"/>
          <w:sz w:val="26"/>
          <w:szCs w:val="26"/>
          <w:vertAlign w:val="subscript"/>
        </w:rPr>
        <w:t>t</w:t>
      </w:r>
      <w:r w:rsidR="00002D02">
        <w:rPr>
          <w:rFonts w:ascii="Times New Roman" w:hAnsi="Times New Roman"/>
          <w:b w:val="0"/>
          <w:sz w:val="26"/>
          <w:szCs w:val="26"/>
        </w:rPr>
        <w:t>,</w:t>
      </w:r>
      <w:r w:rsidRPr="00C04FA0">
        <w:rPr>
          <w:rFonts w:ascii="Times New Roman" w:hAnsi="Times New Roman"/>
          <w:b w:val="0"/>
          <w:sz w:val="26"/>
          <w:szCs w:val="26"/>
        </w:rPr>
        <w:t xml:space="preserve"> UIC</w:t>
      </w:r>
      <w:r w:rsidRPr="00C04FA0">
        <w:rPr>
          <w:rFonts w:ascii="Times New Roman" w:hAnsi="Times New Roman"/>
          <w:b w:val="0"/>
          <w:sz w:val="26"/>
          <w:szCs w:val="26"/>
          <w:vertAlign w:val="subscript"/>
        </w:rPr>
        <w:t>t</w:t>
      </w:r>
      <w:r w:rsidRPr="00C04FA0">
        <w:rPr>
          <w:rFonts w:ascii="Times New Roman" w:hAnsi="Times New Roman"/>
          <w:b w:val="0"/>
          <w:sz w:val="26"/>
          <w:szCs w:val="26"/>
        </w:rPr>
        <w:t>, ,and UAC</w:t>
      </w:r>
      <w:r w:rsidRPr="00C04FA0">
        <w:rPr>
          <w:rFonts w:ascii="Times New Roman" w:hAnsi="Times New Roman"/>
          <w:b w:val="0"/>
          <w:sz w:val="26"/>
          <w:szCs w:val="26"/>
          <w:vertAlign w:val="subscript"/>
        </w:rPr>
        <w:t>at</w:t>
      </w:r>
      <w:r w:rsidRPr="00C04FA0">
        <w:rPr>
          <w:rFonts w:ascii="Times New Roman" w:hAnsi="Times New Roman"/>
          <w:b w:val="0"/>
          <w:sz w:val="26"/>
          <w:szCs w:val="26"/>
        </w:rPr>
        <w:t>) are determined by costing period to reflect time-variant costs of supply:</w:t>
      </w:r>
    </w:p>
    <w:p w:rsidR="00C877BD" w:rsidRPr="00C04FA0" w:rsidRDefault="00C877BD" w:rsidP="0037494A">
      <w:pPr>
        <w:tabs>
          <w:tab w:val="left" w:pos="1620"/>
        </w:tabs>
        <w:rPr>
          <w:sz w:val="26"/>
          <w:szCs w:val="26"/>
        </w:rPr>
      </w:pPr>
    </w:p>
    <w:p w:rsidR="003A4DFB" w:rsidRDefault="003A4DFB" w:rsidP="0037494A">
      <w:pPr>
        <w:tabs>
          <w:tab w:val="left" w:pos="1620"/>
        </w:tabs>
        <w:rPr>
          <w:sz w:val="26"/>
          <w:szCs w:val="26"/>
        </w:rPr>
      </w:pPr>
    </w:p>
    <w:p w:rsidR="00C04FA0" w:rsidRPr="00C04FA0" w:rsidRDefault="00C04FA0" w:rsidP="0037494A">
      <w:pPr>
        <w:tabs>
          <w:tab w:val="left" w:pos="1620"/>
        </w:tabs>
        <w:rPr>
          <w:sz w:val="26"/>
          <w:szCs w:val="26"/>
        </w:rPr>
      </w:pPr>
    </w:p>
    <w:p w:rsidR="003A4DFB" w:rsidRPr="00C04FA0" w:rsidRDefault="00112F81" w:rsidP="0037494A">
      <w:pPr>
        <w:tabs>
          <w:tab w:val="left" w:pos="1620"/>
        </w:tabs>
        <w:rPr>
          <w:sz w:val="26"/>
          <w:szCs w:val="26"/>
        </w:rPr>
      </w:pPr>
      <m:oMathPara>
        <m:oMath>
          <m:sSub>
            <m:sSubPr>
              <m:ctrlPr>
                <w:rPr>
                  <w:rFonts w:ascii="Cambria Math" w:hAnsi="Cambria Math"/>
                  <w:i/>
                </w:rPr>
              </m:ctrlPr>
            </m:sSubPr>
            <m:e>
              <m:r>
                <w:rPr>
                  <w:rFonts w:ascii="Cambria Math" w:hAnsi="Cambria Math"/>
                </w:rPr>
                <m:t>UAC</m:t>
              </m:r>
            </m:e>
            <m:sub>
              <m:r>
                <w:rPr>
                  <w:rFonts w:ascii="Cambria Math" w:hAnsi="Cambria Math"/>
                </w:rPr>
                <m:t>t</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d>
                <m:dPr>
                  <m:ctrlPr>
                    <w:rPr>
                      <w:rFonts w:ascii="Cambria Math" w:hAnsi="Cambria Math"/>
                      <w:i/>
                    </w:rPr>
                  </m:ctrlPr>
                </m:dPr>
                <m:e>
                  <m:sSub>
                    <m:sSubPr>
                      <m:ctrlPr>
                        <w:rPr>
                          <w:rFonts w:ascii="Cambria Math" w:hAnsi="Cambria Math"/>
                          <w:i/>
                        </w:rPr>
                      </m:ctrlPr>
                    </m:sSubPr>
                    <m:e>
                      <m:r>
                        <w:rPr>
                          <w:rFonts w:ascii="Cambria Math" w:hAnsi="Cambria Math"/>
                        </w:rPr>
                        <m:t>∆EN</m:t>
                      </m:r>
                    </m:e>
                    <m:sub>
                      <m:r>
                        <w:rPr>
                          <w:rFonts w:ascii="Cambria Math" w:hAnsi="Cambria Math"/>
                        </w:rPr>
                        <m:t>it</m:t>
                      </m:r>
                    </m:sub>
                  </m:sSub>
                  <m:r>
                    <w:rPr>
                      <w:rFonts w:ascii="Cambria Math" w:hAnsi="Cambria Math"/>
                    </w:rPr>
                    <m:t xml:space="preserve"> × </m:t>
                  </m:r>
                  <m:sSub>
                    <m:sSubPr>
                      <m:ctrlPr>
                        <w:rPr>
                          <w:rFonts w:ascii="Cambria Math" w:hAnsi="Cambria Math"/>
                          <w:i/>
                        </w:rPr>
                      </m:ctrlPr>
                    </m:sSubPr>
                    <m:e>
                      <m:r>
                        <w:rPr>
                          <w:rFonts w:ascii="Cambria Math" w:hAnsi="Cambria Math"/>
                        </w:rPr>
                        <m:t>MC:E</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it</m:t>
                      </m:r>
                    </m:sub>
                  </m:sSub>
                </m:e>
              </m:d>
            </m:e>
          </m:nary>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d>
                <m:dPr>
                  <m:ctrlPr>
                    <w:rPr>
                      <w:rFonts w:ascii="Cambria Math" w:hAnsi="Cambria Math"/>
                      <w:i/>
                    </w:rPr>
                  </m:ctrlPr>
                </m:dPr>
                <m:e>
                  <m:sSub>
                    <m:sSubPr>
                      <m:ctrlPr>
                        <w:rPr>
                          <w:rFonts w:ascii="Cambria Math" w:hAnsi="Cambria Math"/>
                          <w:i/>
                        </w:rPr>
                      </m:ctrlPr>
                    </m:sSubPr>
                    <m:e>
                      <m:r>
                        <w:rPr>
                          <w:rFonts w:ascii="Cambria Math" w:hAnsi="Cambria Math"/>
                        </w:rPr>
                        <m:t>∆DN</m:t>
                      </m:r>
                    </m:e>
                    <m:sub>
                      <m:r>
                        <w:rPr>
                          <w:rFonts w:ascii="Cambria Math" w:hAnsi="Cambria Math"/>
                        </w:rPr>
                        <m:t>it</m:t>
                      </m:r>
                    </m:sub>
                  </m:sSub>
                  <m:r>
                    <w:rPr>
                      <w:rFonts w:ascii="Cambria Math" w:hAnsi="Cambria Math"/>
                    </w:rPr>
                    <m:t xml:space="preserve"> × </m:t>
                  </m:r>
                  <m:sSub>
                    <m:sSubPr>
                      <m:ctrlPr>
                        <w:rPr>
                          <w:rFonts w:ascii="Cambria Math" w:hAnsi="Cambria Math"/>
                          <w:i/>
                        </w:rPr>
                      </m:ctrlPr>
                    </m:sSubPr>
                    <m:e>
                      <m:r>
                        <w:rPr>
                          <w:rFonts w:ascii="Cambria Math" w:hAnsi="Cambria Math"/>
                        </w:rPr>
                        <m:t>MC:D</m:t>
                      </m:r>
                    </m:e>
                    <m:sub>
                      <m:r>
                        <w:rPr>
                          <w:rFonts w:ascii="Cambria Math" w:hAnsi="Cambria Math"/>
                        </w:rPr>
                        <m:t>it</m:t>
                      </m:r>
                    </m:sub>
                  </m:sSub>
                  <m:r>
                    <w:rPr>
                      <w:rFonts w:ascii="Cambria Math" w:hAnsi="Cambria Math"/>
                    </w:rPr>
                    <m:t xml:space="preserve"> × </m:t>
                  </m:r>
                  <m:sSub>
                    <m:sSubPr>
                      <m:ctrlPr>
                        <w:rPr>
                          <w:rFonts w:ascii="Cambria Math" w:hAnsi="Cambria Math"/>
                          <w:i/>
                        </w:rPr>
                      </m:ctrlPr>
                    </m:sSubPr>
                    <m:e>
                      <m:r>
                        <w:rPr>
                          <w:rFonts w:ascii="Cambria Math" w:hAnsi="Cambria Math"/>
                        </w:rPr>
                        <m:t>K</m:t>
                      </m:r>
                    </m:e>
                    <m:sub>
                      <m:r>
                        <w:rPr>
                          <w:rFonts w:ascii="Cambria Math" w:hAnsi="Cambria Math"/>
                        </w:rPr>
                        <m:t>it</m:t>
                      </m:r>
                    </m:sub>
                  </m:sSub>
                </m:e>
              </m:d>
            </m:e>
          </m:nary>
        </m:oMath>
      </m:oMathPara>
    </w:p>
    <w:p w:rsidR="003A4DFB" w:rsidRPr="00C04FA0" w:rsidRDefault="003A4DFB" w:rsidP="0037494A">
      <w:pPr>
        <w:tabs>
          <w:tab w:val="left" w:pos="1620"/>
        </w:tabs>
        <w:rPr>
          <w:sz w:val="26"/>
          <w:szCs w:val="26"/>
        </w:rPr>
      </w:pPr>
    </w:p>
    <w:p w:rsidR="00C877BD" w:rsidRDefault="00C877BD" w:rsidP="00C04FA0"/>
    <w:p w:rsidR="00C04FA0" w:rsidRPr="00C04FA0" w:rsidRDefault="00C04FA0" w:rsidP="00C04FA0"/>
    <w:tbl>
      <w:tblPr>
        <w:tblW w:w="0" w:type="auto"/>
        <w:tblInd w:w="918" w:type="dxa"/>
        <w:tblLook w:val="04A0"/>
      </w:tblPr>
      <w:tblGrid>
        <w:gridCol w:w="869"/>
        <w:gridCol w:w="363"/>
        <w:gridCol w:w="7426"/>
      </w:tblGrid>
      <w:tr w:rsidR="00C877BD" w:rsidRPr="007349B4" w:rsidTr="00C877BD">
        <w:tc>
          <w:tcPr>
            <w:tcW w:w="720" w:type="dxa"/>
          </w:tcPr>
          <w:p w:rsidR="00C877BD" w:rsidRPr="00C04FA0" w:rsidRDefault="00C877BD" w:rsidP="0037494A">
            <w:pPr>
              <w:tabs>
                <w:tab w:val="left" w:pos="1620"/>
              </w:tabs>
              <w:rPr>
                <w:i/>
                <w:sz w:val="26"/>
                <w:szCs w:val="26"/>
              </w:rPr>
            </w:pPr>
            <w:r w:rsidRPr="00C04FA0">
              <w:rPr>
                <w:i/>
                <w:sz w:val="26"/>
                <w:szCs w:val="26"/>
              </w:rPr>
              <w:t>UAC</w:t>
            </w:r>
            <w:r w:rsidRPr="00C04FA0">
              <w:rPr>
                <w:i/>
                <w:sz w:val="26"/>
                <w:szCs w:val="26"/>
                <w:vertAlign w:val="subscript"/>
              </w:rPr>
              <w:t>at</w:t>
            </w:r>
          </w:p>
        </w:tc>
        <w:tc>
          <w:tcPr>
            <w:tcW w:w="360" w:type="dxa"/>
          </w:tcPr>
          <w:p w:rsidR="00C877BD" w:rsidRPr="00C04FA0" w:rsidRDefault="00C877BD" w:rsidP="0037494A">
            <w:pPr>
              <w:tabs>
                <w:tab w:val="left" w:pos="1620"/>
              </w:tabs>
              <w:rPr>
                <w:sz w:val="26"/>
                <w:szCs w:val="26"/>
              </w:rPr>
            </w:pPr>
            <w:r w:rsidRPr="00C04FA0">
              <w:rPr>
                <w:sz w:val="26"/>
                <w:szCs w:val="26"/>
              </w:rPr>
              <w:t>=</w:t>
            </w:r>
          </w:p>
        </w:tc>
        <w:tc>
          <w:tcPr>
            <w:tcW w:w="7578" w:type="dxa"/>
          </w:tcPr>
          <w:p w:rsidR="00C877BD" w:rsidRPr="007349B4" w:rsidRDefault="00C877BD" w:rsidP="00C04FA0">
            <w:pPr>
              <w:tabs>
                <w:tab w:val="left" w:pos="1620"/>
              </w:tabs>
              <w:rPr>
                <w:sz w:val="26"/>
                <w:szCs w:val="26"/>
              </w:rPr>
            </w:pPr>
            <w:r w:rsidRPr="00C04FA0">
              <w:rPr>
                <w:sz w:val="26"/>
                <w:szCs w:val="26"/>
              </w:rPr>
              <w:t xml:space="preserve">Use </w:t>
            </w:r>
            <w:r w:rsidRPr="00C04FA0">
              <w:rPr>
                <w:i/>
                <w:sz w:val="26"/>
                <w:szCs w:val="26"/>
              </w:rPr>
              <w:t>UAC</w:t>
            </w:r>
            <w:r w:rsidRPr="00C04FA0">
              <w:rPr>
                <w:i/>
                <w:sz w:val="26"/>
                <w:szCs w:val="26"/>
                <w:vertAlign w:val="subscript"/>
              </w:rPr>
              <w:t>t</w:t>
            </w:r>
            <w:r w:rsidRPr="00C04FA0">
              <w:rPr>
                <w:sz w:val="26"/>
                <w:szCs w:val="26"/>
              </w:rPr>
              <w:t xml:space="preserve"> formula but with marginal </w:t>
            </w:r>
            <w:r w:rsidR="00C04FA0">
              <w:rPr>
                <w:sz w:val="26"/>
                <w:szCs w:val="26"/>
              </w:rPr>
              <w:t>c</w:t>
            </w:r>
            <w:r w:rsidRPr="00C04FA0">
              <w:rPr>
                <w:sz w:val="26"/>
                <w:szCs w:val="26"/>
              </w:rPr>
              <w:t>osts and costing periods appropriate for the alternate fuel utility.</w:t>
            </w:r>
          </w:p>
        </w:tc>
      </w:tr>
    </w:tbl>
    <w:p w:rsidR="00C877BD" w:rsidRDefault="00C877BD" w:rsidP="0037494A">
      <w:pPr>
        <w:tabs>
          <w:tab w:val="left" w:pos="1620"/>
        </w:tabs>
        <w:rPr>
          <w:sz w:val="26"/>
          <w:szCs w:val="26"/>
        </w:rPr>
      </w:pPr>
    </w:p>
    <w:p w:rsidR="00C04FA0" w:rsidRDefault="00C04FA0" w:rsidP="0037494A">
      <w:pPr>
        <w:tabs>
          <w:tab w:val="left" w:pos="1620"/>
        </w:tabs>
        <w:rPr>
          <w:sz w:val="26"/>
          <w:szCs w:val="26"/>
        </w:rPr>
      </w:pPr>
    </w:p>
    <w:p w:rsidR="00C04FA0" w:rsidRPr="007349B4" w:rsidRDefault="00C04FA0" w:rsidP="0037494A">
      <w:pPr>
        <w:tabs>
          <w:tab w:val="left" w:pos="1620"/>
        </w:tabs>
        <w:rPr>
          <w:sz w:val="26"/>
          <w:szCs w:val="26"/>
        </w:rPr>
      </w:pPr>
    </w:p>
    <w:p w:rsidR="00C877BD" w:rsidRPr="007349B4" w:rsidRDefault="00112F81" w:rsidP="0037494A">
      <w:pPr>
        <w:tabs>
          <w:tab w:val="left" w:pos="1620"/>
        </w:tabs>
        <w:rPr>
          <w:sz w:val="26"/>
          <w:szCs w:val="26"/>
        </w:rPr>
      </w:pPr>
      <m:oMathPara>
        <m:oMath>
          <m:sSub>
            <m:sSubPr>
              <m:ctrlPr>
                <w:rPr>
                  <w:rFonts w:ascii="Cambria Math" w:hAnsi="Cambria Math"/>
                  <w:i/>
                </w:rPr>
              </m:ctrlPr>
            </m:sSubPr>
            <m:e>
              <m:r>
                <w:rPr>
                  <w:rFonts w:ascii="Cambria Math" w:hAnsi="Cambria Math"/>
                </w:rPr>
                <m:t>UIC</m:t>
              </m:r>
            </m:e>
            <m:sub>
              <m:r>
                <w:rPr>
                  <w:rFonts w:ascii="Cambria Math" w:hAnsi="Cambria Math"/>
                </w:rPr>
                <m:t>t</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d>
                <m:dPr>
                  <m:ctrlPr>
                    <w:rPr>
                      <w:rFonts w:ascii="Cambria Math" w:hAnsi="Cambria Math"/>
                      <w:i/>
                    </w:rPr>
                  </m:ctrlPr>
                </m:dPr>
                <m:e>
                  <m:sSub>
                    <m:sSubPr>
                      <m:ctrlPr>
                        <w:rPr>
                          <w:rFonts w:ascii="Cambria Math" w:hAnsi="Cambria Math"/>
                          <w:i/>
                        </w:rPr>
                      </m:ctrlPr>
                    </m:sSubPr>
                    <m:e>
                      <m:r>
                        <w:rPr>
                          <w:rFonts w:ascii="Cambria Math" w:hAnsi="Cambria Math"/>
                        </w:rPr>
                        <m:t>∆EN</m:t>
                      </m:r>
                    </m:e>
                    <m:sub>
                      <m:r>
                        <w:rPr>
                          <w:rFonts w:ascii="Cambria Math" w:hAnsi="Cambria Math"/>
                        </w:rPr>
                        <m:t>it</m:t>
                      </m:r>
                    </m:sub>
                  </m:sSub>
                  <m:r>
                    <w:rPr>
                      <w:rFonts w:ascii="Cambria Math" w:hAnsi="Cambria Math"/>
                    </w:rPr>
                    <m:t xml:space="preserve"> × </m:t>
                  </m:r>
                  <m:sSub>
                    <m:sSubPr>
                      <m:ctrlPr>
                        <w:rPr>
                          <w:rFonts w:ascii="Cambria Math" w:hAnsi="Cambria Math"/>
                          <w:i/>
                        </w:rPr>
                      </m:ctrlPr>
                    </m:sSubPr>
                    <m:e>
                      <m:r>
                        <w:rPr>
                          <w:rFonts w:ascii="Cambria Math" w:hAnsi="Cambria Math"/>
                        </w:rPr>
                        <m:t>MC:E</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it</m:t>
                      </m:r>
                    </m:sub>
                  </m:sSub>
                  <m:r>
                    <w:rPr>
                      <w:rFonts w:ascii="Cambria Math" w:hAnsi="Cambria Math"/>
                    </w:rPr>
                    <m:t>- 1)</m:t>
                  </m:r>
                </m:e>
              </m:d>
            </m:e>
          </m:nary>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d>
                <m:dPr>
                  <m:ctrlPr>
                    <w:rPr>
                      <w:rFonts w:ascii="Cambria Math" w:hAnsi="Cambria Math"/>
                      <w:i/>
                    </w:rPr>
                  </m:ctrlPr>
                </m:dPr>
                <m:e>
                  <m:sSub>
                    <m:sSubPr>
                      <m:ctrlPr>
                        <w:rPr>
                          <w:rFonts w:ascii="Cambria Math" w:hAnsi="Cambria Math"/>
                          <w:i/>
                        </w:rPr>
                      </m:ctrlPr>
                    </m:sSubPr>
                    <m:e>
                      <m:r>
                        <w:rPr>
                          <w:rFonts w:ascii="Cambria Math" w:hAnsi="Cambria Math"/>
                        </w:rPr>
                        <m:t>∆DN</m:t>
                      </m:r>
                    </m:e>
                    <m:sub>
                      <m:r>
                        <w:rPr>
                          <w:rFonts w:ascii="Cambria Math" w:hAnsi="Cambria Math"/>
                        </w:rPr>
                        <m:t>it</m:t>
                      </m:r>
                    </m:sub>
                  </m:sSub>
                  <m:r>
                    <w:rPr>
                      <w:rFonts w:ascii="Cambria Math" w:hAnsi="Cambria Math"/>
                    </w:rPr>
                    <m:t xml:space="preserve"> × </m:t>
                  </m:r>
                  <m:sSub>
                    <m:sSubPr>
                      <m:ctrlPr>
                        <w:rPr>
                          <w:rFonts w:ascii="Cambria Math" w:hAnsi="Cambria Math"/>
                          <w:i/>
                        </w:rPr>
                      </m:ctrlPr>
                    </m:sSubPr>
                    <m:e>
                      <m:r>
                        <w:rPr>
                          <w:rFonts w:ascii="Cambria Math" w:hAnsi="Cambria Math"/>
                        </w:rPr>
                        <m:t>MC:D</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it</m:t>
                      </m:r>
                    </m:sub>
                  </m:sSub>
                  <m:r>
                    <w:rPr>
                      <w:rFonts w:ascii="Cambria Math" w:hAnsi="Cambria Math"/>
                    </w:rPr>
                    <m:t>- 1)</m:t>
                  </m:r>
                </m:e>
              </m:d>
            </m:e>
          </m:nary>
        </m:oMath>
      </m:oMathPara>
    </w:p>
    <w:p w:rsidR="00C877BD" w:rsidRPr="007349B4" w:rsidRDefault="00C877BD" w:rsidP="0037494A">
      <w:pPr>
        <w:tabs>
          <w:tab w:val="left" w:pos="1620"/>
        </w:tabs>
        <w:rPr>
          <w:sz w:val="26"/>
          <w:szCs w:val="26"/>
        </w:rPr>
      </w:pPr>
      <w:r w:rsidRPr="007349B4">
        <w:rPr>
          <w:sz w:val="26"/>
          <w:szCs w:val="26"/>
        </w:rPr>
        <w:br w:type="page"/>
      </w:r>
    </w:p>
    <w:p w:rsidR="00C877BD" w:rsidRPr="007349B4" w:rsidRDefault="00C877BD" w:rsidP="0037494A">
      <w:pPr>
        <w:tabs>
          <w:tab w:val="left" w:pos="1620"/>
        </w:tabs>
        <w:rPr>
          <w:sz w:val="26"/>
          <w:szCs w:val="26"/>
        </w:rPr>
      </w:pPr>
    </w:p>
    <w:p w:rsidR="00C877BD" w:rsidRPr="007349B4" w:rsidRDefault="00C877BD" w:rsidP="0037494A">
      <w:pPr>
        <w:tabs>
          <w:tab w:val="left" w:pos="1620"/>
        </w:tabs>
        <w:jc w:val="center"/>
        <w:rPr>
          <w:b/>
          <w:sz w:val="26"/>
          <w:szCs w:val="26"/>
        </w:rPr>
      </w:pPr>
      <w:r w:rsidRPr="007349B4">
        <w:rPr>
          <w:b/>
          <w:sz w:val="26"/>
          <w:szCs w:val="26"/>
        </w:rPr>
        <w:t xml:space="preserve">Glossary of </w:t>
      </w:r>
      <w:r w:rsidR="00A060CD" w:rsidRPr="007349B4">
        <w:rPr>
          <w:b/>
          <w:sz w:val="26"/>
          <w:szCs w:val="26"/>
        </w:rPr>
        <w:t>T</w:t>
      </w:r>
      <w:r w:rsidRPr="007349B4">
        <w:rPr>
          <w:b/>
          <w:sz w:val="26"/>
          <w:szCs w:val="26"/>
        </w:rPr>
        <w:t>erms</w:t>
      </w:r>
    </w:p>
    <w:p w:rsidR="00C877BD" w:rsidRPr="007349B4" w:rsidRDefault="00C877BD" w:rsidP="0037494A">
      <w:pPr>
        <w:tabs>
          <w:tab w:val="left" w:pos="1620"/>
        </w:tabs>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540"/>
        <w:gridCol w:w="7758"/>
      </w:tblGrid>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∆DNit</w:t>
            </w:r>
          </w:p>
        </w:tc>
        <w:tc>
          <w:tcPr>
            <w:tcW w:w="540" w:type="dxa"/>
          </w:tcPr>
          <w:p w:rsidR="00C877BD" w:rsidRPr="007349B4" w:rsidRDefault="00C877BD" w:rsidP="0037494A">
            <w:pPr>
              <w:tabs>
                <w:tab w:val="left" w:pos="1620"/>
              </w:tabs>
              <w:rPr>
                <w:sz w:val="26"/>
                <w:szCs w:val="26"/>
              </w:rPr>
            </w:pPr>
          </w:p>
        </w:tc>
        <w:tc>
          <w:tcPr>
            <w:tcW w:w="7758" w:type="dxa"/>
          </w:tcPr>
          <w:p w:rsidR="00C877BD" w:rsidRPr="002025DD" w:rsidRDefault="00C877BD" w:rsidP="0037494A">
            <w:pPr>
              <w:tabs>
                <w:tab w:val="left" w:pos="1620"/>
              </w:tabs>
              <w:rPr>
                <w:sz w:val="26"/>
                <w:szCs w:val="26"/>
              </w:rPr>
            </w:pPr>
            <w:r w:rsidRPr="002025DD">
              <w:rPr>
                <w:sz w:val="26"/>
                <w:szCs w:val="26"/>
              </w:rPr>
              <w:t xml:space="preserve">Reduction in net demand in costing period </w:t>
            </w:r>
            <w:r w:rsidRPr="002025DD">
              <w:rPr>
                <w:i/>
                <w:sz w:val="26"/>
                <w:szCs w:val="26"/>
              </w:rPr>
              <w:t>i</w:t>
            </w:r>
            <w:r w:rsidRPr="002025DD">
              <w:rPr>
                <w:sz w:val="26"/>
                <w:szCs w:val="26"/>
              </w:rPr>
              <w:t xml:space="preserve"> in year </w:t>
            </w:r>
            <w:r w:rsidRPr="002025DD">
              <w:rPr>
                <w:i/>
                <w:sz w:val="26"/>
                <w:szCs w:val="26"/>
              </w:rPr>
              <w:t>t</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∆ENit</w:t>
            </w:r>
          </w:p>
        </w:tc>
        <w:tc>
          <w:tcPr>
            <w:tcW w:w="540" w:type="dxa"/>
          </w:tcPr>
          <w:p w:rsidR="00C877BD" w:rsidRPr="007349B4" w:rsidRDefault="00C877BD" w:rsidP="0037494A">
            <w:pPr>
              <w:tabs>
                <w:tab w:val="left" w:pos="1620"/>
              </w:tabs>
              <w:rPr>
                <w:sz w:val="26"/>
                <w:szCs w:val="26"/>
              </w:rPr>
            </w:pPr>
          </w:p>
        </w:tc>
        <w:tc>
          <w:tcPr>
            <w:tcW w:w="7758" w:type="dxa"/>
          </w:tcPr>
          <w:p w:rsidR="00C877BD" w:rsidRPr="002025DD" w:rsidRDefault="00C877BD" w:rsidP="0037494A">
            <w:pPr>
              <w:tabs>
                <w:tab w:val="left" w:pos="1620"/>
              </w:tabs>
              <w:rPr>
                <w:sz w:val="26"/>
                <w:szCs w:val="26"/>
              </w:rPr>
            </w:pPr>
            <w:r w:rsidRPr="002025DD">
              <w:rPr>
                <w:sz w:val="26"/>
                <w:szCs w:val="26"/>
              </w:rPr>
              <w:t xml:space="preserve">Reduction in net energy use in costing period </w:t>
            </w:r>
            <w:r w:rsidRPr="002025DD">
              <w:rPr>
                <w:i/>
                <w:sz w:val="26"/>
                <w:szCs w:val="26"/>
              </w:rPr>
              <w:t>i</w:t>
            </w:r>
            <w:r w:rsidRPr="002025DD">
              <w:rPr>
                <w:sz w:val="26"/>
                <w:szCs w:val="26"/>
              </w:rPr>
              <w:t xml:space="preserve"> in year </w:t>
            </w:r>
            <w:r w:rsidRPr="002025DD">
              <w:rPr>
                <w:i/>
                <w:sz w:val="26"/>
                <w:szCs w:val="26"/>
              </w:rPr>
              <w:t>t</w:t>
            </w:r>
          </w:p>
        </w:tc>
      </w:tr>
      <w:tr w:rsidR="00C877BD" w:rsidRPr="007349B4" w:rsidTr="00C877BD">
        <w:tc>
          <w:tcPr>
            <w:tcW w:w="1278"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BCR</w:t>
            </w:r>
            <w:r w:rsidRPr="007349B4">
              <w:rPr>
                <w:sz w:val="26"/>
                <w:szCs w:val="26"/>
                <w:vertAlign w:val="subscript"/>
              </w:rPr>
              <w:t>TRC</w:t>
            </w:r>
          </w:p>
        </w:tc>
        <w:tc>
          <w:tcPr>
            <w:tcW w:w="540"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w:t>
            </w:r>
          </w:p>
        </w:tc>
        <w:tc>
          <w:tcPr>
            <w:tcW w:w="7758" w:type="dxa"/>
            <w:tcBorders>
              <w:top w:val="single" w:sz="4" w:space="0" w:color="000000"/>
              <w:left w:val="single" w:sz="4" w:space="0" w:color="000000"/>
              <w:bottom w:val="single" w:sz="4" w:space="0" w:color="000000"/>
              <w:right w:val="single" w:sz="4" w:space="0" w:color="000000"/>
            </w:tcBorders>
            <w:hideMark/>
          </w:tcPr>
          <w:p w:rsidR="00C877BD" w:rsidRPr="002025DD" w:rsidRDefault="00C877BD" w:rsidP="0037494A">
            <w:pPr>
              <w:tabs>
                <w:tab w:val="left" w:pos="1620"/>
              </w:tabs>
              <w:rPr>
                <w:sz w:val="26"/>
                <w:szCs w:val="26"/>
              </w:rPr>
            </w:pPr>
            <w:r w:rsidRPr="002025DD">
              <w:rPr>
                <w:sz w:val="26"/>
                <w:szCs w:val="26"/>
              </w:rPr>
              <w:t>Benefit-cost ratio of total costs of the resource</w:t>
            </w:r>
          </w:p>
        </w:tc>
      </w:tr>
      <w:tr w:rsidR="00C877BD" w:rsidRPr="007349B4" w:rsidTr="00C877BD">
        <w:tc>
          <w:tcPr>
            <w:tcW w:w="1278"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B</w:t>
            </w:r>
            <w:r w:rsidRPr="007349B4">
              <w:rPr>
                <w:sz w:val="26"/>
                <w:szCs w:val="26"/>
                <w:vertAlign w:val="subscript"/>
              </w:rPr>
              <w:t>TRC</w:t>
            </w:r>
          </w:p>
        </w:tc>
        <w:tc>
          <w:tcPr>
            <w:tcW w:w="540"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w:t>
            </w:r>
          </w:p>
        </w:tc>
        <w:tc>
          <w:tcPr>
            <w:tcW w:w="7758" w:type="dxa"/>
            <w:tcBorders>
              <w:top w:val="single" w:sz="4" w:space="0" w:color="000000"/>
              <w:left w:val="single" w:sz="4" w:space="0" w:color="000000"/>
              <w:bottom w:val="single" w:sz="4" w:space="0" w:color="000000"/>
              <w:right w:val="single" w:sz="4" w:space="0" w:color="000000"/>
            </w:tcBorders>
            <w:hideMark/>
          </w:tcPr>
          <w:p w:rsidR="00C877BD" w:rsidRPr="002025DD" w:rsidRDefault="00C877BD" w:rsidP="0037494A">
            <w:pPr>
              <w:tabs>
                <w:tab w:val="left" w:pos="1620"/>
              </w:tabs>
              <w:rPr>
                <w:sz w:val="26"/>
                <w:szCs w:val="26"/>
              </w:rPr>
            </w:pPr>
            <w:r w:rsidRPr="002025DD">
              <w:rPr>
                <w:sz w:val="26"/>
                <w:szCs w:val="26"/>
              </w:rPr>
              <w:t>Benefits of the program</w:t>
            </w:r>
          </w:p>
        </w:tc>
      </w:tr>
      <w:tr w:rsidR="00C877BD" w:rsidRPr="007349B4" w:rsidTr="00C877BD">
        <w:tc>
          <w:tcPr>
            <w:tcW w:w="1278"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C</w:t>
            </w:r>
            <w:r w:rsidRPr="007349B4">
              <w:rPr>
                <w:sz w:val="26"/>
                <w:szCs w:val="26"/>
                <w:vertAlign w:val="subscript"/>
              </w:rPr>
              <w:t>TRC</w:t>
            </w:r>
          </w:p>
        </w:tc>
        <w:tc>
          <w:tcPr>
            <w:tcW w:w="540"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w:t>
            </w:r>
          </w:p>
        </w:tc>
        <w:tc>
          <w:tcPr>
            <w:tcW w:w="7758" w:type="dxa"/>
            <w:tcBorders>
              <w:top w:val="single" w:sz="4" w:space="0" w:color="000000"/>
              <w:left w:val="single" w:sz="4" w:space="0" w:color="000000"/>
              <w:bottom w:val="single" w:sz="4" w:space="0" w:color="000000"/>
              <w:right w:val="single" w:sz="4" w:space="0" w:color="000000"/>
            </w:tcBorders>
            <w:hideMark/>
          </w:tcPr>
          <w:p w:rsidR="00C877BD" w:rsidRPr="002025DD" w:rsidRDefault="00C877BD" w:rsidP="0037494A">
            <w:pPr>
              <w:tabs>
                <w:tab w:val="left" w:pos="1620"/>
              </w:tabs>
              <w:rPr>
                <w:sz w:val="26"/>
                <w:szCs w:val="26"/>
              </w:rPr>
            </w:pPr>
            <w:r w:rsidRPr="002025DD">
              <w:rPr>
                <w:sz w:val="26"/>
                <w:szCs w:val="26"/>
              </w:rPr>
              <w:t>Costs of the program</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d</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2025DD" w:rsidRDefault="00C877BD" w:rsidP="0037494A">
            <w:pPr>
              <w:tabs>
                <w:tab w:val="left" w:pos="1620"/>
              </w:tabs>
              <w:rPr>
                <w:sz w:val="26"/>
                <w:szCs w:val="26"/>
              </w:rPr>
            </w:pPr>
            <w:r w:rsidRPr="002025DD">
              <w:rPr>
                <w:sz w:val="26"/>
                <w:szCs w:val="26"/>
              </w:rPr>
              <w:t>Interest rate (discount)</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E</w:t>
            </w:r>
          </w:p>
        </w:tc>
        <w:tc>
          <w:tcPr>
            <w:tcW w:w="540" w:type="dxa"/>
          </w:tcPr>
          <w:p w:rsidR="00C877BD" w:rsidRPr="007349B4" w:rsidRDefault="00C877BD" w:rsidP="0037494A">
            <w:pPr>
              <w:tabs>
                <w:tab w:val="left" w:pos="1620"/>
              </w:tabs>
              <w:rPr>
                <w:sz w:val="26"/>
                <w:szCs w:val="26"/>
              </w:rPr>
            </w:pPr>
            <w:r w:rsidRPr="007349B4">
              <w:rPr>
                <w:sz w:val="26"/>
                <w:szCs w:val="26"/>
              </w:rPr>
              <w:t xml:space="preserve">= </w:t>
            </w:r>
          </w:p>
        </w:tc>
        <w:tc>
          <w:tcPr>
            <w:tcW w:w="7758" w:type="dxa"/>
          </w:tcPr>
          <w:p w:rsidR="00C877BD" w:rsidRPr="002025DD" w:rsidRDefault="00C877BD" w:rsidP="0037494A">
            <w:pPr>
              <w:tabs>
                <w:tab w:val="left" w:pos="1620"/>
              </w:tabs>
              <w:rPr>
                <w:sz w:val="26"/>
                <w:szCs w:val="26"/>
              </w:rPr>
            </w:pPr>
            <w:r w:rsidRPr="002025DD">
              <w:rPr>
                <w:sz w:val="26"/>
                <w:szCs w:val="26"/>
              </w:rPr>
              <w:t xml:space="preserve">Discounted stream of system energy sales (kWh or therms) or demand sales (kW) for first year customers.  </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E</w:t>
            </w:r>
            <w:r w:rsidRPr="007349B4">
              <w:rPr>
                <w:sz w:val="26"/>
                <w:szCs w:val="26"/>
                <w:vertAlign w:val="subscript"/>
              </w:rPr>
              <w:t>t</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2025DD" w:rsidRDefault="00C877BD" w:rsidP="0037494A">
            <w:pPr>
              <w:tabs>
                <w:tab w:val="left" w:pos="1620"/>
              </w:tabs>
              <w:rPr>
                <w:sz w:val="26"/>
                <w:szCs w:val="26"/>
              </w:rPr>
            </w:pPr>
            <w:r w:rsidRPr="002025DD">
              <w:rPr>
                <w:sz w:val="26"/>
                <w:szCs w:val="26"/>
              </w:rPr>
              <w:t xml:space="preserve">System sales in kWh, kW, or therms </w:t>
            </w:r>
            <w:r w:rsidR="00C51C3A" w:rsidRPr="002025DD">
              <w:rPr>
                <w:sz w:val="26"/>
                <w:szCs w:val="26"/>
              </w:rPr>
              <w:t>f</w:t>
            </w:r>
            <w:r w:rsidRPr="002025DD">
              <w:rPr>
                <w:sz w:val="26"/>
                <w:szCs w:val="26"/>
              </w:rPr>
              <w:t>or first year customers</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I</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2025DD" w:rsidRDefault="00C877BD" w:rsidP="0037494A">
            <w:pPr>
              <w:tabs>
                <w:tab w:val="left" w:pos="1620"/>
              </w:tabs>
              <w:rPr>
                <w:sz w:val="26"/>
                <w:szCs w:val="26"/>
              </w:rPr>
            </w:pPr>
            <w:r w:rsidRPr="002025DD">
              <w:rPr>
                <w:sz w:val="26"/>
                <w:szCs w:val="26"/>
              </w:rPr>
              <w:t>Number of periods of a participant’s participation</w:t>
            </w:r>
          </w:p>
        </w:tc>
      </w:tr>
      <w:tr w:rsidR="00C877BD" w:rsidRPr="007349B4" w:rsidTr="00C877BD">
        <w:tc>
          <w:tcPr>
            <w:tcW w:w="1278"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IMP</w:t>
            </w:r>
          </w:p>
        </w:tc>
        <w:tc>
          <w:tcPr>
            <w:tcW w:w="540"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w:t>
            </w:r>
          </w:p>
        </w:tc>
        <w:tc>
          <w:tcPr>
            <w:tcW w:w="7758" w:type="dxa"/>
            <w:tcBorders>
              <w:top w:val="single" w:sz="4" w:space="0" w:color="000000"/>
              <w:left w:val="single" w:sz="4" w:space="0" w:color="000000"/>
              <w:bottom w:val="single" w:sz="4" w:space="0" w:color="000000"/>
              <w:right w:val="single" w:sz="4" w:space="0" w:color="000000"/>
            </w:tcBorders>
            <w:hideMark/>
          </w:tcPr>
          <w:p w:rsidR="00C877BD" w:rsidRPr="002025DD" w:rsidRDefault="00C877BD" w:rsidP="0037494A">
            <w:pPr>
              <w:tabs>
                <w:tab w:val="left" w:pos="1620"/>
              </w:tabs>
              <w:rPr>
                <w:sz w:val="26"/>
                <w:szCs w:val="26"/>
              </w:rPr>
            </w:pPr>
            <w:r w:rsidRPr="002025DD">
              <w:rPr>
                <w:sz w:val="26"/>
                <w:szCs w:val="26"/>
              </w:rPr>
              <w:t>Total discounted lead impacts of the program</w:t>
            </w:r>
          </w:p>
        </w:tc>
      </w:tr>
      <w:tr w:rsidR="00C877BD" w:rsidRPr="007349B4" w:rsidTr="00C877BD">
        <w:tc>
          <w:tcPr>
            <w:tcW w:w="1278" w:type="dxa"/>
          </w:tcPr>
          <w:p w:rsidR="00C877BD" w:rsidRPr="007349B4" w:rsidRDefault="00C877BD" w:rsidP="0037494A">
            <w:pPr>
              <w:tabs>
                <w:tab w:val="left" w:pos="1620"/>
              </w:tabs>
              <w:rPr>
                <w:sz w:val="26"/>
                <w:szCs w:val="26"/>
                <w:vertAlign w:val="subscript"/>
              </w:rPr>
            </w:pPr>
            <w:r w:rsidRPr="007349B4">
              <w:rPr>
                <w:sz w:val="26"/>
                <w:szCs w:val="26"/>
              </w:rPr>
              <w:t>K</w:t>
            </w:r>
            <w:r w:rsidRPr="007349B4">
              <w:rPr>
                <w:sz w:val="26"/>
                <w:szCs w:val="26"/>
                <w:vertAlign w:val="subscript"/>
              </w:rPr>
              <w:t>it</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2025DD" w:rsidRDefault="00C877BD" w:rsidP="0037494A">
            <w:pPr>
              <w:tabs>
                <w:tab w:val="left" w:pos="1620"/>
              </w:tabs>
              <w:rPr>
                <w:sz w:val="26"/>
                <w:szCs w:val="26"/>
              </w:rPr>
            </w:pPr>
            <w:r w:rsidRPr="002025DD">
              <w:rPr>
                <w:sz w:val="26"/>
                <w:szCs w:val="26"/>
              </w:rPr>
              <w:t>1 when ∆EG</w:t>
            </w:r>
            <w:r w:rsidRPr="002025DD">
              <w:rPr>
                <w:sz w:val="26"/>
                <w:szCs w:val="26"/>
                <w:vertAlign w:val="subscript"/>
              </w:rPr>
              <w:t>it</w:t>
            </w:r>
            <w:r w:rsidRPr="002025DD">
              <w:rPr>
                <w:sz w:val="26"/>
                <w:szCs w:val="26"/>
              </w:rPr>
              <w:t xml:space="preserve"> or ∆DG</w:t>
            </w:r>
            <w:r w:rsidRPr="002025DD">
              <w:rPr>
                <w:sz w:val="26"/>
                <w:szCs w:val="26"/>
                <w:vertAlign w:val="subscript"/>
              </w:rPr>
              <w:t>it</w:t>
            </w:r>
            <w:r w:rsidRPr="002025DD">
              <w:rPr>
                <w:sz w:val="26"/>
                <w:szCs w:val="26"/>
              </w:rPr>
              <w:t xml:space="preserve"> is positive (</w:t>
            </w:r>
            <w:r w:rsidRPr="002025DD">
              <w:rPr>
                <w:i/>
                <w:sz w:val="26"/>
                <w:szCs w:val="26"/>
              </w:rPr>
              <w:t>i.e.</w:t>
            </w:r>
            <w:r w:rsidRPr="002025DD">
              <w:rPr>
                <w:sz w:val="26"/>
                <w:szCs w:val="26"/>
              </w:rPr>
              <w:t xml:space="preserve">, a reduction) in costing period </w:t>
            </w:r>
            <w:r w:rsidRPr="002025DD">
              <w:rPr>
                <w:i/>
                <w:sz w:val="26"/>
                <w:szCs w:val="26"/>
              </w:rPr>
              <w:t>i</w:t>
            </w:r>
            <w:r w:rsidRPr="002025DD">
              <w:rPr>
                <w:sz w:val="26"/>
                <w:szCs w:val="26"/>
              </w:rPr>
              <w:t xml:space="preserve"> in year </w:t>
            </w:r>
            <w:r w:rsidRPr="002025DD">
              <w:rPr>
                <w:i/>
                <w:sz w:val="26"/>
                <w:szCs w:val="26"/>
              </w:rPr>
              <w:t>t</w:t>
            </w:r>
            <w:r w:rsidRPr="002025DD">
              <w:rPr>
                <w:sz w:val="26"/>
                <w:szCs w:val="26"/>
              </w:rPr>
              <w:t>, and 0 (zero) otherwise</w:t>
            </w:r>
          </w:p>
        </w:tc>
      </w:tr>
      <w:tr w:rsidR="00C877BD" w:rsidRPr="007349B4" w:rsidTr="00C877BD">
        <w:tc>
          <w:tcPr>
            <w:tcW w:w="1278"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LCRC</w:t>
            </w:r>
          </w:p>
        </w:tc>
        <w:tc>
          <w:tcPr>
            <w:tcW w:w="540"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w:t>
            </w:r>
          </w:p>
        </w:tc>
        <w:tc>
          <w:tcPr>
            <w:tcW w:w="7758" w:type="dxa"/>
            <w:tcBorders>
              <w:top w:val="single" w:sz="4" w:space="0" w:color="000000"/>
              <w:left w:val="single" w:sz="4" w:space="0" w:color="000000"/>
              <w:bottom w:val="single" w:sz="4" w:space="0" w:color="000000"/>
              <w:right w:val="single" w:sz="4" w:space="0" w:color="000000"/>
            </w:tcBorders>
            <w:hideMark/>
          </w:tcPr>
          <w:p w:rsidR="00C877BD" w:rsidRPr="002025DD" w:rsidRDefault="00C877BD" w:rsidP="0037494A">
            <w:pPr>
              <w:tabs>
                <w:tab w:val="left" w:pos="1620"/>
              </w:tabs>
              <w:rPr>
                <w:sz w:val="26"/>
                <w:szCs w:val="26"/>
              </w:rPr>
            </w:pPr>
            <w:r w:rsidRPr="002025DD">
              <w:rPr>
                <w:sz w:val="26"/>
                <w:szCs w:val="26"/>
              </w:rPr>
              <w:t>Total resource costs used for levelizing</w:t>
            </w:r>
          </w:p>
        </w:tc>
      </w:tr>
      <w:tr w:rsidR="00C877BD" w:rsidRPr="007349B4" w:rsidTr="00C877BD">
        <w:tc>
          <w:tcPr>
            <w:tcW w:w="1278"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LC</w:t>
            </w:r>
            <w:r w:rsidRPr="007349B4">
              <w:rPr>
                <w:sz w:val="26"/>
                <w:szCs w:val="26"/>
                <w:vertAlign w:val="subscript"/>
              </w:rPr>
              <w:t>TRC</w:t>
            </w:r>
          </w:p>
        </w:tc>
        <w:tc>
          <w:tcPr>
            <w:tcW w:w="540"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w:t>
            </w:r>
          </w:p>
        </w:tc>
        <w:tc>
          <w:tcPr>
            <w:tcW w:w="7758" w:type="dxa"/>
            <w:tcBorders>
              <w:top w:val="single" w:sz="4" w:space="0" w:color="000000"/>
              <w:left w:val="single" w:sz="4" w:space="0" w:color="000000"/>
              <w:bottom w:val="single" w:sz="4" w:space="0" w:color="000000"/>
              <w:right w:val="single" w:sz="4" w:space="0" w:color="000000"/>
            </w:tcBorders>
            <w:hideMark/>
          </w:tcPr>
          <w:p w:rsidR="00C877BD" w:rsidRPr="002025DD" w:rsidRDefault="00C877BD" w:rsidP="00002D02">
            <w:pPr>
              <w:tabs>
                <w:tab w:val="left" w:pos="1620"/>
              </w:tabs>
              <w:rPr>
                <w:sz w:val="26"/>
                <w:szCs w:val="26"/>
              </w:rPr>
            </w:pPr>
            <w:r w:rsidRPr="002025DD">
              <w:rPr>
                <w:sz w:val="26"/>
                <w:szCs w:val="26"/>
              </w:rPr>
              <w:t>Levelized cost per unit of the total cost of the resource (cents</w:t>
            </w:r>
            <w:r w:rsidR="00002D02">
              <w:rPr>
                <w:sz w:val="26"/>
                <w:szCs w:val="26"/>
              </w:rPr>
              <w:t>/</w:t>
            </w:r>
            <w:r w:rsidRPr="002025DD">
              <w:rPr>
                <w:sz w:val="26"/>
                <w:szCs w:val="26"/>
              </w:rPr>
              <w:t>kW</w:t>
            </w:r>
            <w:r w:rsidR="00002D02">
              <w:rPr>
                <w:sz w:val="26"/>
                <w:szCs w:val="26"/>
              </w:rPr>
              <w:t>h</w:t>
            </w:r>
            <w:r w:rsidRPr="002025DD">
              <w:rPr>
                <w:sz w:val="26"/>
                <w:szCs w:val="26"/>
              </w:rPr>
              <w:t xml:space="preserve"> for conservation programs; </w:t>
            </w:r>
            <w:r w:rsidR="00A47F87">
              <w:rPr>
                <w:sz w:val="26"/>
                <w:szCs w:val="26"/>
              </w:rPr>
              <w:t>$/</w:t>
            </w:r>
            <w:r w:rsidRPr="002025DD">
              <w:rPr>
                <w:sz w:val="26"/>
                <w:szCs w:val="26"/>
              </w:rPr>
              <w:t>kWh for load management programs)</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MC:Dit</w:t>
            </w:r>
          </w:p>
        </w:tc>
        <w:tc>
          <w:tcPr>
            <w:tcW w:w="540" w:type="dxa"/>
          </w:tcPr>
          <w:p w:rsidR="00C877BD" w:rsidRPr="007349B4" w:rsidRDefault="00C877BD" w:rsidP="0037494A">
            <w:pPr>
              <w:tabs>
                <w:tab w:val="left" w:pos="1620"/>
              </w:tabs>
              <w:rPr>
                <w:sz w:val="26"/>
                <w:szCs w:val="26"/>
              </w:rPr>
            </w:pPr>
          </w:p>
        </w:tc>
        <w:tc>
          <w:tcPr>
            <w:tcW w:w="7758" w:type="dxa"/>
          </w:tcPr>
          <w:p w:rsidR="00C877BD" w:rsidRPr="002025DD" w:rsidRDefault="00C877BD" w:rsidP="0037494A">
            <w:pPr>
              <w:tabs>
                <w:tab w:val="left" w:pos="1620"/>
              </w:tabs>
              <w:rPr>
                <w:sz w:val="26"/>
                <w:szCs w:val="26"/>
              </w:rPr>
            </w:pPr>
            <w:r w:rsidRPr="002025DD">
              <w:rPr>
                <w:sz w:val="26"/>
                <w:szCs w:val="26"/>
              </w:rPr>
              <w:t xml:space="preserve">Marginal cost of demand in costing period </w:t>
            </w:r>
            <w:r w:rsidRPr="002025DD">
              <w:rPr>
                <w:i/>
                <w:sz w:val="26"/>
                <w:szCs w:val="26"/>
              </w:rPr>
              <w:t>i</w:t>
            </w:r>
            <w:r w:rsidRPr="002025DD">
              <w:rPr>
                <w:sz w:val="26"/>
                <w:szCs w:val="26"/>
              </w:rPr>
              <w:t xml:space="preserve"> in year </w:t>
            </w:r>
            <w:r w:rsidRPr="002025DD">
              <w:rPr>
                <w:i/>
                <w:sz w:val="26"/>
                <w:szCs w:val="26"/>
              </w:rPr>
              <w:t>t</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MC:Eit</w:t>
            </w:r>
          </w:p>
        </w:tc>
        <w:tc>
          <w:tcPr>
            <w:tcW w:w="540" w:type="dxa"/>
          </w:tcPr>
          <w:p w:rsidR="00C877BD" w:rsidRPr="007349B4" w:rsidRDefault="00C877BD" w:rsidP="0037494A">
            <w:pPr>
              <w:tabs>
                <w:tab w:val="left" w:pos="1620"/>
              </w:tabs>
              <w:rPr>
                <w:sz w:val="26"/>
                <w:szCs w:val="26"/>
              </w:rPr>
            </w:pPr>
          </w:p>
        </w:tc>
        <w:tc>
          <w:tcPr>
            <w:tcW w:w="7758" w:type="dxa"/>
          </w:tcPr>
          <w:p w:rsidR="00C877BD" w:rsidRPr="002025DD" w:rsidRDefault="00C877BD" w:rsidP="0037494A">
            <w:pPr>
              <w:tabs>
                <w:tab w:val="left" w:pos="1620"/>
              </w:tabs>
              <w:rPr>
                <w:sz w:val="26"/>
                <w:szCs w:val="26"/>
              </w:rPr>
            </w:pPr>
            <w:r w:rsidRPr="002025DD">
              <w:rPr>
                <w:sz w:val="26"/>
                <w:szCs w:val="26"/>
              </w:rPr>
              <w:t xml:space="preserve">Marginal cost of energy in costing period </w:t>
            </w:r>
            <w:r w:rsidRPr="002025DD">
              <w:rPr>
                <w:i/>
                <w:sz w:val="26"/>
                <w:szCs w:val="26"/>
              </w:rPr>
              <w:t>i</w:t>
            </w:r>
            <w:r w:rsidRPr="002025DD">
              <w:rPr>
                <w:sz w:val="26"/>
                <w:szCs w:val="26"/>
              </w:rPr>
              <w:t xml:space="preserve"> in year </w:t>
            </w:r>
            <w:r w:rsidRPr="002025DD">
              <w:rPr>
                <w:i/>
                <w:sz w:val="26"/>
                <w:szCs w:val="26"/>
              </w:rPr>
              <w:t>t</w:t>
            </w:r>
          </w:p>
        </w:tc>
      </w:tr>
      <w:tr w:rsidR="00C877BD" w:rsidRPr="007349B4" w:rsidTr="00C877BD">
        <w:tc>
          <w:tcPr>
            <w:tcW w:w="1278"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NPV</w:t>
            </w:r>
            <w:r w:rsidRPr="007349B4">
              <w:rPr>
                <w:sz w:val="26"/>
                <w:szCs w:val="26"/>
                <w:vertAlign w:val="subscript"/>
              </w:rPr>
              <w:t>TRC</w:t>
            </w:r>
          </w:p>
        </w:tc>
        <w:tc>
          <w:tcPr>
            <w:tcW w:w="540"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w:t>
            </w:r>
          </w:p>
        </w:tc>
        <w:tc>
          <w:tcPr>
            <w:tcW w:w="7758" w:type="dxa"/>
            <w:tcBorders>
              <w:top w:val="single" w:sz="4" w:space="0" w:color="000000"/>
              <w:left w:val="single" w:sz="4" w:space="0" w:color="000000"/>
              <w:bottom w:val="single" w:sz="4" w:space="0" w:color="000000"/>
              <w:right w:val="single" w:sz="4" w:space="0" w:color="000000"/>
            </w:tcBorders>
            <w:hideMark/>
          </w:tcPr>
          <w:p w:rsidR="00C877BD" w:rsidRPr="002025DD" w:rsidRDefault="00C877BD" w:rsidP="0037494A">
            <w:pPr>
              <w:tabs>
                <w:tab w:val="left" w:pos="1620"/>
              </w:tabs>
              <w:rPr>
                <w:sz w:val="26"/>
                <w:szCs w:val="26"/>
              </w:rPr>
            </w:pPr>
            <w:r w:rsidRPr="002025DD">
              <w:rPr>
                <w:sz w:val="26"/>
                <w:szCs w:val="26"/>
              </w:rPr>
              <w:t>Net present value of total costs of the resource</w:t>
            </w:r>
          </w:p>
        </w:tc>
      </w:tr>
      <w:tr w:rsidR="00C877BD" w:rsidRPr="007349B4" w:rsidTr="00C877BD">
        <w:tc>
          <w:tcPr>
            <w:tcW w:w="1278" w:type="dxa"/>
          </w:tcPr>
          <w:p w:rsidR="00C877BD" w:rsidRPr="007349B4" w:rsidRDefault="00C877BD" w:rsidP="0037494A">
            <w:pPr>
              <w:tabs>
                <w:tab w:val="left" w:pos="1620"/>
              </w:tabs>
              <w:rPr>
                <w:sz w:val="26"/>
                <w:szCs w:val="26"/>
                <w:vertAlign w:val="subscript"/>
              </w:rPr>
            </w:pPr>
            <w:r w:rsidRPr="007349B4">
              <w:rPr>
                <w:sz w:val="26"/>
                <w:szCs w:val="26"/>
              </w:rPr>
              <w:t>PAC</w:t>
            </w:r>
            <w:r w:rsidRPr="007349B4">
              <w:rPr>
                <w:sz w:val="26"/>
                <w:szCs w:val="26"/>
                <w:vertAlign w:val="subscript"/>
              </w:rPr>
              <w:t>at</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2025DD" w:rsidRDefault="00C877BD" w:rsidP="0037494A">
            <w:pPr>
              <w:tabs>
                <w:tab w:val="left" w:pos="1620"/>
              </w:tabs>
              <w:rPr>
                <w:sz w:val="26"/>
                <w:szCs w:val="26"/>
              </w:rPr>
            </w:pPr>
            <w:r w:rsidRPr="002025DD">
              <w:rPr>
                <w:sz w:val="26"/>
                <w:szCs w:val="26"/>
              </w:rPr>
              <w:t>Participant avoided costs in year t for the alternate fuel devices (</w:t>
            </w:r>
            <w:r w:rsidRPr="002025DD">
              <w:rPr>
                <w:i/>
                <w:sz w:val="26"/>
                <w:szCs w:val="26"/>
              </w:rPr>
              <w:t>i.e.</w:t>
            </w:r>
            <w:r w:rsidRPr="002025DD">
              <w:rPr>
                <w:sz w:val="26"/>
                <w:szCs w:val="26"/>
              </w:rPr>
              <w:t>, costs of devices not chosen)</w:t>
            </w:r>
          </w:p>
        </w:tc>
      </w:tr>
      <w:tr w:rsidR="00C877BD" w:rsidRPr="007349B4" w:rsidTr="00C877BD">
        <w:tc>
          <w:tcPr>
            <w:tcW w:w="1278"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PCN</w:t>
            </w:r>
          </w:p>
        </w:tc>
        <w:tc>
          <w:tcPr>
            <w:tcW w:w="540" w:type="dxa"/>
            <w:tcBorders>
              <w:top w:val="single" w:sz="4" w:space="0" w:color="000000"/>
              <w:left w:val="single" w:sz="4" w:space="0" w:color="000000"/>
              <w:bottom w:val="single" w:sz="4" w:space="0" w:color="000000"/>
              <w:right w:val="single" w:sz="4" w:space="0" w:color="000000"/>
            </w:tcBorders>
            <w:hideMark/>
          </w:tcPr>
          <w:p w:rsidR="00C877BD" w:rsidRPr="007349B4" w:rsidRDefault="00C877BD" w:rsidP="0037494A">
            <w:pPr>
              <w:tabs>
                <w:tab w:val="left" w:pos="1620"/>
              </w:tabs>
              <w:rPr>
                <w:sz w:val="26"/>
                <w:szCs w:val="26"/>
              </w:rPr>
            </w:pPr>
            <w:r w:rsidRPr="007349B4">
              <w:rPr>
                <w:sz w:val="26"/>
                <w:szCs w:val="26"/>
              </w:rPr>
              <w:t>=</w:t>
            </w:r>
          </w:p>
        </w:tc>
        <w:tc>
          <w:tcPr>
            <w:tcW w:w="7758" w:type="dxa"/>
            <w:tcBorders>
              <w:top w:val="single" w:sz="4" w:space="0" w:color="000000"/>
              <w:left w:val="single" w:sz="4" w:space="0" w:color="000000"/>
              <w:bottom w:val="single" w:sz="4" w:space="0" w:color="000000"/>
              <w:right w:val="single" w:sz="4" w:space="0" w:color="000000"/>
            </w:tcBorders>
            <w:hideMark/>
          </w:tcPr>
          <w:p w:rsidR="00C877BD" w:rsidRPr="002025DD" w:rsidRDefault="00C877BD" w:rsidP="0037494A">
            <w:pPr>
              <w:tabs>
                <w:tab w:val="left" w:pos="1620"/>
              </w:tabs>
              <w:rPr>
                <w:sz w:val="26"/>
                <w:szCs w:val="26"/>
              </w:rPr>
            </w:pPr>
            <w:r w:rsidRPr="002025DD">
              <w:rPr>
                <w:sz w:val="26"/>
                <w:szCs w:val="26"/>
              </w:rPr>
              <w:t>Net participant costs</w:t>
            </w:r>
            <w:r w:rsidR="00FE4314" w:rsidRPr="002025DD">
              <w:rPr>
                <w:sz w:val="26"/>
                <w:szCs w:val="26"/>
              </w:rPr>
              <w:t>; in PA, the costs of the end-user customer (participating or non-participating)</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PRC</w:t>
            </w:r>
            <w:r w:rsidRPr="007349B4">
              <w:rPr>
                <w:sz w:val="26"/>
                <w:szCs w:val="26"/>
                <w:vertAlign w:val="subscript"/>
              </w:rPr>
              <w:t>t</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2025DD" w:rsidRDefault="00C877BD" w:rsidP="0037494A">
            <w:pPr>
              <w:tabs>
                <w:tab w:val="left" w:pos="1620"/>
              </w:tabs>
              <w:rPr>
                <w:i/>
                <w:sz w:val="26"/>
                <w:szCs w:val="26"/>
              </w:rPr>
            </w:pPr>
            <w:r w:rsidRPr="002025DD">
              <w:rPr>
                <w:sz w:val="26"/>
                <w:szCs w:val="26"/>
              </w:rPr>
              <w:t xml:space="preserve">Program administrator costs in year </w:t>
            </w:r>
            <w:r w:rsidRPr="002025DD">
              <w:rPr>
                <w:i/>
                <w:sz w:val="26"/>
                <w:szCs w:val="26"/>
              </w:rPr>
              <w:t>t</w:t>
            </w:r>
            <w:r w:rsidR="00FE4314" w:rsidRPr="002025DD">
              <w:rPr>
                <w:sz w:val="26"/>
                <w:szCs w:val="26"/>
              </w:rPr>
              <w:t>; in PA, the EDC</w:t>
            </w:r>
          </w:p>
        </w:tc>
      </w:tr>
      <w:tr w:rsidR="00C877BD" w:rsidRPr="007349B4" w:rsidTr="00C877BD">
        <w:tc>
          <w:tcPr>
            <w:tcW w:w="1278" w:type="dxa"/>
          </w:tcPr>
          <w:p w:rsidR="00C877BD" w:rsidRPr="007349B4" w:rsidRDefault="00C877BD" w:rsidP="0037494A">
            <w:pPr>
              <w:tabs>
                <w:tab w:val="left" w:pos="1620"/>
              </w:tabs>
              <w:rPr>
                <w:sz w:val="26"/>
                <w:szCs w:val="26"/>
                <w:vertAlign w:val="subscript"/>
              </w:rPr>
            </w:pPr>
            <w:r w:rsidRPr="007349B4">
              <w:rPr>
                <w:sz w:val="26"/>
                <w:szCs w:val="26"/>
              </w:rPr>
              <w:t>TC</w:t>
            </w:r>
            <w:r w:rsidRPr="007349B4">
              <w:rPr>
                <w:sz w:val="26"/>
                <w:szCs w:val="26"/>
                <w:vertAlign w:val="subscript"/>
              </w:rPr>
              <w:t>t</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2025DD" w:rsidRDefault="00C877BD" w:rsidP="0037494A">
            <w:pPr>
              <w:tabs>
                <w:tab w:val="left" w:pos="1620"/>
              </w:tabs>
              <w:rPr>
                <w:sz w:val="26"/>
                <w:szCs w:val="26"/>
              </w:rPr>
            </w:pPr>
            <w:r w:rsidRPr="002025DD">
              <w:rPr>
                <w:sz w:val="26"/>
                <w:szCs w:val="26"/>
              </w:rPr>
              <w:t>Tax credits year t</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UAC</w:t>
            </w:r>
            <w:r w:rsidRPr="007349B4">
              <w:rPr>
                <w:sz w:val="26"/>
                <w:szCs w:val="26"/>
                <w:vertAlign w:val="subscript"/>
              </w:rPr>
              <w:t>at</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2025DD" w:rsidRDefault="00C877BD" w:rsidP="0037494A">
            <w:pPr>
              <w:tabs>
                <w:tab w:val="left" w:pos="1620"/>
              </w:tabs>
              <w:rPr>
                <w:sz w:val="26"/>
                <w:szCs w:val="26"/>
              </w:rPr>
            </w:pPr>
            <w:r w:rsidRPr="002025DD">
              <w:rPr>
                <w:sz w:val="26"/>
                <w:szCs w:val="26"/>
              </w:rPr>
              <w:t xml:space="preserve">Utility avoided supply costs for the alternate fuel in year </w:t>
            </w:r>
            <w:r w:rsidRPr="002025DD">
              <w:rPr>
                <w:i/>
                <w:sz w:val="26"/>
                <w:szCs w:val="26"/>
              </w:rPr>
              <w:t>t</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UAC</w:t>
            </w:r>
            <w:r w:rsidRPr="007349B4">
              <w:rPr>
                <w:sz w:val="26"/>
                <w:szCs w:val="26"/>
                <w:vertAlign w:val="subscript"/>
              </w:rPr>
              <w:t>t</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2025DD" w:rsidRDefault="00C877BD" w:rsidP="0037494A">
            <w:pPr>
              <w:tabs>
                <w:tab w:val="left" w:pos="1620"/>
              </w:tabs>
              <w:rPr>
                <w:sz w:val="26"/>
                <w:szCs w:val="26"/>
              </w:rPr>
            </w:pPr>
            <w:r w:rsidRPr="002025DD">
              <w:rPr>
                <w:sz w:val="26"/>
                <w:szCs w:val="26"/>
              </w:rPr>
              <w:t xml:space="preserve">Utility avoided supply costs in year </w:t>
            </w:r>
            <w:r w:rsidRPr="002025DD">
              <w:rPr>
                <w:i/>
                <w:sz w:val="26"/>
                <w:szCs w:val="26"/>
              </w:rPr>
              <w:t>t</w:t>
            </w:r>
          </w:p>
        </w:tc>
      </w:tr>
      <w:tr w:rsidR="00C877BD" w:rsidRPr="007349B4" w:rsidTr="00C877BD">
        <w:tc>
          <w:tcPr>
            <w:tcW w:w="1278" w:type="dxa"/>
          </w:tcPr>
          <w:p w:rsidR="00C877BD" w:rsidRPr="007349B4" w:rsidRDefault="00C877BD" w:rsidP="0037494A">
            <w:pPr>
              <w:tabs>
                <w:tab w:val="left" w:pos="1620"/>
              </w:tabs>
              <w:rPr>
                <w:sz w:val="26"/>
                <w:szCs w:val="26"/>
              </w:rPr>
            </w:pPr>
            <w:r w:rsidRPr="007349B4">
              <w:rPr>
                <w:sz w:val="26"/>
                <w:szCs w:val="26"/>
              </w:rPr>
              <w:t>UIC</w:t>
            </w:r>
            <w:r w:rsidRPr="007349B4">
              <w:rPr>
                <w:sz w:val="26"/>
                <w:szCs w:val="26"/>
                <w:vertAlign w:val="subscript"/>
              </w:rPr>
              <w:t>t</w:t>
            </w:r>
          </w:p>
        </w:tc>
        <w:tc>
          <w:tcPr>
            <w:tcW w:w="540" w:type="dxa"/>
          </w:tcPr>
          <w:p w:rsidR="00C877BD" w:rsidRPr="007349B4" w:rsidRDefault="00C877BD" w:rsidP="0037494A">
            <w:pPr>
              <w:tabs>
                <w:tab w:val="left" w:pos="1620"/>
              </w:tabs>
              <w:rPr>
                <w:sz w:val="26"/>
                <w:szCs w:val="26"/>
              </w:rPr>
            </w:pPr>
            <w:r w:rsidRPr="007349B4">
              <w:rPr>
                <w:sz w:val="26"/>
                <w:szCs w:val="26"/>
              </w:rPr>
              <w:t>=</w:t>
            </w:r>
          </w:p>
        </w:tc>
        <w:tc>
          <w:tcPr>
            <w:tcW w:w="7758" w:type="dxa"/>
          </w:tcPr>
          <w:p w:rsidR="00C877BD" w:rsidRPr="002025DD" w:rsidRDefault="00C877BD" w:rsidP="0037494A">
            <w:pPr>
              <w:tabs>
                <w:tab w:val="left" w:pos="1620"/>
              </w:tabs>
              <w:rPr>
                <w:sz w:val="26"/>
                <w:szCs w:val="26"/>
              </w:rPr>
            </w:pPr>
            <w:r w:rsidRPr="002025DD">
              <w:rPr>
                <w:sz w:val="26"/>
                <w:szCs w:val="26"/>
              </w:rPr>
              <w:t xml:space="preserve">Utility increased supply costs in year </w:t>
            </w:r>
            <w:r w:rsidRPr="002025DD">
              <w:rPr>
                <w:i/>
                <w:sz w:val="26"/>
                <w:szCs w:val="26"/>
              </w:rPr>
              <w:t>t</w:t>
            </w:r>
          </w:p>
        </w:tc>
      </w:tr>
    </w:tbl>
    <w:p w:rsidR="006C192C" w:rsidRPr="007349B4" w:rsidRDefault="006C192C" w:rsidP="0037494A">
      <w:pPr>
        <w:pStyle w:val="p14"/>
        <w:tabs>
          <w:tab w:val="left" w:pos="1620"/>
        </w:tabs>
        <w:rPr>
          <w:sz w:val="26"/>
          <w:szCs w:val="26"/>
        </w:rPr>
      </w:pPr>
    </w:p>
    <w:sectPr w:rsidR="006C192C" w:rsidRPr="007349B4" w:rsidSect="00133342">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272" w:rsidRDefault="00FD7272">
      <w:r>
        <w:separator/>
      </w:r>
    </w:p>
  </w:endnote>
  <w:endnote w:type="continuationSeparator" w:id="0">
    <w:p w:rsidR="00FD7272" w:rsidRDefault="00FD7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Bell Gothic Std Light">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773" w:rsidRDefault="00112F81">
    <w:pPr>
      <w:pStyle w:val="Footer"/>
      <w:jc w:val="center"/>
    </w:pPr>
    <w:fldSimple w:instr=" PAGE   \* MERGEFORMAT ">
      <w:r w:rsidR="000329CF">
        <w:rPr>
          <w:noProof/>
        </w:rPr>
        <w:t>7</w:t>
      </w:r>
    </w:fldSimple>
  </w:p>
  <w:p w:rsidR="00654773" w:rsidRDefault="006547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773" w:rsidRDefault="00112F81">
    <w:pPr>
      <w:pStyle w:val="Footer"/>
      <w:jc w:val="center"/>
    </w:pPr>
    <w:fldSimple w:instr=" PAGE   \* MERGEFORMAT ">
      <w:r w:rsidR="000329CF">
        <w:rPr>
          <w:noProof/>
        </w:rPr>
        <w:t>i</w:t>
      </w:r>
    </w:fldSimple>
  </w:p>
  <w:p w:rsidR="00654773" w:rsidRDefault="006547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272" w:rsidRDefault="00FD7272">
      <w:r>
        <w:separator/>
      </w:r>
    </w:p>
  </w:footnote>
  <w:footnote w:type="continuationSeparator" w:id="0">
    <w:p w:rsidR="00FD7272" w:rsidRDefault="00FD7272">
      <w:r>
        <w:continuationSeparator/>
      </w:r>
    </w:p>
  </w:footnote>
  <w:footnote w:id="1">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w:t>
      </w:r>
      <w:r w:rsidRPr="00AF46D2">
        <w:rPr>
          <w:i/>
          <w:sz w:val="22"/>
          <w:szCs w:val="22"/>
        </w:rPr>
        <w:t>Energy Efficiency and Conservation Program</w:t>
      </w:r>
      <w:r w:rsidRPr="00AF46D2">
        <w:rPr>
          <w:sz w:val="22"/>
          <w:szCs w:val="22"/>
        </w:rPr>
        <w:t>, Docket No. M</w:t>
      </w:r>
      <w:r w:rsidRPr="00AF46D2">
        <w:rPr>
          <w:sz w:val="22"/>
          <w:szCs w:val="22"/>
        </w:rPr>
        <w:noBreakHyphen/>
        <w:t>2008</w:t>
      </w:r>
      <w:r w:rsidRPr="00AF46D2">
        <w:rPr>
          <w:sz w:val="22"/>
          <w:szCs w:val="22"/>
        </w:rPr>
        <w:noBreakHyphen/>
        <w:t xml:space="preserve">2069887.  </w:t>
      </w:r>
      <w:r w:rsidRPr="00AF46D2">
        <w:rPr>
          <w:i/>
          <w:sz w:val="22"/>
          <w:szCs w:val="22"/>
        </w:rPr>
        <w:t>See</w:t>
      </w:r>
      <w:r w:rsidRPr="00AF46D2">
        <w:rPr>
          <w:sz w:val="22"/>
          <w:szCs w:val="22"/>
        </w:rPr>
        <w:t xml:space="preserve"> </w:t>
      </w:r>
      <w:hyperlink r:id="rId1" w:history="1">
        <w:r w:rsidRPr="00AF46D2">
          <w:rPr>
            <w:rStyle w:val="Hyperlink"/>
            <w:sz w:val="22"/>
            <w:szCs w:val="22"/>
          </w:rPr>
          <w:t>http://www.puc.state.pa.us//pcdocs/1033196.doc</w:t>
        </w:r>
      </w:hyperlink>
      <w:r w:rsidRPr="00AF46D2">
        <w:rPr>
          <w:sz w:val="22"/>
          <w:szCs w:val="22"/>
        </w:rPr>
        <w:t xml:space="preserve">.    </w:t>
      </w:r>
    </w:p>
  </w:footnote>
  <w:footnote w:id="2">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As anticipated by the </w:t>
      </w:r>
      <w:r w:rsidRPr="00AF46D2">
        <w:rPr>
          <w:i/>
          <w:sz w:val="22"/>
          <w:szCs w:val="22"/>
        </w:rPr>
        <w:t>Implementation Order</w:t>
      </w:r>
      <w:r w:rsidRPr="00AF46D2">
        <w:rPr>
          <w:sz w:val="22"/>
          <w:szCs w:val="22"/>
        </w:rPr>
        <w:t xml:space="preserve">, we are using the California TRC test as a model for designing a TRC test to meet the unique requirements of Act 129 and this Commonwealth’s electric industry.  </w:t>
      </w:r>
      <w:r w:rsidRPr="00AF46D2">
        <w:rPr>
          <w:i/>
          <w:sz w:val="22"/>
          <w:szCs w:val="22"/>
        </w:rPr>
        <w:t>See</w:t>
      </w:r>
      <w:r w:rsidRPr="00AF46D2">
        <w:rPr>
          <w:sz w:val="22"/>
          <w:szCs w:val="22"/>
        </w:rPr>
        <w:t xml:space="preserve"> </w:t>
      </w:r>
      <w:r w:rsidRPr="00AF46D2">
        <w:rPr>
          <w:i/>
          <w:sz w:val="22"/>
          <w:szCs w:val="22"/>
        </w:rPr>
        <w:t>California Standard Practice Manual – Economic Analysis of Demand</w:t>
      </w:r>
      <w:r w:rsidRPr="00AF46D2">
        <w:rPr>
          <w:i/>
          <w:sz w:val="22"/>
          <w:szCs w:val="22"/>
        </w:rPr>
        <w:noBreakHyphen/>
        <w:t>Side Programs and Projects</w:t>
      </w:r>
      <w:r w:rsidRPr="00AF46D2">
        <w:rPr>
          <w:sz w:val="22"/>
          <w:szCs w:val="22"/>
        </w:rPr>
        <w:t>, July 2002, at 18, (</w:t>
      </w:r>
      <w:r w:rsidRPr="00AF46D2">
        <w:rPr>
          <w:i/>
          <w:sz w:val="22"/>
          <w:szCs w:val="22"/>
        </w:rPr>
        <w:t>California Manual</w:t>
      </w:r>
      <w:r w:rsidRPr="00AF46D2">
        <w:rPr>
          <w:sz w:val="22"/>
          <w:szCs w:val="22"/>
        </w:rPr>
        <w:t xml:space="preserve">).  </w:t>
      </w:r>
      <w:r w:rsidRPr="00AF46D2">
        <w:rPr>
          <w:i/>
          <w:sz w:val="22"/>
          <w:szCs w:val="22"/>
        </w:rPr>
        <w:t>See</w:t>
      </w:r>
      <w:r w:rsidRPr="00AF46D2">
        <w:rPr>
          <w:sz w:val="22"/>
          <w:szCs w:val="22"/>
        </w:rPr>
        <w:t xml:space="preserve"> </w:t>
      </w:r>
      <w:hyperlink r:id="rId2" w:history="1">
        <w:r w:rsidRPr="00AF46D2">
          <w:rPr>
            <w:rStyle w:val="Hyperlink"/>
            <w:sz w:val="22"/>
            <w:szCs w:val="22"/>
          </w:rPr>
          <w:t>http://drrc.lbl.gov/pubs/CA-SPManual-7-02.pdf</w:t>
        </w:r>
      </w:hyperlink>
      <w:r w:rsidRPr="00AF46D2">
        <w:rPr>
          <w:color w:val="0D0D0D" w:themeColor="text1" w:themeTint="F2"/>
          <w:sz w:val="22"/>
          <w:szCs w:val="22"/>
        </w:rPr>
        <w:t>.</w:t>
      </w:r>
      <w:r w:rsidRPr="00AF46D2">
        <w:rPr>
          <w:color w:val="000000"/>
          <w:sz w:val="22"/>
          <w:szCs w:val="22"/>
        </w:rPr>
        <w:t xml:space="preserve"> </w:t>
      </w:r>
    </w:p>
  </w:footnote>
  <w:footnote w:id="3">
    <w:p w:rsidR="00654773" w:rsidRPr="00AF46D2" w:rsidRDefault="00654773">
      <w:pPr>
        <w:pStyle w:val="FootnoteText"/>
        <w:rPr>
          <w:i/>
          <w:sz w:val="22"/>
          <w:szCs w:val="22"/>
        </w:rPr>
      </w:pPr>
      <w:r w:rsidRPr="00AF46D2">
        <w:rPr>
          <w:rStyle w:val="FootnoteReference"/>
          <w:sz w:val="22"/>
          <w:szCs w:val="22"/>
        </w:rPr>
        <w:footnoteRef/>
      </w:r>
      <w:r w:rsidRPr="00AF46D2">
        <w:rPr>
          <w:sz w:val="22"/>
          <w:szCs w:val="22"/>
        </w:rPr>
        <w:t xml:space="preserve">  </w:t>
      </w:r>
      <w:r w:rsidRPr="00AF46D2">
        <w:rPr>
          <w:i/>
          <w:sz w:val="22"/>
          <w:szCs w:val="22"/>
        </w:rPr>
        <w:t>See</w:t>
      </w:r>
      <w:r w:rsidRPr="00AF46D2">
        <w:rPr>
          <w:sz w:val="22"/>
          <w:szCs w:val="22"/>
        </w:rPr>
        <w:t xml:space="preserve"> </w:t>
      </w:r>
      <w:hyperlink r:id="rId3" w:history="1">
        <w:r w:rsidRPr="00AF46D2">
          <w:rPr>
            <w:rStyle w:val="Hyperlink"/>
            <w:sz w:val="22"/>
            <w:szCs w:val="22"/>
          </w:rPr>
          <w:t>http://www.puc.state.pa.us/electric/Act_129_info.aspx</w:t>
        </w:r>
      </w:hyperlink>
      <w:r w:rsidRPr="00AF46D2">
        <w:rPr>
          <w:sz w:val="22"/>
          <w:szCs w:val="22"/>
        </w:rPr>
        <w:t xml:space="preserve">. </w:t>
      </w:r>
    </w:p>
  </w:footnote>
  <w:footnote w:id="4">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We have duly considered all comments whether or not discussion herein specifically mentions a particular point.  Any issue that we do not specifically address herein has been duly considered and will be denied without further discussion.  It is well settled that we are not required to consider expressly or at length each contention or argument raised by the parties.  </w:t>
      </w:r>
      <w:r w:rsidRPr="00AF46D2">
        <w:rPr>
          <w:i/>
          <w:iCs/>
          <w:sz w:val="22"/>
          <w:szCs w:val="22"/>
        </w:rPr>
        <w:t>Wheeling &amp; Lake Erie Railway Co. v. Pa. PUC</w:t>
      </w:r>
      <w:r w:rsidRPr="00AF46D2">
        <w:rPr>
          <w:sz w:val="22"/>
          <w:szCs w:val="22"/>
        </w:rPr>
        <w:t>, 778 A.2d 785, 794 (Pa. Cmwlth. 2001)</w:t>
      </w:r>
      <w:r w:rsidRPr="00AF46D2">
        <w:rPr>
          <w:i/>
          <w:iCs/>
          <w:sz w:val="22"/>
          <w:szCs w:val="22"/>
        </w:rPr>
        <w:t xml:space="preserve">, </w:t>
      </w:r>
      <w:r w:rsidRPr="00AF46D2">
        <w:rPr>
          <w:sz w:val="22"/>
          <w:szCs w:val="22"/>
        </w:rPr>
        <w:t xml:space="preserve">also </w:t>
      </w:r>
      <w:r w:rsidRPr="00AF46D2">
        <w:rPr>
          <w:i/>
          <w:iCs/>
          <w:sz w:val="22"/>
          <w:szCs w:val="22"/>
        </w:rPr>
        <w:t>see, generally, Univ. of PA v. Pa. PUC</w:t>
      </w:r>
      <w:r w:rsidRPr="00AF46D2">
        <w:rPr>
          <w:sz w:val="22"/>
          <w:szCs w:val="22"/>
        </w:rPr>
        <w:t xml:space="preserve">, 485 A.2d 1217 (Pa. Cmwlth. 1984). </w:t>
      </w:r>
    </w:p>
  </w:footnote>
  <w:footnote w:id="5">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This section recaps discussion from the </w:t>
      </w:r>
      <w:r w:rsidRPr="00AF46D2">
        <w:rPr>
          <w:i/>
          <w:sz w:val="22"/>
          <w:szCs w:val="22"/>
        </w:rPr>
        <w:t>Implementation Order</w:t>
      </w:r>
      <w:r w:rsidRPr="00AF46D2">
        <w:rPr>
          <w:sz w:val="22"/>
          <w:szCs w:val="22"/>
        </w:rPr>
        <w:t xml:space="preserve"> without further specific attribution.</w:t>
      </w:r>
    </w:p>
  </w:footnote>
  <w:footnote w:id="6">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By this, we mean to say that we will look at avoided supply costs such as the reduction in forecasted zonal wholesale electric generation prices, ancillary services, losses, generation capacity, transmission capacity, and distribution capacity.</w:t>
      </w:r>
    </w:p>
  </w:footnote>
  <w:footnote w:id="7">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In this regard, we hereby clarify that the TRC test will use the </w:t>
      </w:r>
      <w:r w:rsidRPr="00AF46D2">
        <w:rPr>
          <w:i/>
          <w:sz w:val="22"/>
          <w:szCs w:val="22"/>
        </w:rPr>
        <w:t>incremental</w:t>
      </w:r>
      <w:r w:rsidRPr="00AF46D2">
        <w:rPr>
          <w:sz w:val="22"/>
          <w:szCs w:val="22"/>
        </w:rPr>
        <w:t xml:space="preserve"> costs of services and equipment.   This matter is discussed in more detail below in the segment addressing incentive payments from an EDC.  </w:t>
      </w:r>
    </w:p>
  </w:footnote>
  <w:footnote w:id="8">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w:t>
      </w:r>
      <w:r w:rsidRPr="00AF46D2">
        <w:rPr>
          <w:i/>
          <w:sz w:val="22"/>
          <w:szCs w:val="22"/>
        </w:rPr>
        <w:t>See</w:t>
      </w:r>
      <w:r w:rsidRPr="00AF46D2">
        <w:rPr>
          <w:sz w:val="22"/>
          <w:szCs w:val="22"/>
        </w:rPr>
        <w:t xml:space="preserve"> the Appendix of this order.  </w:t>
      </w:r>
      <w:r w:rsidRPr="00AF46D2">
        <w:rPr>
          <w:i/>
          <w:sz w:val="22"/>
          <w:szCs w:val="22"/>
        </w:rPr>
        <w:t>See</w:t>
      </w:r>
      <w:r w:rsidRPr="00AF46D2">
        <w:rPr>
          <w:sz w:val="22"/>
          <w:szCs w:val="22"/>
        </w:rPr>
        <w:t xml:space="preserve">, </w:t>
      </w:r>
      <w:r w:rsidRPr="00AF46D2">
        <w:rPr>
          <w:i/>
          <w:sz w:val="22"/>
          <w:szCs w:val="22"/>
        </w:rPr>
        <w:t>also</w:t>
      </w:r>
      <w:r w:rsidRPr="00AF46D2">
        <w:rPr>
          <w:sz w:val="22"/>
          <w:szCs w:val="22"/>
        </w:rPr>
        <w:t xml:space="preserve">, </w:t>
      </w:r>
      <w:r w:rsidRPr="00AF46D2">
        <w:rPr>
          <w:i/>
          <w:sz w:val="22"/>
          <w:szCs w:val="22"/>
        </w:rPr>
        <w:t>California Manual</w:t>
      </w:r>
      <w:r w:rsidRPr="00AF46D2">
        <w:rPr>
          <w:sz w:val="22"/>
          <w:szCs w:val="22"/>
        </w:rPr>
        <w:t xml:space="preserve"> (at 18</w:t>
      </w:r>
      <w:r w:rsidRPr="00AF46D2">
        <w:rPr>
          <w:sz w:val="22"/>
          <w:szCs w:val="22"/>
        </w:rPr>
        <w:noBreakHyphen/>
        <w:t xml:space="preserve">19) for the underlying methodology to calculate the NPV and B/C ratio of the TRC test.  </w:t>
      </w:r>
    </w:p>
  </w:footnote>
  <w:footnote w:id="9">
    <w:p w:rsidR="00654773" w:rsidRPr="00AF46D2" w:rsidRDefault="00654773" w:rsidP="00741B1A">
      <w:pPr>
        <w:rPr>
          <w:sz w:val="22"/>
          <w:szCs w:val="22"/>
        </w:rPr>
      </w:pPr>
      <w:r w:rsidRPr="00AF46D2">
        <w:rPr>
          <w:rStyle w:val="FootnoteReference"/>
          <w:sz w:val="22"/>
          <w:szCs w:val="22"/>
        </w:rPr>
        <w:footnoteRef/>
      </w:r>
      <w:r w:rsidRPr="00AF46D2">
        <w:rPr>
          <w:sz w:val="22"/>
          <w:szCs w:val="22"/>
        </w:rPr>
        <w:t xml:space="preserve">  The July 1, 2009 due date for the EDCs’ EE&amp;C plans was established by Act 129.  The amendment provision contemplated herein relates solely to TRC test items that cannot reasonably be incorporated into an EDC’s EE&amp;C plan by July 1, 2009; it is not a blanket waiver of the due date for an EDC’s EE&amp;C plan, in whole or in part.  The EE&amp;C plans are due July 1, 2009, and must contain all the requisite elements based upon the statute and the template, including provisions for TRC testing.  </w:t>
      </w:r>
      <w:r w:rsidRPr="00AF46D2">
        <w:rPr>
          <w:i/>
          <w:sz w:val="22"/>
          <w:szCs w:val="22"/>
        </w:rPr>
        <w:t>See</w:t>
      </w:r>
      <w:r w:rsidRPr="00AF46D2">
        <w:rPr>
          <w:sz w:val="22"/>
          <w:szCs w:val="22"/>
        </w:rPr>
        <w:t xml:space="preserve"> our May 7, 2009 Secretarial letter for detailed instructions on the timely and complete filing of EE&amp;C plans that are due on or before July 1, 2009; the Secretarial letter may be found on our website at </w:t>
      </w:r>
      <w:hyperlink r:id="rId4" w:history="1">
        <w:r w:rsidRPr="00AF46D2">
          <w:rPr>
            <w:rStyle w:val="Hyperlink"/>
            <w:sz w:val="22"/>
            <w:szCs w:val="22"/>
          </w:rPr>
          <w:t>http://www.puc.state.pa.us/electric/Act_129_info.aspx</w:t>
        </w:r>
      </w:hyperlink>
      <w:r w:rsidRPr="00AF46D2">
        <w:rPr>
          <w:sz w:val="22"/>
          <w:szCs w:val="22"/>
        </w:rPr>
        <w:t xml:space="preserve">.   </w:t>
      </w:r>
    </w:p>
  </w:footnote>
  <w:footnote w:id="10">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The Alternative Energy Investment Act, </w:t>
      </w:r>
      <w:r w:rsidR="005A06CA">
        <w:rPr>
          <w:sz w:val="22"/>
          <w:szCs w:val="22"/>
        </w:rPr>
        <w:t xml:space="preserve">73 </w:t>
      </w:r>
      <w:r w:rsidR="000329CF">
        <w:rPr>
          <w:sz w:val="22"/>
          <w:szCs w:val="22"/>
        </w:rPr>
        <w:t>P.</w:t>
      </w:r>
      <w:r w:rsidRPr="00AF46D2">
        <w:rPr>
          <w:sz w:val="22"/>
          <w:szCs w:val="22"/>
        </w:rPr>
        <w:t>S. §§ 1</w:t>
      </w:r>
      <w:r w:rsidR="005A06CA">
        <w:rPr>
          <w:sz w:val="22"/>
          <w:szCs w:val="22"/>
        </w:rPr>
        <w:t>649.101 – 1649.711</w:t>
      </w:r>
      <w:r w:rsidRPr="00AF46D2">
        <w:rPr>
          <w:i/>
          <w:sz w:val="22"/>
          <w:szCs w:val="22"/>
        </w:rPr>
        <w:t>.</w:t>
      </w:r>
      <w:r w:rsidRPr="00AF46D2">
        <w:rPr>
          <w:sz w:val="22"/>
          <w:szCs w:val="22"/>
        </w:rPr>
        <w:t xml:space="preserve">  Act 1 of 2008 (Act 1) provides incentives including grants, loans, rebates, and tax credits for individuals, businesses, </w:t>
      </w:r>
      <w:r w:rsidR="00002D02" w:rsidRPr="00AF46D2">
        <w:rPr>
          <w:sz w:val="22"/>
          <w:szCs w:val="22"/>
        </w:rPr>
        <w:t>nonprofit</w:t>
      </w:r>
      <w:r w:rsidRPr="00AF46D2">
        <w:rPr>
          <w:sz w:val="22"/>
          <w:szCs w:val="22"/>
        </w:rPr>
        <w:t xml:space="preserve"> economic development organizations, and political subdivisions.  Incentives are provided for energy efficiency measures, energy conservation measures, and alternative energy generators.  Act 1 programs are administered by the Pennsylvania Department of Environmental Protection, the Pennsylvania Department of Economic Development, the Pennsylvania Treasury Department, and the Pennsylvania Housing and Finance Agency. </w:t>
      </w:r>
    </w:p>
  </w:footnote>
  <w:footnote w:id="11">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Within each EDC’s EE&amp;C plan, there will be numerous programs.  Such Act 129 programs could consist of a group of projects with similar characteristics and installed in similar applications.  An example would be a residential high efficiency appliance rebate program.</w:t>
      </w:r>
      <w:r w:rsidRPr="00AF46D2" w:rsidDel="00A501E4">
        <w:rPr>
          <w:sz w:val="22"/>
          <w:szCs w:val="22"/>
        </w:rPr>
        <w:t xml:space="preserve"> </w:t>
      </w:r>
    </w:p>
  </w:footnote>
  <w:footnote w:id="12">
    <w:p w:rsidR="00654773" w:rsidRPr="00AF46D2"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For the purposes of TRC testing, we shall require EDCs to credit self-generation customers at the full retail rate when estimating avoided energy and capacity costs for the calculation of the benefits in the TRC test.  This is consistent with the regulations we adopted on July 2, 008, pursuant to Section 1648.5 of the Alternative Energy Portfolio Standards Act, 73 P.S. § 1648.1, </w:t>
      </w:r>
      <w:r w:rsidRPr="00AF46D2">
        <w:rPr>
          <w:i/>
          <w:sz w:val="22"/>
          <w:szCs w:val="22"/>
        </w:rPr>
        <w:t>et seq</w:t>
      </w:r>
      <w:r w:rsidRPr="00AF46D2">
        <w:rPr>
          <w:sz w:val="22"/>
          <w:szCs w:val="22"/>
        </w:rPr>
        <w:t xml:space="preserve">., (AEPS), relative to net metering.  In particular, we modified Section 75.13(c) to read, in part:  “The EDC shall credit a customer-generator at the full retail rate, which shall include generation, transmission, and distribution charges, for each kilowatt-hour produced. . . .”  52 Pa. Code § 75.13(c).  </w:t>
      </w:r>
    </w:p>
  </w:footnote>
  <w:footnote w:id="13">
    <w:p w:rsidR="00654773" w:rsidRPr="00AF46D2" w:rsidRDefault="00654773" w:rsidP="00B66880">
      <w:pPr>
        <w:rPr>
          <w:sz w:val="22"/>
          <w:szCs w:val="22"/>
        </w:rPr>
      </w:pPr>
      <w:r w:rsidRPr="00AF46D2">
        <w:rPr>
          <w:rStyle w:val="FootnoteReference"/>
          <w:sz w:val="22"/>
          <w:szCs w:val="22"/>
        </w:rPr>
        <w:footnoteRef/>
      </w:r>
      <w:r w:rsidRPr="00AF46D2">
        <w:rPr>
          <w:sz w:val="22"/>
          <w:szCs w:val="22"/>
        </w:rPr>
        <w:t xml:space="preserve">  PJM Interconnection (PJM) is a federally-regulated regional transmission organization (RTO) that coordinates the movement of wholesale electricity in all or parts of 13 states, including Pennsylvania, and the District of Columbia. </w:t>
      </w:r>
    </w:p>
  </w:footnote>
  <w:footnote w:id="14">
    <w:p w:rsidR="00654773" w:rsidRPr="00AF46D2"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w:t>
      </w:r>
      <w:r w:rsidRPr="00AF46D2">
        <w:rPr>
          <w:i/>
          <w:sz w:val="22"/>
          <w:szCs w:val="22"/>
        </w:rPr>
        <w:t xml:space="preserve">See </w:t>
      </w:r>
      <w:r w:rsidRPr="00AF46D2">
        <w:rPr>
          <w:sz w:val="22"/>
          <w:szCs w:val="22"/>
        </w:rPr>
        <w:t xml:space="preserve"> </w:t>
      </w:r>
      <w:hyperlink r:id="rId5" w:history="1">
        <w:r w:rsidRPr="00AF46D2">
          <w:rPr>
            <w:rStyle w:val="Hyperlink"/>
            <w:sz w:val="22"/>
            <w:szCs w:val="22"/>
          </w:rPr>
          <w:t>http://www.nymex.com/JM_term.aspx</w:t>
        </w:r>
      </w:hyperlink>
      <w:r w:rsidRPr="00AF46D2">
        <w:rPr>
          <w:sz w:val="22"/>
          <w:szCs w:val="22"/>
        </w:rPr>
        <w:t>.</w:t>
      </w:r>
    </w:p>
  </w:footnote>
  <w:footnote w:id="15">
    <w:p w:rsidR="00654773" w:rsidRPr="00AF46D2" w:rsidRDefault="00654773" w:rsidP="00B95716">
      <w:pPr>
        <w:rPr>
          <w:sz w:val="22"/>
          <w:szCs w:val="22"/>
        </w:rPr>
      </w:pPr>
      <w:r w:rsidRPr="00AF46D2">
        <w:rPr>
          <w:rStyle w:val="FootnoteReference"/>
          <w:sz w:val="22"/>
          <w:szCs w:val="22"/>
        </w:rPr>
        <w:footnoteRef/>
      </w:r>
      <w:r w:rsidRPr="00AF46D2">
        <w:rPr>
          <w:sz w:val="22"/>
          <w:szCs w:val="22"/>
        </w:rPr>
        <w:t xml:space="preserve">  “Spark price spread” can be defined as the difference between the price of electricity sold by a generator and the price of the fuel used to generate it, adjusted for equivalent units.  The spark price spread can be expressed in $/MWh or $/MMBTUs (or other applicable units).  To express in $/MWh, the spread is calculated by multiplying the price of gas, for example (in $/MMBTU), by the heat rate (in BTU/KWh), dividing by 1,000, and then subtracting from the electricity price (in $/MWh).  The heat rate is defined as the ratio of energy inputs used by a generating facility expressed in BTUs (British Thermal Units), to the energy output of that facility expressed in kilowatt-hours.  </w:t>
      </w:r>
      <w:r w:rsidRPr="00AF46D2">
        <w:rPr>
          <w:i/>
          <w:sz w:val="22"/>
          <w:szCs w:val="22"/>
        </w:rPr>
        <w:t>See</w:t>
      </w:r>
      <w:r w:rsidRPr="00AF46D2">
        <w:rPr>
          <w:sz w:val="22"/>
          <w:szCs w:val="22"/>
        </w:rPr>
        <w:t xml:space="preserve"> </w:t>
      </w:r>
      <w:hyperlink r:id="rId6" w:history="1">
        <w:r w:rsidRPr="00AF46D2">
          <w:rPr>
            <w:rStyle w:val="Hyperlink"/>
            <w:sz w:val="22"/>
            <w:szCs w:val="22"/>
          </w:rPr>
          <w:t>http://moneyterms.co.uk/spark-spread/</w:t>
        </w:r>
      </w:hyperlink>
      <w:r w:rsidRPr="00AF46D2">
        <w:rPr>
          <w:sz w:val="22"/>
          <w:szCs w:val="22"/>
        </w:rPr>
        <w:t>.</w:t>
      </w:r>
    </w:p>
  </w:footnote>
  <w:footnote w:id="16">
    <w:p w:rsidR="00654773" w:rsidRPr="00AF46D2"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US Energy Information Agency (EIA) within the US Department of Energy; develops official energy statistics for the US government.  </w:t>
      </w:r>
    </w:p>
  </w:footnote>
  <w:footnote w:id="17">
    <w:p w:rsidR="00654773" w:rsidRPr="00AF46D2"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Annual Energy Outlook (AEO); a compilation of various energy price projections.</w:t>
      </w:r>
    </w:p>
  </w:footnote>
  <w:footnote w:id="18">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Instead of EIA’s AEO electric price projections or the NYMEX electric futures/NYMEX PJM electric generation futures price.</w:t>
      </w:r>
    </w:p>
  </w:footnote>
  <w:footnote w:id="19">
    <w:p w:rsidR="00654773" w:rsidRPr="007A282D"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We note the </w:t>
      </w:r>
      <w:r w:rsidRPr="00654773">
        <w:rPr>
          <w:sz w:val="22"/>
          <w:szCs w:val="22"/>
        </w:rPr>
        <w:t>lower trading volumes over the mid to longer time horizons.  We also note the regulatory criticisms of NYMEX during the recent past.  Finally, we note the existence of the IntercontinentalExchange</w:t>
      </w:r>
      <w:r w:rsidRPr="00654773">
        <w:rPr>
          <w:color w:val="2D2D2D"/>
          <w:sz w:val="22"/>
          <w:szCs w:val="22"/>
          <w:vertAlign w:val="superscript"/>
        </w:rPr>
        <w:t>®</w:t>
      </w:r>
      <w:r w:rsidRPr="00654773">
        <w:rPr>
          <w:sz w:val="22"/>
          <w:szCs w:val="22"/>
        </w:rPr>
        <w:t xml:space="preserve"> (ICE</w:t>
      </w:r>
      <w:r w:rsidRPr="00654773">
        <w:rPr>
          <w:color w:val="2D2D2D"/>
          <w:sz w:val="22"/>
          <w:szCs w:val="22"/>
          <w:vertAlign w:val="superscript"/>
        </w:rPr>
        <w:t>®</w:t>
      </w:r>
      <w:r w:rsidRPr="00654773">
        <w:rPr>
          <w:sz w:val="22"/>
          <w:szCs w:val="22"/>
        </w:rPr>
        <w:t xml:space="preserve">), which </w:t>
      </w:r>
      <w:r w:rsidRPr="00654773">
        <w:rPr>
          <w:color w:val="2D2D2D"/>
          <w:sz w:val="22"/>
          <w:szCs w:val="22"/>
        </w:rPr>
        <w:t>operates regulated global futures exchanges and over-the-</w:t>
      </w:r>
      <w:r w:rsidRPr="007A282D">
        <w:rPr>
          <w:color w:val="2D2D2D"/>
          <w:sz w:val="22"/>
          <w:szCs w:val="22"/>
        </w:rPr>
        <w:t>counter (OTC) markets for energy contracts</w:t>
      </w:r>
      <w:r w:rsidRPr="007A282D">
        <w:rPr>
          <w:sz w:val="22"/>
          <w:szCs w:val="22"/>
        </w:rPr>
        <w:t xml:space="preserve">.  Even given the foregoing, we prefer, at this time, to use NYMEX energy data due to its more consistent ability to reflect market behavior.  </w:t>
      </w:r>
    </w:p>
  </w:footnote>
  <w:footnote w:id="20">
    <w:p w:rsidR="00654773" w:rsidRPr="007A282D" w:rsidRDefault="00654773" w:rsidP="00B95716">
      <w:pPr>
        <w:pStyle w:val="FootnoteText"/>
        <w:rPr>
          <w:sz w:val="22"/>
          <w:szCs w:val="22"/>
        </w:rPr>
      </w:pPr>
      <w:r w:rsidRPr="007A282D">
        <w:rPr>
          <w:rStyle w:val="FootnoteReference"/>
          <w:sz w:val="22"/>
          <w:szCs w:val="22"/>
        </w:rPr>
        <w:footnoteRef/>
      </w:r>
      <w:r w:rsidRPr="007A282D">
        <w:rPr>
          <w:sz w:val="22"/>
          <w:szCs w:val="22"/>
        </w:rPr>
        <w:t xml:space="preserve">  That heat rate, for an n</w:t>
      </w:r>
      <w:r w:rsidRPr="007A282D">
        <w:rPr>
          <w:sz w:val="22"/>
          <w:szCs w:val="22"/>
          <w:vertAlign w:val="superscript"/>
        </w:rPr>
        <w:t>th</w:t>
      </w:r>
      <w:r w:rsidRPr="007A282D">
        <w:rPr>
          <w:sz w:val="22"/>
          <w:szCs w:val="22"/>
        </w:rPr>
        <w:t xml:space="preserve"> of its kind Convention Combustion turbine, is 10,450 BTU/kWh.  </w:t>
      </w:r>
      <w:r w:rsidRPr="007A282D">
        <w:rPr>
          <w:i/>
          <w:sz w:val="22"/>
          <w:szCs w:val="22"/>
        </w:rPr>
        <w:t>See</w:t>
      </w:r>
      <w:r w:rsidRPr="007A282D">
        <w:rPr>
          <w:sz w:val="22"/>
          <w:szCs w:val="22"/>
        </w:rPr>
        <w:t xml:space="preserve"> </w:t>
      </w:r>
      <w:hyperlink r:id="rId7" w:history="1">
        <w:r w:rsidRPr="007A282D">
          <w:rPr>
            <w:rStyle w:val="Hyperlink"/>
            <w:sz w:val="22"/>
            <w:szCs w:val="22"/>
          </w:rPr>
          <w:t>http://www.eia.doe.gov/oiaf/aeo/assumption/electricity.html</w:t>
        </w:r>
      </w:hyperlink>
    </w:p>
  </w:footnote>
  <w:footnote w:id="21">
    <w:p w:rsidR="00654773" w:rsidRPr="00AF46D2" w:rsidRDefault="00654773" w:rsidP="000F5EC0">
      <w:pPr>
        <w:pStyle w:val="FootnoteText"/>
        <w:rPr>
          <w:sz w:val="22"/>
          <w:szCs w:val="22"/>
        </w:rPr>
      </w:pPr>
      <w:r w:rsidRPr="007A282D">
        <w:rPr>
          <w:rStyle w:val="FootnoteReference"/>
          <w:sz w:val="22"/>
          <w:szCs w:val="22"/>
        </w:rPr>
        <w:footnoteRef/>
      </w:r>
      <w:r w:rsidRPr="007A282D">
        <w:rPr>
          <w:sz w:val="22"/>
          <w:szCs w:val="22"/>
        </w:rPr>
        <w:t xml:space="preserve">  </w:t>
      </w:r>
      <w:r w:rsidRPr="007A282D">
        <w:rPr>
          <w:i/>
          <w:sz w:val="22"/>
          <w:szCs w:val="22"/>
        </w:rPr>
        <w:t>See</w:t>
      </w:r>
      <w:r w:rsidRPr="007A282D">
        <w:rPr>
          <w:color w:val="0D0D0D"/>
          <w:sz w:val="22"/>
          <w:szCs w:val="22"/>
        </w:rPr>
        <w:t xml:space="preserve"> line 2215 of the EIA 2009 AEO at </w:t>
      </w:r>
      <w:hyperlink r:id="rId8" w:tgtFrame="_blank" w:history="1">
        <w:r w:rsidRPr="007A282D">
          <w:rPr>
            <w:rStyle w:val="Hyperlink"/>
            <w:color w:val="0D0D0D"/>
            <w:sz w:val="22"/>
            <w:szCs w:val="22"/>
          </w:rPr>
          <w:t>http://www.eia.doe.gov/oiaf/aeo/supplement/stimulus/regionalarra.html</w:t>
        </w:r>
      </w:hyperlink>
      <w:r w:rsidRPr="007A282D">
        <w:rPr>
          <w:color w:val="0D0D0D"/>
          <w:sz w:val="22"/>
          <w:szCs w:val="22"/>
        </w:rPr>
        <w:t>.</w:t>
      </w:r>
    </w:p>
  </w:footnote>
  <w:footnote w:id="22">
    <w:p w:rsidR="00654773" w:rsidRPr="00AF46D2"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w:t>
      </w:r>
      <w:r w:rsidRPr="00AF46D2">
        <w:rPr>
          <w:i/>
          <w:sz w:val="22"/>
          <w:szCs w:val="22"/>
        </w:rPr>
        <w:t>See</w:t>
      </w:r>
      <w:r w:rsidRPr="00AF46D2">
        <w:rPr>
          <w:sz w:val="22"/>
          <w:szCs w:val="22"/>
        </w:rPr>
        <w:t xml:space="preserve"> </w:t>
      </w:r>
      <w:hyperlink r:id="rId9" w:history="1">
        <w:r w:rsidRPr="00AF46D2">
          <w:rPr>
            <w:rStyle w:val="Hyperlink"/>
            <w:sz w:val="22"/>
            <w:szCs w:val="22"/>
          </w:rPr>
          <w:t>http://www.eia.doe.gov/oiaf/analysispaper/retrospective/pdf/table2.pdf</w:t>
        </w:r>
      </w:hyperlink>
      <w:r w:rsidRPr="00AF46D2">
        <w:rPr>
          <w:sz w:val="22"/>
          <w:szCs w:val="22"/>
        </w:rPr>
        <w:t>.</w:t>
      </w:r>
    </w:p>
  </w:footnote>
  <w:footnote w:id="23">
    <w:p w:rsidR="00654773" w:rsidRPr="00AF46D2"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Reliability Pricing Model; for capacity pricing.</w:t>
      </w:r>
    </w:p>
  </w:footnote>
  <w:footnote w:id="24">
    <w:p w:rsidR="00654773" w:rsidRPr="00AF46D2"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w:t>
      </w:r>
      <w:hyperlink r:id="rId10" w:history="1">
        <w:r w:rsidRPr="00AF46D2">
          <w:rPr>
            <w:rStyle w:val="Hyperlink"/>
            <w:rFonts w:cs="Bell Gothic Std Light"/>
            <w:bCs/>
            <w:sz w:val="22"/>
            <w:szCs w:val="22"/>
          </w:rPr>
          <w:t>http://data.bls.gov/PDQ/servlet/SurveyOutputServlet?series_id=PCU221110221110</w:t>
        </w:r>
      </w:hyperlink>
      <w:r w:rsidRPr="00AF46D2">
        <w:rPr>
          <w:rFonts w:cs="Bell Gothic Std Light"/>
          <w:bCs/>
          <w:color w:val="000000"/>
          <w:sz w:val="22"/>
          <w:szCs w:val="22"/>
        </w:rPr>
        <w:t>.  This escalator is widely accepted in the industry and financial markets, energy-industry-specific, readily ascertainable, and easy to use.  Like its more familiar counterparts, the BLS’ Consumer Price Index (CPI) and the Producer Price Index (PPI), it will produce expected values of future market variables within reasonable limits.  The debate herein was not whether to use an escalator, but rather which escalator to use.  Accordingly, we shall use the BLS escalator.</w:t>
      </w:r>
    </w:p>
  </w:footnote>
  <w:footnote w:id="25">
    <w:p w:rsidR="00654773" w:rsidRPr="00A87C7D" w:rsidRDefault="00654773" w:rsidP="004F1151">
      <w:pPr>
        <w:pStyle w:val="FootnoteText"/>
        <w:rPr>
          <w:sz w:val="22"/>
          <w:szCs w:val="22"/>
        </w:rPr>
      </w:pPr>
      <w:r w:rsidRPr="00A87C7D">
        <w:rPr>
          <w:rStyle w:val="FootnoteReference"/>
          <w:sz w:val="22"/>
          <w:szCs w:val="22"/>
        </w:rPr>
        <w:footnoteRef/>
      </w:r>
      <w:r w:rsidRPr="00A87C7D">
        <w:rPr>
          <w:sz w:val="22"/>
          <w:szCs w:val="22"/>
        </w:rPr>
        <w:t xml:space="preserve">  Reliability Pricing Model; for capacity pricing.</w:t>
      </w:r>
    </w:p>
  </w:footnote>
  <w:footnote w:id="26">
    <w:p w:rsidR="00654773" w:rsidRPr="007A282D" w:rsidRDefault="00654773" w:rsidP="004F1151">
      <w:pPr>
        <w:pStyle w:val="FootnoteText"/>
        <w:rPr>
          <w:sz w:val="22"/>
          <w:szCs w:val="22"/>
        </w:rPr>
      </w:pPr>
      <w:r w:rsidRPr="00A87C7D">
        <w:rPr>
          <w:rStyle w:val="FootnoteReference"/>
          <w:sz w:val="22"/>
          <w:szCs w:val="22"/>
        </w:rPr>
        <w:footnoteRef/>
      </w:r>
      <w:r w:rsidRPr="00A87C7D">
        <w:rPr>
          <w:sz w:val="22"/>
          <w:szCs w:val="22"/>
        </w:rPr>
        <w:t xml:space="preserve">  </w:t>
      </w:r>
      <w:hyperlink r:id="rId11" w:history="1">
        <w:r w:rsidRPr="00A87C7D">
          <w:rPr>
            <w:rStyle w:val="Hyperlink"/>
            <w:rFonts w:cs="Bell Gothic Std Light"/>
            <w:bCs/>
            <w:sz w:val="22"/>
            <w:szCs w:val="22"/>
          </w:rPr>
          <w:t>http://data.bls.gov/PDQ/servlet/SurveyOutputServlet?series_id=PCU221110221110</w:t>
        </w:r>
      </w:hyperlink>
      <w:r w:rsidRPr="00A87C7D">
        <w:rPr>
          <w:rFonts w:cs="Bell Gothic Std Light"/>
          <w:bCs/>
          <w:color w:val="000000"/>
          <w:sz w:val="22"/>
          <w:szCs w:val="22"/>
        </w:rPr>
        <w:t xml:space="preserve">.  This escalator is widely accepted in the industry and financial markets, energy-industry-specific, readily ascertainable, and easy to use.  Like its more familiar counterparts, the BLS’ Consumer Price Index (CPI) and the Producer Price Index (PPI), it will produce expected values of future market variables within reasonable limits.  The debate herein was not whether to use an escalator, but rather which escalator to use.  Accordingly, we </w:t>
      </w:r>
      <w:r w:rsidRPr="007A282D">
        <w:rPr>
          <w:rFonts w:cs="Bell Gothic Std Light"/>
          <w:bCs/>
          <w:color w:val="000000"/>
          <w:sz w:val="22"/>
          <w:szCs w:val="22"/>
        </w:rPr>
        <w:t>shall use the BLS escalator.</w:t>
      </w:r>
    </w:p>
  </w:footnote>
  <w:footnote w:id="27">
    <w:p w:rsidR="00654773" w:rsidRPr="007A282D" w:rsidRDefault="00654773" w:rsidP="004F1151">
      <w:pPr>
        <w:pStyle w:val="FootnoteText"/>
        <w:rPr>
          <w:sz w:val="22"/>
          <w:szCs w:val="22"/>
        </w:rPr>
      </w:pPr>
      <w:r w:rsidRPr="007A282D">
        <w:rPr>
          <w:rStyle w:val="FootnoteReference"/>
          <w:sz w:val="22"/>
          <w:szCs w:val="22"/>
        </w:rPr>
        <w:footnoteRef/>
      </w:r>
      <w:r w:rsidRPr="007A282D">
        <w:rPr>
          <w:sz w:val="22"/>
          <w:szCs w:val="22"/>
        </w:rPr>
        <w:t xml:space="preserve">  Peak day reduction programs often do not reduce energy usage; they usually result in shifting usage to off-peak hours.  </w:t>
      </w:r>
    </w:p>
  </w:footnote>
  <w:footnote w:id="28">
    <w:p w:rsidR="00654773" w:rsidRPr="00A87C7D" w:rsidRDefault="00654773" w:rsidP="004F1151">
      <w:pPr>
        <w:pStyle w:val="FootnoteText"/>
        <w:rPr>
          <w:sz w:val="22"/>
          <w:szCs w:val="22"/>
        </w:rPr>
      </w:pPr>
      <w:r w:rsidRPr="007A282D">
        <w:rPr>
          <w:rStyle w:val="FootnoteReference"/>
          <w:sz w:val="22"/>
          <w:szCs w:val="22"/>
        </w:rPr>
        <w:footnoteRef/>
      </w:r>
      <w:r w:rsidRPr="007A282D">
        <w:rPr>
          <w:sz w:val="22"/>
          <w:szCs w:val="22"/>
        </w:rPr>
        <w:t xml:space="preserve">  We recognize that load profile assumptions will probably vary for each project and program and that it may be easier to discuss specific projects and programs using cents/kWh so long as all the load profile assumptions are clearly delineated for the specific program or project.</w:t>
      </w:r>
      <w:r>
        <w:rPr>
          <w:sz w:val="22"/>
          <w:szCs w:val="22"/>
        </w:rPr>
        <w:t xml:space="preserve">  </w:t>
      </w:r>
    </w:p>
  </w:footnote>
  <w:footnote w:id="29">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Provider of last resort.</w:t>
      </w:r>
    </w:p>
  </w:footnote>
  <w:footnote w:id="30">
    <w:p w:rsidR="00654773" w:rsidRPr="00AF46D2" w:rsidRDefault="00654773">
      <w:pPr>
        <w:pStyle w:val="FootnoteText"/>
        <w:rPr>
          <w:sz w:val="22"/>
          <w:szCs w:val="22"/>
        </w:rPr>
      </w:pPr>
      <w:r w:rsidRPr="007A282D">
        <w:rPr>
          <w:rStyle w:val="FootnoteReference"/>
          <w:sz w:val="22"/>
          <w:szCs w:val="22"/>
        </w:rPr>
        <w:footnoteRef/>
      </w:r>
      <w:r w:rsidRPr="007A282D">
        <w:rPr>
          <w:sz w:val="22"/>
          <w:szCs w:val="22"/>
        </w:rPr>
        <w:t xml:space="preserve">  </w:t>
      </w:r>
      <w:r w:rsidRPr="007A282D">
        <w:rPr>
          <w:i/>
          <w:sz w:val="22"/>
          <w:szCs w:val="22"/>
        </w:rPr>
        <w:t>See</w:t>
      </w:r>
      <w:r w:rsidRPr="007A282D">
        <w:rPr>
          <w:sz w:val="22"/>
          <w:szCs w:val="22"/>
        </w:rPr>
        <w:t xml:space="preserve"> disposition in (e) Incentives Payments from Outside Sources.</w:t>
      </w:r>
      <w:r w:rsidRPr="00AF46D2">
        <w:rPr>
          <w:sz w:val="22"/>
          <w:szCs w:val="22"/>
        </w:rPr>
        <w:t xml:space="preserve"> </w:t>
      </w:r>
    </w:p>
  </w:footnote>
  <w:footnote w:id="31">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Compact fluorescent lights.</w:t>
      </w:r>
    </w:p>
  </w:footnote>
  <w:footnote w:id="32">
    <w:p w:rsidR="00654773" w:rsidRPr="00AF46D2"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We interpret this as a reference to the NYMEX Texas Eastern Zone M3 Basis Swap.</w:t>
      </w:r>
    </w:p>
  </w:footnote>
  <w:footnote w:id="33">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Locational marginal pricing.</w:t>
      </w:r>
    </w:p>
  </w:footnote>
  <w:footnote w:id="34">
    <w:p w:rsidR="00654773" w:rsidRPr="00AF46D2"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w:t>
      </w:r>
      <w:hyperlink r:id="rId12" w:history="1">
        <w:r w:rsidRPr="00AF46D2">
          <w:rPr>
            <w:rStyle w:val="Hyperlink"/>
            <w:sz w:val="22"/>
            <w:szCs w:val="22"/>
          </w:rPr>
          <w:t>http://www.monitoringanalytics.com/reports/PJM_State_of_the_Market/2008/2008-som-pjm-volume2-sec2.pdf</w:t>
        </w:r>
      </w:hyperlink>
      <w:r w:rsidRPr="00AF46D2">
        <w:rPr>
          <w:sz w:val="22"/>
          <w:szCs w:val="22"/>
        </w:rPr>
        <w:t xml:space="preserve"> , page 52. </w:t>
      </w:r>
    </w:p>
  </w:footnote>
  <w:footnote w:id="35">
    <w:p w:rsidR="00654773" w:rsidRPr="00AF46D2" w:rsidRDefault="00654773" w:rsidP="00B95716">
      <w:pPr>
        <w:pStyle w:val="FootnoteText"/>
        <w:rPr>
          <w:sz w:val="22"/>
          <w:szCs w:val="22"/>
        </w:rPr>
      </w:pPr>
      <w:r w:rsidRPr="00AF46D2">
        <w:rPr>
          <w:rStyle w:val="FootnoteReference"/>
          <w:sz w:val="22"/>
          <w:szCs w:val="22"/>
        </w:rPr>
        <w:footnoteRef/>
      </w:r>
      <w:r w:rsidRPr="00AF46D2">
        <w:rPr>
          <w:sz w:val="22"/>
          <w:szCs w:val="22"/>
        </w:rPr>
        <w:t xml:space="preserve">  Alternative Energy Portfolio Standards Act. 73 P.S. §§ 1648.1-1648.8.</w:t>
      </w:r>
    </w:p>
  </w:footnote>
  <w:footnote w:id="36">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American Recovery and Reinvestment Act of 2009.  </w:t>
      </w:r>
      <w:r w:rsidRPr="00AF46D2">
        <w:rPr>
          <w:i/>
          <w:sz w:val="22"/>
          <w:szCs w:val="22"/>
        </w:rPr>
        <w:t>See</w:t>
      </w:r>
      <w:r w:rsidRPr="00AF46D2">
        <w:rPr>
          <w:sz w:val="22"/>
          <w:szCs w:val="22"/>
        </w:rPr>
        <w:t xml:space="preserve"> </w:t>
      </w:r>
      <w:hyperlink r:id="rId13" w:history="1">
        <w:r w:rsidRPr="00AF46D2">
          <w:rPr>
            <w:rStyle w:val="Hyperlink"/>
            <w:sz w:val="22"/>
            <w:szCs w:val="22"/>
          </w:rPr>
          <w:t>http://frwebgate.access.gpo.gov/cgi-bin/getdoc.cgi?dbname=111_cong_bills&amp;docid=f:h1enr.pdf</w:t>
        </w:r>
      </w:hyperlink>
      <w:r w:rsidRPr="00AF46D2">
        <w:rPr>
          <w:sz w:val="22"/>
          <w:szCs w:val="22"/>
        </w:rPr>
        <w:t>.</w:t>
      </w:r>
    </w:p>
  </w:footnote>
  <w:footnote w:id="37">
    <w:p w:rsidR="00654773" w:rsidRPr="00AF46D2" w:rsidRDefault="00654773" w:rsidP="00033A35">
      <w:pPr>
        <w:pStyle w:val="FootnoteText"/>
        <w:rPr>
          <w:sz w:val="22"/>
          <w:szCs w:val="22"/>
        </w:rPr>
      </w:pPr>
      <w:r w:rsidRPr="00AF46D2">
        <w:rPr>
          <w:rStyle w:val="FootnoteReference"/>
          <w:sz w:val="22"/>
          <w:szCs w:val="22"/>
        </w:rPr>
        <w:footnoteRef/>
      </w:r>
      <w:r w:rsidRPr="00AF46D2">
        <w:rPr>
          <w:sz w:val="22"/>
          <w:szCs w:val="22"/>
        </w:rPr>
        <w:t xml:space="preserve">  Indeed, Section 2806.1(k) requires the EDCs to provide information on the availability of such incentive programs.</w:t>
      </w:r>
    </w:p>
  </w:footnote>
  <w:footnote w:id="38">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In summary, energy efficiency and conservations measures include technologies, management practices, or other measures that reduce electric consumption or demand if the costs of the acquisition or installation of the measure is directly incurred in whole or in part by the EDC.  66 Pa. C.S. § 2806.1(m).</w:t>
      </w:r>
    </w:p>
  </w:footnote>
  <w:footnote w:id="39">
    <w:p w:rsidR="00654773" w:rsidRPr="00AF46D2" w:rsidRDefault="00654773" w:rsidP="00EA7C9E">
      <w:pPr>
        <w:pStyle w:val="FootnoteText"/>
        <w:rPr>
          <w:sz w:val="22"/>
          <w:szCs w:val="22"/>
        </w:rPr>
      </w:pPr>
      <w:r w:rsidRPr="00AF46D2">
        <w:rPr>
          <w:rStyle w:val="FootnoteReference"/>
          <w:sz w:val="22"/>
          <w:szCs w:val="22"/>
        </w:rPr>
        <w:footnoteRef/>
      </w:r>
      <w:r w:rsidRPr="00AF46D2">
        <w:rPr>
          <w:sz w:val="22"/>
          <w:szCs w:val="22"/>
        </w:rPr>
        <w:t xml:space="preserve">  National Action Plan for Energy Efficiency (2008).  </w:t>
      </w:r>
      <w:r w:rsidRPr="00AF46D2">
        <w:rPr>
          <w:i/>
          <w:sz w:val="22"/>
          <w:szCs w:val="22"/>
        </w:rPr>
        <w:t>Understanding Cost-Effectiveness of Energy Efficiency Programs:  Best Practices, Technical Methods, and Emerging Issues for Policy-Makers</w:t>
      </w:r>
      <w:r w:rsidRPr="00AF46D2">
        <w:rPr>
          <w:sz w:val="22"/>
          <w:szCs w:val="22"/>
        </w:rPr>
        <w:t xml:space="preserve">.  Energy and Environmental Economics, Inc. and Regulatory Assistance Project.  </w:t>
      </w:r>
      <w:hyperlink r:id="rId14" w:history="1">
        <w:r w:rsidRPr="00AF46D2">
          <w:rPr>
            <w:rStyle w:val="Hyperlink"/>
            <w:sz w:val="22"/>
            <w:szCs w:val="22"/>
          </w:rPr>
          <w:t>www.epa.gov/eeactionplan</w:t>
        </w:r>
      </w:hyperlink>
      <w:r w:rsidRPr="00AF46D2">
        <w:rPr>
          <w:sz w:val="22"/>
          <w:szCs w:val="22"/>
        </w:rPr>
        <w:t>.</w:t>
      </w:r>
    </w:p>
  </w:footnote>
  <w:footnote w:id="40">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The concept of free riders is that a number of customers may take advantage of rebates or cost savings available through conservation programs even though they would have installed the efficient equipment on their own.  Take-back effect occurs if customers use the reduction in bills/energy to increase their energy use to be more comfortable or for convenience.  Spillover is the opposite of the free rider effect where customers that adopt efficiency measures because they are influenced by program-related information and marketing efforts although they do not actually participate in the program.  NTG adjustments for free riders and take-back effects result in the subtraction of claimed energy savings whereas spillover effects NTG adjustments result in an addition of claimed energy savings.</w:t>
      </w:r>
    </w:p>
  </w:footnote>
  <w:footnote w:id="41">
    <w:p w:rsidR="00654773" w:rsidRPr="00AF46D2" w:rsidRDefault="00654773">
      <w:pPr>
        <w:pStyle w:val="FootnoteText"/>
        <w:rPr>
          <w:sz w:val="22"/>
          <w:szCs w:val="22"/>
        </w:rPr>
      </w:pPr>
      <w:r w:rsidRPr="00AF46D2">
        <w:rPr>
          <w:rStyle w:val="FootnoteReference"/>
          <w:sz w:val="22"/>
          <w:szCs w:val="22"/>
        </w:rPr>
        <w:footnoteRef/>
      </w:r>
      <w:r w:rsidRPr="00AF46D2">
        <w:rPr>
          <w:sz w:val="22"/>
          <w:szCs w:val="22"/>
        </w:rPr>
        <w:t xml:space="preserve">  The Commission is currently in the process of considering the selection of a statewide evaluator.</w:t>
      </w:r>
    </w:p>
  </w:footnote>
  <w:footnote w:id="42">
    <w:p w:rsidR="00654773" w:rsidRPr="00AF46D2" w:rsidRDefault="00654773" w:rsidP="003625DB">
      <w:pPr>
        <w:pStyle w:val="FootnoteText"/>
        <w:rPr>
          <w:sz w:val="22"/>
          <w:szCs w:val="22"/>
        </w:rPr>
      </w:pPr>
      <w:r w:rsidRPr="00AF46D2">
        <w:rPr>
          <w:rStyle w:val="FootnoteReference"/>
          <w:sz w:val="22"/>
          <w:szCs w:val="22"/>
        </w:rPr>
        <w:footnoteRef/>
      </w:r>
      <w:r w:rsidRPr="00AF46D2">
        <w:rPr>
          <w:sz w:val="22"/>
          <w:szCs w:val="22"/>
        </w:rPr>
        <w:t xml:space="preserve">  </w:t>
      </w:r>
      <w:r w:rsidRPr="00AF46D2">
        <w:rPr>
          <w:i/>
          <w:sz w:val="22"/>
          <w:szCs w:val="22"/>
        </w:rPr>
        <w:t>See</w:t>
      </w:r>
      <w:r w:rsidRPr="00AF46D2">
        <w:rPr>
          <w:sz w:val="22"/>
          <w:szCs w:val="22"/>
        </w:rPr>
        <w:t xml:space="preserve"> section (h) below for a discussion of discount rate/cost of capital.</w:t>
      </w:r>
    </w:p>
  </w:footnote>
  <w:footnote w:id="43">
    <w:p w:rsidR="00654773" w:rsidRPr="00AF46D2" w:rsidRDefault="00654773" w:rsidP="00B662F8">
      <w:pPr>
        <w:pStyle w:val="FootnoteText"/>
        <w:rPr>
          <w:sz w:val="22"/>
          <w:szCs w:val="22"/>
        </w:rPr>
      </w:pPr>
      <w:r w:rsidRPr="00AF46D2">
        <w:rPr>
          <w:rStyle w:val="FootnoteReference"/>
          <w:sz w:val="22"/>
          <w:szCs w:val="22"/>
        </w:rPr>
        <w:footnoteRef/>
      </w:r>
      <w:r w:rsidRPr="00AF46D2">
        <w:rPr>
          <w:sz w:val="22"/>
          <w:szCs w:val="22"/>
        </w:rPr>
        <w:t xml:space="preserve">  The quarterly financial report filed with the Securities and Exchange Commission. </w:t>
      </w:r>
    </w:p>
  </w:footnote>
  <w:footnote w:id="44">
    <w:p w:rsidR="00654773" w:rsidRPr="00AF46D2" w:rsidRDefault="00654773" w:rsidP="00B662F8">
      <w:pPr>
        <w:pStyle w:val="FootnoteText"/>
        <w:rPr>
          <w:sz w:val="22"/>
          <w:szCs w:val="22"/>
        </w:rPr>
      </w:pPr>
      <w:r w:rsidRPr="00AF46D2">
        <w:rPr>
          <w:rStyle w:val="FootnoteReference"/>
          <w:sz w:val="22"/>
          <w:szCs w:val="22"/>
        </w:rPr>
        <w:footnoteRef/>
      </w:r>
      <w:r w:rsidRPr="00AF46D2">
        <w:rPr>
          <w:sz w:val="22"/>
          <w:szCs w:val="22"/>
        </w:rPr>
        <w:t xml:space="preserve">  If an EDC expects to a different SEC 10-Q report as the source of its WACC, the source should note in its EE&amp;C plan to be filed July 1, 2009.  </w:t>
      </w:r>
    </w:p>
  </w:footnote>
  <w:footnote w:id="45">
    <w:p w:rsidR="00654773" w:rsidRPr="00AF46D2" w:rsidRDefault="00654773" w:rsidP="009F15C5">
      <w:pPr>
        <w:pStyle w:val="FootnoteText"/>
        <w:rPr>
          <w:sz w:val="22"/>
          <w:szCs w:val="22"/>
        </w:rPr>
      </w:pPr>
      <w:r w:rsidRPr="00AF46D2">
        <w:rPr>
          <w:rStyle w:val="FootnoteReference"/>
          <w:color w:val="0D0D0D" w:themeColor="text1" w:themeTint="F2"/>
          <w:sz w:val="22"/>
          <w:szCs w:val="22"/>
        </w:rPr>
        <w:footnoteRef/>
      </w:r>
      <w:r w:rsidRPr="00AF46D2">
        <w:rPr>
          <w:color w:val="0D0D0D" w:themeColor="text1" w:themeTint="F2"/>
          <w:sz w:val="22"/>
          <w:szCs w:val="22"/>
        </w:rPr>
        <w:t xml:space="preserve">  National Action Plan for Energy Efficiency (NAPEE) (2007</w:t>
      </w:r>
      <w:r w:rsidRPr="00AF46D2">
        <w:rPr>
          <w:color w:val="000000"/>
          <w:sz w:val="22"/>
          <w:szCs w:val="22"/>
        </w:rPr>
        <w:t xml:space="preserve">).  </w:t>
      </w:r>
      <w:r w:rsidRPr="00AF46D2">
        <w:rPr>
          <w:i/>
          <w:iCs/>
          <w:color w:val="000000"/>
          <w:sz w:val="22"/>
          <w:szCs w:val="22"/>
        </w:rPr>
        <w:t>Guide to Resource Planning with Energy Efficiency</w:t>
      </w:r>
      <w:r w:rsidRPr="00AF46D2">
        <w:rPr>
          <w:color w:val="000000"/>
          <w:sz w:val="22"/>
          <w:szCs w:val="22"/>
        </w:rPr>
        <w:t xml:space="preserve">.  </w:t>
      </w:r>
      <w:r w:rsidR="00F55ECD">
        <w:rPr>
          <w:color w:val="000000"/>
          <w:sz w:val="22"/>
          <w:szCs w:val="22"/>
        </w:rPr>
        <w:t xml:space="preserve">Prepared by </w:t>
      </w:r>
      <w:r w:rsidRPr="00AF46D2">
        <w:rPr>
          <w:color w:val="000000"/>
          <w:sz w:val="22"/>
          <w:szCs w:val="22"/>
        </w:rPr>
        <w:t>Pr</w:t>
      </w:r>
      <w:r w:rsidR="00F55ECD">
        <w:rPr>
          <w:color w:val="000000"/>
          <w:sz w:val="22"/>
          <w:szCs w:val="22"/>
        </w:rPr>
        <w:t>ice, Snuller</w:t>
      </w:r>
      <w:r w:rsidRPr="00AF46D2">
        <w:rPr>
          <w:color w:val="000000"/>
          <w:sz w:val="22"/>
          <w:szCs w:val="22"/>
        </w:rPr>
        <w:t xml:space="preserve">, </w:t>
      </w:r>
      <w:r w:rsidRPr="00AF46D2">
        <w:rPr>
          <w:i/>
          <w:color w:val="000000"/>
          <w:sz w:val="22"/>
          <w:szCs w:val="22"/>
        </w:rPr>
        <w:t>et al.</w:t>
      </w:r>
      <w:r w:rsidR="00F55ECD">
        <w:rPr>
          <w:i/>
          <w:color w:val="000000"/>
          <w:sz w:val="22"/>
          <w:szCs w:val="22"/>
        </w:rPr>
        <w:t xml:space="preserve"> </w:t>
      </w:r>
      <w:r w:rsidRPr="00AF46D2">
        <w:rPr>
          <w:color w:val="000000"/>
          <w:sz w:val="22"/>
          <w:szCs w:val="22"/>
        </w:rPr>
        <w:t xml:space="preserve"> Energy and Environmental Economics, Inc. </w:t>
      </w:r>
      <w:hyperlink r:id="rId15" w:history="1">
        <w:r w:rsidRPr="00AF46D2">
          <w:rPr>
            <w:rStyle w:val="Hyperlink"/>
            <w:sz w:val="22"/>
            <w:szCs w:val="22"/>
          </w:rPr>
          <w:t>www.epa.gov/eeactionplan</w:t>
        </w:r>
      </w:hyperlink>
      <w:r w:rsidRPr="00AF46D2">
        <w:rPr>
          <w:color w:val="000000"/>
          <w:sz w:val="22"/>
          <w:szCs w:val="22"/>
        </w:rPr>
        <w:t>.</w:t>
      </w:r>
    </w:p>
  </w:footnote>
  <w:footnote w:id="46">
    <w:p w:rsidR="00654773" w:rsidRPr="00AF46D2" w:rsidRDefault="00654773" w:rsidP="00C11C8A">
      <w:pPr>
        <w:rPr>
          <w:color w:val="0D0D0D" w:themeColor="text1" w:themeTint="F2"/>
          <w:sz w:val="22"/>
          <w:szCs w:val="22"/>
        </w:rPr>
      </w:pPr>
      <w:r w:rsidRPr="00AF46D2">
        <w:rPr>
          <w:rStyle w:val="FootnoteReference"/>
          <w:sz w:val="22"/>
          <w:szCs w:val="22"/>
        </w:rPr>
        <w:footnoteRef/>
      </w:r>
      <w:r w:rsidRPr="00AF46D2">
        <w:rPr>
          <w:sz w:val="22"/>
          <w:szCs w:val="22"/>
        </w:rPr>
        <w:t xml:space="preserve">  Our use of the terms “equipment” and “device” in this sense are generally interchangeable and stem from the use of both terms in the NAPEE Guide.  For purposes of TRC testing, the terms are interchangeable; in practice “equipment” </w:t>
      </w:r>
      <w:r w:rsidRPr="00AF46D2">
        <w:rPr>
          <w:color w:val="0D0D0D" w:themeColor="text1" w:themeTint="F2"/>
          <w:sz w:val="22"/>
          <w:szCs w:val="22"/>
        </w:rPr>
        <w:t xml:space="preserve">would suggest something that has multiple components such as an HVAC system, and “device” would be a thing such as a light bulb, a refrigerator, or a specific component of a system such as a programmable thermostat. </w:t>
      </w:r>
    </w:p>
  </w:footnote>
  <w:footnote w:id="47">
    <w:p w:rsidR="00654773" w:rsidRPr="00AF46D2" w:rsidRDefault="00654773" w:rsidP="00823592">
      <w:pPr>
        <w:pStyle w:val="FootnoteText"/>
        <w:rPr>
          <w:color w:val="000000"/>
          <w:sz w:val="22"/>
          <w:szCs w:val="22"/>
        </w:rPr>
      </w:pPr>
      <w:r w:rsidRPr="00AF46D2">
        <w:rPr>
          <w:rStyle w:val="FootnoteReference"/>
          <w:color w:val="000000"/>
          <w:sz w:val="22"/>
          <w:szCs w:val="22"/>
        </w:rPr>
        <w:footnoteRef/>
      </w:r>
      <w:r w:rsidRPr="00AF46D2">
        <w:rPr>
          <w:color w:val="000000"/>
          <w:sz w:val="22"/>
          <w:szCs w:val="22"/>
        </w:rPr>
        <w:t xml:space="preserve">  </w:t>
      </w:r>
      <w:r w:rsidRPr="00AF46D2">
        <w:rPr>
          <w:i/>
          <w:sz w:val="22"/>
          <w:szCs w:val="22"/>
        </w:rPr>
        <w:t>The California Standard Practice Manual – Economic Analysis of Demand</w:t>
      </w:r>
      <w:r w:rsidRPr="00AF46D2">
        <w:rPr>
          <w:i/>
          <w:sz w:val="22"/>
          <w:szCs w:val="22"/>
        </w:rPr>
        <w:noBreakHyphen/>
        <w:t>Side Programs and Projects</w:t>
      </w:r>
      <w:r w:rsidRPr="00AF46D2">
        <w:rPr>
          <w:sz w:val="22"/>
          <w:szCs w:val="22"/>
        </w:rPr>
        <w:t xml:space="preserve">, July 2002, p. 18.  </w:t>
      </w:r>
      <w:r w:rsidRPr="00AF46D2">
        <w:rPr>
          <w:i/>
          <w:color w:val="000000"/>
          <w:sz w:val="22"/>
          <w:szCs w:val="22"/>
        </w:rPr>
        <w:t>See</w:t>
      </w:r>
      <w:r w:rsidRPr="00AF46D2">
        <w:rPr>
          <w:color w:val="000000"/>
          <w:sz w:val="22"/>
          <w:szCs w:val="22"/>
        </w:rPr>
        <w:t xml:space="preserve"> </w:t>
      </w:r>
      <w:hyperlink r:id="rId16" w:history="1">
        <w:r w:rsidRPr="00AF46D2">
          <w:rPr>
            <w:rStyle w:val="Hyperlink"/>
            <w:sz w:val="22"/>
            <w:szCs w:val="22"/>
          </w:rPr>
          <w:t>http://drrc.lbl.gov/pubs/CA-SPManual-7-02.pdf</w:t>
        </w:r>
      </w:hyperlink>
      <w:r w:rsidRPr="00AF46D2">
        <w:rPr>
          <w:color w:val="000000"/>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FD1EFB"/>
    <w:multiLevelType w:val="hybridMultilevel"/>
    <w:tmpl w:val="46660664"/>
    <w:lvl w:ilvl="0" w:tplc="6C5C6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AB4608"/>
    <w:multiLevelType w:val="hybridMultilevel"/>
    <w:tmpl w:val="669CDD78"/>
    <w:lvl w:ilvl="0" w:tplc="8C3C6A24">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5F51DCE"/>
    <w:multiLevelType w:val="hybridMultilevel"/>
    <w:tmpl w:val="2098D850"/>
    <w:lvl w:ilvl="0" w:tplc="0409000F">
      <w:start w:val="1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DC0F98"/>
    <w:multiLevelType w:val="hybridMultilevel"/>
    <w:tmpl w:val="BD16ABE2"/>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3170404F"/>
    <w:multiLevelType w:val="hybridMultilevel"/>
    <w:tmpl w:val="D442A50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32667BA"/>
    <w:multiLevelType w:val="multilevel"/>
    <w:tmpl w:val="56462492"/>
    <w:lvl w:ilvl="0">
      <w:start w:val="1"/>
      <w:numFmt w:val="upperRoman"/>
      <w:lvlText w:val="%1."/>
      <w:legacy w:legacy="1" w:legacySpace="0" w:legacyIndent="720"/>
      <w:lvlJc w:val="left"/>
      <w:pPr>
        <w:ind w:left="720" w:hanging="720"/>
      </w:pPr>
      <w:rPr>
        <w:b w:val="0"/>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42C07083"/>
    <w:multiLevelType w:val="hybridMultilevel"/>
    <w:tmpl w:val="689803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09B0B00"/>
    <w:multiLevelType w:val="hybridMultilevel"/>
    <w:tmpl w:val="60D8C4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B5645D4"/>
    <w:multiLevelType w:val="hybridMultilevel"/>
    <w:tmpl w:val="D83C11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F882751"/>
    <w:multiLevelType w:val="hybridMultilevel"/>
    <w:tmpl w:val="0E588CF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61E43667"/>
    <w:multiLevelType w:val="hybridMultilevel"/>
    <w:tmpl w:val="6212DD68"/>
    <w:lvl w:ilvl="0" w:tplc="B4989D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13677F"/>
    <w:multiLevelType w:val="hybridMultilevel"/>
    <w:tmpl w:val="9148EA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03D3565"/>
    <w:multiLevelType w:val="hybridMultilevel"/>
    <w:tmpl w:val="815076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6722D4"/>
    <w:multiLevelType w:val="hybridMultilevel"/>
    <w:tmpl w:val="AB48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5"/>
  </w:num>
  <w:num w:numId="5">
    <w:abstractNumId w:val="12"/>
  </w:num>
  <w:num w:numId="6">
    <w:abstractNumId w:val="7"/>
  </w:num>
  <w:num w:numId="7">
    <w:abstractNumId w:val="8"/>
  </w:num>
  <w:num w:numId="8">
    <w:abstractNumId w:val="6"/>
  </w:num>
  <w:num w:numId="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
    <w:abstractNumId w:val="3"/>
  </w:num>
  <w:num w:numId="11">
    <w:abstractNumId w:val="13"/>
  </w:num>
  <w:num w:numId="12">
    <w:abstractNumId w:val="2"/>
  </w:num>
  <w:num w:numId="13">
    <w:abstractNumId w:val="14"/>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balanceSingleByteDoubleByteWidth/>
    <w:doNotLeaveBackslashAlone/>
    <w:ulTrailSpace/>
    <w:doNotExpandShiftReturn/>
  </w:compat>
  <w:rsids>
    <w:rsidRoot w:val="00D850D4"/>
    <w:rsid w:val="0000186B"/>
    <w:rsid w:val="00001D21"/>
    <w:rsid w:val="00001E5F"/>
    <w:rsid w:val="00002845"/>
    <w:rsid w:val="00002D02"/>
    <w:rsid w:val="00003D18"/>
    <w:rsid w:val="0001443E"/>
    <w:rsid w:val="00017AB2"/>
    <w:rsid w:val="000275AB"/>
    <w:rsid w:val="00031212"/>
    <w:rsid w:val="00031EE2"/>
    <w:rsid w:val="000329CF"/>
    <w:rsid w:val="00033A35"/>
    <w:rsid w:val="00035BFC"/>
    <w:rsid w:val="00035D1B"/>
    <w:rsid w:val="000403EE"/>
    <w:rsid w:val="000502C0"/>
    <w:rsid w:val="0005173A"/>
    <w:rsid w:val="00053134"/>
    <w:rsid w:val="0005602C"/>
    <w:rsid w:val="00057B00"/>
    <w:rsid w:val="000610F7"/>
    <w:rsid w:val="00061328"/>
    <w:rsid w:val="000618A4"/>
    <w:rsid w:val="00063045"/>
    <w:rsid w:val="00065F99"/>
    <w:rsid w:val="000671CD"/>
    <w:rsid w:val="000721A6"/>
    <w:rsid w:val="0007777D"/>
    <w:rsid w:val="000811B9"/>
    <w:rsid w:val="00084BEE"/>
    <w:rsid w:val="0008679E"/>
    <w:rsid w:val="00087283"/>
    <w:rsid w:val="0008752A"/>
    <w:rsid w:val="00087B1E"/>
    <w:rsid w:val="000901FF"/>
    <w:rsid w:val="00092C0A"/>
    <w:rsid w:val="00095CFD"/>
    <w:rsid w:val="000A0B8E"/>
    <w:rsid w:val="000A0FD5"/>
    <w:rsid w:val="000A5FBC"/>
    <w:rsid w:val="000A6AC7"/>
    <w:rsid w:val="000A6B28"/>
    <w:rsid w:val="000B20A3"/>
    <w:rsid w:val="000B3268"/>
    <w:rsid w:val="000B4706"/>
    <w:rsid w:val="000C0114"/>
    <w:rsid w:val="000C07A5"/>
    <w:rsid w:val="000C2656"/>
    <w:rsid w:val="000C58F6"/>
    <w:rsid w:val="000C6EB2"/>
    <w:rsid w:val="000D1262"/>
    <w:rsid w:val="000D19CF"/>
    <w:rsid w:val="000D23BE"/>
    <w:rsid w:val="000D2911"/>
    <w:rsid w:val="000D2D64"/>
    <w:rsid w:val="000D3750"/>
    <w:rsid w:val="000D382B"/>
    <w:rsid w:val="000D7087"/>
    <w:rsid w:val="000D7927"/>
    <w:rsid w:val="000D7B9F"/>
    <w:rsid w:val="000E22CA"/>
    <w:rsid w:val="000E3ECD"/>
    <w:rsid w:val="000E6CFB"/>
    <w:rsid w:val="000F1F99"/>
    <w:rsid w:val="000F383C"/>
    <w:rsid w:val="000F437E"/>
    <w:rsid w:val="000F4468"/>
    <w:rsid w:val="000F5EC0"/>
    <w:rsid w:val="000F67B9"/>
    <w:rsid w:val="0010754C"/>
    <w:rsid w:val="001119EF"/>
    <w:rsid w:val="00112E15"/>
    <w:rsid w:val="00112F81"/>
    <w:rsid w:val="00116BEE"/>
    <w:rsid w:val="00117045"/>
    <w:rsid w:val="00123AAA"/>
    <w:rsid w:val="00125538"/>
    <w:rsid w:val="00127FEA"/>
    <w:rsid w:val="00132472"/>
    <w:rsid w:val="00133342"/>
    <w:rsid w:val="0014152C"/>
    <w:rsid w:val="00142828"/>
    <w:rsid w:val="00154939"/>
    <w:rsid w:val="00155306"/>
    <w:rsid w:val="0015549B"/>
    <w:rsid w:val="00164E0F"/>
    <w:rsid w:val="001656DA"/>
    <w:rsid w:val="00170CBC"/>
    <w:rsid w:val="00175324"/>
    <w:rsid w:val="001768BE"/>
    <w:rsid w:val="001827AE"/>
    <w:rsid w:val="001861B8"/>
    <w:rsid w:val="00191D2D"/>
    <w:rsid w:val="00192E36"/>
    <w:rsid w:val="00194684"/>
    <w:rsid w:val="00197E78"/>
    <w:rsid w:val="001A486D"/>
    <w:rsid w:val="001A7C29"/>
    <w:rsid w:val="001B1DB4"/>
    <w:rsid w:val="001B4698"/>
    <w:rsid w:val="001B7588"/>
    <w:rsid w:val="001C2BEF"/>
    <w:rsid w:val="001C358E"/>
    <w:rsid w:val="001C7A59"/>
    <w:rsid w:val="001D0127"/>
    <w:rsid w:val="001D40F0"/>
    <w:rsid w:val="001D428D"/>
    <w:rsid w:val="001D4D70"/>
    <w:rsid w:val="001D5EB8"/>
    <w:rsid w:val="001D67EF"/>
    <w:rsid w:val="001E01CF"/>
    <w:rsid w:val="001E2239"/>
    <w:rsid w:val="001E5C0C"/>
    <w:rsid w:val="001E725E"/>
    <w:rsid w:val="001E7DF7"/>
    <w:rsid w:val="001E7EEF"/>
    <w:rsid w:val="001F07B2"/>
    <w:rsid w:val="001F29E9"/>
    <w:rsid w:val="001F4388"/>
    <w:rsid w:val="001F48D6"/>
    <w:rsid w:val="002025DD"/>
    <w:rsid w:val="002034D6"/>
    <w:rsid w:val="00205886"/>
    <w:rsid w:val="00206578"/>
    <w:rsid w:val="002142A1"/>
    <w:rsid w:val="00214C36"/>
    <w:rsid w:val="002151AC"/>
    <w:rsid w:val="00215731"/>
    <w:rsid w:val="00216C8D"/>
    <w:rsid w:val="00217EDB"/>
    <w:rsid w:val="00217EF7"/>
    <w:rsid w:val="00223C86"/>
    <w:rsid w:val="00224C26"/>
    <w:rsid w:val="00226D2A"/>
    <w:rsid w:val="00230959"/>
    <w:rsid w:val="002334CC"/>
    <w:rsid w:val="0023422F"/>
    <w:rsid w:val="00234857"/>
    <w:rsid w:val="00235FBC"/>
    <w:rsid w:val="0023799A"/>
    <w:rsid w:val="00240D7C"/>
    <w:rsid w:val="002440E7"/>
    <w:rsid w:val="0024505F"/>
    <w:rsid w:val="00247CAB"/>
    <w:rsid w:val="00247D3E"/>
    <w:rsid w:val="00250087"/>
    <w:rsid w:val="00250E3D"/>
    <w:rsid w:val="00251C6E"/>
    <w:rsid w:val="00253FB9"/>
    <w:rsid w:val="0025725E"/>
    <w:rsid w:val="00260602"/>
    <w:rsid w:val="002611E0"/>
    <w:rsid w:val="00261C5C"/>
    <w:rsid w:val="0026790F"/>
    <w:rsid w:val="00273ABB"/>
    <w:rsid w:val="00276853"/>
    <w:rsid w:val="00286B07"/>
    <w:rsid w:val="00290A3D"/>
    <w:rsid w:val="002912B5"/>
    <w:rsid w:val="00291E01"/>
    <w:rsid w:val="002959F0"/>
    <w:rsid w:val="00297114"/>
    <w:rsid w:val="002A0A8E"/>
    <w:rsid w:val="002A0E1C"/>
    <w:rsid w:val="002A1497"/>
    <w:rsid w:val="002A23AC"/>
    <w:rsid w:val="002A3254"/>
    <w:rsid w:val="002B18E0"/>
    <w:rsid w:val="002B1A14"/>
    <w:rsid w:val="002B49E8"/>
    <w:rsid w:val="002B594F"/>
    <w:rsid w:val="002C0D87"/>
    <w:rsid w:val="002C30F7"/>
    <w:rsid w:val="002C389B"/>
    <w:rsid w:val="002C4F21"/>
    <w:rsid w:val="002C7630"/>
    <w:rsid w:val="002C7804"/>
    <w:rsid w:val="002C79E7"/>
    <w:rsid w:val="002C7F48"/>
    <w:rsid w:val="002D04D6"/>
    <w:rsid w:val="002D0CB6"/>
    <w:rsid w:val="002D757B"/>
    <w:rsid w:val="002D7736"/>
    <w:rsid w:val="002E018F"/>
    <w:rsid w:val="002E1644"/>
    <w:rsid w:val="002E1F5F"/>
    <w:rsid w:val="002E2B14"/>
    <w:rsid w:val="002F452F"/>
    <w:rsid w:val="002F7691"/>
    <w:rsid w:val="00303940"/>
    <w:rsid w:val="00303D02"/>
    <w:rsid w:val="00305D2E"/>
    <w:rsid w:val="00311541"/>
    <w:rsid w:val="003128D0"/>
    <w:rsid w:val="0031483F"/>
    <w:rsid w:val="003155D4"/>
    <w:rsid w:val="00320BDB"/>
    <w:rsid w:val="00325CE0"/>
    <w:rsid w:val="003268A4"/>
    <w:rsid w:val="00331134"/>
    <w:rsid w:val="00332A62"/>
    <w:rsid w:val="0034192D"/>
    <w:rsid w:val="0034385C"/>
    <w:rsid w:val="00344F33"/>
    <w:rsid w:val="003455D7"/>
    <w:rsid w:val="00347523"/>
    <w:rsid w:val="00347941"/>
    <w:rsid w:val="0035040B"/>
    <w:rsid w:val="00353A13"/>
    <w:rsid w:val="00355CB8"/>
    <w:rsid w:val="003573B9"/>
    <w:rsid w:val="00360E60"/>
    <w:rsid w:val="00361F93"/>
    <w:rsid w:val="003622DF"/>
    <w:rsid w:val="003625DB"/>
    <w:rsid w:val="00363E51"/>
    <w:rsid w:val="003651F1"/>
    <w:rsid w:val="00370561"/>
    <w:rsid w:val="003723CD"/>
    <w:rsid w:val="003724FD"/>
    <w:rsid w:val="0037386D"/>
    <w:rsid w:val="00373F4F"/>
    <w:rsid w:val="0037494A"/>
    <w:rsid w:val="00377285"/>
    <w:rsid w:val="00377A85"/>
    <w:rsid w:val="00390599"/>
    <w:rsid w:val="003A4DFB"/>
    <w:rsid w:val="003A6DBB"/>
    <w:rsid w:val="003B28FF"/>
    <w:rsid w:val="003B674D"/>
    <w:rsid w:val="003C0107"/>
    <w:rsid w:val="003C0A11"/>
    <w:rsid w:val="003C40BD"/>
    <w:rsid w:val="003C4594"/>
    <w:rsid w:val="003C5228"/>
    <w:rsid w:val="003C6741"/>
    <w:rsid w:val="003C7E3A"/>
    <w:rsid w:val="003D655B"/>
    <w:rsid w:val="003E13EB"/>
    <w:rsid w:val="003E237B"/>
    <w:rsid w:val="003E42B3"/>
    <w:rsid w:val="003E4848"/>
    <w:rsid w:val="003F18BA"/>
    <w:rsid w:val="003F23A6"/>
    <w:rsid w:val="003F4547"/>
    <w:rsid w:val="0040036D"/>
    <w:rsid w:val="00400F75"/>
    <w:rsid w:val="004046A5"/>
    <w:rsid w:val="004046F4"/>
    <w:rsid w:val="00405477"/>
    <w:rsid w:val="00412E4B"/>
    <w:rsid w:val="00413AA9"/>
    <w:rsid w:val="00416AD2"/>
    <w:rsid w:val="00417A3A"/>
    <w:rsid w:val="00422020"/>
    <w:rsid w:val="00423930"/>
    <w:rsid w:val="00424177"/>
    <w:rsid w:val="004245C5"/>
    <w:rsid w:val="00425D9D"/>
    <w:rsid w:val="004351FC"/>
    <w:rsid w:val="00435CED"/>
    <w:rsid w:val="00443483"/>
    <w:rsid w:val="00447A45"/>
    <w:rsid w:val="00450F84"/>
    <w:rsid w:val="0045156E"/>
    <w:rsid w:val="0045592A"/>
    <w:rsid w:val="00456C18"/>
    <w:rsid w:val="004643AE"/>
    <w:rsid w:val="0047258C"/>
    <w:rsid w:val="00472924"/>
    <w:rsid w:val="004768B5"/>
    <w:rsid w:val="00481AED"/>
    <w:rsid w:val="00484024"/>
    <w:rsid w:val="004848C4"/>
    <w:rsid w:val="00485C2B"/>
    <w:rsid w:val="00487E33"/>
    <w:rsid w:val="00490947"/>
    <w:rsid w:val="00491D62"/>
    <w:rsid w:val="004928BA"/>
    <w:rsid w:val="004930A9"/>
    <w:rsid w:val="0049526B"/>
    <w:rsid w:val="004A2827"/>
    <w:rsid w:val="004A6701"/>
    <w:rsid w:val="004A6E3E"/>
    <w:rsid w:val="004B0F29"/>
    <w:rsid w:val="004B3043"/>
    <w:rsid w:val="004B5485"/>
    <w:rsid w:val="004B7D18"/>
    <w:rsid w:val="004C08F4"/>
    <w:rsid w:val="004C267F"/>
    <w:rsid w:val="004D2C54"/>
    <w:rsid w:val="004D4A35"/>
    <w:rsid w:val="004D5A81"/>
    <w:rsid w:val="004E3E4D"/>
    <w:rsid w:val="004E525D"/>
    <w:rsid w:val="004E5C3C"/>
    <w:rsid w:val="004E62FB"/>
    <w:rsid w:val="004F1151"/>
    <w:rsid w:val="004F2200"/>
    <w:rsid w:val="004F370A"/>
    <w:rsid w:val="004F43FD"/>
    <w:rsid w:val="004F4ABC"/>
    <w:rsid w:val="004F5086"/>
    <w:rsid w:val="004F50DB"/>
    <w:rsid w:val="004F6C4E"/>
    <w:rsid w:val="00500387"/>
    <w:rsid w:val="00501F68"/>
    <w:rsid w:val="005023E2"/>
    <w:rsid w:val="00503321"/>
    <w:rsid w:val="00505C3C"/>
    <w:rsid w:val="00506BE8"/>
    <w:rsid w:val="005136EA"/>
    <w:rsid w:val="0051539A"/>
    <w:rsid w:val="005157BB"/>
    <w:rsid w:val="00517647"/>
    <w:rsid w:val="00520427"/>
    <w:rsid w:val="00521D93"/>
    <w:rsid w:val="00523A8C"/>
    <w:rsid w:val="00524B6D"/>
    <w:rsid w:val="00526089"/>
    <w:rsid w:val="0052697F"/>
    <w:rsid w:val="00526B25"/>
    <w:rsid w:val="00527522"/>
    <w:rsid w:val="00527E82"/>
    <w:rsid w:val="00531F6F"/>
    <w:rsid w:val="0053298F"/>
    <w:rsid w:val="00536D2D"/>
    <w:rsid w:val="00540B51"/>
    <w:rsid w:val="00540D0C"/>
    <w:rsid w:val="00542722"/>
    <w:rsid w:val="005474B7"/>
    <w:rsid w:val="00550F2C"/>
    <w:rsid w:val="0055241E"/>
    <w:rsid w:val="005529E9"/>
    <w:rsid w:val="0055776F"/>
    <w:rsid w:val="00571027"/>
    <w:rsid w:val="00571CC0"/>
    <w:rsid w:val="00572904"/>
    <w:rsid w:val="00572CCC"/>
    <w:rsid w:val="00574155"/>
    <w:rsid w:val="00575D4C"/>
    <w:rsid w:val="00581853"/>
    <w:rsid w:val="005840D5"/>
    <w:rsid w:val="0059136E"/>
    <w:rsid w:val="005931A6"/>
    <w:rsid w:val="00594264"/>
    <w:rsid w:val="00595BB6"/>
    <w:rsid w:val="00595E6E"/>
    <w:rsid w:val="005A06CA"/>
    <w:rsid w:val="005A2FF3"/>
    <w:rsid w:val="005A3911"/>
    <w:rsid w:val="005A7356"/>
    <w:rsid w:val="005B596D"/>
    <w:rsid w:val="005B5D27"/>
    <w:rsid w:val="005B688E"/>
    <w:rsid w:val="005C562C"/>
    <w:rsid w:val="005D03E0"/>
    <w:rsid w:val="005D061A"/>
    <w:rsid w:val="005D4FE7"/>
    <w:rsid w:val="005D6272"/>
    <w:rsid w:val="005D6951"/>
    <w:rsid w:val="005E08BA"/>
    <w:rsid w:val="005E2F5A"/>
    <w:rsid w:val="005E3815"/>
    <w:rsid w:val="005E3D2D"/>
    <w:rsid w:val="005E5854"/>
    <w:rsid w:val="005E7C5A"/>
    <w:rsid w:val="005F12FF"/>
    <w:rsid w:val="005F1C27"/>
    <w:rsid w:val="005F1C61"/>
    <w:rsid w:val="005F2B0A"/>
    <w:rsid w:val="005F3889"/>
    <w:rsid w:val="005F4915"/>
    <w:rsid w:val="005F5A1B"/>
    <w:rsid w:val="005F5C76"/>
    <w:rsid w:val="00600A17"/>
    <w:rsid w:val="006015AD"/>
    <w:rsid w:val="006027A7"/>
    <w:rsid w:val="00603150"/>
    <w:rsid w:val="00605089"/>
    <w:rsid w:val="006059EB"/>
    <w:rsid w:val="00606FB0"/>
    <w:rsid w:val="006073C3"/>
    <w:rsid w:val="00614546"/>
    <w:rsid w:val="006173ED"/>
    <w:rsid w:val="00621652"/>
    <w:rsid w:val="00621997"/>
    <w:rsid w:val="00621EEE"/>
    <w:rsid w:val="006227A2"/>
    <w:rsid w:val="00622AFA"/>
    <w:rsid w:val="0062493E"/>
    <w:rsid w:val="006260BF"/>
    <w:rsid w:val="00630B09"/>
    <w:rsid w:val="00631583"/>
    <w:rsid w:val="00633E8E"/>
    <w:rsid w:val="00634C7B"/>
    <w:rsid w:val="00635812"/>
    <w:rsid w:val="00637EBF"/>
    <w:rsid w:val="00643ABD"/>
    <w:rsid w:val="006440A7"/>
    <w:rsid w:val="006502C5"/>
    <w:rsid w:val="00651CD2"/>
    <w:rsid w:val="0065440C"/>
    <w:rsid w:val="00654773"/>
    <w:rsid w:val="006567AB"/>
    <w:rsid w:val="00657BCD"/>
    <w:rsid w:val="0066000F"/>
    <w:rsid w:val="006601DB"/>
    <w:rsid w:val="00660414"/>
    <w:rsid w:val="00662B1B"/>
    <w:rsid w:val="00664271"/>
    <w:rsid w:val="00667B84"/>
    <w:rsid w:val="00676C40"/>
    <w:rsid w:val="0068051C"/>
    <w:rsid w:val="00683D69"/>
    <w:rsid w:val="006840F3"/>
    <w:rsid w:val="00685E7D"/>
    <w:rsid w:val="0069264F"/>
    <w:rsid w:val="00692DA7"/>
    <w:rsid w:val="00695205"/>
    <w:rsid w:val="00696F60"/>
    <w:rsid w:val="00697266"/>
    <w:rsid w:val="006A01F9"/>
    <w:rsid w:val="006A0CBC"/>
    <w:rsid w:val="006A3301"/>
    <w:rsid w:val="006A3309"/>
    <w:rsid w:val="006A3B1A"/>
    <w:rsid w:val="006A409C"/>
    <w:rsid w:val="006B00B3"/>
    <w:rsid w:val="006B1962"/>
    <w:rsid w:val="006B2984"/>
    <w:rsid w:val="006B77BE"/>
    <w:rsid w:val="006C192C"/>
    <w:rsid w:val="006C2071"/>
    <w:rsid w:val="006C410E"/>
    <w:rsid w:val="006C579E"/>
    <w:rsid w:val="006C7B30"/>
    <w:rsid w:val="006D59CD"/>
    <w:rsid w:val="006D662A"/>
    <w:rsid w:val="006E5F9E"/>
    <w:rsid w:val="006F6EC3"/>
    <w:rsid w:val="006F7641"/>
    <w:rsid w:val="00702F73"/>
    <w:rsid w:val="00707784"/>
    <w:rsid w:val="007119EE"/>
    <w:rsid w:val="00713487"/>
    <w:rsid w:val="00715001"/>
    <w:rsid w:val="007157B6"/>
    <w:rsid w:val="00716181"/>
    <w:rsid w:val="00716FA8"/>
    <w:rsid w:val="00722FAE"/>
    <w:rsid w:val="00730635"/>
    <w:rsid w:val="007349B4"/>
    <w:rsid w:val="00741B1A"/>
    <w:rsid w:val="00746C00"/>
    <w:rsid w:val="00747283"/>
    <w:rsid w:val="00747594"/>
    <w:rsid w:val="00747DB4"/>
    <w:rsid w:val="00750719"/>
    <w:rsid w:val="00750EAE"/>
    <w:rsid w:val="0075435C"/>
    <w:rsid w:val="007560A4"/>
    <w:rsid w:val="007617AA"/>
    <w:rsid w:val="007632B0"/>
    <w:rsid w:val="00765BFC"/>
    <w:rsid w:val="00766B6A"/>
    <w:rsid w:val="00767BEE"/>
    <w:rsid w:val="00771923"/>
    <w:rsid w:val="00772189"/>
    <w:rsid w:val="007722BD"/>
    <w:rsid w:val="007730BC"/>
    <w:rsid w:val="007733F3"/>
    <w:rsid w:val="00774975"/>
    <w:rsid w:val="00792D53"/>
    <w:rsid w:val="00793270"/>
    <w:rsid w:val="00793F97"/>
    <w:rsid w:val="00796DEF"/>
    <w:rsid w:val="007972D4"/>
    <w:rsid w:val="007A1925"/>
    <w:rsid w:val="007A282D"/>
    <w:rsid w:val="007A3045"/>
    <w:rsid w:val="007A44E9"/>
    <w:rsid w:val="007B0FF8"/>
    <w:rsid w:val="007B1575"/>
    <w:rsid w:val="007B3F3F"/>
    <w:rsid w:val="007B578F"/>
    <w:rsid w:val="007B744C"/>
    <w:rsid w:val="007C6628"/>
    <w:rsid w:val="007C6B4B"/>
    <w:rsid w:val="007D190C"/>
    <w:rsid w:val="007D2D13"/>
    <w:rsid w:val="007D546C"/>
    <w:rsid w:val="007E08F5"/>
    <w:rsid w:val="007E2CEC"/>
    <w:rsid w:val="007E6598"/>
    <w:rsid w:val="007E7E01"/>
    <w:rsid w:val="007F20F0"/>
    <w:rsid w:val="007F37C1"/>
    <w:rsid w:val="007F406E"/>
    <w:rsid w:val="008058FA"/>
    <w:rsid w:val="00810E21"/>
    <w:rsid w:val="00810F0A"/>
    <w:rsid w:val="00812564"/>
    <w:rsid w:val="00812B77"/>
    <w:rsid w:val="008131E0"/>
    <w:rsid w:val="0081622A"/>
    <w:rsid w:val="00816287"/>
    <w:rsid w:val="00817538"/>
    <w:rsid w:val="0082259F"/>
    <w:rsid w:val="00823592"/>
    <w:rsid w:val="0083053C"/>
    <w:rsid w:val="00835795"/>
    <w:rsid w:val="00835BE7"/>
    <w:rsid w:val="0084058F"/>
    <w:rsid w:val="00845FEA"/>
    <w:rsid w:val="00850E75"/>
    <w:rsid w:val="00851BEE"/>
    <w:rsid w:val="00851E14"/>
    <w:rsid w:val="00855DFD"/>
    <w:rsid w:val="0086244A"/>
    <w:rsid w:val="00862AF9"/>
    <w:rsid w:val="00862C18"/>
    <w:rsid w:val="008650E4"/>
    <w:rsid w:val="00867FBD"/>
    <w:rsid w:val="0087089F"/>
    <w:rsid w:val="00870E97"/>
    <w:rsid w:val="00875A3A"/>
    <w:rsid w:val="00881187"/>
    <w:rsid w:val="00881D56"/>
    <w:rsid w:val="008840D5"/>
    <w:rsid w:val="00887F38"/>
    <w:rsid w:val="00890E3E"/>
    <w:rsid w:val="00891B7E"/>
    <w:rsid w:val="00896B18"/>
    <w:rsid w:val="008A0949"/>
    <w:rsid w:val="008A1405"/>
    <w:rsid w:val="008A1D10"/>
    <w:rsid w:val="008A3843"/>
    <w:rsid w:val="008A3F1B"/>
    <w:rsid w:val="008A4D62"/>
    <w:rsid w:val="008A551F"/>
    <w:rsid w:val="008A719F"/>
    <w:rsid w:val="008A7C7F"/>
    <w:rsid w:val="008B1234"/>
    <w:rsid w:val="008B2626"/>
    <w:rsid w:val="008B5653"/>
    <w:rsid w:val="008C0A53"/>
    <w:rsid w:val="008C136E"/>
    <w:rsid w:val="008C7ABF"/>
    <w:rsid w:val="008D10A2"/>
    <w:rsid w:val="008D2551"/>
    <w:rsid w:val="008D283E"/>
    <w:rsid w:val="008D28D8"/>
    <w:rsid w:val="008D448B"/>
    <w:rsid w:val="008D7B4C"/>
    <w:rsid w:val="008E0351"/>
    <w:rsid w:val="008E3889"/>
    <w:rsid w:val="008E77BA"/>
    <w:rsid w:val="008F5C0A"/>
    <w:rsid w:val="008F6203"/>
    <w:rsid w:val="008F6DDA"/>
    <w:rsid w:val="00902632"/>
    <w:rsid w:val="009038C2"/>
    <w:rsid w:val="009049C8"/>
    <w:rsid w:val="00906BAF"/>
    <w:rsid w:val="00911810"/>
    <w:rsid w:val="00911D32"/>
    <w:rsid w:val="0091324A"/>
    <w:rsid w:val="00915B93"/>
    <w:rsid w:val="009178F2"/>
    <w:rsid w:val="009205C7"/>
    <w:rsid w:val="009248F5"/>
    <w:rsid w:val="00924DF5"/>
    <w:rsid w:val="0092605A"/>
    <w:rsid w:val="00927BB6"/>
    <w:rsid w:val="0093301D"/>
    <w:rsid w:val="009353D6"/>
    <w:rsid w:val="00940D85"/>
    <w:rsid w:val="00941451"/>
    <w:rsid w:val="009423B3"/>
    <w:rsid w:val="0094589D"/>
    <w:rsid w:val="00952631"/>
    <w:rsid w:val="009556EC"/>
    <w:rsid w:val="00960A45"/>
    <w:rsid w:val="00964AC7"/>
    <w:rsid w:val="0096612F"/>
    <w:rsid w:val="00967380"/>
    <w:rsid w:val="00967476"/>
    <w:rsid w:val="009730E3"/>
    <w:rsid w:val="009730F5"/>
    <w:rsid w:val="00975A4C"/>
    <w:rsid w:val="009817CF"/>
    <w:rsid w:val="00981961"/>
    <w:rsid w:val="00981EE0"/>
    <w:rsid w:val="00985472"/>
    <w:rsid w:val="0098647F"/>
    <w:rsid w:val="0099241B"/>
    <w:rsid w:val="009951C4"/>
    <w:rsid w:val="009A21B2"/>
    <w:rsid w:val="009A478F"/>
    <w:rsid w:val="009A4BB4"/>
    <w:rsid w:val="009A4C77"/>
    <w:rsid w:val="009A52F5"/>
    <w:rsid w:val="009A581D"/>
    <w:rsid w:val="009B5F73"/>
    <w:rsid w:val="009B68FD"/>
    <w:rsid w:val="009B700D"/>
    <w:rsid w:val="009C41A2"/>
    <w:rsid w:val="009C5393"/>
    <w:rsid w:val="009D226F"/>
    <w:rsid w:val="009D46C5"/>
    <w:rsid w:val="009D5F04"/>
    <w:rsid w:val="009E0417"/>
    <w:rsid w:val="009E1EBB"/>
    <w:rsid w:val="009E2676"/>
    <w:rsid w:val="009E480D"/>
    <w:rsid w:val="009F15C5"/>
    <w:rsid w:val="00A02FD4"/>
    <w:rsid w:val="00A060CD"/>
    <w:rsid w:val="00A06FA1"/>
    <w:rsid w:val="00A135D3"/>
    <w:rsid w:val="00A1603B"/>
    <w:rsid w:val="00A1746F"/>
    <w:rsid w:val="00A20BE8"/>
    <w:rsid w:val="00A26329"/>
    <w:rsid w:val="00A27052"/>
    <w:rsid w:val="00A27745"/>
    <w:rsid w:val="00A311B4"/>
    <w:rsid w:val="00A32AC6"/>
    <w:rsid w:val="00A34740"/>
    <w:rsid w:val="00A35F5A"/>
    <w:rsid w:val="00A37FFB"/>
    <w:rsid w:val="00A47F87"/>
    <w:rsid w:val="00A501E4"/>
    <w:rsid w:val="00A5029B"/>
    <w:rsid w:val="00A508B3"/>
    <w:rsid w:val="00A51859"/>
    <w:rsid w:val="00A53650"/>
    <w:rsid w:val="00A57AC3"/>
    <w:rsid w:val="00A619FD"/>
    <w:rsid w:val="00A6442A"/>
    <w:rsid w:val="00A64CCE"/>
    <w:rsid w:val="00A73984"/>
    <w:rsid w:val="00A80455"/>
    <w:rsid w:val="00A82B74"/>
    <w:rsid w:val="00A82FC9"/>
    <w:rsid w:val="00A83CA4"/>
    <w:rsid w:val="00A854DC"/>
    <w:rsid w:val="00A9040A"/>
    <w:rsid w:val="00A921E1"/>
    <w:rsid w:val="00A922AD"/>
    <w:rsid w:val="00A92E74"/>
    <w:rsid w:val="00A93918"/>
    <w:rsid w:val="00A941DF"/>
    <w:rsid w:val="00A968E7"/>
    <w:rsid w:val="00A96B8D"/>
    <w:rsid w:val="00A97611"/>
    <w:rsid w:val="00AA565F"/>
    <w:rsid w:val="00AB454A"/>
    <w:rsid w:val="00AC03D7"/>
    <w:rsid w:val="00AC0F0C"/>
    <w:rsid w:val="00AC6573"/>
    <w:rsid w:val="00AC7139"/>
    <w:rsid w:val="00AD21EC"/>
    <w:rsid w:val="00AD24CC"/>
    <w:rsid w:val="00AD2F1C"/>
    <w:rsid w:val="00AD4E76"/>
    <w:rsid w:val="00AD5BA9"/>
    <w:rsid w:val="00AD5F40"/>
    <w:rsid w:val="00AE3E24"/>
    <w:rsid w:val="00AE47EF"/>
    <w:rsid w:val="00AF1E08"/>
    <w:rsid w:val="00AF2B79"/>
    <w:rsid w:val="00AF46D2"/>
    <w:rsid w:val="00B02E5F"/>
    <w:rsid w:val="00B113C6"/>
    <w:rsid w:val="00B14BBE"/>
    <w:rsid w:val="00B16C35"/>
    <w:rsid w:val="00B173A3"/>
    <w:rsid w:val="00B31F3A"/>
    <w:rsid w:val="00B3246D"/>
    <w:rsid w:val="00B33C33"/>
    <w:rsid w:val="00B3526C"/>
    <w:rsid w:val="00B40EC1"/>
    <w:rsid w:val="00B431A2"/>
    <w:rsid w:val="00B459A2"/>
    <w:rsid w:val="00B478A5"/>
    <w:rsid w:val="00B50F34"/>
    <w:rsid w:val="00B514FD"/>
    <w:rsid w:val="00B53190"/>
    <w:rsid w:val="00B53579"/>
    <w:rsid w:val="00B55559"/>
    <w:rsid w:val="00B60866"/>
    <w:rsid w:val="00B62530"/>
    <w:rsid w:val="00B662F8"/>
    <w:rsid w:val="00B66880"/>
    <w:rsid w:val="00B66B1E"/>
    <w:rsid w:val="00B85C88"/>
    <w:rsid w:val="00B85DCD"/>
    <w:rsid w:val="00B85F1E"/>
    <w:rsid w:val="00B9197B"/>
    <w:rsid w:val="00B94B07"/>
    <w:rsid w:val="00B95716"/>
    <w:rsid w:val="00B9643A"/>
    <w:rsid w:val="00B96918"/>
    <w:rsid w:val="00B96FA3"/>
    <w:rsid w:val="00B975E6"/>
    <w:rsid w:val="00B97E0F"/>
    <w:rsid w:val="00BA4515"/>
    <w:rsid w:val="00BA543E"/>
    <w:rsid w:val="00BA5A2D"/>
    <w:rsid w:val="00BA7993"/>
    <w:rsid w:val="00BB02BC"/>
    <w:rsid w:val="00BB1254"/>
    <w:rsid w:val="00BC6B45"/>
    <w:rsid w:val="00BD1D2A"/>
    <w:rsid w:val="00BD29A2"/>
    <w:rsid w:val="00BD62B2"/>
    <w:rsid w:val="00BD7C30"/>
    <w:rsid w:val="00BE2339"/>
    <w:rsid w:val="00BE31EA"/>
    <w:rsid w:val="00BE3AA8"/>
    <w:rsid w:val="00BE499A"/>
    <w:rsid w:val="00BE6894"/>
    <w:rsid w:val="00BF03D0"/>
    <w:rsid w:val="00C009E7"/>
    <w:rsid w:val="00C01883"/>
    <w:rsid w:val="00C01D96"/>
    <w:rsid w:val="00C0418C"/>
    <w:rsid w:val="00C04FA0"/>
    <w:rsid w:val="00C11C8A"/>
    <w:rsid w:val="00C11D48"/>
    <w:rsid w:val="00C12AF9"/>
    <w:rsid w:val="00C14B6E"/>
    <w:rsid w:val="00C237B6"/>
    <w:rsid w:val="00C27DD7"/>
    <w:rsid w:val="00C327F1"/>
    <w:rsid w:val="00C3307B"/>
    <w:rsid w:val="00C3407A"/>
    <w:rsid w:val="00C410FE"/>
    <w:rsid w:val="00C41868"/>
    <w:rsid w:val="00C44794"/>
    <w:rsid w:val="00C51C3A"/>
    <w:rsid w:val="00C522D9"/>
    <w:rsid w:val="00C5353F"/>
    <w:rsid w:val="00C5461C"/>
    <w:rsid w:val="00C60909"/>
    <w:rsid w:val="00C6101E"/>
    <w:rsid w:val="00C729AF"/>
    <w:rsid w:val="00C8169B"/>
    <w:rsid w:val="00C83379"/>
    <w:rsid w:val="00C83573"/>
    <w:rsid w:val="00C84CB9"/>
    <w:rsid w:val="00C84D77"/>
    <w:rsid w:val="00C877BD"/>
    <w:rsid w:val="00C90E24"/>
    <w:rsid w:val="00C929EA"/>
    <w:rsid w:val="00C92BA1"/>
    <w:rsid w:val="00C96162"/>
    <w:rsid w:val="00CA242A"/>
    <w:rsid w:val="00CA41E9"/>
    <w:rsid w:val="00CA5CA7"/>
    <w:rsid w:val="00CA62E6"/>
    <w:rsid w:val="00CA75C7"/>
    <w:rsid w:val="00CB0096"/>
    <w:rsid w:val="00CB1EB1"/>
    <w:rsid w:val="00CB26D2"/>
    <w:rsid w:val="00CB34AC"/>
    <w:rsid w:val="00CB41E3"/>
    <w:rsid w:val="00CC1A06"/>
    <w:rsid w:val="00CC3E98"/>
    <w:rsid w:val="00CC5B16"/>
    <w:rsid w:val="00CC6A71"/>
    <w:rsid w:val="00CC728D"/>
    <w:rsid w:val="00CD147C"/>
    <w:rsid w:val="00CD1555"/>
    <w:rsid w:val="00CD1E4A"/>
    <w:rsid w:val="00CD6C97"/>
    <w:rsid w:val="00CD6E83"/>
    <w:rsid w:val="00CE38DA"/>
    <w:rsid w:val="00CE424A"/>
    <w:rsid w:val="00CE6273"/>
    <w:rsid w:val="00CE6930"/>
    <w:rsid w:val="00CE784C"/>
    <w:rsid w:val="00CE7914"/>
    <w:rsid w:val="00CE7DEF"/>
    <w:rsid w:val="00CF02AC"/>
    <w:rsid w:val="00CF096A"/>
    <w:rsid w:val="00CF5367"/>
    <w:rsid w:val="00CF6A16"/>
    <w:rsid w:val="00CF7173"/>
    <w:rsid w:val="00D00D0D"/>
    <w:rsid w:val="00D012A8"/>
    <w:rsid w:val="00D0417C"/>
    <w:rsid w:val="00D071EE"/>
    <w:rsid w:val="00D07ADD"/>
    <w:rsid w:val="00D12EB5"/>
    <w:rsid w:val="00D13646"/>
    <w:rsid w:val="00D157C6"/>
    <w:rsid w:val="00D20C7B"/>
    <w:rsid w:val="00D212B8"/>
    <w:rsid w:val="00D25F66"/>
    <w:rsid w:val="00D30643"/>
    <w:rsid w:val="00D32600"/>
    <w:rsid w:val="00D33B14"/>
    <w:rsid w:val="00D362B8"/>
    <w:rsid w:val="00D362EA"/>
    <w:rsid w:val="00D367C1"/>
    <w:rsid w:val="00D408A3"/>
    <w:rsid w:val="00D43E48"/>
    <w:rsid w:val="00D50794"/>
    <w:rsid w:val="00D53CF7"/>
    <w:rsid w:val="00D54315"/>
    <w:rsid w:val="00D57185"/>
    <w:rsid w:val="00D61F9F"/>
    <w:rsid w:val="00D62799"/>
    <w:rsid w:val="00D62FEE"/>
    <w:rsid w:val="00D64261"/>
    <w:rsid w:val="00D66A4C"/>
    <w:rsid w:val="00D71028"/>
    <w:rsid w:val="00D7247C"/>
    <w:rsid w:val="00D72BE5"/>
    <w:rsid w:val="00D754D0"/>
    <w:rsid w:val="00D758E7"/>
    <w:rsid w:val="00D83182"/>
    <w:rsid w:val="00D850D4"/>
    <w:rsid w:val="00D85896"/>
    <w:rsid w:val="00D86084"/>
    <w:rsid w:val="00D9082A"/>
    <w:rsid w:val="00DA4615"/>
    <w:rsid w:val="00DA4F7F"/>
    <w:rsid w:val="00DA4FC0"/>
    <w:rsid w:val="00DA5426"/>
    <w:rsid w:val="00DB2016"/>
    <w:rsid w:val="00DB520A"/>
    <w:rsid w:val="00DB623A"/>
    <w:rsid w:val="00DB79E9"/>
    <w:rsid w:val="00DC09A7"/>
    <w:rsid w:val="00DC0E08"/>
    <w:rsid w:val="00DC11F0"/>
    <w:rsid w:val="00DC2769"/>
    <w:rsid w:val="00DC2B56"/>
    <w:rsid w:val="00DC42C4"/>
    <w:rsid w:val="00DC6131"/>
    <w:rsid w:val="00DD0D15"/>
    <w:rsid w:val="00DD1DD9"/>
    <w:rsid w:val="00DD76F9"/>
    <w:rsid w:val="00DE0358"/>
    <w:rsid w:val="00DE0B11"/>
    <w:rsid w:val="00DE3870"/>
    <w:rsid w:val="00DE4402"/>
    <w:rsid w:val="00DE79CB"/>
    <w:rsid w:val="00DE7DA7"/>
    <w:rsid w:val="00DF0470"/>
    <w:rsid w:val="00DF0A7A"/>
    <w:rsid w:val="00DF19B0"/>
    <w:rsid w:val="00DF3B12"/>
    <w:rsid w:val="00DF6A96"/>
    <w:rsid w:val="00E0019C"/>
    <w:rsid w:val="00E006A3"/>
    <w:rsid w:val="00E01622"/>
    <w:rsid w:val="00E0272D"/>
    <w:rsid w:val="00E02F8E"/>
    <w:rsid w:val="00E05233"/>
    <w:rsid w:val="00E15938"/>
    <w:rsid w:val="00E163B5"/>
    <w:rsid w:val="00E20393"/>
    <w:rsid w:val="00E22F7F"/>
    <w:rsid w:val="00E231D8"/>
    <w:rsid w:val="00E23833"/>
    <w:rsid w:val="00E2487C"/>
    <w:rsid w:val="00E24D94"/>
    <w:rsid w:val="00E2588D"/>
    <w:rsid w:val="00E3102E"/>
    <w:rsid w:val="00E31789"/>
    <w:rsid w:val="00E31F49"/>
    <w:rsid w:val="00E3256D"/>
    <w:rsid w:val="00E334F4"/>
    <w:rsid w:val="00E33FC9"/>
    <w:rsid w:val="00E3468F"/>
    <w:rsid w:val="00E42500"/>
    <w:rsid w:val="00E433EB"/>
    <w:rsid w:val="00E50D6B"/>
    <w:rsid w:val="00E52B1E"/>
    <w:rsid w:val="00E52E18"/>
    <w:rsid w:val="00E542F8"/>
    <w:rsid w:val="00E54A04"/>
    <w:rsid w:val="00E54BC3"/>
    <w:rsid w:val="00E62389"/>
    <w:rsid w:val="00E63C93"/>
    <w:rsid w:val="00E74C5E"/>
    <w:rsid w:val="00E92BA7"/>
    <w:rsid w:val="00E96680"/>
    <w:rsid w:val="00EA2F28"/>
    <w:rsid w:val="00EA3596"/>
    <w:rsid w:val="00EA3BA0"/>
    <w:rsid w:val="00EA46BD"/>
    <w:rsid w:val="00EA4B03"/>
    <w:rsid w:val="00EA78E6"/>
    <w:rsid w:val="00EA7C9E"/>
    <w:rsid w:val="00EA7F2B"/>
    <w:rsid w:val="00EB14CA"/>
    <w:rsid w:val="00EB69B8"/>
    <w:rsid w:val="00EC23D8"/>
    <w:rsid w:val="00EC2D28"/>
    <w:rsid w:val="00ED4300"/>
    <w:rsid w:val="00ED5854"/>
    <w:rsid w:val="00ED5E48"/>
    <w:rsid w:val="00ED720B"/>
    <w:rsid w:val="00EE2F23"/>
    <w:rsid w:val="00EE4F62"/>
    <w:rsid w:val="00EE56EC"/>
    <w:rsid w:val="00EE60C5"/>
    <w:rsid w:val="00EE64C1"/>
    <w:rsid w:val="00EE75A5"/>
    <w:rsid w:val="00EE7865"/>
    <w:rsid w:val="00EE7B94"/>
    <w:rsid w:val="00EF0245"/>
    <w:rsid w:val="00EF4C26"/>
    <w:rsid w:val="00EF6394"/>
    <w:rsid w:val="00EF67D0"/>
    <w:rsid w:val="00F00AB9"/>
    <w:rsid w:val="00F028B8"/>
    <w:rsid w:val="00F02F0E"/>
    <w:rsid w:val="00F03618"/>
    <w:rsid w:val="00F05D3E"/>
    <w:rsid w:val="00F15771"/>
    <w:rsid w:val="00F15A31"/>
    <w:rsid w:val="00F16BA7"/>
    <w:rsid w:val="00F2266A"/>
    <w:rsid w:val="00F32242"/>
    <w:rsid w:val="00F409B7"/>
    <w:rsid w:val="00F413DD"/>
    <w:rsid w:val="00F4489B"/>
    <w:rsid w:val="00F4771A"/>
    <w:rsid w:val="00F5002E"/>
    <w:rsid w:val="00F549F7"/>
    <w:rsid w:val="00F559E3"/>
    <w:rsid w:val="00F55ECD"/>
    <w:rsid w:val="00F56006"/>
    <w:rsid w:val="00F574D8"/>
    <w:rsid w:val="00F57E03"/>
    <w:rsid w:val="00F60EE5"/>
    <w:rsid w:val="00F62075"/>
    <w:rsid w:val="00F6224B"/>
    <w:rsid w:val="00F649E4"/>
    <w:rsid w:val="00F66768"/>
    <w:rsid w:val="00F66B0A"/>
    <w:rsid w:val="00F67090"/>
    <w:rsid w:val="00F67207"/>
    <w:rsid w:val="00F70425"/>
    <w:rsid w:val="00F7166E"/>
    <w:rsid w:val="00F74369"/>
    <w:rsid w:val="00F80429"/>
    <w:rsid w:val="00F8263E"/>
    <w:rsid w:val="00F85797"/>
    <w:rsid w:val="00F87CDD"/>
    <w:rsid w:val="00F9095B"/>
    <w:rsid w:val="00F977BF"/>
    <w:rsid w:val="00FA18B3"/>
    <w:rsid w:val="00FA29A2"/>
    <w:rsid w:val="00FA2EB1"/>
    <w:rsid w:val="00FA40BB"/>
    <w:rsid w:val="00FA48FE"/>
    <w:rsid w:val="00FA58EC"/>
    <w:rsid w:val="00FA5F01"/>
    <w:rsid w:val="00FB31AD"/>
    <w:rsid w:val="00FB7142"/>
    <w:rsid w:val="00FC193D"/>
    <w:rsid w:val="00FC2A41"/>
    <w:rsid w:val="00FC421E"/>
    <w:rsid w:val="00FD0AC2"/>
    <w:rsid w:val="00FD0E8D"/>
    <w:rsid w:val="00FD14BE"/>
    <w:rsid w:val="00FD44BB"/>
    <w:rsid w:val="00FD7272"/>
    <w:rsid w:val="00FE3756"/>
    <w:rsid w:val="00FE4061"/>
    <w:rsid w:val="00FE4314"/>
    <w:rsid w:val="00FE5604"/>
    <w:rsid w:val="00FE5B5C"/>
    <w:rsid w:val="00FE6CD5"/>
    <w:rsid w:val="00FF1DB0"/>
    <w:rsid w:val="00FF5B8D"/>
    <w:rsid w:val="00FF7A33"/>
    <w:rsid w:val="00FF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A5F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rsid w:val="00B173A3"/>
  </w:style>
  <w:style w:type="paragraph" w:styleId="FootnoteText">
    <w:name w:val="footnote text"/>
    <w:basedOn w:val="Normal"/>
    <w:link w:val="FootnoteTextChar"/>
    <w:rsid w:val="009248F5"/>
    <w:rPr>
      <w:sz w:val="20"/>
    </w:rPr>
  </w:style>
  <w:style w:type="character" w:styleId="FootnoteReference">
    <w:name w:val="footnote reference"/>
    <w:basedOn w:val="DefaultParagraphFont"/>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BodyTextIndent">
    <w:name w:val="Body Text Indent"/>
    <w:basedOn w:val="Normal"/>
    <w:rsid w:val="00DC0E08"/>
    <w:pPr>
      <w:overflowPunct/>
      <w:autoSpaceDE/>
      <w:autoSpaceDN/>
      <w:adjustRightInd/>
      <w:spacing w:after="120"/>
      <w:ind w:left="360"/>
      <w:textAlignment w:val="auto"/>
    </w:pPr>
    <w:rPr>
      <w:sz w:val="20"/>
    </w:rPr>
  </w:style>
  <w:style w:type="character" w:styleId="Hyperlink">
    <w:name w:val="Hyperlink"/>
    <w:basedOn w:val="DefaultParagraphFont"/>
    <w:rsid w:val="00581853"/>
    <w:rPr>
      <w:color w:val="0000FF"/>
      <w:u w:val="single"/>
    </w:rPr>
  </w:style>
  <w:style w:type="character" w:styleId="FollowedHyperlink">
    <w:name w:val="FollowedHyperlink"/>
    <w:basedOn w:val="DefaultParagraphFont"/>
    <w:rsid w:val="00EA2F28"/>
    <w:rPr>
      <w:color w:val="800080"/>
      <w:u w:val="single"/>
    </w:rPr>
  </w:style>
  <w:style w:type="character" w:customStyle="1" w:styleId="FooterChar">
    <w:name w:val="Footer Char"/>
    <w:basedOn w:val="DefaultParagraphFont"/>
    <w:link w:val="Footer"/>
    <w:uiPriority w:val="99"/>
    <w:rsid w:val="00DC11F0"/>
    <w:rPr>
      <w:sz w:val="24"/>
    </w:rPr>
  </w:style>
  <w:style w:type="character" w:styleId="CommentReference">
    <w:name w:val="annotation reference"/>
    <w:basedOn w:val="DefaultParagraphFont"/>
    <w:rsid w:val="000C6EB2"/>
    <w:rPr>
      <w:sz w:val="16"/>
      <w:szCs w:val="16"/>
    </w:rPr>
  </w:style>
  <w:style w:type="paragraph" w:styleId="CommentText">
    <w:name w:val="annotation text"/>
    <w:basedOn w:val="Normal"/>
    <w:link w:val="CommentTextChar"/>
    <w:rsid w:val="000C6EB2"/>
    <w:rPr>
      <w:sz w:val="20"/>
    </w:rPr>
  </w:style>
  <w:style w:type="character" w:customStyle="1" w:styleId="CommentTextChar">
    <w:name w:val="Comment Text Char"/>
    <w:basedOn w:val="DefaultParagraphFont"/>
    <w:link w:val="CommentText"/>
    <w:rsid w:val="000C6EB2"/>
  </w:style>
  <w:style w:type="paragraph" w:styleId="CommentSubject">
    <w:name w:val="annotation subject"/>
    <w:basedOn w:val="CommentText"/>
    <w:next w:val="CommentText"/>
    <w:link w:val="CommentSubjectChar"/>
    <w:rsid w:val="000C6EB2"/>
    <w:rPr>
      <w:b/>
      <w:bCs/>
    </w:rPr>
  </w:style>
  <w:style w:type="character" w:customStyle="1" w:styleId="CommentSubjectChar">
    <w:name w:val="Comment Subject Char"/>
    <w:basedOn w:val="CommentTextChar"/>
    <w:link w:val="CommentSubject"/>
    <w:rsid w:val="000C6EB2"/>
    <w:rPr>
      <w:b/>
      <w:bCs/>
    </w:rPr>
  </w:style>
  <w:style w:type="character" w:customStyle="1" w:styleId="FootnoteTextChar">
    <w:name w:val="Footnote Text Char"/>
    <w:basedOn w:val="DefaultParagraphFont"/>
    <w:link w:val="FootnoteText"/>
    <w:rsid w:val="00EA7C9E"/>
  </w:style>
  <w:style w:type="character" w:customStyle="1" w:styleId="Heading4Char">
    <w:name w:val="Heading 4 Char"/>
    <w:basedOn w:val="DefaultParagraphFont"/>
    <w:link w:val="Heading4"/>
    <w:rsid w:val="00FA5F01"/>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571CC0"/>
    <w:rPr>
      <w:sz w:val="24"/>
    </w:rPr>
  </w:style>
  <w:style w:type="table" w:styleId="TableGrid">
    <w:name w:val="Table Grid"/>
    <w:basedOn w:val="TableNormal"/>
    <w:uiPriority w:val="59"/>
    <w:rsid w:val="00A37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F1151"/>
    <w:pPr>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F1151"/>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545601361">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889027043">
      <w:bodyDiv w:val="1"/>
      <w:marLeft w:val="0"/>
      <w:marRight w:val="0"/>
      <w:marTop w:val="0"/>
      <w:marBottom w:val="0"/>
      <w:divBdr>
        <w:top w:val="none" w:sz="0" w:space="0" w:color="auto"/>
        <w:left w:val="none" w:sz="0" w:space="0" w:color="auto"/>
        <w:bottom w:val="none" w:sz="0" w:space="0" w:color="auto"/>
        <w:right w:val="none" w:sz="0" w:space="0" w:color="auto"/>
      </w:divBdr>
    </w:div>
    <w:div w:id="1396584121">
      <w:bodyDiv w:val="1"/>
      <w:marLeft w:val="0"/>
      <w:marRight w:val="0"/>
      <w:marTop w:val="0"/>
      <w:marBottom w:val="0"/>
      <w:divBdr>
        <w:top w:val="none" w:sz="0" w:space="0" w:color="auto"/>
        <w:left w:val="none" w:sz="0" w:space="0" w:color="auto"/>
        <w:bottom w:val="none" w:sz="0" w:space="0" w:color="auto"/>
        <w:right w:val="none" w:sz="0" w:space="0" w:color="auto"/>
      </w:divBdr>
    </w:div>
    <w:div w:id="143741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ls.gov/PDQ/servlet/SurveyOutputServlet?series_id=PCU221110221110"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brown@state.p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ksmith@state.pa.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aywilliam@state.pa.us" TargetMode="External"/><Relationship Id="rId4" Type="http://schemas.openxmlformats.org/officeDocument/2006/relationships/settings" Target="settings.xml"/><Relationship Id="rId9" Type="http://schemas.openxmlformats.org/officeDocument/2006/relationships/hyperlink" Target="http://data.bls.gov/PDQ/servlet/SurveyOutputServlet?series_id=PCU22111022111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eia.doe.gov/oiaf/aeo/supplement/stimulus/regionalarra.html" TargetMode="External"/><Relationship Id="rId13" Type="http://schemas.openxmlformats.org/officeDocument/2006/relationships/hyperlink" Target="http://frwebgate.access.gpo.gov/cgi-bin/getdoc.cgi?dbname=111_cong_bills&amp;docid=f:h1enr.pdf" TargetMode="External"/><Relationship Id="rId3" Type="http://schemas.openxmlformats.org/officeDocument/2006/relationships/hyperlink" Target="http://www.puc.state.pa.us/electric/Act_129_info.aspx" TargetMode="External"/><Relationship Id="rId7" Type="http://schemas.openxmlformats.org/officeDocument/2006/relationships/hyperlink" Target="http://www.eia.doe.gov/oiaf/aeo/assumption/electricity.html" TargetMode="External"/><Relationship Id="rId12" Type="http://schemas.openxmlformats.org/officeDocument/2006/relationships/hyperlink" Target="http://www.monitoringanalytics.com/reports/PJM_State_of_the_Market/2008/2008-som-pjm-volume2-sec2.pdf" TargetMode="External"/><Relationship Id="rId2" Type="http://schemas.openxmlformats.org/officeDocument/2006/relationships/hyperlink" Target="http://drrc.lbl.gov/pubs/CA-SPManual-7-02.pdf" TargetMode="External"/><Relationship Id="rId16" Type="http://schemas.openxmlformats.org/officeDocument/2006/relationships/hyperlink" Target="http://drrc.lbl.gov/pubs/CA-SPManual-7-02.pdf" TargetMode="External"/><Relationship Id="rId1" Type="http://schemas.openxmlformats.org/officeDocument/2006/relationships/hyperlink" Target="http://www.puc.state.pa.us//pcdocs/1033196.doc" TargetMode="External"/><Relationship Id="rId6" Type="http://schemas.openxmlformats.org/officeDocument/2006/relationships/hyperlink" Target="http://moneyterms.co.uk/spark-spread/" TargetMode="External"/><Relationship Id="rId11" Type="http://schemas.openxmlformats.org/officeDocument/2006/relationships/hyperlink" Target="http://data.bls.gov/PDQ/servlet/SurveyOutputServlet?series_id=PCU221110221110" TargetMode="External"/><Relationship Id="rId5" Type="http://schemas.openxmlformats.org/officeDocument/2006/relationships/hyperlink" Target="http://www.nymex.com/JM_term.aspx" TargetMode="External"/><Relationship Id="rId15" Type="http://schemas.openxmlformats.org/officeDocument/2006/relationships/hyperlink" Target="http://www.epa.gov/eeactionplan" TargetMode="External"/><Relationship Id="rId10" Type="http://schemas.openxmlformats.org/officeDocument/2006/relationships/hyperlink" Target="http://data.bls.gov/PDQ/servlet/SurveyOutputServlet?series_id=PCU221110221110" TargetMode="External"/><Relationship Id="rId4" Type="http://schemas.openxmlformats.org/officeDocument/2006/relationships/hyperlink" Target="http://www.puc.state.pa.us/electric/Act_129_info.aspx" TargetMode="External"/><Relationship Id="rId9" Type="http://schemas.openxmlformats.org/officeDocument/2006/relationships/hyperlink" Target="http://www.eia.doe.gov/oiaf/analysispaper/retrospective/pdf/table2.pdf" TargetMode="External"/><Relationship Id="rId14" Type="http://schemas.openxmlformats.org/officeDocument/2006/relationships/hyperlink" Target="http://www.epa.gov/e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80EB5-49A3-456C-B6E3-8679E939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8567</Words>
  <Characters>48836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57289</CharactersWithSpaces>
  <SharedDoc>false</SharedDoc>
  <HLinks>
    <vt:vector size="90" baseType="variant">
      <vt:variant>
        <vt:i4>2031730</vt:i4>
      </vt:variant>
      <vt:variant>
        <vt:i4>9</vt:i4>
      </vt:variant>
      <vt:variant>
        <vt:i4>0</vt:i4>
      </vt:variant>
      <vt:variant>
        <vt:i4>5</vt:i4>
      </vt:variant>
      <vt:variant>
        <vt:lpwstr>mailto:kribrown@state.pa.us</vt:lpwstr>
      </vt:variant>
      <vt:variant>
        <vt:lpwstr/>
      </vt:variant>
      <vt:variant>
        <vt:i4>4325419</vt:i4>
      </vt:variant>
      <vt:variant>
        <vt:i4>6</vt:i4>
      </vt:variant>
      <vt:variant>
        <vt:i4>0</vt:i4>
      </vt:variant>
      <vt:variant>
        <vt:i4>5</vt:i4>
      </vt:variant>
      <vt:variant>
        <vt:lpwstr>mailto:finksmith@state.pa.us</vt:lpwstr>
      </vt:variant>
      <vt:variant>
        <vt:lpwstr/>
      </vt:variant>
      <vt:variant>
        <vt:i4>7471133</vt:i4>
      </vt:variant>
      <vt:variant>
        <vt:i4>3</vt:i4>
      </vt:variant>
      <vt:variant>
        <vt:i4>0</vt:i4>
      </vt:variant>
      <vt:variant>
        <vt:i4>5</vt:i4>
      </vt:variant>
      <vt:variant>
        <vt:lpwstr>mailto:waywilliam@state.pa.us</vt:lpwstr>
      </vt:variant>
      <vt:variant>
        <vt:lpwstr/>
      </vt:variant>
      <vt:variant>
        <vt:i4>983144</vt:i4>
      </vt:variant>
      <vt:variant>
        <vt:i4>0</vt:i4>
      </vt:variant>
      <vt:variant>
        <vt:i4>0</vt:i4>
      </vt:variant>
      <vt:variant>
        <vt:i4>5</vt:i4>
      </vt:variant>
      <vt:variant>
        <vt:lpwstr>http://data.bls.gov/PDQ/servlet/SurveyOutputServlet?series_id=PCU221110221110</vt:lpwstr>
      </vt:variant>
      <vt:variant>
        <vt:lpwstr/>
      </vt:variant>
      <vt:variant>
        <vt:i4>8192088</vt:i4>
      </vt:variant>
      <vt:variant>
        <vt:i4>33</vt:i4>
      </vt:variant>
      <vt:variant>
        <vt:i4>0</vt:i4>
      </vt:variant>
      <vt:variant>
        <vt:i4>5</vt:i4>
      </vt:variant>
      <vt:variant>
        <vt:lpwstr>http://www.clarkstrategicpartners.net/files/calif_standard_practice_manual.pdf</vt:lpwstr>
      </vt:variant>
      <vt:variant>
        <vt:lpwstr/>
      </vt:variant>
      <vt:variant>
        <vt:i4>3145763</vt:i4>
      </vt:variant>
      <vt:variant>
        <vt:i4>30</vt:i4>
      </vt:variant>
      <vt:variant>
        <vt:i4>0</vt:i4>
      </vt:variant>
      <vt:variant>
        <vt:i4>5</vt:i4>
      </vt:variant>
      <vt:variant>
        <vt:lpwstr>http://www.epa.gov/eeactionplan</vt:lpwstr>
      </vt:variant>
      <vt:variant>
        <vt:lpwstr/>
      </vt:variant>
      <vt:variant>
        <vt:i4>3145763</vt:i4>
      </vt:variant>
      <vt:variant>
        <vt:i4>27</vt:i4>
      </vt:variant>
      <vt:variant>
        <vt:i4>0</vt:i4>
      </vt:variant>
      <vt:variant>
        <vt:i4>5</vt:i4>
      </vt:variant>
      <vt:variant>
        <vt:lpwstr>http://www.epa.gov/eeactionplan</vt:lpwstr>
      </vt:variant>
      <vt:variant>
        <vt:lpwstr/>
      </vt:variant>
      <vt:variant>
        <vt:i4>262146</vt:i4>
      </vt:variant>
      <vt:variant>
        <vt:i4>21</vt:i4>
      </vt:variant>
      <vt:variant>
        <vt:i4>0</vt:i4>
      </vt:variant>
      <vt:variant>
        <vt:i4>5</vt:i4>
      </vt:variant>
      <vt:variant>
        <vt:lpwstr>http://www.monitoringanalytics.com/reports/PJM_State_of_the_Market/2008/2008-som-pjm-volume2-sec2.pdf</vt:lpwstr>
      </vt:variant>
      <vt:variant>
        <vt:lpwstr/>
      </vt:variant>
      <vt:variant>
        <vt:i4>983144</vt:i4>
      </vt:variant>
      <vt:variant>
        <vt:i4>18</vt:i4>
      </vt:variant>
      <vt:variant>
        <vt:i4>0</vt:i4>
      </vt:variant>
      <vt:variant>
        <vt:i4>5</vt:i4>
      </vt:variant>
      <vt:variant>
        <vt:lpwstr>http://data.bls.gov/PDQ/servlet/SurveyOutputServlet?series_id=PCU221110221110</vt:lpwstr>
      </vt:variant>
      <vt:variant>
        <vt:lpwstr/>
      </vt:variant>
      <vt:variant>
        <vt:i4>7929890</vt:i4>
      </vt:variant>
      <vt:variant>
        <vt:i4>15</vt:i4>
      </vt:variant>
      <vt:variant>
        <vt:i4>0</vt:i4>
      </vt:variant>
      <vt:variant>
        <vt:i4>5</vt:i4>
      </vt:variant>
      <vt:variant>
        <vt:lpwstr>http://www.eia.doe.gov/oiaf/analysispaper/retrospective/pdf/table2.pdf</vt:lpwstr>
      </vt:variant>
      <vt:variant>
        <vt:lpwstr/>
      </vt:variant>
      <vt:variant>
        <vt:i4>2949228</vt:i4>
      </vt:variant>
      <vt:variant>
        <vt:i4>12</vt:i4>
      </vt:variant>
      <vt:variant>
        <vt:i4>0</vt:i4>
      </vt:variant>
      <vt:variant>
        <vt:i4>5</vt:i4>
      </vt:variant>
      <vt:variant>
        <vt:lpwstr>http://www.eia.doe.gov/oiaf/aeo/assumption/electricity.html</vt:lpwstr>
      </vt:variant>
      <vt:variant>
        <vt:lpwstr/>
      </vt:variant>
      <vt:variant>
        <vt:i4>1835081</vt:i4>
      </vt:variant>
      <vt:variant>
        <vt:i4>9</vt:i4>
      </vt:variant>
      <vt:variant>
        <vt:i4>0</vt:i4>
      </vt:variant>
      <vt:variant>
        <vt:i4>5</vt:i4>
      </vt:variant>
      <vt:variant>
        <vt:lpwstr>http://moneyterms.co.uk/spark-spread/</vt:lpwstr>
      </vt:variant>
      <vt:variant>
        <vt:lpwstr/>
      </vt:variant>
      <vt:variant>
        <vt:i4>7471124</vt:i4>
      </vt:variant>
      <vt:variant>
        <vt:i4>6</vt:i4>
      </vt:variant>
      <vt:variant>
        <vt:i4>0</vt:i4>
      </vt:variant>
      <vt:variant>
        <vt:i4>5</vt:i4>
      </vt:variant>
      <vt:variant>
        <vt:lpwstr>http://www.nymex.com/JM_term.aspx</vt:lpwstr>
      </vt:variant>
      <vt:variant>
        <vt:lpwstr/>
      </vt:variant>
      <vt:variant>
        <vt:i4>8192088</vt:i4>
      </vt:variant>
      <vt:variant>
        <vt:i4>3</vt:i4>
      </vt:variant>
      <vt:variant>
        <vt:i4>0</vt:i4>
      </vt:variant>
      <vt:variant>
        <vt:i4>5</vt:i4>
      </vt:variant>
      <vt:variant>
        <vt:lpwstr>http://www.clarkstrategicpartners.net/files/calif_standard_practice_manual.pdf</vt:lpwstr>
      </vt:variant>
      <vt:variant>
        <vt:lpwstr/>
      </vt:variant>
      <vt:variant>
        <vt:i4>3145789</vt:i4>
      </vt:variant>
      <vt:variant>
        <vt:i4>0</vt:i4>
      </vt:variant>
      <vt:variant>
        <vt:i4>0</vt:i4>
      </vt:variant>
      <vt:variant>
        <vt:i4>5</vt:i4>
      </vt:variant>
      <vt:variant>
        <vt:lpwstr>http://www.puc.state.pa.us//pcdocs/1033196.doc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sfrei</cp:lastModifiedBy>
  <cp:revision>4</cp:revision>
  <cp:lastPrinted>2009-06-23T11:19:00Z</cp:lastPrinted>
  <dcterms:created xsi:type="dcterms:W3CDTF">2009-10-16T20:16:00Z</dcterms:created>
  <dcterms:modified xsi:type="dcterms:W3CDTF">2009-10-16T20:27:00Z</dcterms:modified>
</cp:coreProperties>
</file>