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00" w:rsidRDefault="00566649" w:rsidP="00566649">
      <w:pPr>
        <w:jc w:val="center"/>
        <w:rPr>
          <w:b/>
        </w:rPr>
      </w:pPr>
      <w:r>
        <w:rPr>
          <w:b/>
        </w:rPr>
        <w:t>BEFORE THE</w:t>
      </w:r>
    </w:p>
    <w:p w:rsidR="00566649" w:rsidRDefault="00566649" w:rsidP="00566649">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566649" w:rsidRDefault="00566649" w:rsidP="00566649">
      <w:pPr>
        <w:jc w:val="center"/>
      </w:pPr>
    </w:p>
    <w:p w:rsidR="00566649" w:rsidRDefault="00566649" w:rsidP="00566649"/>
    <w:p w:rsidR="00566649" w:rsidRDefault="00566649" w:rsidP="00566649"/>
    <w:p w:rsidR="00566649" w:rsidRDefault="00AA3DD4" w:rsidP="00566649">
      <w:r>
        <w:t>Ruth Garcia</w:t>
      </w:r>
      <w:r>
        <w:tab/>
      </w:r>
      <w:r w:rsidR="00566649">
        <w:tab/>
      </w:r>
      <w:r w:rsidR="00566649">
        <w:tab/>
      </w:r>
      <w:r w:rsidR="00566649">
        <w:tab/>
      </w:r>
      <w:r w:rsidR="00566649">
        <w:tab/>
      </w:r>
      <w:r w:rsidR="00566649">
        <w:tab/>
        <w:t>:</w:t>
      </w:r>
    </w:p>
    <w:p w:rsidR="00566649" w:rsidRDefault="00566649" w:rsidP="00566649">
      <w:r>
        <w:tab/>
      </w:r>
      <w:r>
        <w:tab/>
      </w:r>
      <w:r>
        <w:tab/>
      </w:r>
      <w:r>
        <w:tab/>
      </w:r>
      <w:r>
        <w:tab/>
      </w:r>
      <w:r>
        <w:tab/>
      </w:r>
      <w:r>
        <w:tab/>
        <w:t>:</w:t>
      </w:r>
    </w:p>
    <w:p w:rsidR="00566649" w:rsidRDefault="00566649" w:rsidP="00566649">
      <w:r>
        <w:tab/>
        <w:t>v.</w:t>
      </w:r>
      <w:r>
        <w:tab/>
      </w:r>
      <w:r>
        <w:tab/>
      </w:r>
      <w:r>
        <w:tab/>
      </w:r>
      <w:r>
        <w:tab/>
      </w:r>
      <w:r>
        <w:tab/>
      </w:r>
      <w:r>
        <w:tab/>
        <w:t>:</w:t>
      </w:r>
      <w:r>
        <w:tab/>
      </w:r>
      <w:r>
        <w:tab/>
      </w:r>
      <w:r w:rsidR="00AA3DD4">
        <w:t>C-2009-2092699</w:t>
      </w:r>
    </w:p>
    <w:p w:rsidR="00566649" w:rsidRDefault="00566649" w:rsidP="00566649">
      <w:r>
        <w:tab/>
      </w:r>
      <w:r>
        <w:tab/>
      </w:r>
      <w:r>
        <w:tab/>
      </w:r>
      <w:r>
        <w:tab/>
      </w:r>
      <w:r>
        <w:tab/>
      </w:r>
      <w:r>
        <w:tab/>
      </w:r>
      <w:r>
        <w:tab/>
        <w:t>:</w:t>
      </w:r>
    </w:p>
    <w:p w:rsidR="00566649" w:rsidRDefault="00566649" w:rsidP="00566649">
      <w:smartTag w:uri="urn:schemas-microsoft-com:office:smarttags" w:element="City">
        <w:smartTag w:uri="urn:schemas-microsoft-com:office:smarttags" w:element="place">
          <w:r>
            <w:t>Philadelphia</w:t>
          </w:r>
        </w:smartTag>
      </w:smartTag>
      <w:r>
        <w:t xml:space="preserve"> Gas Works</w:t>
      </w:r>
      <w:r>
        <w:tab/>
      </w:r>
      <w:r>
        <w:tab/>
      </w:r>
      <w:r>
        <w:tab/>
      </w:r>
      <w:r>
        <w:tab/>
        <w:t>:</w:t>
      </w:r>
    </w:p>
    <w:p w:rsidR="00566649" w:rsidRDefault="00566649" w:rsidP="00566649"/>
    <w:p w:rsidR="00566649" w:rsidRDefault="00566649" w:rsidP="00566649"/>
    <w:p w:rsidR="00566649" w:rsidRDefault="00566649" w:rsidP="00566649"/>
    <w:p w:rsidR="00566649" w:rsidRDefault="00566649" w:rsidP="00566649">
      <w:pPr>
        <w:jc w:val="center"/>
      </w:pPr>
      <w:r>
        <w:rPr>
          <w:b/>
          <w:u w:val="single"/>
        </w:rPr>
        <w:t>INITIAL DECISION</w:t>
      </w:r>
    </w:p>
    <w:p w:rsidR="00566649" w:rsidRDefault="00566649" w:rsidP="00566649">
      <w:pPr>
        <w:jc w:val="center"/>
      </w:pPr>
    </w:p>
    <w:p w:rsidR="00566649" w:rsidRDefault="00566649" w:rsidP="00566649">
      <w:pPr>
        <w:jc w:val="center"/>
      </w:pPr>
    </w:p>
    <w:p w:rsidR="00566649" w:rsidRDefault="00566649" w:rsidP="00566649">
      <w:pPr>
        <w:jc w:val="center"/>
      </w:pPr>
      <w:r>
        <w:t>Before</w:t>
      </w:r>
    </w:p>
    <w:p w:rsidR="00566649" w:rsidRDefault="00566649" w:rsidP="00566649">
      <w:pPr>
        <w:jc w:val="center"/>
      </w:pPr>
      <w:r>
        <w:t>Ky Van Nguyen</w:t>
      </w:r>
    </w:p>
    <w:p w:rsidR="00566649" w:rsidRDefault="00566649" w:rsidP="00566649">
      <w:pPr>
        <w:jc w:val="center"/>
      </w:pPr>
      <w:r>
        <w:t>Administrative Law Judge</w:t>
      </w:r>
    </w:p>
    <w:p w:rsidR="00566649" w:rsidRDefault="00566649" w:rsidP="00566649">
      <w:pPr>
        <w:jc w:val="center"/>
      </w:pPr>
    </w:p>
    <w:p w:rsidR="00566649" w:rsidRDefault="00566649" w:rsidP="00566649">
      <w:pPr>
        <w:jc w:val="center"/>
      </w:pPr>
    </w:p>
    <w:p w:rsidR="00566649" w:rsidRDefault="00566649" w:rsidP="00566649">
      <w:pPr>
        <w:jc w:val="center"/>
      </w:pPr>
      <w:r>
        <w:rPr>
          <w:u w:val="single"/>
        </w:rPr>
        <w:t>HISTORY OF THE PROCEEDINGS</w:t>
      </w:r>
    </w:p>
    <w:p w:rsidR="00566649" w:rsidRDefault="00566649" w:rsidP="00566649">
      <w:pPr>
        <w:jc w:val="center"/>
      </w:pPr>
    </w:p>
    <w:p w:rsidR="00566649" w:rsidRDefault="00566649" w:rsidP="00566649">
      <w:pPr>
        <w:jc w:val="center"/>
      </w:pPr>
    </w:p>
    <w:p w:rsidR="00566649" w:rsidRDefault="00566649" w:rsidP="00566649">
      <w:pPr>
        <w:spacing w:line="360" w:lineRule="auto"/>
      </w:pPr>
      <w:r>
        <w:tab/>
      </w:r>
      <w:r>
        <w:tab/>
        <w:t xml:space="preserve">On </w:t>
      </w:r>
      <w:r w:rsidR="00AA3DD4">
        <w:t>March 2</w:t>
      </w:r>
      <w:r w:rsidR="00107A95">
        <w:t>, 200</w:t>
      </w:r>
      <w:r w:rsidR="00AA3DD4">
        <w:t>9</w:t>
      </w:r>
      <w:r w:rsidR="00107A95">
        <w:t xml:space="preserve">, </w:t>
      </w:r>
      <w:r w:rsidR="00AA3DD4">
        <w:t>Ruth Garcia</w:t>
      </w:r>
      <w:r>
        <w:t xml:space="preserve"> (Complainant) filed a complaint with the Pennsylvania Public Utility Commission (Commission) against Philadelphia Gas Works (Respondent) alleg</w:t>
      </w:r>
      <w:r w:rsidR="003B34A9">
        <w:t>ing</w:t>
      </w:r>
      <w:r>
        <w:t xml:space="preserve"> that </w:t>
      </w:r>
      <w:r w:rsidR="00107A95">
        <w:t xml:space="preserve">her bills </w:t>
      </w:r>
      <w:r w:rsidR="00AA3DD4">
        <w:t xml:space="preserve">($216.33 and $432.99) </w:t>
      </w:r>
      <w:r w:rsidR="00107A95">
        <w:t xml:space="preserve">were </w:t>
      </w:r>
      <w:r w:rsidR="00AA3DD4">
        <w:t xml:space="preserve">too </w:t>
      </w:r>
      <w:r w:rsidR="00107A95">
        <w:t>high</w:t>
      </w:r>
      <w:r w:rsidR="003B34A9">
        <w:t xml:space="preserve"> </w:t>
      </w:r>
      <w:r w:rsidR="00AA3DD4">
        <w:t>when she did not even move in</w:t>
      </w:r>
      <w:r w:rsidR="00F32EC3">
        <w:t xml:space="preserve"> at the service address</w:t>
      </w:r>
      <w:r w:rsidR="00AA3DD4">
        <w:t>, and that she only left the thermostat at 58º so the pipes did not freeze</w:t>
      </w:r>
      <w:r w:rsidR="003B34A9">
        <w:t xml:space="preserve">.  She asked that the Commission investigate the situation </w:t>
      </w:r>
      <w:r w:rsidR="00107A95">
        <w:t xml:space="preserve">and </w:t>
      </w:r>
      <w:r w:rsidR="00AA3DD4">
        <w:t xml:space="preserve">adjust </w:t>
      </w:r>
      <w:r w:rsidR="00107A95">
        <w:t>her bill</w:t>
      </w:r>
      <w:r w:rsidR="00AA3DD4">
        <w:t>s to a reasonable amount</w:t>
      </w:r>
      <w:r w:rsidR="00107A95">
        <w:t xml:space="preserve">.   </w:t>
      </w:r>
    </w:p>
    <w:p w:rsidR="00566649" w:rsidRDefault="00566649" w:rsidP="00566649">
      <w:pPr>
        <w:spacing w:line="360" w:lineRule="auto"/>
      </w:pPr>
    </w:p>
    <w:p w:rsidR="00566649" w:rsidRDefault="00566649" w:rsidP="00566649">
      <w:pPr>
        <w:spacing w:line="360" w:lineRule="auto"/>
      </w:pPr>
      <w:r>
        <w:tab/>
      </w:r>
      <w:r>
        <w:tab/>
      </w:r>
      <w:r w:rsidR="000002D8">
        <w:t>T</w:t>
      </w:r>
      <w:r>
        <w:t xml:space="preserve">he Respondent filed an </w:t>
      </w:r>
      <w:r w:rsidR="00494C97">
        <w:t>a</w:t>
      </w:r>
      <w:r>
        <w:t xml:space="preserve">nswer </w:t>
      </w:r>
      <w:r w:rsidR="001738A7">
        <w:t xml:space="preserve">dated March 29, 2009 </w:t>
      </w:r>
      <w:r>
        <w:t xml:space="preserve">denying the </w:t>
      </w:r>
      <w:r w:rsidR="003B34A9">
        <w:t>material allegations of the complaint</w:t>
      </w:r>
      <w:r>
        <w:t xml:space="preserve">.  It </w:t>
      </w:r>
      <w:r w:rsidR="003B34A9">
        <w:t>stated</w:t>
      </w:r>
      <w:r>
        <w:t xml:space="preserve"> that the Complainant</w:t>
      </w:r>
      <w:r w:rsidR="003B34A9">
        <w:t>’</w:t>
      </w:r>
      <w:r>
        <w:t xml:space="preserve">s </w:t>
      </w:r>
      <w:r w:rsidR="003B34A9">
        <w:t xml:space="preserve">bills </w:t>
      </w:r>
      <w:r w:rsidR="008E51AD">
        <w:t xml:space="preserve">were </w:t>
      </w:r>
      <w:r w:rsidR="003B34A9">
        <w:t>correct as rendered</w:t>
      </w:r>
      <w:r w:rsidR="00107A95">
        <w:t xml:space="preserve"> and that </w:t>
      </w:r>
      <w:r w:rsidR="001738A7">
        <w:t xml:space="preserve">the service address is equipped with an Automatic </w:t>
      </w:r>
      <w:r w:rsidR="00E177DA">
        <w:t xml:space="preserve">Meter </w:t>
      </w:r>
      <w:r w:rsidR="001738A7">
        <w:t>Reading (AMR)</w:t>
      </w:r>
      <w:r w:rsidR="00E177DA">
        <w:t xml:space="preserve"> device</w:t>
      </w:r>
      <w:r w:rsidR="001738A7">
        <w:t>.</w:t>
      </w:r>
    </w:p>
    <w:p w:rsidR="001738A7" w:rsidRDefault="001738A7" w:rsidP="00566649">
      <w:pPr>
        <w:spacing w:line="360" w:lineRule="auto"/>
      </w:pPr>
    </w:p>
    <w:p w:rsidR="001738A7" w:rsidRDefault="001738A7" w:rsidP="00566649">
      <w:pPr>
        <w:spacing w:line="360" w:lineRule="auto"/>
      </w:pPr>
      <w:r>
        <w:tab/>
      </w:r>
      <w:r>
        <w:tab/>
        <w:t xml:space="preserve">On June 9, 2009, a hearing on the complaint was scheduled.  Before this hearing the Complainant asked for a continuance because she had to stay home to take care of her sick child.  I granted the request.   </w:t>
      </w:r>
    </w:p>
    <w:p w:rsidR="00566649" w:rsidRDefault="00566649" w:rsidP="00566649">
      <w:pPr>
        <w:spacing w:line="360" w:lineRule="auto"/>
      </w:pPr>
    </w:p>
    <w:p w:rsidR="001F4CE0" w:rsidRDefault="001F4CE0" w:rsidP="00566649">
      <w:pPr>
        <w:spacing w:line="360" w:lineRule="auto"/>
      </w:pPr>
      <w:r>
        <w:tab/>
      </w:r>
      <w:r>
        <w:tab/>
        <w:t xml:space="preserve">On </w:t>
      </w:r>
      <w:r w:rsidR="001738A7">
        <w:t>September 15, 2009, another hearing was scheduled</w:t>
      </w:r>
      <w:r>
        <w:t xml:space="preserve">.  The Complainant </w:t>
      </w:r>
      <w:r w:rsidR="003B34A9">
        <w:t>proceeded unrepresented</w:t>
      </w:r>
      <w:r>
        <w:t>.</w:t>
      </w:r>
      <w:r w:rsidR="003B34A9">
        <w:t xml:space="preserve">  She testified on her behalf and introduced </w:t>
      </w:r>
      <w:r w:rsidR="001738A7">
        <w:t>tw</w:t>
      </w:r>
      <w:r w:rsidR="003B34A9">
        <w:t>o exhibit</w:t>
      </w:r>
      <w:r w:rsidR="001738A7">
        <w:t>s</w:t>
      </w:r>
      <w:r w:rsidR="003B34A9">
        <w:t xml:space="preserve"> into the record.</w:t>
      </w:r>
      <w:r>
        <w:t xml:space="preserve">  </w:t>
      </w:r>
      <w:r w:rsidR="003B34A9">
        <w:t>Laureto Farinas</w:t>
      </w:r>
      <w:r>
        <w:t xml:space="preserve">, Esquire, appeared on behalf of the Respondent, presented the testimony of one witness and introduced </w:t>
      </w:r>
      <w:r w:rsidR="00107A95">
        <w:t>f</w:t>
      </w:r>
      <w:r w:rsidR="001738A7">
        <w:t>our</w:t>
      </w:r>
      <w:r>
        <w:t xml:space="preserve"> exhibit</w:t>
      </w:r>
      <w:r w:rsidR="001E41AA">
        <w:t>s</w:t>
      </w:r>
      <w:r w:rsidR="001738A7">
        <w:t xml:space="preserve"> (PGW Exhibits 1, 2, 5, and 7)</w:t>
      </w:r>
      <w:r>
        <w:t xml:space="preserve"> into the record.</w:t>
      </w:r>
    </w:p>
    <w:p w:rsidR="001F4CE0" w:rsidRDefault="001F4CE0" w:rsidP="00566649">
      <w:pPr>
        <w:spacing w:line="360" w:lineRule="auto"/>
      </w:pPr>
    </w:p>
    <w:p w:rsidR="001F4CE0" w:rsidRDefault="001F4CE0" w:rsidP="00566649">
      <w:pPr>
        <w:spacing w:line="360" w:lineRule="auto"/>
      </w:pPr>
      <w:r>
        <w:tab/>
      </w:r>
      <w:r>
        <w:tab/>
      </w:r>
      <w:r w:rsidR="00023256">
        <w:t xml:space="preserve">The record closed at the conclusion of the hearing on </w:t>
      </w:r>
      <w:r w:rsidR="00107A95">
        <w:t>September 1</w:t>
      </w:r>
      <w:r w:rsidR="001738A7">
        <w:t>5</w:t>
      </w:r>
      <w:r w:rsidR="00107A95">
        <w:t>, 200</w:t>
      </w:r>
      <w:r w:rsidR="001738A7">
        <w:t>9</w:t>
      </w:r>
      <w:r w:rsidR="00107A95">
        <w:t>.</w:t>
      </w:r>
    </w:p>
    <w:p w:rsidR="00023256" w:rsidRDefault="00023256" w:rsidP="00566649">
      <w:pPr>
        <w:spacing w:line="360" w:lineRule="auto"/>
      </w:pPr>
    </w:p>
    <w:p w:rsidR="00023256" w:rsidRDefault="00023256" w:rsidP="00023256">
      <w:pPr>
        <w:spacing w:line="360" w:lineRule="auto"/>
        <w:jc w:val="center"/>
      </w:pPr>
      <w:r>
        <w:rPr>
          <w:u w:val="single"/>
        </w:rPr>
        <w:t>FINDINGS OF FACT</w:t>
      </w:r>
    </w:p>
    <w:p w:rsidR="00023256" w:rsidRDefault="00023256" w:rsidP="00023256">
      <w:pPr>
        <w:spacing w:line="360" w:lineRule="auto"/>
        <w:jc w:val="center"/>
      </w:pPr>
    </w:p>
    <w:p w:rsidR="00023256" w:rsidRDefault="00023256" w:rsidP="00023256">
      <w:pPr>
        <w:spacing w:line="360" w:lineRule="auto"/>
      </w:pPr>
      <w:r>
        <w:tab/>
      </w:r>
      <w:r>
        <w:tab/>
        <w:t>1.</w:t>
      </w:r>
      <w:r>
        <w:tab/>
      </w:r>
      <w:r w:rsidR="009B59EE">
        <w:t>T</w:t>
      </w:r>
      <w:r>
        <w:t xml:space="preserve">he Complainant </w:t>
      </w:r>
      <w:r w:rsidR="009B59EE">
        <w:t>i</w:t>
      </w:r>
      <w:r>
        <w:t>s a customer of the Respondent and t</w:t>
      </w:r>
      <w:r w:rsidR="009B59EE">
        <w:t>akes</w:t>
      </w:r>
      <w:r>
        <w:t xml:space="preserve"> </w:t>
      </w:r>
      <w:r w:rsidR="009B59EE">
        <w:t xml:space="preserve">gas </w:t>
      </w:r>
      <w:r>
        <w:t xml:space="preserve">service at </w:t>
      </w:r>
      <w:r w:rsidR="001738A7">
        <w:t>2028 N. Howard Street</w:t>
      </w:r>
      <w:r w:rsidR="00107A95">
        <w:t xml:space="preserve">, Philadelphia, Pennsylvania.  Her gas service was first established </w:t>
      </w:r>
      <w:r w:rsidR="0083145D">
        <w:t>on December 22, 2008 when she bought the house.  She complained about three high bills:  January 2009 ($215.33), February 2009 ($432.99), and March 2009 ($336.13) (N.T. 4-7).</w:t>
      </w:r>
    </w:p>
    <w:p w:rsidR="00023256" w:rsidRDefault="00023256" w:rsidP="00023256">
      <w:pPr>
        <w:spacing w:line="360" w:lineRule="auto"/>
      </w:pPr>
    </w:p>
    <w:p w:rsidR="00023256" w:rsidRDefault="00023256" w:rsidP="00023256">
      <w:pPr>
        <w:spacing w:line="360" w:lineRule="auto"/>
      </w:pPr>
      <w:r>
        <w:tab/>
      </w:r>
      <w:r>
        <w:tab/>
        <w:t>2.</w:t>
      </w:r>
      <w:r>
        <w:tab/>
        <w:t xml:space="preserve">The Complainant </w:t>
      </w:r>
      <w:r w:rsidR="009B59EE">
        <w:t>lives at t</w:t>
      </w:r>
      <w:r>
        <w:t>his address</w:t>
      </w:r>
      <w:r w:rsidR="0083145D">
        <w:t xml:space="preserve"> with her daughter (age 10) (N.T. 9, 10).  </w:t>
      </w:r>
    </w:p>
    <w:p w:rsidR="00023256" w:rsidRDefault="00023256" w:rsidP="00023256">
      <w:pPr>
        <w:spacing w:line="360" w:lineRule="auto"/>
      </w:pPr>
    </w:p>
    <w:p w:rsidR="00023256" w:rsidRDefault="00023256" w:rsidP="00023256">
      <w:pPr>
        <w:spacing w:line="360" w:lineRule="auto"/>
      </w:pPr>
      <w:r>
        <w:tab/>
      </w:r>
      <w:r>
        <w:tab/>
        <w:t>3.</w:t>
      </w:r>
      <w:r>
        <w:tab/>
        <w:t>The Complainant</w:t>
      </w:r>
      <w:r w:rsidR="009B59EE">
        <w:t>’s residence is a t</w:t>
      </w:r>
      <w:r w:rsidR="0083145D">
        <w:t>hree-</w:t>
      </w:r>
      <w:r w:rsidR="009B59EE">
        <w:t>story house</w:t>
      </w:r>
      <w:r w:rsidR="0083145D">
        <w:t xml:space="preserve"> consisting of five bedrooms.  The house is pretty much insulated and has about five windows (N.T. 10, 22, 23).  </w:t>
      </w:r>
    </w:p>
    <w:p w:rsidR="00023256" w:rsidRDefault="00023256" w:rsidP="00023256">
      <w:pPr>
        <w:spacing w:line="360" w:lineRule="auto"/>
      </w:pPr>
    </w:p>
    <w:p w:rsidR="00023256" w:rsidRDefault="00023256" w:rsidP="00023256">
      <w:pPr>
        <w:spacing w:line="360" w:lineRule="auto"/>
      </w:pPr>
      <w:r>
        <w:tab/>
      </w:r>
      <w:r>
        <w:tab/>
        <w:t>4.</w:t>
      </w:r>
      <w:r>
        <w:tab/>
        <w:t>The Complainant</w:t>
      </w:r>
      <w:r w:rsidR="009B59EE">
        <w:t>’s gas appliances consist of a heater</w:t>
      </w:r>
      <w:r w:rsidR="0083145D">
        <w:t xml:space="preserve">, a stove, and a water heater (N.T. 10, 11).  </w:t>
      </w:r>
    </w:p>
    <w:p w:rsidR="00023256" w:rsidRDefault="00023256" w:rsidP="00023256">
      <w:pPr>
        <w:spacing w:line="360" w:lineRule="auto"/>
      </w:pPr>
    </w:p>
    <w:p w:rsidR="00023256" w:rsidRDefault="00023256" w:rsidP="00023256">
      <w:pPr>
        <w:spacing w:line="360" w:lineRule="auto"/>
      </w:pPr>
      <w:r>
        <w:tab/>
      </w:r>
      <w:r>
        <w:tab/>
        <w:t>5.</w:t>
      </w:r>
      <w:r>
        <w:tab/>
        <w:t>The Complainant</w:t>
      </w:r>
      <w:r w:rsidR="0083145D">
        <w:t xml:space="preserve"> turned on the gas on December 22, 2008 and left the thermostat at 58 degrees just to keep the pipes from freezing.  She did not actually move into the house until the last week of September 2009 (N.T. 7-10).</w:t>
      </w:r>
    </w:p>
    <w:p w:rsidR="00BA13E6" w:rsidRDefault="00BA13E6" w:rsidP="00023256">
      <w:pPr>
        <w:spacing w:line="360" w:lineRule="auto"/>
      </w:pPr>
    </w:p>
    <w:p w:rsidR="00BA13E6" w:rsidRDefault="00BA13E6" w:rsidP="00023256">
      <w:pPr>
        <w:spacing w:line="360" w:lineRule="auto"/>
      </w:pPr>
      <w:r>
        <w:tab/>
      </w:r>
      <w:r>
        <w:tab/>
        <w:t>6.</w:t>
      </w:r>
      <w:r>
        <w:tab/>
        <w:t xml:space="preserve">In the winter months of January, February, and March 2009, the Complainant put a new roof on her garage (next to her residence) and renovated her daughter’s </w:t>
      </w:r>
      <w:r>
        <w:lastRenderedPageBreak/>
        <w:t xml:space="preserve">room.  In these three months she came to the house once every two weeks to pick up her mail.  In April 2009, she started staying around more often, cooking and using hot water if necessary.  </w:t>
      </w:r>
      <w:r w:rsidR="00E177DA">
        <w:t>A</w:t>
      </w:r>
      <w:r>
        <w:t>fter April 20, 2009, she turned off the heater completely (N.T. 17, 18, 25).</w:t>
      </w:r>
    </w:p>
    <w:p w:rsidR="00BA13E6" w:rsidRDefault="00BA13E6" w:rsidP="00023256">
      <w:pPr>
        <w:spacing w:line="360" w:lineRule="auto"/>
      </w:pPr>
    </w:p>
    <w:p w:rsidR="00BA13E6" w:rsidRDefault="00BA13E6" w:rsidP="00023256">
      <w:pPr>
        <w:spacing w:line="360" w:lineRule="auto"/>
      </w:pPr>
      <w:r>
        <w:tab/>
      </w:r>
      <w:r>
        <w:tab/>
        <w:t>7.</w:t>
      </w:r>
      <w:r>
        <w:tab/>
        <w:t>The Complainant’s January 12, 2009 bill, covering the period of 18 days between December 22, 2008 and January 12, 2009, was $216.33.  During these 18 days, she used 100 Ccf (N.T. 37, 38; PGW Exhibit 1).</w:t>
      </w:r>
    </w:p>
    <w:p w:rsidR="00BA13E6" w:rsidRDefault="00BA13E6" w:rsidP="00023256">
      <w:pPr>
        <w:spacing w:line="360" w:lineRule="auto"/>
      </w:pPr>
    </w:p>
    <w:p w:rsidR="00BA13E6" w:rsidRDefault="00BA13E6" w:rsidP="00023256">
      <w:pPr>
        <w:spacing w:line="360" w:lineRule="auto"/>
      </w:pPr>
      <w:r>
        <w:tab/>
      </w:r>
      <w:r>
        <w:tab/>
        <w:t>8.</w:t>
      </w:r>
      <w:r>
        <w:tab/>
        <w:t>The Complainant’s February 10, 2009 bill, covering the period of 31 days between January 12, 2</w:t>
      </w:r>
      <w:r w:rsidR="00417516">
        <w:t>008 and February 10, 2009, was $</w:t>
      </w:r>
      <w:r>
        <w:t xml:space="preserve">432.99.  During these 31 days, she used 224 Ccf.  The </w:t>
      </w:r>
      <w:r w:rsidR="00DD7269">
        <w:t>number of the heating degree days was</w:t>
      </w:r>
      <w:r>
        <w:t xml:space="preserve"> 492 degree days</w:t>
      </w:r>
      <w:r w:rsidR="00417516">
        <w:t xml:space="preserve"> (N.T. 38-41; PGW Exhibit 1).</w:t>
      </w:r>
    </w:p>
    <w:p w:rsidR="00417516" w:rsidRDefault="00417516" w:rsidP="00023256">
      <w:pPr>
        <w:spacing w:line="360" w:lineRule="auto"/>
      </w:pPr>
    </w:p>
    <w:p w:rsidR="00417516" w:rsidRDefault="001A7FA2" w:rsidP="00023256">
      <w:pPr>
        <w:spacing w:line="360" w:lineRule="auto"/>
      </w:pPr>
      <w:r>
        <w:tab/>
      </w:r>
      <w:r>
        <w:tab/>
        <w:t>9.</w:t>
      </w:r>
      <w:r>
        <w:tab/>
        <w:t>The Complainant’s March 11, 2009 bill, covering the period of 29 days between February 1</w:t>
      </w:r>
      <w:r w:rsidR="00E177DA">
        <w:t>1</w:t>
      </w:r>
      <w:r>
        <w:t>, 2009 and March 11, 2009, was $336.13.  During these 29 days, she used 173 Ccf.  The number of heating degree days was 1105 degree days (N.T. 40, 41; PGW Exhibit 1).</w:t>
      </w:r>
    </w:p>
    <w:p w:rsidR="001A7FA2" w:rsidRDefault="001A7FA2" w:rsidP="00023256">
      <w:pPr>
        <w:spacing w:line="360" w:lineRule="auto"/>
      </w:pPr>
    </w:p>
    <w:p w:rsidR="001A7FA2" w:rsidRDefault="001A7FA2" w:rsidP="00023256">
      <w:pPr>
        <w:spacing w:line="360" w:lineRule="auto"/>
      </w:pPr>
      <w:r>
        <w:tab/>
      </w:r>
      <w:r>
        <w:tab/>
        <w:t>10.</w:t>
      </w:r>
      <w:r>
        <w:tab/>
        <w:t>The Complainant’</w:t>
      </w:r>
      <w:r w:rsidR="0092550B">
        <w:t xml:space="preserve">s </w:t>
      </w:r>
      <w:r>
        <w:t>April 16, 2009 bill, covering the period of 29 days between March 1</w:t>
      </w:r>
      <w:r w:rsidR="00E177DA">
        <w:t>2</w:t>
      </w:r>
      <w:r>
        <w:t>, 2009 and April 10, 2009, was $124.51.  During these 29 days, she used 65 Ccf.  The number of heating degree days was 748 degree days</w:t>
      </w:r>
      <w:r w:rsidR="00096673">
        <w:t xml:space="preserve"> (N.T. 41, 42; PGW Exhibit 1).</w:t>
      </w:r>
    </w:p>
    <w:p w:rsidR="00096673" w:rsidRDefault="00096673" w:rsidP="00023256">
      <w:pPr>
        <w:spacing w:line="360" w:lineRule="auto"/>
      </w:pPr>
    </w:p>
    <w:p w:rsidR="00096673" w:rsidRDefault="00096673" w:rsidP="00023256">
      <w:pPr>
        <w:spacing w:line="360" w:lineRule="auto"/>
      </w:pPr>
      <w:r>
        <w:tab/>
      </w:r>
      <w:r>
        <w:tab/>
        <w:t>11.</w:t>
      </w:r>
      <w:r>
        <w:tab/>
      </w:r>
      <w:r w:rsidR="0092550B">
        <w:t>The Complainant’s May 11, 2009 bill, covering the pe</w:t>
      </w:r>
      <w:r w:rsidR="00E177DA">
        <w:t>riod of 30 days between April 11</w:t>
      </w:r>
      <w:r w:rsidR="0092550B">
        <w:t>, 2009 and May 11, 2009, was $63.33.  During these 30 days, she used 30 Ccf.  The number of heating degree days was 501 degree days (N.T. 42, 43; PGW Exhibit 1).</w:t>
      </w:r>
    </w:p>
    <w:p w:rsidR="0092550B" w:rsidRDefault="0092550B" w:rsidP="00023256">
      <w:pPr>
        <w:spacing w:line="360" w:lineRule="auto"/>
      </w:pPr>
    </w:p>
    <w:p w:rsidR="0092550B" w:rsidRDefault="00F32EC3" w:rsidP="00023256">
      <w:pPr>
        <w:spacing w:line="360" w:lineRule="auto"/>
      </w:pPr>
      <w:r>
        <w:br w:type="page"/>
      </w:r>
      <w:r w:rsidR="0092550B">
        <w:lastRenderedPageBreak/>
        <w:tab/>
      </w:r>
      <w:r w:rsidR="0092550B">
        <w:tab/>
        <w:t>12.</w:t>
      </w:r>
      <w:r w:rsidR="0092550B">
        <w:tab/>
        <w:t>The Respondent’s Gas Usage Analysis of the Complainant’s gas consumption in January, February, and March 2009 is as follows:</w:t>
      </w:r>
    </w:p>
    <w:p w:rsidR="0092550B" w:rsidRDefault="0092550B" w:rsidP="00023256">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32"/>
        <w:gridCol w:w="596"/>
        <w:gridCol w:w="390"/>
        <w:gridCol w:w="720"/>
        <w:gridCol w:w="540"/>
        <w:gridCol w:w="360"/>
        <w:gridCol w:w="990"/>
        <w:gridCol w:w="900"/>
        <w:gridCol w:w="1080"/>
        <w:gridCol w:w="810"/>
        <w:gridCol w:w="1078"/>
        <w:gridCol w:w="990"/>
      </w:tblGrid>
      <w:tr w:rsidR="00C436B7" w:rsidRPr="00D60237" w:rsidTr="00D60237">
        <w:tc>
          <w:tcPr>
            <w:tcW w:w="1428" w:type="dxa"/>
            <w:gridSpan w:val="2"/>
            <w:tcBorders>
              <w:right w:val="nil"/>
            </w:tcBorders>
          </w:tcPr>
          <w:p w:rsidR="002C5799" w:rsidRPr="00D60237" w:rsidRDefault="002C5799" w:rsidP="00D60237">
            <w:pPr>
              <w:ind w:right="-138"/>
              <w:jc w:val="center"/>
              <w:rPr>
                <w:b/>
                <w:sz w:val="20"/>
                <w:szCs w:val="20"/>
              </w:rPr>
            </w:pPr>
            <w:r w:rsidRPr="00D60237">
              <w:rPr>
                <w:b/>
                <w:sz w:val="20"/>
                <w:szCs w:val="20"/>
              </w:rPr>
              <w:t>Read Date</w:t>
            </w:r>
          </w:p>
        </w:tc>
        <w:tc>
          <w:tcPr>
            <w:tcW w:w="390" w:type="dxa"/>
            <w:tcBorders>
              <w:top w:val="single" w:sz="4" w:space="0" w:color="auto"/>
              <w:left w:val="nil"/>
              <w:bottom w:val="nil"/>
              <w:right w:val="single" w:sz="4" w:space="0" w:color="auto"/>
            </w:tcBorders>
          </w:tcPr>
          <w:p w:rsidR="002C5799" w:rsidRPr="00D60237" w:rsidRDefault="002C5799" w:rsidP="00D60237">
            <w:pPr>
              <w:jc w:val="center"/>
              <w:rPr>
                <w:b/>
                <w:sz w:val="20"/>
                <w:szCs w:val="20"/>
              </w:rPr>
            </w:pPr>
          </w:p>
        </w:tc>
        <w:tc>
          <w:tcPr>
            <w:tcW w:w="1260" w:type="dxa"/>
            <w:gridSpan w:val="2"/>
            <w:tcBorders>
              <w:left w:val="single" w:sz="4" w:space="0" w:color="auto"/>
              <w:right w:val="nil"/>
            </w:tcBorders>
          </w:tcPr>
          <w:p w:rsidR="002C5799" w:rsidRPr="00D60237" w:rsidRDefault="002C5799" w:rsidP="00D60237">
            <w:pPr>
              <w:jc w:val="center"/>
              <w:rPr>
                <w:b/>
                <w:sz w:val="20"/>
                <w:szCs w:val="20"/>
              </w:rPr>
            </w:pPr>
            <w:r w:rsidRPr="00D60237">
              <w:rPr>
                <w:b/>
                <w:sz w:val="20"/>
                <w:szCs w:val="20"/>
              </w:rPr>
              <w:t>Meter</w:t>
            </w:r>
            <w:r w:rsidR="00C436B7" w:rsidRPr="00D60237">
              <w:rPr>
                <w:b/>
                <w:sz w:val="20"/>
                <w:szCs w:val="20"/>
              </w:rPr>
              <w:t xml:space="preserve"> </w:t>
            </w:r>
            <w:r w:rsidRPr="00D60237">
              <w:rPr>
                <w:b/>
                <w:sz w:val="20"/>
                <w:szCs w:val="20"/>
              </w:rPr>
              <w:t>Readings</w:t>
            </w:r>
          </w:p>
        </w:tc>
        <w:tc>
          <w:tcPr>
            <w:tcW w:w="360" w:type="dxa"/>
            <w:tcBorders>
              <w:top w:val="single" w:sz="4" w:space="0" w:color="auto"/>
              <w:left w:val="nil"/>
              <w:bottom w:val="nil"/>
              <w:right w:val="single" w:sz="4" w:space="0" w:color="auto"/>
            </w:tcBorders>
          </w:tcPr>
          <w:p w:rsidR="002C5799" w:rsidRPr="00D60237" w:rsidRDefault="002C5799" w:rsidP="00D60237">
            <w:pPr>
              <w:jc w:val="center"/>
              <w:rPr>
                <w:b/>
                <w:sz w:val="20"/>
                <w:szCs w:val="20"/>
              </w:rPr>
            </w:pPr>
          </w:p>
        </w:tc>
        <w:tc>
          <w:tcPr>
            <w:tcW w:w="990" w:type="dxa"/>
            <w:tcBorders>
              <w:left w:val="single" w:sz="4" w:space="0" w:color="auto"/>
              <w:bottom w:val="single" w:sz="4" w:space="0" w:color="auto"/>
            </w:tcBorders>
          </w:tcPr>
          <w:p w:rsidR="002C5799" w:rsidRPr="00D60237" w:rsidRDefault="002C5799" w:rsidP="00D60237">
            <w:pPr>
              <w:jc w:val="center"/>
              <w:rPr>
                <w:b/>
                <w:sz w:val="20"/>
                <w:szCs w:val="20"/>
              </w:rPr>
            </w:pPr>
            <w:r w:rsidRPr="00D60237">
              <w:rPr>
                <w:b/>
                <w:sz w:val="20"/>
                <w:szCs w:val="20"/>
              </w:rPr>
              <w:t>Number of Days</w:t>
            </w:r>
          </w:p>
        </w:tc>
        <w:tc>
          <w:tcPr>
            <w:tcW w:w="900" w:type="dxa"/>
            <w:tcBorders>
              <w:bottom w:val="single" w:sz="4" w:space="0" w:color="auto"/>
            </w:tcBorders>
          </w:tcPr>
          <w:p w:rsidR="002C5799" w:rsidRPr="00D60237" w:rsidRDefault="002C5799" w:rsidP="00D60237">
            <w:pPr>
              <w:jc w:val="center"/>
              <w:rPr>
                <w:b/>
                <w:sz w:val="20"/>
                <w:szCs w:val="20"/>
              </w:rPr>
            </w:pPr>
            <w:r w:rsidRPr="00D60237">
              <w:rPr>
                <w:b/>
                <w:sz w:val="20"/>
                <w:szCs w:val="20"/>
              </w:rPr>
              <w:t>Usage in CCF*</w:t>
            </w:r>
          </w:p>
        </w:tc>
        <w:tc>
          <w:tcPr>
            <w:tcW w:w="1080" w:type="dxa"/>
            <w:tcBorders>
              <w:bottom w:val="single" w:sz="4" w:space="0" w:color="auto"/>
            </w:tcBorders>
          </w:tcPr>
          <w:p w:rsidR="002C5799" w:rsidRPr="00D60237" w:rsidRDefault="002C5799" w:rsidP="00D60237">
            <w:pPr>
              <w:jc w:val="center"/>
              <w:rPr>
                <w:b/>
                <w:sz w:val="20"/>
                <w:szCs w:val="20"/>
              </w:rPr>
            </w:pPr>
            <w:r w:rsidRPr="00D60237">
              <w:rPr>
                <w:b/>
                <w:sz w:val="20"/>
                <w:szCs w:val="20"/>
              </w:rPr>
              <w:t>Domestic Usage in CCF*</w:t>
            </w:r>
          </w:p>
        </w:tc>
        <w:tc>
          <w:tcPr>
            <w:tcW w:w="810" w:type="dxa"/>
            <w:tcBorders>
              <w:bottom w:val="single" w:sz="4" w:space="0" w:color="auto"/>
            </w:tcBorders>
          </w:tcPr>
          <w:p w:rsidR="002C5799" w:rsidRPr="00D60237" w:rsidRDefault="002C5799" w:rsidP="00D60237">
            <w:pPr>
              <w:jc w:val="center"/>
              <w:rPr>
                <w:b/>
                <w:sz w:val="20"/>
                <w:szCs w:val="20"/>
              </w:rPr>
            </w:pPr>
            <w:r w:rsidRPr="00D60237">
              <w:rPr>
                <w:b/>
                <w:sz w:val="20"/>
                <w:szCs w:val="20"/>
              </w:rPr>
              <w:t>Heat Usage</w:t>
            </w:r>
          </w:p>
        </w:tc>
        <w:tc>
          <w:tcPr>
            <w:tcW w:w="1078" w:type="dxa"/>
            <w:tcBorders>
              <w:bottom w:val="single" w:sz="4" w:space="0" w:color="auto"/>
            </w:tcBorders>
          </w:tcPr>
          <w:p w:rsidR="002C5799" w:rsidRPr="00D60237" w:rsidRDefault="002C5799" w:rsidP="00D60237">
            <w:pPr>
              <w:jc w:val="center"/>
              <w:rPr>
                <w:b/>
                <w:sz w:val="20"/>
                <w:szCs w:val="20"/>
              </w:rPr>
            </w:pPr>
            <w:r w:rsidRPr="00D60237">
              <w:rPr>
                <w:b/>
                <w:sz w:val="20"/>
                <w:szCs w:val="20"/>
              </w:rPr>
              <w:t>Number of Degree Days**</w:t>
            </w:r>
          </w:p>
        </w:tc>
        <w:tc>
          <w:tcPr>
            <w:tcW w:w="990" w:type="dxa"/>
            <w:tcBorders>
              <w:bottom w:val="single" w:sz="4" w:space="0" w:color="auto"/>
            </w:tcBorders>
          </w:tcPr>
          <w:p w:rsidR="002C5799" w:rsidRPr="00D60237" w:rsidRDefault="002C5799" w:rsidP="00D60237">
            <w:pPr>
              <w:ind w:left="-33" w:right="-108"/>
              <w:jc w:val="center"/>
              <w:rPr>
                <w:b/>
                <w:sz w:val="20"/>
                <w:szCs w:val="20"/>
              </w:rPr>
            </w:pPr>
            <w:r w:rsidRPr="00D60237">
              <w:rPr>
                <w:b/>
                <w:sz w:val="20"/>
                <w:szCs w:val="20"/>
              </w:rPr>
              <w:t>CFDD***</w:t>
            </w:r>
          </w:p>
        </w:tc>
      </w:tr>
      <w:tr w:rsidR="00267090" w:rsidRPr="00D60237" w:rsidTr="00D60237">
        <w:tc>
          <w:tcPr>
            <w:tcW w:w="832" w:type="dxa"/>
          </w:tcPr>
          <w:p w:rsidR="002C5799" w:rsidRPr="00D60237" w:rsidRDefault="002C5799" w:rsidP="00D60237">
            <w:pPr>
              <w:jc w:val="center"/>
              <w:rPr>
                <w:b/>
                <w:sz w:val="20"/>
                <w:szCs w:val="20"/>
              </w:rPr>
            </w:pPr>
            <w:r w:rsidRPr="00D60237">
              <w:rPr>
                <w:b/>
                <w:sz w:val="20"/>
                <w:szCs w:val="20"/>
              </w:rPr>
              <w:t>From</w:t>
            </w:r>
          </w:p>
        </w:tc>
        <w:tc>
          <w:tcPr>
            <w:tcW w:w="986" w:type="dxa"/>
            <w:gridSpan w:val="2"/>
          </w:tcPr>
          <w:p w:rsidR="002C5799" w:rsidRPr="00D60237" w:rsidRDefault="002C5799" w:rsidP="00D60237">
            <w:pPr>
              <w:jc w:val="center"/>
              <w:rPr>
                <w:b/>
                <w:sz w:val="20"/>
                <w:szCs w:val="20"/>
              </w:rPr>
            </w:pPr>
            <w:r w:rsidRPr="00D60237">
              <w:rPr>
                <w:b/>
                <w:sz w:val="20"/>
                <w:szCs w:val="20"/>
              </w:rPr>
              <w:t>To</w:t>
            </w:r>
          </w:p>
        </w:tc>
        <w:tc>
          <w:tcPr>
            <w:tcW w:w="720" w:type="dxa"/>
          </w:tcPr>
          <w:p w:rsidR="002C5799" w:rsidRPr="00D60237" w:rsidRDefault="002C5799" w:rsidP="00D60237">
            <w:pPr>
              <w:jc w:val="center"/>
              <w:rPr>
                <w:b/>
                <w:sz w:val="20"/>
                <w:szCs w:val="20"/>
              </w:rPr>
            </w:pPr>
            <w:r w:rsidRPr="00D60237">
              <w:rPr>
                <w:b/>
                <w:sz w:val="20"/>
                <w:szCs w:val="20"/>
              </w:rPr>
              <w:t>From</w:t>
            </w:r>
          </w:p>
        </w:tc>
        <w:tc>
          <w:tcPr>
            <w:tcW w:w="900" w:type="dxa"/>
            <w:gridSpan w:val="2"/>
            <w:tcBorders>
              <w:right w:val="single" w:sz="4" w:space="0" w:color="auto"/>
            </w:tcBorders>
          </w:tcPr>
          <w:p w:rsidR="002C5799" w:rsidRPr="00D60237" w:rsidRDefault="002C5799" w:rsidP="00D60237">
            <w:pPr>
              <w:jc w:val="center"/>
              <w:rPr>
                <w:b/>
                <w:sz w:val="20"/>
                <w:szCs w:val="20"/>
              </w:rPr>
            </w:pPr>
            <w:r w:rsidRPr="00D60237">
              <w:rPr>
                <w:b/>
                <w:sz w:val="20"/>
                <w:szCs w:val="20"/>
              </w:rPr>
              <w:t>To</w:t>
            </w:r>
          </w:p>
        </w:tc>
        <w:tc>
          <w:tcPr>
            <w:tcW w:w="990" w:type="dxa"/>
            <w:tcBorders>
              <w:top w:val="single" w:sz="4" w:space="0" w:color="auto"/>
              <w:left w:val="single" w:sz="4" w:space="0" w:color="auto"/>
              <w:bottom w:val="nil"/>
              <w:right w:val="single" w:sz="4" w:space="0" w:color="auto"/>
            </w:tcBorders>
          </w:tcPr>
          <w:p w:rsidR="002C5799" w:rsidRPr="00D60237" w:rsidRDefault="002C5799" w:rsidP="00D60237">
            <w:pPr>
              <w:jc w:val="center"/>
              <w:rPr>
                <w:b/>
                <w:sz w:val="20"/>
                <w:szCs w:val="20"/>
              </w:rPr>
            </w:pPr>
          </w:p>
        </w:tc>
        <w:tc>
          <w:tcPr>
            <w:tcW w:w="900" w:type="dxa"/>
            <w:tcBorders>
              <w:top w:val="single" w:sz="4" w:space="0" w:color="auto"/>
              <w:left w:val="single" w:sz="4" w:space="0" w:color="auto"/>
              <w:bottom w:val="nil"/>
              <w:right w:val="single" w:sz="4" w:space="0" w:color="auto"/>
            </w:tcBorders>
          </w:tcPr>
          <w:p w:rsidR="002C5799" w:rsidRPr="00D60237" w:rsidRDefault="002C5799" w:rsidP="00D60237">
            <w:pPr>
              <w:jc w:val="center"/>
              <w:rPr>
                <w:b/>
                <w:sz w:val="20"/>
                <w:szCs w:val="20"/>
              </w:rPr>
            </w:pPr>
          </w:p>
        </w:tc>
        <w:tc>
          <w:tcPr>
            <w:tcW w:w="1080" w:type="dxa"/>
            <w:tcBorders>
              <w:top w:val="single" w:sz="4" w:space="0" w:color="auto"/>
              <w:left w:val="single" w:sz="4" w:space="0" w:color="auto"/>
              <w:bottom w:val="nil"/>
              <w:right w:val="single" w:sz="4" w:space="0" w:color="auto"/>
            </w:tcBorders>
          </w:tcPr>
          <w:p w:rsidR="002C5799" w:rsidRPr="00D60237" w:rsidRDefault="002C5799" w:rsidP="00D60237">
            <w:pPr>
              <w:jc w:val="center"/>
              <w:rPr>
                <w:b/>
                <w:sz w:val="20"/>
                <w:szCs w:val="20"/>
              </w:rPr>
            </w:pPr>
          </w:p>
        </w:tc>
        <w:tc>
          <w:tcPr>
            <w:tcW w:w="810" w:type="dxa"/>
            <w:tcBorders>
              <w:top w:val="single" w:sz="4" w:space="0" w:color="auto"/>
              <w:left w:val="single" w:sz="4" w:space="0" w:color="auto"/>
              <w:bottom w:val="nil"/>
              <w:right w:val="single" w:sz="4" w:space="0" w:color="auto"/>
            </w:tcBorders>
          </w:tcPr>
          <w:p w:rsidR="002C5799" w:rsidRPr="00D60237" w:rsidRDefault="002C5799" w:rsidP="00D60237">
            <w:pPr>
              <w:jc w:val="center"/>
              <w:rPr>
                <w:b/>
                <w:sz w:val="20"/>
                <w:szCs w:val="20"/>
              </w:rPr>
            </w:pPr>
          </w:p>
        </w:tc>
        <w:tc>
          <w:tcPr>
            <w:tcW w:w="1078" w:type="dxa"/>
            <w:tcBorders>
              <w:top w:val="single" w:sz="4" w:space="0" w:color="auto"/>
              <w:left w:val="single" w:sz="4" w:space="0" w:color="auto"/>
              <w:bottom w:val="nil"/>
              <w:right w:val="single" w:sz="4" w:space="0" w:color="auto"/>
            </w:tcBorders>
          </w:tcPr>
          <w:p w:rsidR="002C5799" w:rsidRPr="00D60237" w:rsidRDefault="002C5799" w:rsidP="00D60237">
            <w:pPr>
              <w:jc w:val="center"/>
              <w:rPr>
                <w:b/>
                <w:sz w:val="20"/>
                <w:szCs w:val="20"/>
              </w:rPr>
            </w:pPr>
          </w:p>
        </w:tc>
        <w:tc>
          <w:tcPr>
            <w:tcW w:w="990" w:type="dxa"/>
            <w:tcBorders>
              <w:top w:val="single" w:sz="4" w:space="0" w:color="auto"/>
              <w:left w:val="single" w:sz="4" w:space="0" w:color="auto"/>
              <w:bottom w:val="nil"/>
              <w:right w:val="single" w:sz="4" w:space="0" w:color="auto"/>
            </w:tcBorders>
          </w:tcPr>
          <w:p w:rsidR="002C5799" w:rsidRPr="00D60237" w:rsidRDefault="002C5799" w:rsidP="00D60237">
            <w:pPr>
              <w:jc w:val="center"/>
              <w:rPr>
                <w:b/>
                <w:sz w:val="20"/>
                <w:szCs w:val="20"/>
              </w:rPr>
            </w:pPr>
          </w:p>
        </w:tc>
      </w:tr>
      <w:tr w:rsidR="00C436B7" w:rsidRPr="00D60237" w:rsidTr="00D60237">
        <w:tc>
          <w:tcPr>
            <w:tcW w:w="832" w:type="dxa"/>
          </w:tcPr>
          <w:p w:rsidR="002C5799" w:rsidRPr="00D60237" w:rsidRDefault="00267090" w:rsidP="00D60237">
            <w:pPr>
              <w:ind w:left="-90" w:right="-104"/>
              <w:jc w:val="center"/>
              <w:rPr>
                <w:sz w:val="20"/>
                <w:szCs w:val="20"/>
              </w:rPr>
            </w:pPr>
            <w:r w:rsidRPr="00D60237">
              <w:rPr>
                <w:sz w:val="20"/>
                <w:szCs w:val="20"/>
              </w:rPr>
              <w:t>12/23/08</w:t>
            </w:r>
          </w:p>
        </w:tc>
        <w:tc>
          <w:tcPr>
            <w:tcW w:w="986" w:type="dxa"/>
            <w:gridSpan w:val="2"/>
          </w:tcPr>
          <w:p w:rsidR="002C5799" w:rsidRPr="00D60237" w:rsidRDefault="0086796A" w:rsidP="00D60237">
            <w:pPr>
              <w:jc w:val="center"/>
              <w:rPr>
                <w:sz w:val="20"/>
                <w:szCs w:val="20"/>
              </w:rPr>
            </w:pPr>
            <w:r w:rsidRPr="00D60237">
              <w:rPr>
                <w:sz w:val="20"/>
                <w:szCs w:val="20"/>
              </w:rPr>
              <w:t xml:space="preserve">  </w:t>
            </w:r>
            <w:r w:rsidR="00267090" w:rsidRPr="00D60237">
              <w:rPr>
                <w:sz w:val="20"/>
                <w:szCs w:val="20"/>
              </w:rPr>
              <w:t>1/9/09</w:t>
            </w:r>
          </w:p>
        </w:tc>
        <w:tc>
          <w:tcPr>
            <w:tcW w:w="720" w:type="dxa"/>
          </w:tcPr>
          <w:p w:rsidR="002C5799" w:rsidRPr="00D60237" w:rsidRDefault="00267090" w:rsidP="00D60237">
            <w:pPr>
              <w:jc w:val="center"/>
              <w:rPr>
                <w:sz w:val="20"/>
                <w:szCs w:val="20"/>
              </w:rPr>
            </w:pPr>
            <w:r w:rsidRPr="00D60237">
              <w:rPr>
                <w:sz w:val="20"/>
                <w:szCs w:val="20"/>
              </w:rPr>
              <w:t>1010</w:t>
            </w:r>
          </w:p>
        </w:tc>
        <w:tc>
          <w:tcPr>
            <w:tcW w:w="900" w:type="dxa"/>
            <w:gridSpan w:val="2"/>
          </w:tcPr>
          <w:p w:rsidR="002C5799" w:rsidRPr="00D60237" w:rsidRDefault="00267090" w:rsidP="00D60237">
            <w:pPr>
              <w:jc w:val="center"/>
              <w:rPr>
                <w:sz w:val="20"/>
                <w:szCs w:val="20"/>
              </w:rPr>
            </w:pPr>
            <w:r w:rsidRPr="00D60237">
              <w:rPr>
                <w:sz w:val="20"/>
                <w:szCs w:val="20"/>
              </w:rPr>
              <w:t>1110</w:t>
            </w:r>
          </w:p>
        </w:tc>
        <w:tc>
          <w:tcPr>
            <w:tcW w:w="990" w:type="dxa"/>
            <w:tcBorders>
              <w:top w:val="nil"/>
            </w:tcBorders>
          </w:tcPr>
          <w:p w:rsidR="002C5799" w:rsidRPr="00D60237" w:rsidRDefault="00267090" w:rsidP="00D60237">
            <w:pPr>
              <w:jc w:val="center"/>
              <w:rPr>
                <w:sz w:val="20"/>
                <w:szCs w:val="20"/>
              </w:rPr>
            </w:pPr>
            <w:r w:rsidRPr="00D60237">
              <w:rPr>
                <w:sz w:val="20"/>
                <w:szCs w:val="20"/>
              </w:rPr>
              <w:t>18</w:t>
            </w:r>
          </w:p>
        </w:tc>
        <w:tc>
          <w:tcPr>
            <w:tcW w:w="900" w:type="dxa"/>
            <w:tcBorders>
              <w:top w:val="nil"/>
            </w:tcBorders>
          </w:tcPr>
          <w:p w:rsidR="002C5799" w:rsidRPr="00D60237" w:rsidRDefault="00267090" w:rsidP="00D60237">
            <w:pPr>
              <w:jc w:val="center"/>
              <w:rPr>
                <w:sz w:val="20"/>
                <w:szCs w:val="20"/>
              </w:rPr>
            </w:pPr>
            <w:r w:rsidRPr="00D60237">
              <w:rPr>
                <w:sz w:val="20"/>
                <w:szCs w:val="20"/>
              </w:rPr>
              <w:t>100</w:t>
            </w:r>
          </w:p>
        </w:tc>
        <w:tc>
          <w:tcPr>
            <w:tcW w:w="1080" w:type="dxa"/>
            <w:tcBorders>
              <w:top w:val="nil"/>
            </w:tcBorders>
          </w:tcPr>
          <w:p w:rsidR="002C5799" w:rsidRPr="00D60237" w:rsidRDefault="0086796A" w:rsidP="00D60237">
            <w:pPr>
              <w:jc w:val="center"/>
              <w:rPr>
                <w:sz w:val="20"/>
                <w:szCs w:val="20"/>
              </w:rPr>
            </w:pPr>
            <w:r w:rsidRPr="00D60237">
              <w:rPr>
                <w:sz w:val="20"/>
                <w:szCs w:val="20"/>
              </w:rPr>
              <w:t xml:space="preserve">  </w:t>
            </w:r>
            <w:r w:rsidR="00267090" w:rsidRPr="00D60237">
              <w:rPr>
                <w:sz w:val="20"/>
                <w:szCs w:val="20"/>
              </w:rPr>
              <w:t>7</w:t>
            </w:r>
          </w:p>
        </w:tc>
        <w:tc>
          <w:tcPr>
            <w:tcW w:w="810" w:type="dxa"/>
            <w:tcBorders>
              <w:top w:val="nil"/>
            </w:tcBorders>
          </w:tcPr>
          <w:p w:rsidR="002C5799" w:rsidRPr="00D60237" w:rsidRDefault="0086796A" w:rsidP="00D60237">
            <w:pPr>
              <w:jc w:val="center"/>
              <w:rPr>
                <w:sz w:val="20"/>
                <w:szCs w:val="20"/>
              </w:rPr>
            </w:pPr>
            <w:r w:rsidRPr="00D60237">
              <w:rPr>
                <w:sz w:val="20"/>
                <w:szCs w:val="20"/>
              </w:rPr>
              <w:t xml:space="preserve">  </w:t>
            </w:r>
            <w:r w:rsidR="00267090" w:rsidRPr="00D60237">
              <w:rPr>
                <w:sz w:val="20"/>
                <w:szCs w:val="20"/>
              </w:rPr>
              <w:t>93</w:t>
            </w:r>
          </w:p>
        </w:tc>
        <w:tc>
          <w:tcPr>
            <w:tcW w:w="1078" w:type="dxa"/>
            <w:tcBorders>
              <w:top w:val="nil"/>
            </w:tcBorders>
          </w:tcPr>
          <w:p w:rsidR="002C5799" w:rsidRPr="00D60237" w:rsidRDefault="0086796A" w:rsidP="00D60237">
            <w:pPr>
              <w:jc w:val="center"/>
              <w:rPr>
                <w:sz w:val="20"/>
                <w:szCs w:val="20"/>
              </w:rPr>
            </w:pPr>
            <w:r w:rsidRPr="00D60237">
              <w:rPr>
                <w:sz w:val="20"/>
                <w:szCs w:val="20"/>
              </w:rPr>
              <w:t xml:space="preserve">  </w:t>
            </w:r>
            <w:r w:rsidR="00267090" w:rsidRPr="00D60237">
              <w:rPr>
                <w:sz w:val="20"/>
                <w:szCs w:val="20"/>
              </w:rPr>
              <w:t>452</w:t>
            </w:r>
          </w:p>
        </w:tc>
        <w:tc>
          <w:tcPr>
            <w:tcW w:w="990" w:type="dxa"/>
            <w:tcBorders>
              <w:top w:val="nil"/>
            </w:tcBorders>
          </w:tcPr>
          <w:p w:rsidR="002C5799" w:rsidRPr="00D60237" w:rsidRDefault="0086796A" w:rsidP="00D60237">
            <w:pPr>
              <w:jc w:val="center"/>
              <w:rPr>
                <w:sz w:val="20"/>
                <w:szCs w:val="20"/>
              </w:rPr>
            </w:pPr>
            <w:r w:rsidRPr="00D60237">
              <w:rPr>
                <w:sz w:val="20"/>
                <w:szCs w:val="20"/>
              </w:rPr>
              <w:t xml:space="preserve">  </w:t>
            </w:r>
            <w:r w:rsidR="00267090" w:rsidRPr="00D60237">
              <w:rPr>
                <w:sz w:val="20"/>
                <w:szCs w:val="20"/>
              </w:rPr>
              <w:t>20.6</w:t>
            </w:r>
          </w:p>
        </w:tc>
      </w:tr>
      <w:tr w:rsidR="00C436B7" w:rsidRPr="00D60237" w:rsidTr="00D60237">
        <w:tc>
          <w:tcPr>
            <w:tcW w:w="832" w:type="dxa"/>
          </w:tcPr>
          <w:p w:rsidR="002C5799" w:rsidRPr="00D60237" w:rsidRDefault="0086796A" w:rsidP="00D60237">
            <w:pPr>
              <w:ind w:left="-90" w:right="-104"/>
              <w:jc w:val="center"/>
              <w:rPr>
                <w:sz w:val="20"/>
                <w:szCs w:val="20"/>
              </w:rPr>
            </w:pPr>
            <w:r w:rsidRPr="00D60237">
              <w:rPr>
                <w:sz w:val="20"/>
                <w:szCs w:val="20"/>
              </w:rPr>
              <w:t xml:space="preserve">  </w:t>
            </w:r>
            <w:r w:rsidR="00267090" w:rsidRPr="00D60237">
              <w:rPr>
                <w:sz w:val="20"/>
                <w:szCs w:val="20"/>
              </w:rPr>
              <w:t>1/10/09</w:t>
            </w:r>
          </w:p>
        </w:tc>
        <w:tc>
          <w:tcPr>
            <w:tcW w:w="986" w:type="dxa"/>
            <w:gridSpan w:val="2"/>
          </w:tcPr>
          <w:p w:rsidR="002C5799" w:rsidRPr="00D60237" w:rsidRDefault="0086796A" w:rsidP="00D60237">
            <w:pPr>
              <w:jc w:val="center"/>
              <w:rPr>
                <w:sz w:val="20"/>
                <w:szCs w:val="20"/>
              </w:rPr>
            </w:pPr>
            <w:r w:rsidRPr="00D60237">
              <w:rPr>
                <w:sz w:val="20"/>
                <w:szCs w:val="20"/>
              </w:rPr>
              <w:t xml:space="preserve">  </w:t>
            </w:r>
            <w:r w:rsidR="00267090" w:rsidRPr="00D60237">
              <w:rPr>
                <w:sz w:val="20"/>
                <w:szCs w:val="20"/>
              </w:rPr>
              <w:t>2/9/09</w:t>
            </w:r>
          </w:p>
        </w:tc>
        <w:tc>
          <w:tcPr>
            <w:tcW w:w="720" w:type="dxa"/>
          </w:tcPr>
          <w:p w:rsidR="002C5799" w:rsidRPr="00D60237" w:rsidRDefault="00267090" w:rsidP="00D60237">
            <w:pPr>
              <w:jc w:val="center"/>
              <w:rPr>
                <w:sz w:val="20"/>
                <w:szCs w:val="20"/>
              </w:rPr>
            </w:pPr>
            <w:r w:rsidRPr="00D60237">
              <w:rPr>
                <w:sz w:val="20"/>
                <w:szCs w:val="20"/>
              </w:rPr>
              <w:t>1110</w:t>
            </w:r>
          </w:p>
        </w:tc>
        <w:tc>
          <w:tcPr>
            <w:tcW w:w="900" w:type="dxa"/>
            <w:gridSpan w:val="2"/>
          </w:tcPr>
          <w:p w:rsidR="002C5799" w:rsidRPr="00D60237" w:rsidRDefault="00267090" w:rsidP="00D60237">
            <w:pPr>
              <w:jc w:val="center"/>
              <w:rPr>
                <w:sz w:val="20"/>
                <w:szCs w:val="20"/>
              </w:rPr>
            </w:pPr>
            <w:r w:rsidRPr="00D60237">
              <w:rPr>
                <w:sz w:val="20"/>
                <w:szCs w:val="20"/>
              </w:rPr>
              <w:t>1334</w:t>
            </w:r>
          </w:p>
        </w:tc>
        <w:tc>
          <w:tcPr>
            <w:tcW w:w="990" w:type="dxa"/>
          </w:tcPr>
          <w:p w:rsidR="002C5799" w:rsidRPr="00D60237" w:rsidRDefault="00267090" w:rsidP="00D60237">
            <w:pPr>
              <w:jc w:val="center"/>
              <w:rPr>
                <w:sz w:val="20"/>
                <w:szCs w:val="20"/>
              </w:rPr>
            </w:pPr>
            <w:r w:rsidRPr="00D60237">
              <w:rPr>
                <w:sz w:val="20"/>
                <w:szCs w:val="20"/>
              </w:rPr>
              <w:t>31</w:t>
            </w:r>
          </w:p>
        </w:tc>
        <w:tc>
          <w:tcPr>
            <w:tcW w:w="900" w:type="dxa"/>
          </w:tcPr>
          <w:p w:rsidR="002C5799" w:rsidRPr="00D60237" w:rsidRDefault="00267090" w:rsidP="00D60237">
            <w:pPr>
              <w:jc w:val="center"/>
              <w:rPr>
                <w:sz w:val="20"/>
                <w:szCs w:val="20"/>
              </w:rPr>
            </w:pPr>
            <w:r w:rsidRPr="00D60237">
              <w:rPr>
                <w:sz w:val="20"/>
                <w:szCs w:val="20"/>
              </w:rPr>
              <w:t>224</w:t>
            </w:r>
          </w:p>
        </w:tc>
        <w:tc>
          <w:tcPr>
            <w:tcW w:w="1080" w:type="dxa"/>
          </w:tcPr>
          <w:p w:rsidR="002C5799" w:rsidRPr="00D60237" w:rsidRDefault="0086796A" w:rsidP="00D60237">
            <w:pPr>
              <w:jc w:val="center"/>
              <w:rPr>
                <w:sz w:val="20"/>
                <w:szCs w:val="20"/>
              </w:rPr>
            </w:pPr>
            <w:r w:rsidRPr="00D60237">
              <w:rPr>
                <w:sz w:val="20"/>
                <w:szCs w:val="20"/>
              </w:rPr>
              <w:t>12</w:t>
            </w:r>
          </w:p>
        </w:tc>
        <w:tc>
          <w:tcPr>
            <w:tcW w:w="810" w:type="dxa"/>
          </w:tcPr>
          <w:p w:rsidR="002C5799" w:rsidRPr="00D60237" w:rsidRDefault="0086796A" w:rsidP="00D60237">
            <w:pPr>
              <w:jc w:val="center"/>
              <w:rPr>
                <w:sz w:val="20"/>
                <w:szCs w:val="20"/>
              </w:rPr>
            </w:pPr>
            <w:r w:rsidRPr="00D60237">
              <w:rPr>
                <w:sz w:val="20"/>
                <w:szCs w:val="20"/>
              </w:rPr>
              <w:t>212</w:t>
            </w:r>
          </w:p>
        </w:tc>
        <w:tc>
          <w:tcPr>
            <w:tcW w:w="1078" w:type="dxa"/>
          </w:tcPr>
          <w:p w:rsidR="002C5799" w:rsidRPr="00D60237" w:rsidRDefault="0086796A" w:rsidP="00D60237">
            <w:pPr>
              <w:jc w:val="center"/>
              <w:rPr>
                <w:sz w:val="20"/>
                <w:szCs w:val="20"/>
              </w:rPr>
            </w:pPr>
            <w:r w:rsidRPr="00D60237">
              <w:rPr>
                <w:sz w:val="20"/>
                <w:szCs w:val="20"/>
              </w:rPr>
              <w:t>1071</w:t>
            </w:r>
          </w:p>
        </w:tc>
        <w:tc>
          <w:tcPr>
            <w:tcW w:w="990" w:type="dxa"/>
          </w:tcPr>
          <w:p w:rsidR="002C5799" w:rsidRPr="00D60237" w:rsidRDefault="0086796A" w:rsidP="00D60237">
            <w:pPr>
              <w:jc w:val="center"/>
              <w:rPr>
                <w:sz w:val="20"/>
                <w:szCs w:val="20"/>
              </w:rPr>
            </w:pPr>
            <w:r w:rsidRPr="00D60237">
              <w:rPr>
                <w:sz w:val="20"/>
                <w:szCs w:val="20"/>
              </w:rPr>
              <w:t xml:space="preserve">  19.8</w:t>
            </w:r>
          </w:p>
        </w:tc>
      </w:tr>
      <w:tr w:rsidR="00C436B7" w:rsidRPr="00D60237" w:rsidTr="00D60237">
        <w:tc>
          <w:tcPr>
            <w:tcW w:w="832" w:type="dxa"/>
          </w:tcPr>
          <w:p w:rsidR="002C5799" w:rsidRPr="00D60237" w:rsidRDefault="0086796A" w:rsidP="00D60237">
            <w:pPr>
              <w:ind w:left="-90" w:right="-104"/>
              <w:jc w:val="center"/>
              <w:rPr>
                <w:sz w:val="20"/>
                <w:szCs w:val="20"/>
              </w:rPr>
            </w:pPr>
            <w:r w:rsidRPr="00D60237">
              <w:rPr>
                <w:sz w:val="20"/>
                <w:szCs w:val="20"/>
              </w:rPr>
              <w:t xml:space="preserve">  2/10/09</w:t>
            </w:r>
          </w:p>
        </w:tc>
        <w:tc>
          <w:tcPr>
            <w:tcW w:w="986" w:type="dxa"/>
            <w:gridSpan w:val="2"/>
          </w:tcPr>
          <w:p w:rsidR="002C5799" w:rsidRPr="00D60237" w:rsidRDefault="0086796A" w:rsidP="00D60237">
            <w:pPr>
              <w:jc w:val="center"/>
              <w:rPr>
                <w:sz w:val="20"/>
                <w:szCs w:val="20"/>
              </w:rPr>
            </w:pPr>
            <w:r w:rsidRPr="00D60237">
              <w:rPr>
                <w:sz w:val="20"/>
                <w:szCs w:val="20"/>
              </w:rPr>
              <w:t>3/10/09</w:t>
            </w:r>
          </w:p>
        </w:tc>
        <w:tc>
          <w:tcPr>
            <w:tcW w:w="720" w:type="dxa"/>
          </w:tcPr>
          <w:p w:rsidR="002C5799" w:rsidRPr="00D60237" w:rsidRDefault="0086796A" w:rsidP="00D60237">
            <w:pPr>
              <w:jc w:val="center"/>
              <w:rPr>
                <w:sz w:val="20"/>
                <w:szCs w:val="20"/>
              </w:rPr>
            </w:pPr>
            <w:r w:rsidRPr="00D60237">
              <w:rPr>
                <w:sz w:val="20"/>
                <w:szCs w:val="20"/>
              </w:rPr>
              <w:t>1334</w:t>
            </w:r>
          </w:p>
        </w:tc>
        <w:tc>
          <w:tcPr>
            <w:tcW w:w="900" w:type="dxa"/>
            <w:gridSpan w:val="2"/>
          </w:tcPr>
          <w:p w:rsidR="002C5799" w:rsidRPr="00D60237" w:rsidRDefault="0086796A" w:rsidP="00D60237">
            <w:pPr>
              <w:jc w:val="center"/>
              <w:rPr>
                <w:sz w:val="20"/>
                <w:szCs w:val="20"/>
              </w:rPr>
            </w:pPr>
            <w:r w:rsidRPr="00D60237">
              <w:rPr>
                <w:sz w:val="20"/>
                <w:szCs w:val="20"/>
              </w:rPr>
              <w:t>1507</w:t>
            </w:r>
          </w:p>
        </w:tc>
        <w:tc>
          <w:tcPr>
            <w:tcW w:w="990" w:type="dxa"/>
          </w:tcPr>
          <w:p w:rsidR="002C5799" w:rsidRPr="00D60237" w:rsidRDefault="0086796A" w:rsidP="00D60237">
            <w:pPr>
              <w:jc w:val="center"/>
              <w:rPr>
                <w:sz w:val="20"/>
                <w:szCs w:val="20"/>
              </w:rPr>
            </w:pPr>
            <w:r w:rsidRPr="00D60237">
              <w:rPr>
                <w:sz w:val="20"/>
                <w:szCs w:val="20"/>
              </w:rPr>
              <w:t>29</w:t>
            </w:r>
          </w:p>
        </w:tc>
        <w:tc>
          <w:tcPr>
            <w:tcW w:w="900" w:type="dxa"/>
          </w:tcPr>
          <w:p w:rsidR="002C5799" w:rsidRPr="00D60237" w:rsidRDefault="0086796A" w:rsidP="00D60237">
            <w:pPr>
              <w:jc w:val="center"/>
              <w:rPr>
                <w:sz w:val="20"/>
                <w:szCs w:val="20"/>
              </w:rPr>
            </w:pPr>
            <w:r w:rsidRPr="00D60237">
              <w:rPr>
                <w:sz w:val="20"/>
                <w:szCs w:val="20"/>
              </w:rPr>
              <w:t>173</w:t>
            </w:r>
          </w:p>
        </w:tc>
        <w:tc>
          <w:tcPr>
            <w:tcW w:w="1080" w:type="dxa"/>
          </w:tcPr>
          <w:p w:rsidR="002C5799" w:rsidRPr="00D60237" w:rsidRDefault="0086796A" w:rsidP="00D60237">
            <w:pPr>
              <w:jc w:val="center"/>
              <w:rPr>
                <w:sz w:val="20"/>
                <w:szCs w:val="20"/>
              </w:rPr>
            </w:pPr>
            <w:r w:rsidRPr="00D60237">
              <w:rPr>
                <w:sz w:val="20"/>
                <w:szCs w:val="20"/>
              </w:rPr>
              <w:t>11</w:t>
            </w:r>
          </w:p>
        </w:tc>
        <w:tc>
          <w:tcPr>
            <w:tcW w:w="810" w:type="dxa"/>
          </w:tcPr>
          <w:p w:rsidR="002C5799" w:rsidRPr="00D60237" w:rsidRDefault="0086796A" w:rsidP="00D60237">
            <w:pPr>
              <w:jc w:val="center"/>
              <w:rPr>
                <w:sz w:val="20"/>
                <w:szCs w:val="20"/>
              </w:rPr>
            </w:pPr>
            <w:r w:rsidRPr="00D60237">
              <w:rPr>
                <w:sz w:val="20"/>
                <w:szCs w:val="20"/>
              </w:rPr>
              <w:t>162</w:t>
            </w:r>
          </w:p>
        </w:tc>
        <w:tc>
          <w:tcPr>
            <w:tcW w:w="1078" w:type="dxa"/>
          </w:tcPr>
          <w:p w:rsidR="002C5799" w:rsidRPr="00D60237" w:rsidRDefault="0086796A" w:rsidP="00D60237">
            <w:pPr>
              <w:jc w:val="center"/>
              <w:rPr>
                <w:sz w:val="20"/>
                <w:szCs w:val="20"/>
              </w:rPr>
            </w:pPr>
            <w:r w:rsidRPr="00D60237">
              <w:rPr>
                <w:sz w:val="20"/>
                <w:szCs w:val="20"/>
              </w:rPr>
              <w:t xml:space="preserve">  727</w:t>
            </w:r>
          </w:p>
        </w:tc>
        <w:tc>
          <w:tcPr>
            <w:tcW w:w="990" w:type="dxa"/>
          </w:tcPr>
          <w:p w:rsidR="002C5799" w:rsidRPr="00D60237" w:rsidRDefault="0086796A" w:rsidP="00D60237">
            <w:pPr>
              <w:jc w:val="center"/>
              <w:rPr>
                <w:sz w:val="20"/>
                <w:szCs w:val="20"/>
              </w:rPr>
            </w:pPr>
            <w:r w:rsidRPr="00D60237">
              <w:rPr>
                <w:sz w:val="20"/>
                <w:szCs w:val="20"/>
              </w:rPr>
              <w:t xml:space="preserve">  22.3</w:t>
            </w:r>
          </w:p>
        </w:tc>
      </w:tr>
      <w:tr w:rsidR="0086796A" w:rsidRPr="00D60237" w:rsidTr="00D60237">
        <w:tc>
          <w:tcPr>
            <w:tcW w:w="832" w:type="dxa"/>
          </w:tcPr>
          <w:p w:rsidR="0086796A" w:rsidRPr="00D60237" w:rsidRDefault="0086796A" w:rsidP="00D60237">
            <w:pPr>
              <w:ind w:left="-90" w:right="-104"/>
              <w:jc w:val="center"/>
              <w:rPr>
                <w:sz w:val="20"/>
                <w:szCs w:val="20"/>
              </w:rPr>
            </w:pPr>
            <w:r w:rsidRPr="00D60237">
              <w:rPr>
                <w:sz w:val="20"/>
                <w:szCs w:val="20"/>
              </w:rPr>
              <w:t xml:space="preserve">  3/11/09</w:t>
            </w:r>
          </w:p>
        </w:tc>
        <w:tc>
          <w:tcPr>
            <w:tcW w:w="986" w:type="dxa"/>
            <w:gridSpan w:val="2"/>
          </w:tcPr>
          <w:p w:rsidR="0086796A" w:rsidRPr="00D60237" w:rsidRDefault="0086796A" w:rsidP="00D60237">
            <w:pPr>
              <w:jc w:val="center"/>
              <w:rPr>
                <w:sz w:val="20"/>
                <w:szCs w:val="20"/>
              </w:rPr>
            </w:pPr>
            <w:r w:rsidRPr="00D60237">
              <w:rPr>
                <w:sz w:val="20"/>
                <w:szCs w:val="20"/>
              </w:rPr>
              <w:t xml:space="preserve">  4/8/09</w:t>
            </w:r>
          </w:p>
        </w:tc>
        <w:tc>
          <w:tcPr>
            <w:tcW w:w="720" w:type="dxa"/>
          </w:tcPr>
          <w:p w:rsidR="0086796A" w:rsidRPr="00D60237" w:rsidRDefault="0086796A" w:rsidP="00D60237">
            <w:pPr>
              <w:jc w:val="center"/>
              <w:rPr>
                <w:sz w:val="20"/>
                <w:szCs w:val="20"/>
              </w:rPr>
            </w:pPr>
            <w:r w:rsidRPr="00D60237">
              <w:rPr>
                <w:sz w:val="20"/>
                <w:szCs w:val="20"/>
              </w:rPr>
              <w:t>1507</w:t>
            </w:r>
          </w:p>
        </w:tc>
        <w:tc>
          <w:tcPr>
            <w:tcW w:w="900" w:type="dxa"/>
            <w:gridSpan w:val="2"/>
          </w:tcPr>
          <w:p w:rsidR="0086796A" w:rsidRPr="00D60237" w:rsidRDefault="0086796A" w:rsidP="00D60237">
            <w:pPr>
              <w:jc w:val="center"/>
              <w:rPr>
                <w:sz w:val="20"/>
                <w:szCs w:val="20"/>
              </w:rPr>
            </w:pPr>
            <w:r w:rsidRPr="00D60237">
              <w:rPr>
                <w:sz w:val="20"/>
                <w:szCs w:val="20"/>
              </w:rPr>
              <w:t>1572</w:t>
            </w:r>
          </w:p>
        </w:tc>
        <w:tc>
          <w:tcPr>
            <w:tcW w:w="990" w:type="dxa"/>
          </w:tcPr>
          <w:p w:rsidR="0086796A" w:rsidRPr="00D60237" w:rsidRDefault="0086796A" w:rsidP="00D60237">
            <w:pPr>
              <w:jc w:val="center"/>
              <w:rPr>
                <w:sz w:val="20"/>
                <w:szCs w:val="20"/>
              </w:rPr>
            </w:pPr>
            <w:r w:rsidRPr="00D60237">
              <w:rPr>
                <w:sz w:val="20"/>
                <w:szCs w:val="20"/>
              </w:rPr>
              <w:t>29</w:t>
            </w:r>
          </w:p>
        </w:tc>
        <w:tc>
          <w:tcPr>
            <w:tcW w:w="900" w:type="dxa"/>
          </w:tcPr>
          <w:p w:rsidR="0086796A" w:rsidRPr="00D60237" w:rsidRDefault="0086796A" w:rsidP="00D60237">
            <w:pPr>
              <w:jc w:val="center"/>
              <w:rPr>
                <w:sz w:val="20"/>
                <w:szCs w:val="20"/>
              </w:rPr>
            </w:pPr>
            <w:r w:rsidRPr="00D60237">
              <w:rPr>
                <w:sz w:val="20"/>
                <w:szCs w:val="20"/>
              </w:rPr>
              <w:t xml:space="preserve">  65</w:t>
            </w:r>
          </w:p>
        </w:tc>
        <w:tc>
          <w:tcPr>
            <w:tcW w:w="1080" w:type="dxa"/>
          </w:tcPr>
          <w:p w:rsidR="0086796A" w:rsidRPr="00D60237" w:rsidRDefault="0086796A" w:rsidP="00D60237">
            <w:pPr>
              <w:jc w:val="center"/>
              <w:rPr>
                <w:sz w:val="20"/>
                <w:szCs w:val="20"/>
              </w:rPr>
            </w:pPr>
            <w:r w:rsidRPr="00D60237">
              <w:rPr>
                <w:sz w:val="20"/>
                <w:szCs w:val="20"/>
              </w:rPr>
              <w:t>11</w:t>
            </w:r>
          </w:p>
        </w:tc>
        <w:tc>
          <w:tcPr>
            <w:tcW w:w="810" w:type="dxa"/>
          </w:tcPr>
          <w:p w:rsidR="0086796A" w:rsidRPr="00D60237" w:rsidRDefault="0086796A" w:rsidP="00D60237">
            <w:pPr>
              <w:jc w:val="center"/>
              <w:rPr>
                <w:sz w:val="20"/>
                <w:szCs w:val="20"/>
              </w:rPr>
            </w:pPr>
            <w:r w:rsidRPr="00D60237">
              <w:rPr>
                <w:sz w:val="20"/>
                <w:szCs w:val="20"/>
              </w:rPr>
              <w:t xml:space="preserve">  54</w:t>
            </w:r>
          </w:p>
        </w:tc>
        <w:tc>
          <w:tcPr>
            <w:tcW w:w="1078" w:type="dxa"/>
          </w:tcPr>
          <w:p w:rsidR="0086796A" w:rsidRPr="00D60237" w:rsidRDefault="0086796A" w:rsidP="00D60237">
            <w:pPr>
              <w:jc w:val="center"/>
              <w:rPr>
                <w:sz w:val="20"/>
                <w:szCs w:val="20"/>
              </w:rPr>
            </w:pPr>
            <w:r w:rsidRPr="00D60237">
              <w:rPr>
                <w:sz w:val="20"/>
                <w:szCs w:val="20"/>
              </w:rPr>
              <w:t xml:space="preserve">  489</w:t>
            </w:r>
          </w:p>
        </w:tc>
        <w:tc>
          <w:tcPr>
            <w:tcW w:w="990" w:type="dxa"/>
          </w:tcPr>
          <w:p w:rsidR="0086796A" w:rsidRPr="00D60237" w:rsidRDefault="0086796A" w:rsidP="00D60237">
            <w:pPr>
              <w:jc w:val="center"/>
              <w:rPr>
                <w:sz w:val="20"/>
                <w:szCs w:val="20"/>
              </w:rPr>
            </w:pPr>
            <w:r w:rsidRPr="00D60237">
              <w:rPr>
                <w:sz w:val="20"/>
                <w:szCs w:val="20"/>
              </w:rPr>
              <w:t>11</w:t>
            </w:r>
          </w:p>
        </w:tc>
      </w:tr>
    </w:tbl>
    <w:p w:rsidR="0053571C" w:rsidRPr="0053571C" w:rsidRDefault="0053571C" w:rsidP="0053571C">
      <w:pPr>
        <w:ind w:left="120"/>
        <w:rPr>
          <w:sz w:val="20"/>
          <w:szCs w:val="20"/>
        </w:rPr>
      </w:pPr>
      <w:r w:rsidRPr="0053571C">
        <w:rPr>
          <w:sz w:val="20"/>
          <w:szCs w:val="20"/>
        </w:rPr>
        <w:t xml:space="preserve">  *</w:t>
      </w:r>
      <w:r w:rsidRPr="0053571C">
        <w:rPr>
          <w:sz w:val="20"/>
          <w:szCs w:val="20"/>
        </w:rPr>
        <w:tab/>
        <w:t>CCF = Hundred Cubic Feet</w:t>
      </w:r>
    </w:p>
    <w:p w:rsidR="0053571C" w:rsidRPr="0053571C" w:rsidRDefault="0053571C" w:rsidP="0053571C">
      <w:pPr>
        <w:ind w:left="720" w:hanging="720"/>
        <w:rPr>
          <w:sz w:val="20"/>
          <w:szCs w:val="20"/>
        </w:rPr>
      </w:pPr>
      <w:r w:rsidRPr="0053571C">
        <w:rPr>
          <w:sz w:val="20"/>
          <w:szCs w:val="20"/>
        </w:rPr>
        <w:t xml:space="preserve">  **</w:t>
      </w:r>
      <w:r w:rsidRPr="0053571C">
        <w:rPr>
          <w:sz w:val="20"/>
          <w:szCs w:val="20"/>
        </w:rPr>
        <w:tab/>
        <w:t>A Degree Day is an index of energy consumption for heating.  It indicates the number of degrees the average temperature drops below 65°F.</w:t>
      </w:r>
    </w:p>
    <w:p w:rsidR="009B59EE" w:rsidRPr="0053571C" w:rsidRDefault="0053571C" w:rsidP="00023256">
      <w:pPr>
        <w:spacing w:line="360" w:lineRule="auto"/>
        <w:rPr>
          <w:sz w:val="20"/>
          <w:szCs w:val="20"/>
        </w:rPr>
      </w:pPr>
      <w:r w:rsidRPr="0053571C">
        <w:rPr>
          <w:sz w:val="20"/>
          <w:szCs w:val="20"/>
        </w:rPr>
        <w:t>***</w:t>
      </w:r>
      <w:r w:rsidRPr="0053571C">
        <w:rPr>
          <w:sz w:val="20"/>
          <w:szCs w:val="20"/>
        </w:rPr>
        <w:tab/>
        <w:t>CFDD equals cubic feet of gas used per degree day.</w:t>
      </w:r>
    </w:p>
    <w:p w:rsidR="0053571C" w:rsidRDefault="0053571C" w:rsidP="0053571C"/>
    <w:p w:rsidR="0053571C" w:rsidRDefault="0053571C" w:rsidP="00023256">
      <w:pPr>
        <w:spacing w:line="360" w:lineRule="auto"/>
      </w:pPr>
      <w:r>
        <w:t xml:space="preserve">(PGW Exhibit </w:t>
      </w:r>
      <w:r w:rsidR="0086796A">
        <w:t>5</w:t>
      </w:r>
      <w:r>
        <w:t>).</w:t>
      </w:r>
    </w:p>
    <w:p w:rsidR="0053571C" w:rsidRDefault="0053571C" w:rsidP="00023256">
      <w:pPr>
        <w:spacing w:line="360" w:lineRule="auto"/>
      </w:pPr>
    </w:p>
    <w:p w:rsidR="00023256" w:rsidRDefault="00023256" w:rsidP="00023256">
      <w:pPr>
        <w:spacing w:line="360" w:lineRule="auto"/>
        <w:jc w:val="center"/>
      </w:pPr>
      <w:r>
        <w:rPr>
          <w:u w:val="single"/>
        </w:rPr>
        <w:t>DISCUSSION</w:t>
      </w:r>
    </w:p>
    <w:p w:rsidR="00023256" w:rsidRDefault="00023256" w:rsidP="00023256">
      <w:pPr>
        <w:spacing w:line="360" w:lineRule="auto"/>
        <w:jc w:val="center"/>
      </w:pPr>
    </w:p>
    <w:p w:rsidR="00023256" w:rsidRPr="00032C2F" w:rsidRDefault="00117AA9" w:rsidP="00023256">
      <w:pPr>
        <w:spacing w:line="360" w:lineRule="auto"/>
      </w:pPr>
      <w:r>
        <w:tab/>
      </w:r>
      <w:r>
        <w:tab/>
        <w:t xml:space="preserve">Section 332(a) of the Public Utility Code, 66 </w:t>
      </w:r>
      <w:smartTag w:uri="urn:schemas-microsoft-com:office:smarttags" w:element="place">
        <w:smartTag w:uri="urn:schemas-microsoft-com:office:smarttags" w:element="State">
          <w:r>
            <w:t>Pa.</w:t>
          </w:r>
        </w:smartTag>
      </w:smartTag>
      <w:r>
        <w:t xml:space="preserve"> C.S. §</w:t>
      </w:r>
      <w:r w:rsidR="00765622">
        <w:t>332(a),</w:t>
      </w:r>
      <w:r w:rsidR="00765622">
        <w:rPr>
          <w:rStyle w:val="FootnoteReference"/>
        </w:rPr>
        <w:footnoteReference w:id="1"/>
      </w:r>
      <w:r w:rsidR="00765622">
        <w:t xml:space="preserve">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r w:rsidR="00765622">
        <w:rPr>
          <w:u w:val="single"/>
        </w:rPr>
        <w:t>Se-Lin</w:t>
      </w:r>
      <w:r w:rsidR="00494C97">
        <w:rPr>
          <w:u w:val="single"/>
        </w:rPr>
        <w:t>g</w:t>
      </w:r>
      <w:r w:rsidR="00765622">
        <w:rPr>
          <w:u w:val="single"/>
        </w:rPr>
        <w:t xml:space="preserve"> Hosiery v. Margulies</w:t>
      </w:r>
      <w:r w:rsidR="00765622">
        <w:t xml:space="preserve">, 364 </w:t>
      </w:r>
      <w:smartTag w:uri="urn:schemas-microsoft-com:office:smarttags" w:element="place">
        <w:smartTag w:uri="urn:schemas-microsoft-com:office:smarttags" w:element="State">
          <w:r w:rsidR="00765622">
            <w:t>Pa.</w:t>
          </w:r>
        </w:smartTag>
      </w:smartTag>
      <w:r w:rsidR="00765622">
        <w:t xml:space="preserve"> 45, 70 A.2d 854 (1950).</w:t>
      </w:r>
      <w:r w:rsidR="0053571C">
        <w:t xml:space="preserve">  In other words, “preponderance” is not dependent on the number of witnesses testifying on either side but rather on the credibility of the testimony in the light of all the evidence in a case.  </w:t>
      </w:r>
      <w:r w:rsidR="0053571C">
        <w:rPr>
          <w:u w:val="single"/>
        </w:rPr>
        <w:t>Burch v. Reading Co.</w:t>
      </w:r>
      <w:r w:rsidR="0053571C">
        <w:t>, 240 F.2d 574 (3d Cir. 1957) cert. denied, 353 U.S. 965 (1957).</w:t>
      </w:r>
      <w:r w:rsidR="00032C2F">
        <w:t xml:space="preserve">  The Pennsylvania Supreme Court has characterized a preponderance of the evidence as tantamount to a “more likely than not” inquiry.  </w:t>
      </w:r>
      <w:r w:rsidR="00032C2F">
        <w:rPr>
          <w:u w:val="single"/>
        </w:rPr>
        <w:t>Commonwealth v. $6,425 Seized From Esquilin</w:t>
      </w:r>
      <w:r w:rsidR="00032C2F">
        <w:t>, 583 Pa. 544, 555, 880 A.2d 523, 529 (2005).</w:t>
      </w:r>
    </w:p>
    <w:p w:rsidR="00765622" w:rsidRDefault="00765622" w:rsidP="00023256">
      <w:pPr>
        <w:spacing w:line="360" w:lineRule="auto"/>
      </w:pPr>
    </w:p>
    <w:p w:rsidR="00765622" w:rsidRPr="00EF2C8B" w:rsidRDefault="00765622" w:rsidP="00023256">
      <w:pPr>
        <w:spacing w:line="360" w:lineRule="auto"/>
      </w:pPr>
      <w:r>
        <w:lastRenderedPageBreak/>
        <w:tab/>
      </w:r>
      <w:r>
        <w:tab/>
      </w:r>
      <w:r w:rsidR="005E53AB">
        <w:t xml:space="preserve">Under these principles the Complainant, as the party seeking relief, has the burden of proof.  In </w:t>
      </w:r>
      <w:r w:rsidR="00032C2F">
        <w:t>this b</w:t>
      </w:r>
      <w:r w:rsidR="00C20C5F">
        <w:t xml:space="preserve">illing </w:t>
      </w:r>
      <w:r w:rsidR="005E53AB">
        <w:t xml:space="preserve">dispute, the Complainant has the burden of proving by a preponderance of the evidence that </w:t>
      </w:r>
      <w:r w:rsidR="00EF2C8B">
        <w:t xml:space="preserve">(1) the disputed bills are abnormally high when compared to prior usage patterns, and that (2) the pattern of usage has not changed.  </w:t>
      </w:r>
      <w:r w:rsidR="00EF2C8B">
        <w:rPr>
          <w:u w:val="single"/>
        </w:rPr>
        <w:t>Waldron v. Philadelphia Electric Company</w:t>
      </w:r>
      <w:r w:rsidR="00EF2C8B">
        <w:t xml:space="preserve">, 54 </w:t>
      </w:r>
      <w:smartTag w:uri="urn:schemas-microsoft-com:office:smarttags" w:element="place">
        <w:smartTag w:uri="urn:schemas-microsoft-com:office:smarttags" w:element="State">
          <w:r w:rsidR="00EF2C8B">
            <w:t>Pa.</w:t>
          </w:r>
        </w:smartTag>
      </w:smartTag>
      <w:r w:rsidR="00EF2C8B">
        <w:t xml:space="preserve"> PUC 98 (1980).  If the utility fails to rebut this evidence, the Complainant would prevail.</w:t>
      </w:r>
    </w:p>
    <w:p w:rsidR="00E57D7C" w:rsidRDefault="00E57D7C" w:rsidP="00023256">
      <w:pPr>
        <w:spacing w:line="360" w:lineRule="auto"/>
      </w:pPr>
    </w:p>
    <w:p w:rsidR="000D385C" w:rsidRDefault="000D385C" w:rsidP="000D385C">
      <w:pPr>
        <w:spacing w:line="360" w:lineRule="auto"/>
      </w:pPr>
      <w:r>
        <w:tab/>
      </w:r>
      <w:r>
        <w:tab/>
        <w:t xml:space="preserve">Also the Commission has stated that although the meter test results are important, but standing alone, they may be insufficient rebuttal testimony.  However, if in addition to the meter test results, the utility places into the record testimony to rebut the Complainant’s prima facie case, the burden of going forward shifts to the Complainant to prove that the meter in question is defective.  </w:t>
      </w:r>
      <w:r>
        <w:rPr>
          <w:u w:val="single"/>
        </w:rPr>
        <w:t>Replogle v. Pennsylvania Electric Company</w:t>
      </w:r>
      <w:r>
        <w:t xml:space="preserve">, 54 </w:t>
      </w:r>
      <w:smartTag w:uri="urn:schemas-microsoft-com:office:smarttags" w:element="place">
        <w:smartTag w:uri="urn:schemas-microsoft-com:office:smarttags" w:element="State">
          <w:r>
            <w:t>Pa.</w:t>
          </w:r>
        </w:smartTag>
      </w:smartTag>
      <w:r>
        <w:t xml:space="preserve"> PUC 528 (1980).  If the Complainant is unable to marshal direct proof that h</w:t>
      </w:r>
      <w:r w:rsidR="00EF2C8B">
        <w:t>er</w:t>
      </w:r>
      <w:r>
        <w:t xml:space="preserve"> meter has malfunctioned, </w:t>
      </w:r>
      <w:r w:rsidR="00EF2C8B">
        <w:t>s</w:t>
      </w:r>
      <w:r>
        <w:t>he can prove h</w:t>
      </w:r>
      <w:r w:rsidR="00EF2C8B">
        <w:t>er</w:t>
      </w:r>
      <w:r>
        <w:t xml:space="preserve"> case by circumstantial evidence that the metered usage has exceeded the actual usage.  </w:t>
      </w:r>
      <w:r>
        <w:rPr>
          <w:u w:val="single"/>
        </w:rPr>
        <w:t xml:space="preserve">Milkie v. </w:t>
      </w:r>
      <w:smartTag w:uri="urn:schemas-microsoft-com:office:smarttags" w:element="place">
        <w:smartTag w:uri="urn:schemas-microsoft-com:office:smarttags" w:element="State">
          <w:r>
            <w:rPr>
              <w:u w:val="single"/>
            </w:rPr>
            <w:t>Pa.</w:t>
          </w:r>
        </w:smartTag>
      </w:smartTag>
      <w:r>
        <w:rPr>
          <w:u w:val="single"/>
        </w:rPr>
        <w:t xml:space="preserve"> PUC</w:t>
      </w:r>
      <w:r>
        <w:t>, 768 A.2d 1217 (</w:t>
      </w:r>
      <w:smartTag w:uri="urn:schemas-microsoft-com:office:smarttags" w:element="Street">
        <w:smartTag w:uri="urn:schemas-microsoft-com:office:smarttags" w:element="address">
          <w:r>
            <w:t>Pa. Commonwealth Ct.</w:t>
          </w:r>
        </w:smartTag>
      </w:smartTag>
      <w:r>
        <w:t xml:space="preserve"> 2001).</w:t>
      </w:r>
    </w:p>
    <w:p w:rsidR="00953B74" w:rsidRDefault="00953B74" w:rsidP="000D385C">
      <w:pPr>
        <w:spacing w:line="360" w:lineRule="auto"/>
      </w:pPr>
    </w:p>
    <w:p w:rsidR="00E57D7C" w:rsidRDefault="00E57D7C" w:rsidP="00023256">
      <w:pPr>
        <w:spacing w:line="360" w:lineRule="auto"/>
      </w:pPr>
      <w:r>
        <w:tab/>
      </w:r>
      <w:r>
        <w:tab/>
      </w:r>
      <w:r w:rsidR="00DE3451">
        <w:t xml:space="preserve">The Complainant </w:t>
      </w:r>
      <w:r w:rsidR="00953B74">
        <w:t xml:space="preserve">complained about the high bills she received in </w:t>
      </w:r>
      <w:r w:rsidR="004956E0">
        <w:t>January, February and March 2009</w:t>
      </w:r>
      <w:r w:rsidR="00953B74">
        <w:t xml:space="preserve">, but the Complainant’s gas service was first established on </w:t>
      </w:r>
      <w:r w:rsidR="004956E0">
        <w:t xml:space="preserve">December 22, 2008.  </w:t>
      </w:r>
      <w:r w:rsidR="00953B74">
        <w:t xml:space="preserve">With this </w:t>
      </w:r>
      <w:r w:rsidR="004956E0">
        <w:t xml:space="preserve">very </w:t>
      </w:r>
      <w:r w:rsidR="00953B74">
        <w:t xml:space="preserve">short billing history, the disputed bills did not have prior usage patterns to compare.  Therefore, the Complainant failed to </w:t>
      </w:r>
      <w:r w:rsidR="004956E0">
        <w:t>meet</w:t>
      </w:r>
      <w:r w:rsidR="00953B74">
        <w:t xml:space="preserve"> the </w:t>
      </w:r>
      <w:r w:rsidR="00953B74" w:rsidRPr="00953B74">
        <w:rPr>
          <w:u w:val="single"/>
        </w:rPr>
        <w:t>Waldron</w:t>
      </w:r>
      <w:r w:rsidR="00953B74">
        <w:t xml:space="preserve"> test.      </w:t>
      </w:r>
    </w:p>
    <w:p w:rsidR="00953B74" w:rsidRDefault="00953B74" w:rsidP="00023256">
      <w:pPr>
        <w:spacing w:line="360" w:lineRule="auto"/>
      </w:pPr>
    </w:p>
    <w:p w:rsidR="00953B74" w:rsidRDefault="00953B74" w:rsidP="00023256">
      <w:pPr>
        <w:spacing w:line="360" w:lineRule="auto"/>
      </w:pPr>
      <w:r>
        <w:tab/>
      </w:r>
      <w:r>
        <w:tab/>
        <w:t xml:space="preserve">The Complainant also testified that </w:t>
      </w:r>
      <w:r w:rsidR="00CD2967">
        <w:t>during the months of disputed billing, she put a new roof on her garage and renovated her daughter’s room, that she came to the house once every two weeks just to pick up her mail, and that only in April 200</w:t>
      </w:r>
      <w:r w:rsidR="00E177DA">
        <w:t>9</w:t>
      </w:r>
      <w:r w:rsidR="00CD2967">
        <w:t xml:space="preserve">, she started staying around more often, cooking and using hot water, if necessary.  </w:t>
      </w:r>
      <w:r w:rsidR="00E177DA">
        <w:t>A</w:t>
      </w:r>
      <w:r w:rsidR="00CD2967">
        <w:t xml:space="preserve">fter April 10, 2009, she turned off the heater completely.  </w:t>
      </w:r>
    </w:p>
    <w:p w:rsidR="00DE3451" w:rsidRDefault="00DE3451" w:rsidP="00023256">
      <w:pPr>
        <w:spacing w:line="360" w:lineRule="auto"/>
      </w:pPr>
    </w:p>
    <w:p w:rsidR="00092CD3" w:rsidRDefault="00DE3451" w:rsidP="00023256">
      <w:pPr>
        <w:spacing w:line="360" w:lineRule="auto"/>
      </w:pPr>
      <w:r>
        <w:tab/>
      </w:r>
      <w:r>
        <w:tab/>
      </w:r>
      <w:r w:rsidR="00E177DA">
        <w:t>T</w:t>
      </w:r>
      <w:r w:rsidR="00CD2967">
        <w:t xml:space="preserve">he putting of </w:t>
      </w:r>
      <w:r w:rsidR="00E177DA">
        <w:t>a new</w:t>
      </w:r>
      <w:r w:rsidR="00CD2967">
        <w:t xml:space="preserve"> roof</w:t>
      </w:r>
      <w:r w:rsidR="00776BD9">
        <w:t xml:space="preserve"> on the garage</w:t>
      </w:r>
      <w:r w:rsidR="00E177DA">
        <w:t xml:space="preserve"> and the renovating of </w:t>
      </w:r>
      <w:r w:rsidR="00CD2967">
        <w:t>he</w:t>
      </w:r>
      <w:r w:rsidR="00E177DA">
        <w:t>r</w:t>
      </w:r>
      <w:r w:rsidR="00CD2967">
        <w:t xml:space="preserve"> daughter’s room, though worked in different months, inevitably caused </w:t>
      </w:r>
      <w:r w:rsidR="00776BD9">
        <w:t xml:space="preserve">the loss of </w:t>
      </w:r>
      <w:r w:rsidR="00CD2967">
        <w:t xml:space="preserve">the heat </w:t>
      </w:r>
      <w:r w:rsidR="00776BD9">
        <w:t>and</w:t>
      </w:r>
      <w:r w:rsidR="00E7720F">
        <w:t xml:space="preserve"> as a result, </w:t>
      </w:r>
      <w:r w:rsidR="00E7720F">
        <w:lastRenderedPageBreak/>
        <w:t>the increase of</w:t>
      </w:r>
      <w:r w:rsidR="00776BD9">
        <w:t xml:space="preserve"> the volume of the gas use</w:t>
      </w:r>
      <w:r w:rsidR="00CD2967">
        <w:t>.  Apparently, the bills in the renovation months of January, February and March 2009 represented the highest level of gas use of th</w:t>
      </w:r>
      <w:r w:rsidR="005C06E1">
        <w:t xml:space="preserve">e year.   </w:t>
      </w:r>
    </w:p>
    <w:p w:rsidR="005C06E1" w:rsidRDefault="005C06E1" w:rsidP="00023256">
      <w:pPr>
        <w:spacing w:line="360" w:lineRule="auto"/>
      </w:pPr>
    </w:p>
    <w:p w:rsidR="00FE631D" w:rsidRDefault="00FE631D" w:rsidP="00023256">
      <w:pPr>
        <w:spacing w:line="360" w:lineRule="auto"/>
      </w:pPr>
      <w:r>
        <w:tab/>
      </w:r>
      <w:r>
        <w:tab/>
      </w:r>
      <w:r w:rsidR="005C06E1">
        <w:t>The Respondent testified that after April 10, 2009, the Complainant, instead of setting the thermostat at 58 degrees Fahrenheit, turned off the heater completely.  This gas use reduces significantly the volume of gas use in the months following April 10, 2009:  30 Ccf in the May 11, 2009 bill, 14 Ccf in the June 10, 2009 bill, and 12 Ccf in the July 11, 200</w:t>
      </w:r>
      <w:r w:rsidR="00C244A5">
        <w:t>9</w:t>
      </w:r>
      <w:r w:rsidR="005C06E1">
        <w:t xml:space="preserve"> bill (PGW Exhibit 1).  </w:t>
      </w:r>
    </w:p>
    <w:p w:rsidR="00E51C64" w:rsidRDefault="00E51C64" w:rsidP="00023256">
      <w:pPr>
        <w:spacing w:line="360" w:lineRule="auto"/>
      </w:pPr>
    </w:p>
    <w:p w:rsidR="00C244A5" w:rsidRDefault="00EA4312" w:rsidP="00023256">
      <w:pPr>
        <w:spacing w:line="360" w:lineRule="auto"/>
      </w:pPr>
      <w:r>
        <w:tab/>
      </w:r>
      <w:r>
        <w:tab/>
      </w:r>
      <w:r w:rsidR="00C244A5">
        <w:t xml:space="preserve">Further, the Respondent’s Exhibit 5 (Gas Usage Analysis) shows that the Complainant’s </w:t>
      </w:r>
      <w:r w:rsidR="00776BD9">
        <w:t>number of</w:t>
      </w:r>
      <w:r w:rsidR="00C244A5">
        <w:t xml:space="preserve"> degree day</w:t>
      </w:r>
      <w:r w:rsidR="00776BD9">
        <w:t>s</w:t>
      </w:r>
      <w:r w:rsidR="00C244A5">
        <w:t xml:space="preserve"> in January</w:t>
      </w:r>
      <w:r w:rsidR="00F32EC3">
        <w:t xml:space="preserve"> (452 degree days between December 23, 2008 and January 9, 2009)</w:t>
      </w:r>
      <w:r w:rsidR="00C244A5">
        <w:t>, February</w:t>
      </w:r>
      <w:r w:rsidR="00F32EC3">
        <w:t xml:space="preserve"> (1071 degree days between January 10, 2009 and February 2009)</w:t>
      </w:r>
      <w:r w:rsidR="00C244A5">
        <w:t xml:space="preserve"> and March</w:t>
      </w:r>
      <w:r w:rsidR="00F32EC3">
        <w:t xml:space="preserve"> (727 degree days between February 10, 2009 and March 10, 2009)</w:t>
      </w:r>
      <w:r w:rsidR="00C244A5">
        <w:t xml:space="preserve"> 2009 was</w:t>
      </w:r>
      <w:r w:rsidR="00776BD9">
        <w:t xml:space="preserve"> pretty much</w:t>
      </w:r>
      <w:r w:rsidR="00C244A5">
        <w:t xml:space="preserve"> in line with </w:t>
      </w:r>
      <w:r w:rsidR="00F32EC3">
        <w:t>her number of actual degree days in January (492 degree days between December 25, 2008 and January 12, 2009), February (492 degree days between January 13, 2009 and February 10, 2009) and March 2009 (1105 degree days between February 11, 2009 to March 11, 2009)</w:t>
      </w:r>
      <w:r w:rsidR="00C244A5">
        <w:t xml:space="preserve"> (PGW Exhibit 1).  </w:t>
      </w:r>
    </w:p>
    <w:p w:rsidR="00C244A5" w:rsidRDefault="00C244A5" w:rsidP="00023256">
      <w:pPr>
        <w:spacing w:line="360" w:lineRule="auto"/>
      </w:pPr>
    </w:p>
    <w:p w:rsidR="00C244A5" w:rsidRDefault="00C244A5" w:rsidP="00023256">
      <w:pPr>
        <w:spacing w:line="360" w:lineRule="auto"/>
      </w:pPr>
      <w:r>
        <w:tab/>
      </w:r>
      <w:r>
        <w:tab/>
        <w:t xml:space="preserve">Finally, the record shows there </w:t>
      </w:r>
      <w:r w:rsidR="00F32EC3">
        <w:t>is</w:t>
      </w:r>
      <w:r>
        <w:t xml:space="preserve"> no circumstantial evidence that the metered usage has exceeded the actual usage.</w:t>
      </w:r>
    </w:p>
    <w:p w:rsidR="00C244A5" w:rsidRDefault="00C244A5" w:rsidP="00023256">
      <w:pPr>
        <w:spacing w:line="360" w:lineRule="auto"/>
      </w:pPr>
    </w:p>
    <w:p w:rsidR="00EA4312" w:rsidRDefault="00C244A5" w:rsidP="00C244A5">
      <w:pPr>
        <w:spacing w:line="360" w:lineRule="auto"/>
      </w:pPr>
      <w:r>
        <w:tab/>
      </w:r>
      <w:r>
        <w:tab/>
        <w:t xml:space="preserve">For the reasons above, I conclude that the Complainant has not carried her burden of  proof.   </w:t>
      </w:r>
    </w:p>
    <w:p w:rsidR="00FE631D" w:rsidRDefault="00FE631D" w:rsidP="00C244A5">
      <w:pPr>
        <w:spacing w:line="360" w:lineRule="auto"/>
      </w:pPr>
    </w:p>
    <w:p w:rsidR="00FE631D" w:rsidRDefault="00FE631D" w:rsidP="00C244A5">
      <w:pPr>
        <w:spacing w:line="360" w:lineRule="auto"/>
        <w:jc w:val="center"/>
      </w:pPr>
      <w:r>
        <w:rPr>
          <w:u w:val="single"/>
        </w:rPr>
        <w:t>CONCLUSIONS OF LAW</w:t>
      </w:r>
    </w:p>
    <w:p w:rsidR="00FE631D" w:rsidRDefault="00FE631D" w:rsidP="00FE631D">
      <w:pPr>
        <w:spacing w:line="360" w:lineRule="auto"/>
        <w:jc w:val="center"/>
      </w:pPr>
    </w:p>
    <w:p w:rsidR="00FE631D" w:rsidRDefault="003D61FB" w:rsidP="003D61FB">
      <w:pPr>
        <w:spacing w:line="360" w:lineRule="auto"/>
      </w:pPr>
      <w:r>
        <w:tab/>
      </w:r>
      <w:r>
        <w:tab/>
        <w:t>1.</w:t>
      </w:r>
      <w:r>
        <w:tab/>
        <w:t xml:space="preserve">The Commission has jurisdiction over the parties and the subject matter of this </w:t>
      </w:r>
      <w:r w:rsidR="009A2B57">
        <w:t>dispute.</w:t>
      </w:r>
    </w:p>
    <w:p w:rsidR="003D61FB" w:rsidRDefault="003D61FB" w:rsidP="003D61FB">
      <w:pPr>
        <w:spacing w:line="360" w:lineRule="auto"/>
      </w:pPr>
    </w:p>
    <w:p w:rsidR="003D61FB" w:rsidRDefault="003D61FB" w:rsidP="003D61FB">
      <w:pPr>
        <w:spacing w:line="360" w:lineRule="auto"/>
      </w:pPr>
      <w:r>
        <w:tab/>
      </w:r>
      <w:r>
        <w:tab/>
        <w:t>2.</w:t>
      </w:r>
      <w:r>
        <w:tab/>
        <w:t xml:space="preserve">The </w:t>
      </w:r>
      <w:r w:rsidR="009A2B57">
        <w:t xml:space="preserve">Complainant has not carried her burden of proof.  </w:t>
      </w:r>
    </w:p>
    <w:p w:rsidR="003D61FB" w:rsidRDefault="003D61FB" w:rsidP="003D61FB">
      <w:pPr>
        <w:spacing w:line="360" w:lineRule="auto"/>
      </w:pPr>
    </w:p>
    <w:p w:rsidR="003D61FB" w:rsidRDefault="003D61FB" w:rsidP="003D61FB">
      <w:pPr>
        <w:spacing w:line="360" w:lineRule="auto"/>
        <w:jc w:val="center"/>
      </w:pPr>
      <w:r>
        <w:rPr>
          <w:u w:val="single"/>
        </w:rPr>
        <w:t>ORDER</w:t>
      </w:r>
    </w:p>
    <w:p w:rsidR="003D61FB" w:rsidRDefault="003D61FB" w:rsidP="003D61FB">
      <w:pPr>
        <w:spacing w:line="360" w:lineRule="auto"/>
        <w:jc w:val="center"/>
      </w:pPr>
    </w:p>
    <w:p w:rsidR="003D61FB" w:rsidRDefault="005145AF" w:rsidP="003D61FB">
      <w:pPr>
        <w:spacing w:line="360" w:lineRule="auto"/>
      </w:pPr>
      <w:r>
        <w:tab/>
      </w:r>
      <w:r>
        <w:tab/>
        <w:t>THEREFORE,</w:t>
      </w:r>
    </w:p>
    <w:p w:rsidR="005145AF" w:rsidRDefault="005145AF" w:rsidP="003D61FB">
      <w:pPr>
        <w:spacing w:line="360" w:lineRule="auto"/>
      </w:pPr>
    </w:p>
    <w:p w:rsidR="005145AF" w:rsidRDefault="005145AF" w:rsidP="003D61FB">
      <w:pPr>
        <w:spacing w:line="360" w:lineRule="auto"/>
      </w:pPr>
      <w:r>
        <w:tab/>
      </w:r>
      <w:r>
        <w:tab/>
        <w:t>IT IS ORDERED:</w:t>
      </w:r>
    </w:p>
    <w:p w:rsidR="005145AF" w:rsidRDefault="005145AF" w:rsidP="003D61FB">
      <w:pPr>
        <w:spacing w:line="360" w:lineRule="auto"/>
      </w:pPr>
    </w:p>
    <w:p w:rsidR="005145AF" w:rsidRDefault="005145AF" w:rsidP="003D61FB">
      <w:pPr>
        <w:spacing w:line="360" w:lineRule="auto"/>
      </w:pPr>
      <w:r>
        <w:tab/>
      </w:r>
      <w:r>
        <w:tab/>
        <w:t>1.</w:t>
      </w:r>
      <w:r>
        <w:tab/>
        <w:t xml:space="preserve">That the </w:t>
      </w:r>
      <w:r w:rsidR="009A2B57">
        <w:t xml:space="preserve">complaint of </w:t>
      </w:r>
      <w:r w:rsidR="00C244A5">
        <w:t>Ruth Garcia</w:t>
      </w:r>
      <w:r w:rsidR="009A2B57">
        <w:t xml:space="preserve"> against Philadelphia Gas Works </w:t>
      </w:r>
      <w:r>
        <w:t xml:space="preserve">at Docket No. </w:t>
      </w:r>
      <w:r w:rsidR="00C244A5">
        <w:t>C-2009-2092699</w:t>
      </w:r>
      <w:r>
        <w:t xml:space="preserve"> is </w:t>
      </w:r>
      <w:r w:rsidR="009A2B57">
        <w:t>d</w:t>
      </w:r>
      <w:r w:rsidR="00396541">
        <w:t>ismissed.</w:t>
      </w:r>
    </w:p>
    <w:p w:rsidR="005145AF" w:rsidRDefault="005145AF" w:rsidP="003D61FB">
      <w:pPr>
        <w:spacing w:line="360" w:lineRule="auto"/>
      </w:pPr>
    </w:p>
    <w:p w:rsidR="005145AF" w:rsidRDefault="005145AF" w:rsidP="003D61FB">
      <w:pPr>
        <w:spacing w:line="360" w:lineRule="auto"/>
      </w:pPr>
    </w:p>
    <w:p w:rsidR="005145AF" w:rsidRDefault="005145AF" w:rsidP="003D61FB">
      <w:pPr>
        <w:spacing w:line="360" w:lineRule="auto"/>
      </w:pPr>
    </w:p>
    <w:p w:rsidR="005145AF" w:rsidRDefault="005145AF" w:rsidP="005145AF">
      <w:r>
        <w:t>Date:</w:t>
      </w:r>
      <w:r>
        <w:tab/>
      </w:r>
      <w:r w:rsidR="00776BD9">
        <w:t xml:space="preserve"> </w:t>
      </w:r>
      <w:r w:rsidR="00776BD9">
        <w:rPr>
          <w:u w:val="single"/>
        </w:rPr>
        <w:t>     October 14, 2009     </w:t>
      </w:r>
      <w:r>
        <w:tab/>
      </w:r>
      <w:r>
        <w:tab/>
      </w:r>
      <w:r>
        <w:tab/>
        <w:t>____________________________________</w:t>
      </w:r>
    </w:p>
    <w:p w:rsidR="005145AF" w:rsidRDefault="005145AF" w:rsidP="005145AF">
      <w:r>
        <w:tab/>
      </w:r>
      <w:r>
        <w:tab/>
      </w:r>
      <w:r>
        <w:tab/>
      </w:r>
      <w:r>
        <w:tab/>
      </w:r>
      <w:r>
        <w:tab/>
      </w:r>
      <w:r>
        <w:tab/>
      </w:r>
      <w:r>
        <w:tab/>
        <w:t>Ky Van Nguyen</w:t>
      </w:r>
    </w:p>
    <w:p w:rsidR="005145AF" w:rsidRPr="003D61FB" w:rsidRDefault="005145AF" w:rsidP="005145AF">
      <w:r>
        <w:tab/>
      </w:r>
      <w:r>
        <w:tab/>
      </w:r>
      <w:r>
        <w:tab/>
      </w:r>
      <w:r>
        <w:tab/>
      </w:r>
      <w:r>
        <w:tab/>
      </w:r>
      <w:r>
        <w:tab/>
      </w:r>
      <w:r>
        <w:tab/>
        <w:t xml:space="preserve">Administrative Law Judge  </w:t>
      </w:r>
    </w:p>
    <w:sectPr w:rsidR="005145AF" w:rsidRPr="003D61FB" w:rsidSect="00F32EC3">
      <w:footerReference w:type="even" r:id="rId7"/>
      <w:footerReference w:type="default" r:id="rId8"/>
      <w:pgSz w:w="12240" w:h="15840"/>
      <w:pgMar w:top="1584" w:right="1440" w:bottom="1584"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5C4" w:rsidRDefault="009C05C4">
      <w:r>
        <w:separator/>
      </w:r>
    </w:p>
  </w:endnote>
  <w:endnote w:type="continuationSeparator" w:id="0">
    <w:p w:rsidR="009C05C4" w:rsidRDefault="009C05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3E6" w:rsidRDefault="00BA13E6" w:rsidP="001F4C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13E6" w:rsidRDefault="00BA13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3E6" w:rsidRDefault="00BA13E6" w:rsidP="001F4C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5B53">
      <w:rPr>
        <w:rStyle w:val="PageNumber"/>
        <w:noProof/>
      </w:rPr>
      <w:t>7</w:t>
    </w:r>
    <w:r>
      <w:rPr>
        <w:rStyle w:val="PageNumber"/>
      </w:rPr>
      <w:fldChar w:fldCharType="end"/>
    </w:r>
  </w:p>
  <w:p w:rsidR="00BA13E6" w:rsidRDefault="00BA13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5C4" w:rsidRDefault="009C05C4">
      <w:r>
        <w:separator/>
      </w:r>
    </w:p>
  </w:footnote>
  <w:footnote w:type="continuationSeparator" w:id="0">
    <w:p w:rsidR="009C05C4" w:rsidRDefault="009C05C4">
      <w:r>
        <w:continuationSeparator/>
      </w:r>
    </w:p>
  </w:footnote>
  <w:footnote w:id="1">
    <w:p w:rsidR="00BA13E6" w:rsidRDefault="00BA13E6">
      <w:pPr>
        <w:pStyle w:val="FootnoteText"/>
      </w:pPr>
      <w:r>
        <w:rPr>
          <w:rStyle w:val="FootnoteReference"/>
        </w:rPr>
        <w:footnoteRef/>
      </w:r>
      <w:r>
        <w:t xml:space="preserve"> </w:t>
      </w:r>
      <w:r>
        <w:tab/>
        <w:t>Section 332(a) of the Public Utility Code provides:</w:t>
      </w:r>
    </w:p>
    <w:p w:rsidR="00BA13E6" w:rsidRDefault="00BA13E6">
      <w:pPr>
        <w:pStyle w:val="FootnoteText"/>
      </w:pPr>
    </w:p>
    <w:p w:rsidR="00BA13E6" w:rsidRPr="00765622" w:rsidRDefault="00BA13E6" w:rsidP="00765622">
      <w:pPr>
        <w:pStyle w:val="FootnoteText"/>
        <w:ind w:left="1440" w:right="840"/>
      </w:pPr>
      <w:r>
        <w:t xml:space="preserve">   (a)  </w:t>
      </w:r>
      <w:r>
        <w:rPr>
          <w:u w:val="single"/>
        </w:rPr>
        <w:t>Burden of Proof.</w:t>
      </w:r>
      <w:r>
        <w:t xml:space="preserve">  -  Except as may be otherwise provided in section 315 (relating to burden of proof) or other provisions of this part or other relevant statute, the proponent of a rule or order has the burden of proof.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F748D"/>
    <w:multiLevelType w:val="hybridMultilevel"/>
    <w:tmpl w:val="0C9E4ACE"/>
    <w:lvl w:ilvl="0" w:tplc="CC3A5032">
      <w:start w:val="14"/>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
    <w:nsid w:val="290739CA"/>
    <w:multiLevelType w:val="hybridMultilevel"/>
    <w:tmpl w:val="6CA8DD10"/>
    <w:lvl w:ilvl="0" w:tplc="9138A06A">
      <w:start w:val="14"/>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66649"/>
    <w:rsid w:val="000002D8"/>
    <w:rsid w:val="00023256"/>
    <w:rsid w:val="00032C2F"/>
    <w:rsid w:val="00092CD3"/>
    <w:rsid w:val="00094727"/>
    <w:rsid w:val="00096673"/>
    <w:rsid w:val="000A1F60"/>
    <w:rsid w:val="000C35F1"/>
    <w:rsid w:val="000D385C"/>
    <w:rsid w:val="00107A95"/>
    <w:rsid w:val="00117AA9"/>
    <w:rsid w:val="0015321F"/>
    <w:rsid w:val="001738A7"/>
    <w:rsid w:val="001A7FA2"/>
    <w:rsid w:val="001E41AA"/>
    <w:rsid w:val="001F4CE0"/>
    <w:rsid w:val="00214DC9"/>
    <w:rsid w:val="00217D93"/>
    <w:rsid w:val="002505A6"/>
    <w:rsid w:val="00267090"/>
    <w:rsid w:val="002C5799"/>
    <w:rsid w:val="002D46D8"/>
    <w:rsid w:val="003504D4"/>
    <w:rsid w:val="00396541"/>
    <w:rsid w:val="003B34A9"/>
    <w:rsid w:val="003D61FB"/>
    <w:rsid w:val="003E26AD"/>
    <w:rsid w:val="00417516"/>
    <w:rsid w:val="00424B11"/>
    <w:rsid w:val="00426BC7"/>
    <w:rsid w:val="0046034C"/>
    <w:rsid w:val="00462FB7"/>
    <w:rsid w:val="00494C97"/>
    <w:rsid w:val="004956E0"/>
    <w:rsid w:val="004F40C0"/>
    <w:rsid w:val="00506B46"/>
    <w:rsid w:val="005145AF"/>
    <w:rsid w:val="0053571C"/>
    <w:rsid w:val="00566649"/>
    <w:rsid w:val="005C06E1"/>
    <w:rsid w:val="005C53AB"/>
    <w:rsid w:val="005E4500"/>
    <w:rsid w:val="005E53AB"/>
    <w:rsid w:val="006E794A"/>
    <w:rsid w:val="00701FB8"/>
    <w:rsid w:val="007654EC"/>
    <w:rsid w:val="00765622"/>
    <w:rsid w:val="00776BD9"/>
    <w:rsid w:val="007E3E0E"/>
    <w:rsid w:val="007F2D4C"/>
    <w:rsid w:val="0083145D"/>
    <w:rsid w:val="0086796A"/>
    <w:rsid w:val="008705AA"/>
    <w:rsid w:val="00882175"/>
    <w:rsid w:val="008E51AD"/>
    <w:rsid w:val="0092550B"/>
    <w:rsid w:val="00953B74"/>
    <w:rsid w:val="00966BBA"/>
    <w:rsid w:val="009A2B57"/>
    <w:rsid w:val="009B59EE"/>
    <w:rsid w:val="009C05C4"/>
    <w:rsid w:val="009E70A4"/>
    <w:rsid w:val="00A639E1"/>
    <w:rsid w:val="00AA3DD4"/>
    <w:rsid w:val="00B1549A"/>
    <w:rsid w:val="00B55FFB"/>
    <w:rsid w:val="00BA13E6"/>
    <w:rsid w:val="00BA41C3"/>
    <w:rsid w:val="00BE206F"/>
    <w:rsid w:val="00C06D66"/>
    <w:rsid w:val="00C20C5F"/>
    <w:rsid w:val="00C244A5"/>
    <w:rsid w:val="00C436B7"/>
    <w:rsid w:val="00CD2967"/>
    <w:rsid w:val="00CD5711"/>
    <w:rsid w:val="00D23CC3"/>
    <w:rsid w:val="00D60237"/>
    <w:rsid w:val="00D82770"/>
    <w:rsid w:val="00DD4CFE"/>
    <w:rsid w:val="00DD7269"/>
    <w:rsid w:val="00DE3451"/>
    <w:rsid w:val="00DE6343"/>
    <w:rsid w:val="00E143C3"/>
    <w:rsid w:val="00E177DA"/>
    <w:rsid w:val="00E51C64"/>
    <w:rsid w:val="00E57D7C"/>
    <w:rsid w:val="00E7594E"/>
    <w:rsid w:val="00E7720F"/>
    <w:rsid w:val="00EA4312"/>
    <w:rsid w:val="00EC083F"/>
    <w:rsid w:val="00EF2C8B"/>
    <w:rsid w:val="00F32EC3"/>
    <w:rsid w:val="00FB00E2"/>
    <w:rsid w:val="00FC5897"/>
    <w:rsid w:val="00FD4FA0"/>
    <w:rsid w:val="00FE5B53"/>
    <w:rsid w:val="00FE6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566649"/>
    <w:pPr>
      <w:tabs>
        <w:tab w:val="center" w:pos="4320"/>
        <w:tab w:val="right" w:pos="8640"/>
      </w:tabs>
    </w:pPr>
  </w:style>
  <w:style w:type="character" w:styleId="PageNumber">
    <w:name w:val="page number"/>
    <w:basedOn w:val="DefaultParagraphFont"/>
    <w:rsid w:val="00566649"/>
  </w:style>
  <w:style w:type="paragraph" w:styleId="FootnoteText">
    <w:name w:val="footnote text"/>
    <w:basedOn w:val="Normal"/>
    <w:semiHidden/>
    <w:rsid w:val="00765622"/>
    <w:rPr>
      <w:sz w:val="20"/>
      <w:szCs w:val="20"/>
    </w:rPr>
  </w:style>
  <w:style w:type="character" w:styleId="FootnoteReference">
    <w:name w:val="footnote reference"/>
    <w:basedOn w:val="DefaultParagraphFont"/>
    <w:semiHidden/>
    <w:rsid w:val="00765622"/>
    <w:rPr>
      <w:vertAlign w:val="superscript"/>
    </w:rPr>
  </w:style>
  <w:style w:type="table" w:styleId="TableGrid">
    <w:name w:val="Table Grid"/>
    <w:basedOn w:val="TableNormal"/>
    <w:rsid w:val="009B5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2</cp:revision>
  <cp:lastPrinted>2009-10-27T15:20:00Z</cp:lastPrinted>
  <dcterms:created xsi:type="dcterms:W3CDTF">2009-10-27T15:20:00Z</dcterms:created>
  <dcterms:modified xsi:type="dcterms:W3CDTF">2009-10-27T15:20:00Z</dcterms:modified>
</cp:coreProperties>
</file>