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EE8" w:rsidRPr="00C61898" w:rsidRDefault="00471EE8">
      <w:pPr>
        <w:pStyle w:val="c2"/>
        <w:rPr>
          <w:b/>
        </w:rPr>
      </w:pPr>
      <w:smartTag w:uri="urn:schemas-microsoft-com:office:smarttags" w:element="place">
        <w:smartTag w:uri="urn:schemas-microsoft-com:office:smarttags" w:element="State">
          <w:r w:rsidRPr="00C61898">
            <w:rPr>
              <w:b/>
            </w:rPr>
            <w:t>PENNSYLVANIA</w:t>
          </w:r>
        </w:smartTag>
      </w:smartTag>
      <w:r w:rsidRPr="00C61898">
        <w:rPr>
          <w:b/>
        </w:rPr>
        <w:t xml:space="preserve"> PUBLIC UTILITY COMMISSION</w:t>
      </w:r>
    </w:p>
    <w:p w:rsidR="00471EE8" w:rsidRPr="00C61898" w:rsidRDefault="00471EE8">
      <w:pPr>
        <w:pStyle w:val="c2"/>
        <w:rPr>
          <w:b/>
        </w:rPr>
      </w:pPr>
      <w:smartTag w:uri="urn:schemas-microsoft-com:office:smarttags" w:element="City">
        <w:smartTag w:uri="urn:schemas-microsoft-com:office:smarttags" w:element="place">
          <w:smartTag w:uri="urn:schemas-microsoft-com:office:smarttags" w:element="City">
            <w:r w:rsidRPr="00C61898">
              <w:rPr>
                <w:b/>
              </w:rPr>
              <w:t>HARRISBURG</w:t>
            </w:r>
          </w:smartTag>
          <w:r w:rsidRPr="00C61898">
            <w:rPr>
              <w:b/>
            </w:rPr>
            <w:t xml:space="preserve">, </w:t>
          </w:r>
          <w:smartTag w:uri="urn:schemas-microsoft-com:office:smarttags" w:element="State">
            <w:r w:rsidRPr="00C61898">
              <w:rPr>
                <w:b/>
              </w:rPr>
              <w:t>PENNSYLVANIA</w:t>
            </w:r>
          </w:smartTag>
          <w:r w:rsidRPr="00C61898">
            <w:rPr>
              <w:b/>
            </w:rPr>
            <w:t xml:space="preserve"> </w:t>
          </w:r>
          <w:smartTag w:uri="urn:schemas-microsoft-com:office:smarttags" w:element="PostalCode">
            <w:r w:rsidRPr="00C61898">
              <w:rPr>
                <w:b/>
              </w:rPr>
              <w:t>17105</w:t>
            </w:r>
          </w:smartTag>
        </w:smartTag>
      </w:smartTag>
    </w:p>
    <w:p w:rsidR="008607A6" w:rsidRPr="00C61898" w:rsidRDefault="008607A6">
      <w:pPr>
        <w:pStyle w:val="c2"/>
        <w:rPr>
          <w:b/>
        </w:rPr>
      </w:pPr>
    </w:p>
    <w:p w:rsidR="00471EE8" w:rsidRPr="00C61898" w:rsidRDefault="008D309B">
      <w:pPr>
        <w:pStyle w:val="t1"/>
        <w:tabs>
          <w:tab w:val="left" w:pos="4671"/>
        </w:tabs>
        <w:rPr>
          <w:b/>
        </w:rPr>
      </w:pPr>
      <w:r w:rsidRPr="00C61898">
        <w:rPr>
          <w:b/>
        </w:rPr>
        <w:t>TORINO INCORPORATED v.</w:t>
      </w:r>
      <w:r w:rsidR="00471EE8" w:rsidRPr="00C61898">
        <w:rPr>
          <w:b/>
        </w:rPr>
        <w:tab/>
        <w:t xml:space="preserve">Public Meeting </w:t>
      </w:r>
      <w:r w:rsidRPr="00C61898">
        <w:rPr>
          <w:b/>
        </w:rPr>
        <w:t>November 19</w:t>
      </w:r>
      <w:r w:rsidR="00E95BA6" w:rsidRPr="00C61898">
        <w:rPr>
          <w:b/>
        </w:rPr>
        <w:t>, 2009</w:t>
      </w:r>
    </w:p>
    <w:p w:rsidR="00471EE8" w:rsidRPr="00C61898" w:rsidRDefault="008D309B">
      <w:pPr>
        <w:pStyle w:val="t1"/>
        <w:tabs>
          <w:tab w:val="left" w:pos="4671"/>
        </w:tabs>
        <w:rPr>
          <w:b/>
        </w:rPr>
      </w:pPr>
      <w:r w:rsidRPr="00C61898">
        <w:rPr>
          <w:b/>
        </w:rPr>
        <w:t>PECO ENERGY COMPANY</w:t>
      </w:r>
      <w:r w:rsidRPr="00C61898">
        <w:rPr>
          <w:b/>
        </w:rPr>
        <w:tab/>
        <w:t>2034595-OSA</w:t>
      </w:r>
    </w:p>
    <w:p w:rsidR="008D309B" w:rsidRPr="00C61898" w:rsidRDefault="008D309B">
      <w:pPr>
        <w:pStyle w:val="t1"/>
        <w:tabs>
          <w:tab w:val="left" w:pos="4671"/>
        </w:tabs>
        <w:rPr>
          <w:b/>
        </w:rPr>
      </w:pPr>
      <w:r w:rsidRPr="00C61898">
        <w:rPr>
          <w:b/>
        </w:rPr>
        <w:tab/>
        <w:t>Docket No. C-2008-2034595</w:t>
      </w:r>
    </w:p>
    <w:p w:rsidR="00471EE8" w:rsidRDefault="00471EE8">
      <w:pPr>
        <w:tabs>
          <w:tab w:val="left" w:pos="204"/>
        </w:tabs>
        <w:rPr>
          <w:b/>
        </w:rPr>
      </w:pPr>
    </w:p>
    <w:p w:rsidR="00A26A21" w:rsidRPr="00C61898" w:rsidRDefault="00A26A21">
      <w:pPr>
        <w:tabs>
          <w:tab w:val="left" w:pos="204"/>
        </w:tabs>
        <w:rPr>
          <w:b/>
        </w:rPr>
      </w:pPr>
    </w:p>
    <w:p w:rsidR="00471EE8" w:rsidRPr="00C61898" w:rsidRDefault="00471EE8">
      <w:pPr>
        <w:pStyle w:val="c2"/>
        <w:tabs>
          <w:tab w:val="left" w:pos="204"/>
        </w:tabs>
        <w:rPr>
          <w:b/>
        </w:rPr>
      </w:pPr>
      <w:r w:rsidRPr="00C61898">
        <w:rPr>
          <w:b/>
        </w:rPr>
        <w:t>MOTION OF</w:t>
      </w:r>
    </w:p>
    <w:p w:rsidR="00471EE8" w:rsidRPr="00C61898" w:rsidRDefault="00471EE8">
      <w:pPr>
        <w:pStyle w:val="c2"/>
        <w:tabs>
          <w:tab w:val="left" w:pos="204"/>
        </w:tabs>
        <w:rPr>
          <w:b/>
        </w:rPr>
      </w:pPr>
      <w:r w:rsidRPr="00C61898">
        <w:rPr>
          <w:b/>
          <w:u w:val="single"/>
        </w:rPr>
        <w:t>COMMISSIONER</w:t>
      </w:r>
      <w:r w:rsidR="008607A6" w:rsidRPr="00C61898">
        <w:rPr>
          <w:b/>
          <w:u w:val="single"/>
        </w:rPr>
        <w:t xml:space="preserve"> ROBERT F. POWELSON</w:t>
      </w:r>
    </w:p>
    <w:p w:rsidR="00471EE8" w:rsidRPr="00C61898" w:rsidRDefault="00471EE8">
      <w:pPr>
        <w:tabs>
          <w:tab w:val="left" w:pos="204"/>
        </w:tabs>
      </w:pPr>
    </w:p>
    <w:p w:rsidR="00471EE8" w:rsidRPr="00C61898" w:rsidRDefault="00471EE8" w:rsidP="008D309B">
      <w:pPr>
        <w:pStyle w:val="p4"/>
      </w:pPr>
    </w:p>
    <w:p w:rsidR="00976115" w:rsidRPr="00EC002C" w:rsidRDefault="0054360F" w:rsidP="00526AC8">
      <w:pPr>
        <w:pStyle w:val="p7"/>
        <w:rPr>
          <w:sz w:val="23"/>
          <w:szCs w:val="23"/>
        </w:rPr>
      </w:pPr>
      <w:r w:rsidRPr="00C61898">
        <w:tab/>
      </w:r>
      <w:r w:rsidRPr="00EC002C">
        <w:rPr>
          <w:sz w:val="23"/>
          <w:szCs w:val="23"/>
        </w:rPr>
        <w:t>Before the Commission today for disposition is the matter of Torino Incorporated</w:t>
      </w:r>
      <w:r w:rsidR="00A034B7" w:rsidRPr="00EC002C">
        <w:rPr>
          <w:sz w:val="23"/>
          <w:szCs w:val="23"/>
        </w:rPr>
        <w:t xml:space="preserve"> v. PECO Energy Company.  This matter involves a Formal Complaint by Torino Incorporated (“Torino”)</w:t>
      </w:r>
      <w:r w:rsidR="007923F2" w:rsidRPr="00EC002C">
        <w:rPr>
          <w:sz w:val="23"/>
          <w:szCs w:val="23"/>
        </w:rPr>
        <w:t>, a registered Pennsylvania Business Corporation,</w:t>
      </w:r>
      <w:r w:rsidR="00A034B7" w:rsidRPr="00EC002C">
        <w:rPr>
          <w:sz w:val="23"/>
          <w:szCs w:val="23"/>
        </w:rPr>
        <w:t xml:space="preserve"> against PECO Energy Company (“PECO”</w:t>
      </w:r>
      <w:r w:rsidR="0096628F" w:rsidRPr="00EC002C">
        <w:rPr>
          <w:sz w:val="23"/>
          <w:szCs w:val="23"/>
        </w:rPr>
        <w:t xml:space="preserve"> or “Company”)</w:t>
      </w:r>
      <w:r w:rsidR="00A034B7" w:rsidRPr="00EC002C">
        <w:rPr>
          <w:sz w:val="23"/>
          <w:szCs w:val="23"/>
        </w:rPr>
        <w:t xml:space="preserve"> alleging </w:t>
      </w:r>
      <w:r w:rsidR="000569A4" w:rsidRPr="00EC002C">
        <w:rPr>
          <w:sz w:val="23"/>
          <w:szCs w:val="23"/>
        </w:rPr>
        <w:t xml:space="preserve">that </w:t>
      </w:r>
      <w:r w:rsidR="00EB42B0" w:rsidRPr="00EC002C">
        <w:rPr>
          <w:sz w:val="23"/>
          <w:szCs w:val="23"/>
        </w:rPr>
        <w:t xml:space="preserve">PECO </w:t>
      </w:r>
      <w:r w:rsidR="00466433" w:rsidRPr="00EC002C">
        <w:rPr>
          <w:sz w:val="23"/>
          <w:szCs w:val="23"/>
        </w:rPr>
        <w:t>overbill</w:t>
      </w:r>
      <w:r w:rsidR="00EB42B0" w:rsidRPr="00EC002C">
        <w:rPr>
          <w:sz w:val="23"/>
          <w:szCs w:val="23"/>
        </w:rPr>
        <w:t xml:space="preserve">ed it due to a broken gas meter and that it received an </w:t>
      </w:r>
      <w:r w:rsidR="00B56BCF" w:rsidRPr="00EC002C">
        <w:rPr>
          <w:sz w:val="23"/>
          <w:szCs w:val="23"/>
        </w:rPr>
        <w:t>inordinately high bill for January 2007</w:t>
      </w:r>
      <w:r w:rsidR="00466433" w:rsidRPr="00EC002C">
        <w:rPr>
          <w:sz w:val="23"/>
          <w:szCs w:val="23"/>
        </w:rPr>
        <w:t xml:space="preserve">.  The Complaint was filed </w:t>
      </w:r>
      <w:r w:rsidR="0085152B" w:rsidRPr="00EC002C">
        <w:rPr>
          <w:sz w:val="23"/>
          <w:szCs w:val="23"/>
        </w:rPr>
        <w:t xml:space="preserve">by </w:t>
      </w:r>
      <w:r w:rsidR="00466433" w:rsidRPr="00EC002C">
        <w:rPr>
          <w:sz w:val="23"/>
          <w:szCs w:val="23"/>
        </w:rPr>
        <w:t xml:space="preserve">Frank Bosco on behalf of Torino.  </w:t>
      </w:r>
      <w:r w:rsidR="00976115" w:rsidRPr="00EC002C">
        <w:rPr>
          <w:sz w:val="23"/>
          <w:szCs w:val="23"/>
        </w:rPr>
        <w:t xml:space="preserve">Mr. Bosco is not a licensed attorney </w:t>
      </w:r>
      <w:r w:rsidR="00A26A21" w:rsidRPr="00EC002C">
        <w:rPr>
          <w:sz w:val="23"/>
          <w:szCs w:val="23"/>
        </w:rPr>
        <w:t>i</w:t>
      </w:r>
      <w:r w:rsidR="00976115" w:rsidRPr="00EC002C">
        <w:rPr>
          <w:sz w:val="23"/>
          <w:szCs w:val="23"/>
        </w:rPr>
        <w:t xml:space="preserve">n the Commonwealth of Pennsylvania.  </w:t>
      </w:r>
    </w:p>
    <w:p w:rsidR="00976115" w:rsidRPr="00EC002C" w:rsidRDefault="00976115" w:rsidP="00526AC8">
      <w:pPr>
        <w:pStyle w:val="p7"/>
        <w:rPr>
          <w:sz w:val="23"/>
          <w:szCs w:val="23"/>
        </w:rPr>
      </w:pPr>
    </w:p>
    <w:p w:rsidR="00471EE8" w:rsidRPr="00EC002C" w:rsidRDefault="00976115" w:rsidP="00526AC8">
      <w:pPr>
        <w:pStyle w:val="p7"/>
        <w:rPr>
          <w:sz w:val="23"/>
          <w:szCs w:val="23"/>
        </w:rPr>
      </w:pPr>
      <w:r w:rsidRPr="00EC002C">
        <w:rPr>
          <w:sz w:val="23"/>
          <w:szCs w:val="23"/>
        </w:rPr>
        <w:tab/>
      </w:r>
      <w:r w:rsidR="00466433" w:rsidRPr="00EC002C">
        <w:rPr>
          <w:sz w:val="23"/>
          <w:szCs w:val="23"/>
        </w:rPr>
        <w:t xml:space="preserve">PECO filed an Answer and the matter was scheduled for an Initial Hearing.  </w:t>
      </w:r>
    </w:p>
    <w:p w:rsidR="00466433" w:rsidRPr="00EC002C" w:rsidRDefault="00466433" w:rsidP="00526AC8">
      <w:pPr>
        <w:pStyle w:val="p7"/>
        <w:rPr>
          <w:sz w:val="23"/>
          <w:szCs w:val="23"/>
        </w:rPr>
      </w:pPr>
    </w:p>
    <w:p w:rsidR="00466433" w:rsidRPr="00EC002C" w:rsidRDefault="00466433" w:rsidP="00526AC8">
      <w:pPr>
        <w:pStyle w:val="p7"/>
        <w:rPr>
          <w:sz w:val="23"/>
          <w:szCs w:val="23"/>
        </w:rPr>
      </w:pPr>
      <w:r w:rsidRPr="00EC002C">
        <w:rPr>
          <w:sz w:val="23"/>
          <w:szCs w:val="23"/>
        </w:rPr>
        <w:tab/>
      </w:r>
      <w:r w:rsidR="00976115" w:rsidRPr="00EC002C">
        <w:rPr>
          <w:sz w:val="23"/>
          <w:szCs w:val="23"/>
        </w:rPr>
        <w:t xml:space="preserve">Mr. Bosco appeared </w:t>
      </w:r>
      <w:r w:rsidR="00976115" w:rsidRPr="00EC002C">
        <w:rPr>
          <w:i/>
          <w:sz w:val="23"/>
          <w:szCs w:val="23"/>
        </w:rPr>
        <w:t>pro se</w:t>
      </w:r>
      <w:r w:rsidR="00976115" w:rsidRPr="00EC002C">
        <w:rPr>
          <w:sz w:val="23"/>
          <w:szCs w:val="23"/>
        </w:rPr>
        <w:t xml:space="preserve"> at the Initial Hearing on Torino’s behalf while PECO was represented by counsel.  The presiding Administrative Law Judge (“ALJ”) allowed Mr. Bosco </w:t>
      </w:r>
      <w:r w:rsidR="000569A4" w:rsidRPr="00EC002C">
        <w:rPr>
          <w:sz w:val="23"/>
          <w:szCs w:val="23"/>
        </w:rPr>
        <w:t xml:space="preserve">to provide testimony at the Initial Hearing despite not being represented by counsel and over the objections of PECO.  </w:t>
      </w:r>
    </w:p>
    <w:p w:rsidR="00B56BCF" w:rsidRPr="00EC002C" w:rsidRDefault="00B56BCF" w:rsidP="00526AC8">
      <w:pPr>
        <w:pStyle w:val="p7"/>
        <w:rPr>
          <w:sz w:val="23"/>
          <w:szCs w:val="23"/>
        </w:rPr>
      </w:pPr>
    </w:p>
    <w:p w:rsidR="00B56BCF" w:rsidRPr="00EC002C" w:rsidRDefault="00B56BCF" w:rsidP="00526AC8">
      <w:pPr>
        <w:pStyle w:val="p7"/>
        <w:rPr>
          <w:sz w:val="23"/>
          <w:szCs w:val="23"/>
        </w:rPr>
      </w:pPr>
      <w:r w:rsidRPr="00EC002C">
        <w:rPr>
          <w:sz w:val="23"/>
          <w:szCs w:val="23"/>
        </w:rPr>
        <w:tab/>
        <w:t xml:space="preserve">The ALJ subsequently issued an Initial Decision finding that Torino had not met its burden of proof of </w:t>
      </w:r>
      <w:r w:rsidR="003A14D0" w:rsidRPr="00EC002C">
        <w:rPr>
          <w:sz w:val="23"/>
          <w:szCs w:val="23"/>
        </w:rPr>
        <w:t>regarding the overbilling claim.  The ALJ did, however fine PECO $4,100 for violating Section 1501 of the Public Utility Code</w:t>
      </w:r>
      <w:r w:rsidR="00A26A21" w:rsidRPr="00EC002C">
        <w:rPr>
          <w:rStyle w:val="FootnoteReference"/>
          <w:sz w:val="23"/>
          <w:szCs w:val="23"/>
        </w:rPr>
        <w:footnoteReference w:id="1"/>
      </w:r>
      <w:r w:rsidR="00A26A21" w:rsidRPr="00EC002C">
        <w:rPr>
          <w:sz w:val="23"/>
          <w:szCs w:val="23"/>
        </w:rPr>
        <w:t xml:space="preserve"> due to its failure</w:t>
      </w:r>
      <w:r w:rsidR="003A14D0" w:rsidRPr="00EC002C">
        <w:rPr>
          <w:sz w:val="23"/>
          <w:szCs w:val="23"/>
        </w:rPr>
        <w:t xml:space="preserve"> to render bills based on actual meter reads</w:t>
      </w:r>
      <w:r w:rsidR="00A26A21" w:rsidRPr="00EC002C">
        <w:rPr>
          <w:sz w:val="23"/>
          <w:szCs w:val="23"/>
        </w:rPr>
        <w:t xml:space="preserve"> for a period of 41 months</w:t>
      </w:r>
      <w:r w:rsidR="00BE3CFD" w:rsidRPr="00EC002C">
        <w:rPr>
          <w:sz w:val="23"/>
          <w:szCs w:val="23"/>
        </w:rPr>
        <w:t>.</w:t>
      </w:r>
    </w:p>
    <w:p w:rsidR="00BE3CFD" w:rsidRPr="00EC002C" w:rsidRDefault="00BE3CFD" w:rsidP="00526AC8">
      <w:pPr>
        <w:pStyle w:val="p7"/>
        <w:rPr>
          <w:sz w:val="23"/>
          <w:szCs w:val="23"/>
        </w:rPr>
      </w:pPr>
    </w:p>
    <w:p w:rsidR="00C61898" w:rsidRPr="00EC002C" w:rsidRDefault="00C61898" w:rsidP="00C61898">
      <w:pPr>
        <w:ind w:firstLine="720"/>
        <w:rPr>
          <w:sz w:val="23"/>
          <w:szCs w:val="23"/>
        </w:rPr>
      </w:pPr>
      <w:r w:rsidRPr="00EC002C">
        <w:rPr>
          <w:sz w:val="23"/>
          <w:szCs w:val="23"/>
        </w:rPr>
        <w:t>Procedurally</w:t>
      </w:r>
      <w:r w:rsidR="00BE3CFD" w:rsidRPr="00EC002C">
        <w:rPr>
          <w:sz w:val="23"/>
          <w:szCs w:val="23"/>
        </w:rPr>
        <w:t xml:space="preserve">, this case is very similar to the Cars R Us v. PGW case that immediately preceded it on today’s agenda.  </w:t>
      </w:r>
      <w:r w:rsidRPr="00EC002C">
        <w:rPr>
          <w:sz w:val="23"/>
          <w:szCs w:val="23"/>
        </w:rPr>
        <w:t>While corporate officers are permitted to file formal complaints on a corporation’s behalf,</w:t>
      </w:r>
      <w:r w:rsidRPr="00EC002C">
        <w:rPr>
          <w:rStyle w:val="FootnoteReference"/>
          <w:sz w:val="23"/>
          <w:szCs w:val="23"/>
        </w:rPr>
        <w:footnoteReference w:id="2"/>
      </w:r>
      <w:r w:rsidRPr="00EC002C">
        <w:rPr>
          <w:sz w:val="23"/>
          <w:szCs w:val="23"/>
        </w:rPr>
        <w:t xml:space="preserve"> the Commissions Regulations at Sections 1.21-1.23 clearly state that corporations must be represented by licensed attorneys in adversarial proceedings.  A proceeding becomes “adversarial” upon the filing of an Answer.</w:t>
      </w:r>
      <w:r w:rsidRPr="00EC002C">
        <w:rPr>
          <w:rStyle w:val="FootnoteReference"/>
          <w:sz w:val="23"/>
          <w:szCs w:val="23"/>
        </w:rPr>
        <w:footnoteReference w:id="3"/>
      </w:r>
    </w:p>
    <w:p w:rsidR="00C61898" w:rsidRPr="00EC002C" w:rsidRDefault="00C61898" w:rsidP="00C61898">
      <w:pPr>
        <w:ind w:firstLine="720"/>
        <w:rPr>
          <w:sz w:val="23"/>
          <w:szCs w:val="23"/>
        </w:rPr>
      </w:pPr>
    </w:p>
    <w:p w:rsidR="00C61898" w:rsidRPr="00EC002C" w:rsidRDefault="00C61898" w:rsidP="00C61898">
      <w:pPr>
        <w:ind w:firstLine="720"/>
        <w:rPr>
          <w:sz w:val="23"/>
          <w:szCs w:val="23"/>
        </w:rPr>
      </w:pPr>
      <w:r w:rsidRPr="00EC002C">
        <w:rPr>
          <w:sz w:val="23"/>
          <w:szCs w:val="23"/>
        </w:rPr>
        <w:t xml:space="preserve">As such, the Complainant should not have been permitted to proceed at the Initial Hearing without counsel.  However, </w:t>
      </w:r>
      <w:r w:rsidR="002F491E" w:rsidRPr="00EC002C">
        <w:rPr>
          <w:sz w:val="23"/>
          <w:szCs w:val="23"/>
        </w:rPr>
        <w:t xml:space="preserve">because this matter and the Cars R Us matter are being considered on the same Agenda, </w:t>
      </w:r>
      <w:r w:rsidR="00207292" w:rsidRPr="00EC002C">
        <w:rPr>
          <w:sz w:val="23"/>
          <w:szCs w:val="23"/>
        </w:rPr>
        <w:t>and</w:t>
      </w:r>
      <w:r w:rsidR="002F491E" w:rsidRPr="00EC002C">
        <w:rPr>
          <w:sz w:val="23"/>
          <w:szCs w:val="23"/>
        </w:rPr>
        <w:t xml:space="preserve"> for the same reasons given in Cars R Us, I move that we</w:t>
      </w:r>
      <w:r w:rsidRPr="00EC002C">
        <w:rPr>
          <w:sz w:val="23"/>
          <w:szCs w:val="23"/>
        </w:rPr>
        <w:t xml:space="preserve"> waive our Regulations at Sections 1.21-1.23 and consider the testimony presented at the hearing.</w:t>
      </w:r>
    </w:p>
    <w:p w:rsidR="002F491E" w:rsidRPr="00EC002C" w:rsidRDefault="002F491E" w:rsidP="00C61898">
      <w:pPr>
        <w:ind w:firstLine="720"/>
        <w:rPr>
          <w:sz w:val="23"/>
          <w:szCs w:val="23"/>
        </w:rPr>
      </w:pPr>
    </w:p>
    <w:p w:rsidR="002F491E" w:rsidRPr="00EC002C" w:rsidRDefault="002F491E" w:rsidP="00C61898">
      <w:pPr>
        <w:ind w:firstLine="720"/>
        <w:rPr>
          <w:sz w:val="23"/>
          <w:szCs w:val="23"/>
        </w:rPr>
      </w:pPr>
      <w:r w:rsidRPr="00EC002C">
        <w:rPr>
          <w:sz w:val="23"/>
          <w:szCs w:val="23"/>
        </w:rPr>
        <w:t xml:space="preserve">Upon examination of the record in this matter, I agree with the ALJ that Torino did not meet its burden of proof regarding the high billing claim.  </w:t>
      </w:r>
      <w:r w:rsidR="007923F2" w:rsidRPr="00EC002C">
        <w:rPr>
          <w:sz w:val="23"/>
          <w:szCs w:val="23"/>
        </w:rPr>
        <w:t xml:space="preserve">Nevertheless, </w:t>
      </w:r>
      <w:r w:rsidRPr="00EC002C">
        <w:rPr>
          <w:sz w:val="23"/>
          <w:szCs w:val="23"/>
        </w:rPr>
        <w:t>I also agree with the ALJ</w:t>
      </w:r>
      <w:r w:rsidR="007923F2" w:rsidRPr="00EC002C">
        <w:rPr>
          <w:sz w:val="23"/>
          <w:szCs w:val="23"/>
        </w:rPr>
        <w:t xml:space="preserve"> that PECO provided unreasonable service in violation of Section 1501</w:t>
      </w:r>
      <w:r w:rsidR="00207292" w:rsidRPr="00EC002C">
        <w:rPr>
          <w:sz w:val="23"/>
          <w:szCs w:val="23"/>
        </w:rPr>
        <w:t xml:space="preserve"> </w:t>
      </w:r>
      <w:r w:rsidR="00AB308C" w:rsidRPr="00EC002C">
        <w:rPr>
          <w:sz w:val="23"/>
          <w:szCs w:val="23"/>
        </w:rPr>
        <w:t>due to its</w:t>
      </w:r>
      <w:r w:rsidR="00207292" w:rsidRPr="00EC002C">
        <w:rPr>
          <w:sz w:val="23"/>
          <w:szCs w:val="23"/>
        </w:rPr>
        <w:t xml:space="preserve"> failure to </w:t>
      </w:r>
      <w:r w:rsidR="007923F2" w:rsidRPr="00EC002C">
        <w:rPr>
          <w:sz w:val="23"/>
          <w:szCs w:val="23"/>
        </w:rPr>
        <w:t>read Torino’s meter from December 2003 until May 2007.</w:t>
      </w:r>
    </w:p>
    <w:p w:rsidR="00A26A21" w:rsidRPr="00EC002C" w:rsidRDefault="00A26A21" w:rsidP="00FA3C38">
      <w:pPr>
        <w:ind w:firstLine="720"/>
        <w:rPr>
          <w:sz w:val="23"/>
          <w:szCs w:val="23"/>
        </w:rPr>
      </w:pPr>
    </w:p>
    <w:p w:rsidR="00FA3C38" w:rsidRPr="00EC002C" w:rsidRDefault="000C4804" w:rsidP="00FA3C38">
      <w:pPr>
        <w:ind w:firstLine="720"/>
        <w:rPr>
          <w:sz w:val="23"/>
          <w:szCs w:val="23"/>
        </w:rPr>
      </w:pPr>
      <w:r w:rsidRPr="00EC002C">
        <w:rPr>
          <w:sz w:val="23"/>
          <w:szCs w:val="23"/>
        </w:rPr>
        <w:t>PECO filed Exceptions to the ALJ’s decision.  I do not</w:t>
      </w:r>
      <w:r w:rsidR="00AB308C" w:rsidRPr="00EC002C">
        <w:rPr>
          <w:sz w:val="23"/>
          <w:szCs w:val="23"/>
        </w:rPr>
        <w:t xml:space="preserve"> </w:t>
      </w:r>
      <w:r w:rsidRPr="00EC002C">
        <w:rPr>
          <w:sz w:val="23"/>
          <w:szCs w:val="23"/>
        </w:rPr>
        <w:t>find any of the excuses given persuasive</w:t>
      </w:r>
      <w:r w:rsidR="00AB308C" w:rsidRPr="00EC002C">
        <w:rPr>
          <w:sz w:val="23"/>
          <w:szCs w:val="23"/>
        </w:rPr>
        <w:t>, though</w:t>
      </w:r>
      <w:r w:rsidRPr="00EC002C">
        <w:rPr>
          <w:sz w:val="23"/>
          <w:szCs w:val="23"/>
        </w:rPr>
        <w:t xml:space="preserve">.  Particularly galling </w:t>
      </w:r>
      <w:r w:rsidR="00AB308C" w:rsidRPr="00EC002C">
        <w:rPr>
          <w:sz w:val="23"/>
          <w:szCs w:val="23"/>
        </w:rPr>
        <w:t>is</w:t>
      </w:r>
      <w:r w:rsidRPr="00EC002C">
        <w:rPr>
          <w:sz w:val="23"/>
          <w:szCs w:val="23"/>
        </w:rPr>
        <w:t xml:space="preserve"> PECO’s claim </w:t>
      </w:r>
      <w:r w:rsidR="002C709E" w:rsidRPr="00EC002C">
        <w:rPr>
          <w:sz w:val="23"/>
          <w:szCs w:val="23"/>
        </w:rPr>
        <w:t xml:space="preserve">that </w:t>
      </w:r>
      <w:r w:rsidRPr="00EC002C">
        <w:rPr>
          <w:sz w:val="23"/>
          <w:szCs w:val="23"/>
        </w:rPr>
        <w:t xml:space="preserve">its failure to provide an actual meter reading for 41 months </w:t>
      </w:r>
      <w:r w:rsidR="002C709E" w:rsidRPr="00EC002C">
        <w:rPr>
          <w:sz w:val="23"/>
          <w:szCs w:val="23"/>
        </w:rPr>
        <w:t xml:space="preserve">can be blamed on the Complainant’s failure to keep two appointments when it was established at the hearing that Torino was open 12 hours a day and that the meter was located outside </w:t>
      </w:r>
      <w:r w:rsidR="00FA3C38" w:rsidRPr="00EC002C">
        <w:rPr>
          <w:sz w:val="23"/>
          <w:szCs w:val="23"/>
        </w:rPr>
        <w:t xml:space="preserve">the building.  PECO’s Exceptions are, therefore, denied.  </w:t>
      </w:r>
    </w:p>
    <w:p w:rsidR="00FA3C38" w:rsidRPr="00EC002C" w:rsidRDefault="00FA3C38" w:rsidP="00FA3C38">
      <w:pPr>
        <w:ind w:firstLine="720"/>
        <w:rPr>
          <w:sz w:val="23"/>
          <w:szCs w:val="23"/>
        </w:rPr>
      </w:pPr>
    </w:p>
    <w:p w:rsidR="00FA3C38" w:rsidRPr="00EC002C" w:rsidRDefault="00207292" w:rsidP="00FA3C38">
      <w:pPr>
        <w:ind w:firstLine="720"/>
        <w:rPr>
          <w:sz w:val="23"/>
          <w:szCs w:val="23"/>
        </w:rPr>
      </w:pPr>
      <w:r w:rsidRPr="00EC002C">
        <w:rPr>
          <w:sz w:val="23"/>
          <w:szCs w:val="23"/>
        </w:rPr>
        <w:t xml:space="preserve">Just as I did in the Cars R Us matter, though, </w:t>
      </w:r>
      <w:r w:rsidR="002C709E" w:rsidRPr="00EC002C">
        <w:rPr>
          <w:sz w:val="23"/>
          <w:szCs w:val="23"/>
        </w:rPr>
        <w:t xml:space="preserve"> </w:t>
      </w:r>
      <w:r w:rsidR="00FA3C38" w:rsidRPr="00EC002C">
        <w:rPr>
          <w:sz w:val="23"/>
          <w:szCs w:val="23"/>
        </w:rPr>
        <w:t>I would like to remind everyone</w:t>
      </w:r>
      <w:r w:rsidRPr="00EC002C">
        <w:rPr>
          <w:sz w:val="23"/>
          <w:szCs w:val="23"/>
        </w:rPr>
        <w:t xml:space="preserve"> that </w:t>
      </w:r>
      <w:r w:rsidR="00AB308C" w:rsidRPr="00EC002C">
        <w:rPr>
          <w:sz w:val="23"/>
          <w:szCs w:val="23"/>
        </w:rPr>
        <w:t>al</w:t>
      </w:r>
      <w:r w:rsidR="00FA3C38" w:rsidRPr="00EC002C">
        <w:rPr>
          <w:sz w:val="23"/>
          <w:szCs w:val="23"/>
        </w:rPr>
        <w:t>though the Commission is waiving its Regulations in this matter, on a going-forward basis, the general rule is that corporate complainants should be represented by counsel at all stages of Commission proceedings once those proceedings become adversarial.  Absent exigent circumstances, individuals should not, therefore, be allowed to offer testimony on a corporation’s behalf if the corporation is unrepresented.</w:t>
      </w:r>
    </w:p>
    <w:p w:rsidR="000C4804" w:rsidRPr="00EC002C" w:rsidRDefault="000C4804" w:rsidP="00FA3C38">
      <w:pPr>
        <w:ind w:firstLine="720"/>
        <w:rPr>
          <w:sz w:val="23"/>
          <w:szCs w:val="23"/>
        </w:rPr>
      </w:pPr>
    </w:p>
    <w:p w:rsidR="002D049D" w:rsidRPr="00EC002C" w:rsidRDefault="002D049D" w:rsidP="00526AC8">
      <w:pPr>
        <w:pStyle w:val="p7"/>
        <w:rPr>
          <w:sz w:val="23"/>
          <w:szCs w:val="23"/>
        </w:rPr>
      </w:pPr>
      <w:r w:rsidRPr="00EC002C">
        <w:rPr>
          <w:sz w:val="23"/>
          <w:szCs w:val="23"/>
        </w:rPr>
        <w:tab/>
        <w:t xml:space="preserve">Lastly, I would like Commission Staff to examine whether the meter-reading issue in this matter is present in other PECO accounts.  To that end, </w:t>
      </w:r>
      <w:r w:rsidR="00635AB9" w:rsidRPr="00EC002C">
        <w:rPr>
          <w:sz w:val="23"/>
          <w:szCs w:val="23"/>
        </w:rPr>
        <w:t xml:space="preserve">within 30 days of entry of the Opinion and Order, </w:t>
      </w:r>
      <w:r w:rsidRPr="00EC002C">
        <w:rPr>
          <w:sz w:val="23"/>
          <w:szCs w:val="23"/>
        </w:rPr>
        <w:t xml:space="preserve">PECO should provide the Commission’s Bureau of Fixed Utility Services, Energy Division </w:t>
      </w:r>
      <w:r w:rsidR="00635AB9" w:rsidRPr="00EC002C">
        <w:rPr>
          <w:sz w:val="23"/>
          <w:szCs w:val="23"/>
        </w:rPr>
        <w:t xml:space="preserve">(“FUS-Energy”) </w:t>
      </w:r>
      <w:r w:rsidRPr="00EC002C">
        <w:rPr>
          <w:sz w:val="23"/>
          <w:szCs w:val="23"/>
        </w:rPr>
        <w:t xml:space="preserve">with a list of all gas accounts where </w:t>
      </w:r>
      <w:r w:rsidR="0096628F" w:rsidRPr="00EC002C">
        <w:rPr>
          <w:sz w:val="23"/>
          <w:szCs w:val="23"/>
        </w:rPr>
        <w:t xml:space="preserve">the Company </w:t>
      </w:r>
      <w:r w:rsidRPr="00EC002C">
        <w:rPr>
          <w:sz w:val="23"/>
          <w:szCs w:val="23"/>
        </w:rPr>
        <w:t>has not obta</w:t>
      </w:r>
      <w:r w:rsidR="0096628F" w:rsidRPr="00EC002C">
        <w:rPr>
          <w:sz w:val="23"/>
          <w:szCs w:val="23"/>
        </w:rPr>
        <w:t>ined an actual meter read</w:t>
      </w:r>
      <w:r w:rsidR="00D56ADE" w:rsidRPr="00EC002C">
        <w:rPr>
          <w:sz w:val="23"/>
          <w:szCs w:val="23"/>
        </w:rPr>
        <w:t>ing</w:t>
      </w:r>
      <w:r w:rsidR="0096628F" w:rsidRPr="00EC002C">
        <w:rPr>
          <w:sz w:val="23"/>
          <w:szCs w:val="23"/>
        </w:rPr>
        <w:t xml:space="preserve"> for the previous three billing cycles or longer</w:t>
      </w:r>
      <w:r w:rsidR="00635AB9" w:rsidRPr="00EC002C">
        <w:rPr>
          <w:sz w:val="23"/>
          <w:szCs w:val="23"/>
        </w:rPr>
        <w:t xml:space="preserve">.  </w:t>
      </w:r>
      <w:r w:rsidR="00714933">
        <w:rPr>
          <w:sz w:val="23"/>
          <w:szCs w:val="23"/>
        </w:rPr>
        <w:t xml:space="preserve">Within 30 days of receipt of the aforementioned data, </w:t>
      </w:r>
      <w:r w:rsidR="00635AB9" w:rsidRPr="00EC002C">
        <w:rPr>
          <w:sz w:val="23"/>
          <w:szCs w:val="23"/>
        </w:rPr>
        <w:t xml:space="preserve">FUS-Energy shall provide a report and recommendation to the Commission’s Law Bureau </w:t>
      </w:r>
      <w:r w:rsidR="00B83D25">
        <w:rPr>
          <w:sz w:val="23"/>
          <w:szCs w:val="23"/>
        </w:rPr>
        <w:t>indicating, whether, based upon its review,</w:t>
      </w:r>
      <w:r w:rsidR="00635AB9" w:rsidRPr="00EC002C">
        <w:rPr>
          <w:sz w:val="23"/>
          <w:szCs w:val="23"/>
        </w:rPr>
        <w:t xml:space="preserve"> a systemic issue exists, and what, if any, further steps should be taken by the Commission</w:t>
      </w:r>
      <w:r w:rsidR="005523A7">
        <w:rPr>
          <w:sz w:val="23"/>
          <w:szCs w:val="23"/>
        </w:rPr>
        <w:t>.</w:t>
      </w:r>
    </w:p>
    <w:p w:rsidR="00BE3CFD" w:rsidRPr="00EC002C" w:rsidRDefault="00FA3C38" w:rsidP="00526AC8">
      <w:pPr>
        <w:pStyle w:val="p7"/>
        <w:rPr>
          <w:sz w:val="23"/>
          <w:szCs w:val="23"/>
        </w:rPr>
      </w:pPr>
      <w:r w:rsidRPr="00EC002C">
        <w:rPr>
          <w:sz w:val="23"/>
          <w:szCs w:val="23"/>
        </w:rPr>
        <w:tab/>
      </w:r>
    </w:p>
    <w:p w:rsidR="00526AC8" w:rsidRPr="00EC002C" w:rsidRDefault="00526AC8" w:rsidP="00526AC8">
      <w:pPr>
        <w:pStyle w:val="p7"/>
        <w:rPr>
          <w:sz w:val="23"/>
          <w:szCs w:val="23"/>
        </w:rPr>
      </w:pPr>
    </w:p>
    <w:p w:rsidR="00207292" w:rsidRPr="00EC002C" w:rsidRDefault="00207292" w:rsidP="00207292">
      <w:pPr>
        <w:ind w:firstLine="720"/>
        <w:rPr>
          <w:rFonts w:ascii="Arial" w:hAnsi="Arial" w:cs="Arial"/>
          <w:sz w:val="23"/>
          <w:szCs w:val="23"/>
        </w:rPr>
      </w:pPr>
      <w:r w:rsidRPr="00EC002C">
        <w:rPr>
          <w:rFonts w:ascii="Arial" w:hAnsi="Arial" w:cs="Arial"/>
          <w:b/>
          <w:sz w:val="23"/>
          <w:szCs w:val="23"/>
        </w:rPr>
        <w:t>Therefore, I move that</w:t>
      </w:r>
      <w:r w:rsidRPr="00EC002C">
        <w:rPr>
          <w:rFonts w:ascii="Arial" w:hAnsi="Arial" w:cs="Arial"/>
          <w:sz w:val="23"/>
          <w:szCs w:val="23"/>
        </w:rPr>
        <w:t>:</w:t>
      </w:r>
    </w:p>
    <w:p w:rsidR="00207292" w:rsidRPr="00EC002C" w:rsidRDefault="00207292" w:rsidP="00207292">
      <w:pPr>
        <w:ind w:firstLine="720"/>
        <w:rPr>
          <w:sz w:val="23"/>
          <w:szCs w:val="23"/>
        </w:rPr>
      </w:pPr>
    </w:p>
    <w:p w:rsidR="00207292" w:rsidRPr="00EC002C" w:rsidRDefault="00207292" w:rsidP="00207292">
      <w:pPr>
        <w:widowControl/>
        <w:numPr>
          <w:ilvl w:val="0"/>
          <w:numId w:val="2"/>
        </w:numPr>
        <w:autoSpaceDE/>
        <w:autoSpaceDN/>
        <w:adjustRightInd/>
        <w:rPr>
          <w:sz w:val="23"/>
          <w:szCs w:val="23"/>
        </w:rPr>
      </w:pPr>
      <w:r w:rsidRPr="00EC002C">
        <w:rPr>
          <w:sz w:val="23"/>
          <w:szCs w:val="23"/>
        </w:rPr>
        <w:t>The Exceptions of PECO Energy Company are denied, and the Initial Decision of Administrative Law Judge Ky Van Nguyen is adopted, as modified by this Motion.</w:t>
      </w:r>
    </w:p>
    <w:p w:rsidR="002D049D" w:rsidRPr="00EC002C" w:rsidRDefault="002D049D" w:rsidP="002D049D">
      <w:pPr>
        <w:widowControl/>
        <w:autoSpaceDE/>
        <w:autoSpaceDN/>
        <w:adjustRightInd/>
        <w:ind w:left="1080"/>
        <w:rPr>
          <w:sz w:val="23"/>
          <w:szCs w:val="23"/>
        </w:rPr>
      </w:pPr>
    </w:p>
    <w:p w:rsidR="00EC002C" w:rsidRPr="00EC002C" w:rsidRDefault="00635AB9" w:rsidP="00EC002C">
      <w:pPr>
        <w:widowControl/>
        <w:numPr>
          <w:ilvl w:val="0"/>
          <w:numId w:val="2"/>
        </w:numPr>
        <w:autoSpaceDE/>
        <w:autoSpaceDN/>
        <w:adjustRightInd/>
        <w:rPr>
          <w:sz w:val="23"/>
          <w:szCs w:val="23"/>
        </w:rPr>
      </w:pPr>
      <w:r w:rsidRPr="00EC002C">
        <w:rPr>
          <w:sz w:val="23"/>
          <w:szCs w:val="23"/>
        </w:rPr>
        <w:t xml:space="preserve">Within 30 days of the entry of the Opinion and Order in this matter, </w:t>
      </w:r>
      <w:r w:rsidR="0096628F" w:rsidRPr="00EC002C">
        <w:rPr>
          <w:sz w:val="23"/>
          <w:szCs w:val="23"/>
        </w:rPr>
        <w:t>PECO Energy Company provide the Bureau of Fixed Utility Services, Energy Division, with a list of all gas accounts where an actual meter read</w:t>
      </w:r>
      <w:r w:rsidR="00D56ADE" w:rsidRPr="00EC002C">
        <w:rPr>
          <w:sz w:val="23"/>
          <w:szCs w:val="23"/>
        </w:rPr>
        <w:t>ing</w:t>
      </w:r>
      <w:r w:rsidR="0096628F" w:rsidRPr="00EC002C">
        <w:rPr>
          <w:sz w:val="23"/>
          <w:szCs w:val="23"/>
        </w:rPr>
        <w:t xml:space="preserve"> has not been obtained for the three previous billing cycles or longer.  </w:t>
      </w:r>
    </w:p>
    <w:p w:rsidR="00EC002C" w:rsidRPr="00EC002C" w:rsidRDefault="00EC002C" w:rsidP="00EC002C">
      <w:pPr>
        <w:pStyle w:val="ListParagraph"/>
        <w:rPr>
          <w:sz w:val="23"/>
          <w:szCs w:val="23"/>
        </w:rPr>
      </w:pPr>
    </w:p>
    <w:p w:rsidR="00EC002C" w:rsidRPr="00EC002C" w:rsidRDefault="00EC002C" w:rsidP="00EC002C">
      <w:pPr>
        <w:widowControl/>
        <w:numPr>
          <w:ilvl w:val="0"/>
          <w:numId w:val="2"/>
        </w:numPr>
        <w:autoSpaceDE/>
        <w:autoSpaceDN/>
        <w:adjustRightInd/>
        <w:rPr>
          <w:sz w:val="23"/>
          <w:szCs w:val="23"/>
        </w:rPr>
      </w:pPr>
      <w:r w:rsidRPr="00EC002C">
        <w:rPr>
          <w:sz w:val="23"/>
          <w:szCs w:val="23"/>
        </w:rPr>
        <w:t>Within 30 days of receipt of the aforementioned list from PECO, the Bureau of Fixed Utility Services, Energy Division, shall provide a report and recommendation to the Commission’s Law Bureau on whether a systemic issue exists, and what, if any, further steps should be taken by the Commission</w:t>
      </w:r>
    </w:p>
    <w:p w:rsidR="00207292" w:rsidRPr="00EC002C" w:rsidRDefault="00207292" w:rsidP="00207292">
      <w:pPr>
        <w:rPr>
          <w:sz w:val="23"/>
          <w:szCs w:val="23"/>
        </w:rPr>
      </w:pPr>
    </w:p>
    <w:p w:rsidR="00207292" w:rsidRPr="00EC002C" w:rsidRDefault="00207292" w:rsidP="00207292">
      <w:pPr>
        <w:widowControl/>
        <w:numPr>
          <w:ilvl w:val="0"/>
          <w:numId w:val="2"/>
        </w:numPr>
        <w:autoSpaceDE/>
        <w:autoSpaceDN/>
        <w:adjustRightInd/>
        <w:rPr>
          <w:sz w:val="23"/>
          <w:szCs w:val="23"/>
        </w:rPr>
      </w:pPr>
      <w:r w:rsidRPr="00EC002C">
        <w:rPr>
          <w:sz w:val="23"/>
          <w:szCs w:val="23"/>
        </w:rPr>
        <w:t xml:space="preserve">The Office of Special Assistants prepare an Opinion and Order consistent with this Motion.  </w:t>
      </w:r>
    </w:p>
    <w:p w:rsidR="008D309B" w:rsidRPr="00C61898" w:rsidRDefault="008D309B" w:rsidP="00526AC8">
      <w:pPr>
        <w:pStyle w:val="p7"/>
      </w:pPr>
    </w:p>
    <w:p w:rsidR="008D309B" w:rsidRPr="00C61898" w:rsidRDefault="008D309B" w:rsidP="00526AC8">
      <w:pPr>
        <w:pStyle w:val="p7"/>
      </w:pPr>
    </w:p>
    <w:p w:rsidR="008D309B" w:rsidRPr="00C61898" w:rsidRDefault="008D309B" w:rsidP="00526AC8">
      <w:pPr>
        <w:pStyle w:val="p7"/>
      </w:pPr>
    </w:p>
    <w:p w:rsidR="008D309B" w:rsidRPr="00C61898" w:rsidRDefault="008D309B" w:rsidP="00526AC8">
      <w:pPr>
        <w:pStyle w:val="p7"/>
      </w:pPr>
    </w:p>
    <w:p w:rsidR="00471EE8" w:rsidRPr="00C61898" w:rsidRDefault="00471EE8">
      <w:pPr>
        <w:pStyle w:val="t6"/>
        <w:tabs>
          <w:tab w:val="left" w:pos="4342"/>
        </w:tabs>
        <w:rPr>
          <w:b/>
        </w:rPr>
      </w:pPr>
      <w:r w:rsidRPr="00C61898">
        <w:rPr>
          <w:b/>
        </w:rPr>
        <w:t xml:space="preserve">DATE: </w:t>
      </w:r>
      <w:r w:rsidR="008D309B" w:rsidRPr="00C61898">
        <w:rPr>
          <w:b/>
          <w:u w:val="single"/>
        </w:rPr>
        <w:t>November 19</w:t>
      </w:r>
      <w:r w:rsidR="00C966D0" w:rsidRPr="00C61898">
        <w:rPr>
          <w:b/>
          <w:u w:val="single"/>
        </w:rPr>
        <w:t>, 2009</w:t>
      </w:r>
      <w:r w:rsidRPr="00C61898">
        <w:rPr>
          <w:b/>
        </w:rPr>
        <w:tab/>
      </w:r>
      <w:r w:rsidR="008607A6" w:rsidRPr="00C61898">
        <w:rPr>
          <w:b/>
        </w:rPr>
        <w:t>________________________</w:t>
      </w:r>
    </w:p>
    <w:p w:rsidR="00471EE8" w:rsidRPr="00C61898" w:rsidRDefault="00471EE8">
      <w:pPr>
        <w:pStyle w:val="t6"/>
        <w:tabs>
          <w:tab w:val="left" w:pos="4342"/>
        </w:tabs>
        <w:rPr>
          <w:b/>
        </w:rPr>
      </w:pPr>
      <w:r w:rsidRPr="00C61898">
        <w:rPr>
          <w:b/>
        </w:rPr>
        <w:tab/>
      </w:r>
      <w:r w:rsidR="008607A6" w:rsidRPr="00C61898">
        <w:rPr>
          <w:b/>
        </w:rPr>
        <w:t>ROBERT F. POWELSON</w:t>
      </w:r>
    </w:p>
    <w:p w:rsidR="00471EE8" w:rsidRPr="00C61898" w:rsidRDefault="00471EE8">
      <w:pPr>
        <w:pStyle w:val="t6"/>
        <w:tabs>
          <w:tab w:val="left" w:pos="4342"/>
        </w:tabs>
        <w:rPr>
          <w:b/>
        </w:rPr>
      </w:pPr>
      <w:r w:rsidRPr="00C61898">
        <w:rPr>
          <w:b/>
        </w:rPr>
        <w:tab/>
        <w:t>COMMISSIONER</w:t>
      </w:r>
    </w:p>
    <w:sectPr w:rsidR="00471EE8" w:rsidRPr="00C61898" w:rsidSect="00526AC8">
      <w:type w:val="continuous"/>
      <w:pgSz w:w="12240" w:h="15840"/>
      <w:pgMar w:top="1296" w:right="1440" w:bottom="1008"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7C6" w:rsidRDefault="00D177C6">
      <w:r>
        <w:separator/>
      </w:r>
    </w:p>
  </w:endnote>
  <w:endnote w:type="continuationSeparator" w:id="0">
    <w:p w:rsidR="00D177C6" w:rsidRDefault="00D17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7C6" w:rsidRDefault="00D177C6">
      <w:r>
        <w:separator/>
      </w:r>
    </w:p>
  </w:footnote>
  <w:footnote w:type="continuationSeparator" w:id="0">
    <w:p w:rsidR="00D177C6" w:rsidRDefault="00D177C6">
      <w:r>
        <w:continuationSeparator/>
      </w:r>
    </w:p>
  </w:footnote>
  <w:footnote w:id="1">
    <w:p w:rsidR="00A26A21" w:rsidRDefault="00A26A21">
      <w:pPr>
        <w:pStyle w:val="FootnoteText"/>
      </w:pPr>
      <w:r>
        <w:rPr>
          <w:rStyle w:val="FootnoteReference"/>
        </w:rPr>
        <w:footnoteRef/>
      </w:r>
      <w:r>
        <w:t xml:space="preserve"> </w:t>
      </w:r>
      <w:r w:rsidRPr="00C61898">
        <w:t>66 Pa. C.S. § 1501</w:t>
      </w:r>
    </w:p>
  </w:footnote>
  <w:footnote w:id="2">
    <w:p w:rsidR="00C61898" w:rsidRPr="0030313D" w:rsidRDefault="00C61898" w:rsidP="00C61898">
      <w:pPr>
        <w:pStyle w:val="FootnoteText"/>
      </w:pPr>
      <w:r>
        <w:rPr>
          <w:rStyle w:val="FootnoteReference"/>
        </w:rPr>
        <w:footnoteRef/>
      </w:r>
      <w:r>
        <w:t xml:space="preserve"> </w:t>
      </w:r>
      <w:r w:rsidRPr="0030313D">
        <w:rPr>
          <w:i/>
        </w:rPr>
        <w:t>See New Fizon Catering, Inc. v. PECO Energy Company</w:t>
      </w:r>
      <w:r>
        <w:t xml:space="preserve">, </w:t>
      </w:r>
      <w:r w:rsidRPr="0030313D">
        <w:t xml:space="preserve">Docket Nos. </w:t>
      </w:r>
      <w:r w:rsidRPr="0030313D">
        <w:rPr>
          <w:color w:val="000000"/>
        </w:rPr>
        <w:t>C-2008-2065498 and C-2008-2079076</w:t>
      </w:r>
      <w:r>
        <w:rPr>
          <w:color w:val="000000"/>
        </w:rPr>
        <w:t>, Order Entered June 24, 2009, 2009 WL 1912481.</w:t>
      </w:r>
    </w:p>
  </w:footnote>
  <w:footnote w:id="3">
    <w:p w:rsidR="00C61898" w:rsidRPr="00593D08" w:rsidRDefault="00C61898" w:rsidP="00C61898">
      <w:pPr>
        <w:pStyle w:val="FootnoteText"/>
      </w:pPr>
      <w:r>
        <w:rPr>
          <w:rStyle w:val="FootnoteReference"/>
        </w:rPr>
        <w:footnoteRef/>
      </w:r>
      <w:r>
        <w:t xml:space="preserve"> </w:t>
      </w:r>
      <w:r>
        <w:rPr>
          <w:i/>
        </w:rPr>
        <w:t>Id.  See also</w:t>
      </w:r>
      <w:r>
        <w:t xml:space="preserve"> 52 Pa. Code § 1.8.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95D26"/>
    <w:multiLevelType w:val="hybridMultilevel"/>
    <w:tmpl w:val="14624EDA"/>
    <w:lvl w:ilvl="0" w:tplc="F252D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48430B"/>
    <w:multiLevelType w:val="hybridMultilevel"/>
    <w:tmpl w:val="4846F4BC"/>
    <w:lvl w:ilvl="0" w:tplc="BD028BD0">
      <w:start w:val="2"/>
      <w:numFmt w:val="decimal"/>
      <w:lvlText w:val="%1."/>
      <w:lvlJc w:val="left"/>
      <w:pPr>
        <w:tabs>
          <w:tab w:val="num" w:pos="1125"/>
        </w:tabs>
        <w:ind w:left="1125" w:hanging="7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607A6"/>
    <w:rsid w:val="000569A4"/>
    <w:rsid w:val="000C4804"/>
    <w:rsid w:val="00207292"/>
    <w:rsid w:val="002C709E"/>
    <w:rsid w:val="002D049D"/>
    <w:rsid w:val="002D1837"/>
    <w:rsid w:val="002F491E"/>
    <w:rsid w:val="00310F0D"/>
    <w:rsid w:val="003A14D0"/>
    <w:rsid w:val="00416E0E"/>
    <w:rsid w:val="00466433"/>
    <w:rsid w:val="00471EE8"/>
    <w:rsid w:val="00474692"/>
    <w:rsid w:val="00476239"/>
    <w:rsid w:val="005264BB"/>
    <w:rsid w:val="00526AC8"/>
    <w:rsid w:val="0054030E"/>
    <w:rsid w:val="0054360F"/>
    <w:rsid w:val="005523A7"/>
    <w:rsid w:val="0057411F"/>
    <w:rsid w:val="0060551D"/>
    <w:rsid w:val="00635AB9"/>
    <w:rsid w:val="006E0CF1"/>
    <w:rsid w:val="00714933"/>
    <w:rsid w:val="007837D0"/>
    <w:rsid w:val="007923F2"/>
    <w:rsid w:val="0082738B"/>
    <w:rsid w:val="00850E64"/>
    <w:rsid w:val="0085152B"/>
    <w:rsid w:val="008607A6"/>
    <w:rsid w:val="008A2FF8"/>
    <w:rsid w:val="008A4CCA"/>
    <w:rsid w:val="008D309B"/>
    <w:rsid w:val="00931349"/>
    <w:rsid w:val="00936289"/>
    <w:rsid w:val="00946EC2"/>
    <w:rsid w:val="0096628F"/>
    <w:rsid w:val="00976115"/>
    <w:rsid w:val="009A4723"/>
    <w:rsid w:val="009F7AB2"/>
    <w:rsid w:val="00A034B7"/>
    <w:rsid w:val="00A07F6B"/>
    <w:rsid w:val="00A26A21"/>
    <w:rsid w:val="00AA64B5"/>
    <w:rsid w:val="00AB308C"/>
    <w:rsid w:val="00B15704"/>
    <w:rsid w:val="00B56BCF"/>
    <w:rsid w:val="00B62DC9"/>
    <w:rsid w:val="00B83D25"/>
    <w:rsid w:val="00BE3CFD"/>
    <w:rsid w:val="00C24D2F"/>
    <w:rsid w:val="00C44C4C"/>
    <w:rsid w:val="00C511D1"/>
    <w:rsid w:val="00C61898"/>
    <w:rsid w:val="00C966D0"/>
    <w:rsid w:val="00CF2DC4"/>
    <w:rsid w:val="00CF47B0"/>
    <w:rsid w:val="00D177C6"/>
    <w:rsid w:val="00D33436"/>
    <w:rsid w:val="00D56ADE"/>
    <w:rsid w:val="00DE14CA"/>
    <w:rsid w:val="00E752B1"/>
    <w:rsid w:val="00E93A9F"/>
    <w:rsid w:val="00E95BA6"/>
    <w:rsid w:val="00E95BBE"/>
    <w:rsid w:val="00EB42B0"/>
    <w:rsid w:val="00EC002C"/>
    <w:rsid w:val="00F10773"/>
    <w:rsid w:val="00F14602"/>
    <w:rsid w:val="00F7572F"/>
    <w:rsid w:val="00FA3C38"/>
    <w:rsid w:val="00FD3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4CA"/>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DE14CA"/>
  </w:style>
  <w:style w:type="paragraph" w:customStyle="1" w:styleId="c2">
    <w:name w:val="c2"/>
    <w:basedOn w:val="Normal"/>
    <w:uiPriority w:val="99"/>
    <w:rsid w:val="00DE14CA"/>
    <w:pPr>
      <w:jc w:val="center"/>
    </w:pPr>
  </w:style>
  <w:style w:type="paragraph" w:customStyle="1" w:styleId="p3">
    <w:name w:val="p3"/>
    <w:basedOn w:val="Normal"/>
    <w:uiPriority w:val="99"/>
    <w:rsid w:val="00DE14CA"/>
    <w:pPr>
      <w:tabs>
        <w:tab w:val="left" w:pos="204"/>
      </w:tabs>
    </w:pPr>
  </w:style>
  <w:style w:type="paragraph" w:customStyle="1" w:styleId="p4">
    <w:name w:val="p4"/>
    <w:basedOn w:val="Normal"/>
    <w:uiPriority w:val="99"/>
    <w:rsid w:val="00DE14CA"/>
    <w:pPr>
      <w:tabs>
        <w:tab w:val="left" w:pos="765"/>
      </w:tabs>
      <w:ind w:firstLine="765"/>
    </w:pPr>
  </w:style>
  <w:style w:type="paragraph" w:customStyle="1" w:styleId="p5">
    <w:name w:val="p5"/>
    <w:basedOn w:val="Normal"/>
    <w:uiPriority w:val="99"/>
    <w:rsid w:val="00DE14CA"/>
    <w:pPr>
      <w:tabs>
        <w:tab w:val="left" w:pos="204"/>
      </w:tabs>
    </w:pPr>
  </w:style>
  <w:style w:type="paragraph" w:customStyle="1" w:styleId="t6">
    <w:name w:val="t6"/>
    <w:basedOn w:val="Normal"/>
    <w:uiPriority w:val="99"/>
    <w:rsid w:val="00DE14CA"/>
  </w:style>
  <w:style w:type="paragraph" w:customStyle="1" w:styleId="p7">
    <w:name w:val="p7"/>
    <w:basedOn w:val="Normal"/>
    <w:uiPriority w:val="99"/>
    <w:rsid w:val="00DE14CA"/>
    <w:pPr>
      <w:tabs>
        <w:tab w:val="left" w:pos="765"/>
      </w:tabs>
    </w:pPr>
  </w:style>
  <w:style w:type="paragraph" w:customStyle="1" w:styleId="c8">
    <w:name w:val="c8"/>
    <w:basedOn w:val="Normal"/>
    <w:uiPriority w:val="99"/>
    <w:rsid w:val="00DE14CA"/>
    <w:pPr>
      <w:jc w:val="center"/>
    </w:pPr>
  </w:style>
  <w:style w:type="paragraph" w:styleId="FootnoteText">
    <w:name w:val="footnote text"/>
    <w:basedOn w:val="Normal"/>
    <w:link w:val="FootnoteTextChar"/>
    <w:semiHidden/>
    <w:rsid w:val="00CF2DC4"/>
    <w:rPr>
      <w:sz w:val="20"/>
      <w:szCs w:val="20"/>
    </w:rPr>
  </w:style>
  <w:style w:type="character" w:customStyle="1" w:styleId="FootnoteTextChar">
    <w:name w:val="Footnote Text Char"/>
    <w:basedOn w:val="DefaultParagraphFont"/>
    <w:link w:val="FootnoteText"/>
    <w:uiPriority w:val="99"/>
    <w:semiHidden/>
    <w:locked/>
    <w:rsid w:val="00DE14CA"/>
    <w:rPr>
      <w:rFonts w:cs="Times New Roman"/>
      <w:sz w:val="20"/>
      <w:szCs w:val="20"/>
    </w:rPr>
  </w:style>
  <w:style w:type="character" w:styleId="FootnoteReference">
    <w:name w:val="footnote reference"/>
    <w:basedOn w:val="DefaultParagraphFont"/>
    <w:semiHidden/>
    <w:rsid w:val="00CF2DC4"/>
    <w:rPr>
      <w:rFonts w:cs="Times New Roman"/>
      <w:vertAlign w:val="superscript"/>
    </w:rPr>
  </w:style>
  <w:style w:type="paragraph" w:styleId="ListParagraph">
    <w:name w:val="List Paragraph"/>
    <w:basedOn w:val="Normal"/>
    <w:uiPriority w:val="34"/>
    <w:qFormat/>
    <w:rsid w:val="00207292"/>
    <w:pPr>
      <w:widowControl/>
      <w:autoSpaceDE/>
      <w:autoSpaceDN/>
      <w:adjustRightInd/>
      <w:ind w:left="720"/>
    </w:pPr>
    <w:rPr>
      <w:sz w:val="20"/>
      <w:szCs w:val="20"/>
    </w:rPr>
  </w:style>
  <w:style w:type="paragraph" w:styleId="BalloonText">
    <w:name w:val="Balloon Text"/>
    <w:basedOn w:val="Normal"/>
    <w:link w:val="BalloonTextChar"/>
    <w:uiPriority w:val="99"/>
    <w:semiHidden/>
    <w:unhideWhenUsed/>
    <w:rsid w:val="00B62DC9"/>
    <w:rPr>
      <w:rFonts w:ascii="Tahoma" w:hAnsi="Tahoma" w:cs="Tahoma"/>
      <w:sz w:val="16"/>
      <w:szCs w:val="16"/>
    </w:rPr>
  </w:style>
  <w:style w:type="character" w:customStyle="1" w:styleId="BalloonTextChar">
    <w:name w:val="Balloon Text Char"/>
    <w:basedOn w:val="DefaultParagraphFont"/>
    <w:link w:val="BalloonText"/>
    <w:uiPriority w:val="99"/>
    <w:semiHidden/>
    <w:rsid w:val="00B62D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4BD4-85E7-4ECB-AD83-6E0C775E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MIS</dc:creator>
  <cp:keywords/>
  <dc:description/>
  <cp:lastModifiedBy>rmalinak</cp:lastModifiedBy>
  <cp:revision>2</cp:revision>
  <cp:lastPrinted>2009-11-19T14:20:00Z</cp:lastPrinted>
  <dcterms:created xsi:type="dcterms:W3CDTF">2009-11-19T15:54:00Z</dcterms:created>
  <dcterms:modified xsi:type="dcterms:W3CDTF">2009-11-19T15:54:00Z</dcterms:modified>
</cp:coreProperties>
</file>