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0D" w:rsidRDefault="0010750D" w:rsidP="0010750D">
      <w:pPr>
        <w:jc w:val="center"/>
        <w:rPr>
          <w:b/>
        </w:rPr>
      </w:pPr>
      <w:r>
        <w:rPr>
          <w:b/>
        </w:rPr>
        <w:t>BEFORE THE</w:t>
      </w:r>
    </w:p>
    <w:p w:rsidR="0010750D" w:rsidRDefault="0010750D" w:rsidP="0010750D">
      <w:pPr>
        <w:jc w:val="center"/>
      </w:pPr>
      <w:r>
        <w:rPr>
          <w:b/>
        </w:rPr>
        <w:t>PENNSYLVANIA PUBLIC UTILITY COMMISSION</w:t>
      </w:r>
    </w:p>
    <w:p w:rsidR="0010750D" w:rsidRDefault="0010750D" w:rsidP="0010750D"/>
    <w:p w:rsidR="0010750D" w:rsidRDefault="0010750D" w:rsidP="0010750D"/>
    <w:p w:rsidR="0010750D" w:rsidRDefault="0010750D" w:rsidP="0010750D"/>
    <w:p w:rsidR="0010750D" w:rsidRDefault="0010750D" w:rsidP="0010750D">
      <w:r>
        <w:t>Emanuel J. Oakes, Jr.</w:t>
      </w:r>
      <w:r>
        <w:tab/>
      </w:r>
      <w:r>
        <w:tab/>
      </w:r>
      <w:r>
        <w:tab/>
      </w:r>
      <w:r>
        <w:tab/>
      </w:r>
      <w:r>
        <w:tab/>
        <w:t>:</w:t>
      </w:r>
    </w:p>
    <w:p w:rsidR="0010750D" w:rsidRDefault="0010750D" w:rsidP="0010750D">
      <w:r>
        <w:tab/>
      </w:r>
      <w:r>
        <w:tab/>
      </w:r>
      <w:r>
        <w:tab/>
      </w:r>
      <w:r>
        <w:tab/>
      </w:r>
      <w:r>
        <w:tab/>
      </w:r>
      <w:r>
        <w:tab/>
      </w:r>
      <w:r>
        <w:tab/>
        <w:t>:</w:t>
      </w:r>
    </w:p>
    <w:p w:rsidR="0010750D" w:rsidRDefault="0010750D" w:rsidP="0010750D">
      <w:r>
        <w:tab/>
        <w:t>v.</w:t>
      </w:r>
      <w:r>
        <w:tab/>
      </w:r>
      <w:r>
        <w:tab/>
      </w:r>
      <w:r>
        <w:tab/>
      </w:r>
      <w:r w:rsidR="00B86294">
        <w:tab/>
      </w:r>
      <w:r>
        <w:tab/>
      </w:r>
      <w:r>
        <w:tab/>
        <w:t>:</w:t>
      </w:r>
      <w:r>
        <w:tab/>
      </w:r>
      <w:r w:rsidR="00B86294">
        <w:tab/>
      </w:r>
      <w:r>
        <w:t>F-2009-2096047</w:t>
      </w:r>
    </w:p>
    <w:p w:rsidR="0010750D" w:rsidRDefault="0010750D" w:rsidP="0010750D">
      <w:r>
        <w:tab/>
      </w:r>
      <w:r>
        <w:tab/>
      </w:r>
      <w:r>
        <w:tab/>
      </w:r>
      <w:r>
        <w:tab/>
      </w:r>
      <w:r>
        <w:tab/>
      </w:r>
      <w:r>
        <w:tab/>
      </w:r>
      <w:r>
        <w:tab/>
        <w:t>:</w:t>
      </w:r>
    </w:p>
    <w:p w:rsidR="0010750D" w:rsidRDefault="0010750D" w:rsidP="0010750D">
      <w:r>
        <w:t>Duquesne Light Company</w:t>
      </w:r>
      <w:r>
        <w:tab/>
      </w:r>
      <w:r>
        <w:tab/>
      </w:r>
      <w:r>
        <w:tab/>
      </w:r>
      <w:r>
        <w:tab/>
        <w:t>:</w:t>
      </w:r>
    </w:p>
    <w:p w:rsidR="0010750D" w:rsidRDefault="0010750D" w:rsidP="0010750D"/>
    <w:p w:rsidR="0010750D" w:rsidRDefault="0010750D" w:rsidP="0010750D"/>
    <w:p w:rsidR="0010750D" w:rsidRDefault="0010750D" w:rsidP="0010750D"/>
    <w:p w:rsidR="0010750D" w:rsidRDefault="0010750D" w:rsidP="0010750D">
      <w:pPr>
        <w:jc w:val="center"/>
      </w:pPr>
      <w:r>
        <w:rPr>
          <w:b/>
          <w:u w:val="single"/>
        </w:rPr>
        <w:t>INITIAL DECISION</w:t>
      </w:r>
    </w:p>
    <w:p w:rsidR="0010750D" w:rsidRDefault="0010750D" w:rsidP="0010750D">
      <w:pPr>
        <w:jc w:val="center"/>
      </w:pPr>
    </w:p>
    <w:p w:rsidR="00B86294" w:rsidRDefault="00B86294" w:rsidP="0010750D">
      <w:pPr>
        <w:jc w:val="center"/>
      </w:pPr>
    </w:p>
    <w:p w:rsidR="0010750D" w:rsidRDefault="0010750D" w:rsidP="0010750D">
      <w:pPr>
        <w:jc w:val="center"/>
      </w:pPr>
      <w:r>
        <w:t>Before</w:t>
      </w:r>
    </w:p>
    <w:p w:rsidR="0010750D" w:rsidRDefault="0010750D" w:rsidP="0010750D">
      <w:pPr>
        <w:jc w:val="center"/>
      </w:pPr>
      <w:r>
        <w:t>Robert P. Meehan</w:t>
      </w:r>
    </w:p>
    <w:p w:rsidR="0010750D" w:rsidRDefault="0010750D" w:rsidP="0010750D">
      <w:pPr>
        <w:jc w:val="center"/>
      </w:pPr>
      <w:r>
        <w:t>Administrative Law Judge</w:t>
      </w:r>
    </w:p>
    <w:p w:rsidR="0010750D" w:rsidRDefault="0010750D" w:rsidP="0010750D"/>
    <w:p w:rsidR="00B86294" w:rsidRDefault="00B86294" w:rsidP="0010750D"/>
    <w:p w:rsidR="0010750D" w:rsidRDefault="0010750D" w:rsidP="0010750D">
      <w:pPr>
        <w:spacing w:line="360" w:lineRule="auto"/>
      </w:pPr>
      <w:r>
        <w:tab/>
      </w:r>
      <w:r>
        <w:tab/>
        <w:t>This Initial Decision dismisses the formal complaint filed by Emanuel J. Oakes, Jr. (Mr. Oakes) against Duquesne Light Company (D</w:t>
      </w:r>
      <w:r w:rsidR="00A40FFA">
        <w:t>LC</w:t>
      </w:r>
      <w:r>
        <w:t>)</w:t>
      </w:r>
      <w:r w:rsidR="005A6CF5">
        <w:t>, at Docket No. F-2009-2096047, for the failure to satisfy the burden of proof.</w:t>
      </w:r>
    </w:p>
    <w:p w:rsidR="005A6CF5" w:rsidRDefault="005A6CF5" w:rsidP="0010750D">
      <w:pPr>
        <w:spacing w:line="360" w:lineRule="auto"/>
      </w:pPr>
    </w:p>
    <w:p w:rsidR="005A6CF5" w:rsidRDefault="005A6CF5" w:rsidP="005A6CF5">
      <w:pPr>
        <w:spacing w:line="360" w:lineRule="auto"/>
        <w:jc w:val="center"/>
      </w:pPr>
      <w:r>
        <w:rPr>
          <w:u w:val="single"/>
        </w:rPr>
        <w:t>HISTORY OF THE PROCEEDING</w:t>
      </w:r>
    </w:p>
    <w:p w:rsidR="005A6CF5" w:rsidRDefault="005A6CF5" w:rsidP="005A6CF5">
      <w:pPr>
        <w:spacing w:line="360" w:lineRule="auto"/>
      </w:pPr>
    </w:p>
    <w:p w:rsidR="005A6CF5" w:rsidRDefault="005A6CF5" w:rsidP="005A6CF5">
      <w:pPr>
        <w:spacing w:line="360" w:lineRule="auto"/>
      </w:pPr>
      <w:r>
        <w:tab/>
      </w:r>
      <w:r>
        <w:tab/>
        <w:t>In his complaint, filed on March 9, 2009, Mr. Oakes</w:t>
      </w:r>
      <w:r w:rsidR="00424D4C">
        <w:t xml:space="preserve"> alleged a billing dispute and requested an adjustment to his electric service account.  </w:t>
      </w:r>
      <w:r w:rsidR="00A40FFA">
        <w:t>DLC</w:t>
      </w:r>
      <w:r w:rsidR="00424D4C">
        <w:t>’s answer was filed on April 7, 2009.</w:t>
      </w:r>
      <w:r w:rsidR="00BC7297">
        <w:t xml:space="preserve">  By letter dated May 30, 2009, the Commission notified the parties that the hearing in this proceeding would be held on July 7, 2009, at 10:00 a.m., in an 11</w:t>
      </w:r>
      <w:r w:rsidR="00BC7297" w:rsidRPr="00BC7297">
        <w:rPr>
          <w:vertAlign w:val="superscript"/>
        </w:rPr>
        <w:t>th</w:t>
      </w:r>
      <w:r w:rsidR="00BC7297">
        <w:t xml:space="preserve"> Floor Hearing Room, State Office Building, Pittsburgh, PA.</w:t>
      </w:r>
      <w:r w:rsidR="00A91CF3">
        <w:t xml:space="preserve">  On June 2, 2009, I issued a Prehearing Order in this case.</w:t>
      </w:r>
    </w:p>
    <w:p w:rsidR="00A91CF3" w:rsidRDefault="00A91CF3" w:rsidP="005A6CF5">
      <w:pPr>
        <w:spacing w:line="360" w:lineRule="auto"/>
      </w:pPr>
    </w:p>
    <w:p w:rsidR="00A91CF3" w:rsidRDefault="00A91CF3" w:rsidP="005A6CF5">
      <w:pPr>
        <w:spacing w:line="360" w:lineRule="auto"/>
      </w:pPr>
      <w:r>
        <w:tab/>
      </w:r>
      <w:r>
        <w:tab/>
        <w:t xml:space="preserve">The hearing was held, as scheduled.  Mr. Oakes, who is an attorney, appeared </w:t>
      </w:r>
      <w:r w:rsidR="00150FB9">
        <w:t>and testified</w:t>
      </w:r>
      <w:r>
        <w:t xml:space="preserve"> in support of his complaint.  He submitted eight exhibits, which were admitted into the record.  D</w:t>
      </w:r>
      <w:r w:rsidR="00244D0A">
        <w:t>LC</w:t>
      </w:r>
      <w:r>
        <w:t>, represented by counsel, presented one witness and submitted three Exhibits</w:t>
      </w:r>
      <w:r w:rsidR="004928CA">
        <w:rPr>
          <w:rStyle w:val="FootnoteReference"/>
        </w:rPr>
        <w:footnoteReference w:id="1"/>
      </w:r>
      <w:r w:rsidR="004928CA">
        <w:t>,</w:t>
      </w:r>
      <w:r>
        <w:t xml:space="preserve"> </w:t>
      </w:r>
      <w:r>
        <w:lastRenderedPageBreak/>
        <w:t>which were admitted into the record.</w:t>
      </w:r>
      <w:r w:rsidR="004928CA">
        <w:t xml:space="preserve">  The record, consisting of the 80-page transcript of the hearing and 11 total </w:t>
      </w:r>
      <w:r w:rsidR="00150FB9">
        <w:t>exhibits, was</w:t>
      </w:r>
      <w:r w:rsidR="004928CA">
        <w:t xml:space="preserve"> closed by Order issued July 28, 2009.  Briefs have not been filed in this case.</w:t>
      </w:r>
    </w:p>
    <w:p w:rsidR="004928CA" w:rsidRDefault="004928CA" w:rsidP="005A6CF5">
      <w:pPr>
        <w:spacing w:line="360" w:lineRule="auto"/>
      </w:pPr>
    </w:p>
    <w:p w:rsidR="004928CA" w:rsidRDefault="004928CA" w:rsidP="004928CA">
      <w:pPr>
        <w:spacing w:line="360" w:lineRule="auto"/>
        <w:jc w:val="center"/>
      </w:pPr>
      <w:r>
        <w:rPr>
          <w:u w:val="single"/>
        </w:rPr>
        <w:t>FINDINGS OF FACT</w:t>
      </w:r>
    </w:p>
    <w:p w:rsidR="004928CA" w:rsidRDefault="004928CA" w:rsidP="004928CA">
      <w:pPr>
        <w:spacing w:line="360" w:lineRule="auto"/>
      </w:pPr>
    </w:p>
    <w:p w:rsidR="004928CA" w:rsidRDefault="00DA032C" w:rsidP="004928CA">
      <w:pPr>
        <w:spacing w:line="360" w:lineRule="auto"/>
      </w:pPr>
      <w:r>
        <w:tab/>
      </w:r>
      <w:r>
        <w:tab/>
        <w:t>1.</w:t>
      </w:r>
      <w:r>
        <w:tab/>
        <w:t>The complainant in this proceeding is Emanuel J. Oakes, Jr.  His address is 1100 Bessica Street, Wilkinsburg</w:t>
      </w:r>
      <w:r w:rsidR="00476B13">
        <w:rPr>
          <w:rStyle w:val="FootnoteReference"/>
        </w:rPr>
        <w:footnoteReference w:id="2"/>
      </w:r>
      <w:r>
        <w:t>, PA 15221 (Tr. 7</w:t>
      </w:r>
      <w:r w:rsidR="00544A4A">
        <w:t>; Complaint ¶1</w:t>
      </w:r>
      <w:r w:rsidR="00476B13">
        <w:t>).</w:t>
      </w:r>
    </w:p>
    <w:p w:rsidR="00476B13" w:rsidRDefault="00476B13" w:rsidP="004928CA">
      <w:pPr>
        <w:spacing w:line="360" w:lineRule="auto"/>
      </w:pPr>
    </w:p>
    <w:p w:rsidR="00476B13" w:rsidRDefault="00476B13" w:rsidP="004928CA">
      <w:pPr>
        <w:spacing w:line="360" w:lineRule="auto"/>
      </w:pPr>
      <w:r>
        <w:tab/>
      </w:r>
      <w:r>
        <w:tab/>
        <w:t>2.</w:t>
      </w:r>
      <w:r>
        <w:tab/>
        <w:t>The service address which is the subject of this complaint proceeding is 1380 Laketon Road, Wilkinsburg, PA 15221</w:t>
      </w:r>
      <w:r w:rsidR="00751895">
        <w:t xml:space="preserve"> (Laketon Road property).  Mr. Oakes is the owner of the Laketon Road property</w:t>
      </w:r>
      <w:r>
        <w:t xml:space="preserve"> (Tr. 7</w:t>
      </w:r>
      <w:r w:rsidR="00544A4A">
        <w:t>; Complaint ¶1</w:t>
      </w:r>
      <w:r>
        <w:t>)</w:t>
      </w:r>
      <w:r w:rsidR="00751895">
        <w:t>.</w:t>
      </w:r>
    </w:p>
    <w:p w:rsidR="00751895" w:rsidRDefault="00751895" w:rsidP="004928CA">
      <w:pPr>
        <w:spacing w:line="360" w:lineRule="auto"/>
      </w:pPr>
    </w:p>
    <w:p w:rsidR="00751895" w:rsidRDefault="00751895" w:rsidP="004928CA">
      <w:pPr>
        <w:spacing w:line="360" w:lineRule="auto"/>
      </w:pPr>
      <w:r>
        <w:tab/>
      </w:r>
      <w:r>
        <w:tab/>
        <w:t>3.</w:t>
      </w:r>
      <w:r>
        <w:tab/>
      </w:r>
      <w:r w:rsidR="007300DF">
        <w:t xml:space="preserve">Duquesne </w:t>
      </w:r>
      <w:r>
        <w:t>Light Company is the Respondent in this proceeding.</w:t>
      </w:r>
    </w:p>
    <w:p w:rsidR="00544A4A" w:rsidRDefault="00544A4A" w:rsidP="004928CA">
      <w:pPr>
        <w:spacing w:line="360" w:lineRule="auto"/>
      </w:pPr>
    </w:p>
    <w:p w:rsidR="00544A4A" w:rsidRDefault="00544A4A" w:rsidP="004928CA">
      <w:pPr>
        <w:spacing w:line="360" w:lineRule="auto"/>
      </w:pPr>
      <w:r>
        <w:tab/>
      </w:r>
      <w:r>
        <w:tab/>
        <w:t>4.</w:t>
      </w:r>
      <w:r>
        <w:tab/>
        <w:t>In November of 2007, Satara Cain (Ms. Cain) moved into the Laketon Road property as Mr. Oakes</w:t>
      </w:r>
      <w:r w:rsidR="00B86294">
        <w:t>’</w:t>
      </w:r>
      <w:r>
        <w:t xml:space="preserve"> tenant.  According to Mr. Oakes, Ms. Cain was to have the e</w:t>
      </w:r>
      <w:r w:rsidR="00CC0E73">
        <w:t>lectric service put in her name (Tr. 7).</w:t>
      </w:r>
    </w:p>
    <w:p w:rsidR="00CC0E73" w:rsidRDefault="00CC0E73" w:rsidP="004928CA">
      <w:pPr>
        <w:spacing w:line="360" w:lineRule="auto"/>
      </w:pPr>
    </w:p>
    <w:p w:rsidR="00CC0E73" w:rsidRDefault="00CC0E73" w:rsidP="004928CA">
      <w:pPr>
        <w:spacing w:line="360" w:lineRule="auto"/>
      </w:pPr>
      <w:r>
        <w:tab/>
      </w:r>
      <w:r>
        <w:tab/>
        <w:t>5.</w:t>
      </w:r>
      <w:r>
        <w:tab/>
        <w:t>On an undisclosed date after Ms. Cain became the tenant at the Laketon Road property, Mr. Oakes inquired if she had transferred the electric service into her name and learned that had not been done (Tr. 7-8).</w:t>
      </w:r>
    </w:p>
    <w:p w:rsidR="00CC0E73" w:rsidRDefault="00CC0E73" w:rsidP="004928CA">
      <w:pPr>
        <w:spacing w:line="360" w:lineRule="auto"/>
      </w:pPr>
    </w:p>
    <w:p w:rsidR="00CC0E73" w:rsidRDefault="00CC0E73" w:rsidP="004928CA">
      <w:pPr>
        <w:spacing w:line="360" w:lineRule="auto"/>
      </w:pPr>
      <w:r>
        <w:tab/>
      </w:r>
      <w:r>
        <w:tab/>
        <w:t>6.</w:t>
      </w:r>
      <w:r>
        <w:tab/>
        <w:t>Mr. Oakes knew that Ms. Cain was using the electric service at the Laketon Road property in his name.  He believes that for the first couple of months Ms. Cain was paying the electric bills, and that was fine with Mr. Oakes (Tr. 8)</w:t>
      </w:r>
      <w:r w:rsidR="006B117B">
        <w:t>.</w:t>
      </w:r>
    </w:p>
    <w:p w:rsidR="006B117B" w:rsidRDefault="006B117B" w:rsidP="00B86294">
      <w:pPr>
        <w:spacing w:line="360" w:lineRule="auto"/>
        <w:ind w:firstLine="720"/>
      </w:pPr>
    </w:p>
    <w:p w:rsidR="006B117B" w:rsidRDefault="006B117B" w:rsidP="004928CA">
      <w:pPr>
        <w:spacing w:line="360" w:lineRule="auto"/>
      </w:pPr>
      <w:r>
        <w:lastRenderedPageBreak/>
        <w:tab/>
      </w:r>
      <w:r>
        <w:tab/>
        <w:t>7.</w:t>
      </w:r>
      <w:r>
        <w:tab/>
        <w:t>In April of 2008, Mr. Oakes received a bill in the amount of $428.76 for electric service to the Laketon Road property and realized that Ms. Cain had not paid the electric bills for several months (Tr. 8-9; Comp. Ex. 1).</w:t>
      </w:r>
    </w:p>
    <w:p w:rsidR="00ED56D5" w:rsidRDefault="00ED56D5" w:rsidP="004928CA">
      <w:pPr>
        <w:spacing w:line="360" w:lineRule="auto"/>
      </w:pPr>
    </w:p>
    <w:p w:rsidR="00ED56D5" w:rsidRDefault="00ED56D5" w:rsidP="004928CA">
      <w:pPr>
        <w:spacing w:line="360" w:lineRule="auto"/>
      </w:pPr>
      <w:r>
        <w:tab/>
      </w:r>
      <w:r>
        <w:tab/>
        <w:t>8.</w:t>
      </w:r>
      <w:r>
        <w:tab/>
        <w:t xml:space="preserve">Mr. Oakes, an attorney, has some understanding of utility procedures and the provision of the Code pertaining to service terminations during the winter months.  Upon receipt of the bill for the Laketon Road property, he contacted </w:t>
      </w:r>
      <w:r w:rsidR="00A40FFA">
        <w:t>DLC</w:t>
      </w:r>
      <w:r w:rsidR="0002179D">
        <w:t xml:space="preserve"> around May 3, 2008,</w:t>
      </w:r>
      <w:r w:rsidR="00150FB9">
        <w:t xml:space="preserve"> and inquired why </w:t>
      </w:r>
      <w:r w:rsidR="00A40FFA">
        <w:t>DLC</w:t>
      </w:r>
      <w:r w:rsidR="00150FB9">
        <w:t xml:space="preserve"> had not</w:t>
      </w:r>
      <w:r>
        <w:t xml:space="preserve"> terminated service at the Laketon Road property (Tr. 9-10).</w:t>
      </w:r>
    </w:p>
    <w:p w:rsidR="00ED56D5" w:rsidRDefault="00ED56D5" w:rsidP="004928CA">
      <w:pPr>
        <w:spacing w:line="360" w:lineRule="auto"/>
      </w:pPr>
    </w:p>
    <w:p w:rsidR="00ED56D5" w:rsidRDefault="00ED56D5" w:rsidP="004928CA">
      <w:pPr>
        <w:spacing w:line="360" w:lineRule="auto"/>
      </w:pPr>
      <w:r>
        <w:tab/>
      </w:r>
      <w:r>
        <w:tab/>
        <w:t>9.</w:t>
      </w:r>
      <w:r>
        <w:tab/>
        <w:t xml:space="preserve">The </w:t>
      </w:r>
      <w:r w:rsidR="00A40FFA">
        <w:t>DLC</w:t>
      </w:r>
      <w:r>
        <w:t xml:space="preserve"> representative with whom he spoke</w:t>
      </w:r>
      <w:r w:rsidR="0057146F">
        <w:t xml:space="preserve"> could not explain why the service had not been terminated, but informed him that a “48-hour” termination notice would be sent to the tenant (Tr. 10).</w:t>
      </w:r>
    </w:p>
    <w:p w:rsidR="00B568FE" w:rsidRDefault="00B568FE" w:rsidP="004928CA">
      <w:pPr>
        <w:spacing w:line="360" w:lineRule="auto"/>
      </w:pPr>
    </w:p>
    <w:p w:rsidR="00B568FE" w:rsidRDefault="00B568FE" w:rsidP="004928CA">
      <w:pPr>
        <w:spacing w:line="360" w:lineRule="auto"/>
      </w:pPr>
      <w:r>
        <w:tab/>
      </w:r>
      <w:r>
        <w:tab/>
        <w:t>10.</w:t>
      </w:r>
      <w:r>
        <w:tab/>
        <w:t>Ms. Cain, the tenant at the Laketon Road property, is the mother of Mr.</w:t>
      </w:r>
      <w:r w:rsidR="001349BA">
        <w:t> </w:t>
      </w:r>
      <w:r>
        <w:t>Oakes</w:t>
      </w:r>
      <w:r w:rsidR="001349BA">
        <w:t>’</w:t>
      </w:r>
      <w:r>
        <w:t xml:space="preserve"> granddaughter.  He did not want to be the “bad guy” and have the electric service to the Laketon Road property turned off, which would have permitted her to file a constructive eviction complaint against Mr. Oakes.  At the same time, he did not want to be liable for the electric bill for the Laketon Road property (Tr. 10</w:t>
      </w:r>
      <w:r w:rsidR="00301B5E">
        <w:t>, 24-25</w:t>
      </w:r>
      <w:r>
        <w:t>).</w:t>
      </w:r>
    </w:p>
    <w:p w:rsidR="00734A98" w:rsidRDefault="00734A98" w:rsidP="004928CA">
      <w:pPr>
        <w:spacing w:line="360" w:lineRule="auto"/>
      </w:pPr>
    </w:p>
    <w:p w:rsidR="00734A98" w:rsidRDefault="00734A98" w:rsidP="004928CA">
      <w:pPr>
        <w:spacing w:line="360" w:lineRule="auto"/>
      </w:pPr>
      <w:r>
        <w:tab/>
      </w:r>
      <w:r>
        <w:tab/>
        <w:t>11.</w:t>
      </w:r>
      <w:r>
        <w:tab/>
        <w:t>Mr. Oakes was aware of the electric bill for the Laketon Road property in March of 2008, which showed a balance due of $207.</w:t>
      </w:r>
      <w:r w:rsidR="00F36465">
        <w:t>00.</w:t>
      </w:r>
      <w:r>
        <w:t xml:space="preserve">  He assumed Ms. Cain had made a payment in February of 2008, trying to catch up on the electric payments and just wasn’t doing a good job of it (Tr. 11</w:t>
      </w:r>
      <w:r w:rsidR="00555009">
        <w:t>; Comp. Ex. 2)</w:t>
      </w:r>
      <w:r>
        <w:t>.</w:t>
      </w:r>
    </w:p>
    <w:p w:rsidR="00555009" w:rsidRDefault="00555009" w:rsidP="004928CA">
      <w:pPr>
        <w:spacing w:line="360" w:lineRule="auto"/>
      </w:pPr>
    </w:p>
    <w:p w:rsidR="00555009" w:rsidRDefault="0002179D" w:rsidP="004928CA">
      <w:pPr>
        <w:spacing w:line="360" w:lineRule="auto"/>
      </w:pPr>
      <w:r>
        <w:tab/>
      </w:r>
      <w:r>
        <w:tab/>
      </w:r>
      <w:r w:rsidR="00523E32">
        <w:t>12.</w:t>
      </w:r>
      <w:r w:rsidR="00523E32">
        <w:tab/>
        <w:t xml:space="preserve">On May 17, 2008, Mr. Oakes received at his home address a 10-day shutoff notice from </w:t>
      </w:r>
      <w:r w:rsidR="00A40FFA">
        <w:t>DLC</w:t>
      </w:r>
      <w:r w:rsidR="00523E32">
        <w:t xml:space="preserve"> pertaining to the Laketon Road property (Tr. 12; Comp. Ex. 3).</w:t>
      </w:r>
    </w:p>
    <w:p w:rsidR="00523E32" w:rsidRDefault="00523E32" w:rsidP="004928CA">
      <w:pPr>
        <w:spacing w:line="360" w:lineRule="auto"/>
      </w:pPr>
    </w:p>
    <w:p w:rsidR="00523E32" w:rsidRDefault="00523E32" w:rsidP="004928CA">
      <w:pPr>
        <w:spacing w:line="360" w:lineRule="auto"/>
      </w:pPr>
      <w:r>
        <w:tab/>
      </w:r>
      <w:r>
        <w:tab/>
        <w:t>13.</w:t>
      </w:r>
      <w:r>
        <w:tab/>
        <w:t xml:space="preserve">Mr. Oakes again contacted </w:t>
      </w:r>
      <w:r w:rsidR="00A40FFA">
        <w:t>DLC</w:t>
      </w:r>
      <w:r>
        <w:t xml:space="preserve"> explaining that Ms. Cain may have a problem having the electric service placed in her name.  He was informed that </w:t>
      </w:r>
      <w:r w:rsidR="00A40FFA">
        <w:t>DLC</w:t>
      </w:r>
      <w:r>
        <w:t xml:space="preserve"> could not discuss the electric service account for the Laketon Road property with Ms. Cain without the permission of Mr. Oakes (Tr. 12-13).</w:t>
      </w:r>
    </w:p>
    <w:p w:rsidR="00523E32" w:rsidRDefault="00523E32" w:rsidP="004928CA">
      <w:pPr>
        <w:spacing w:line="360" w:lineRule="auto"/>
      </w:pPr>
    </w:p>
    <w:p w:rsidR="00523E32" w:rsidRDefault="00523E32" w:rsidP="004928CA">
      <w:pPr>
        <w:spacing w:line="360" w:lineRule="auto"/>
      </w:pPr>
      <w:r>
        <w:tab/>
      </w:r>
      <w:r>
        <w:tab/>
        <w:t>14.</w:t>
      </w:r>
      <w:r>
        <w:tab/>
        <w:t xml:space="preserve">Mr. Oakes gave </w:t>
      </w:r>
      <w:r w:rsidR="00A40FFA">
        <w:t>DLC</w:t>
      </w:r>
      <w:r>
        <w:t xml:space="preserve"> permission to discuss the electric service account to the Lake</w:t>
      </w:r>
      <w:r w:rsidR="00F7744A">
        <w:t>ton Road property with Ms. Cain, solely for the purpose of Ms. Cain having the account placed in her name (Tr. 13</w:t>
      </w:r>
      <w:r w:rsidR="00FA14FD">
        <w:t>, 19-20</w:t>
      </w:r>
      <w:r w:rsidR="00F7744A">
        <w:t>).</w:t>
      </w:r>
    </w:p>
    <w:p w:rsidR="00165D45" w:rsidRDefault="00165D45" w:rsidP="004928CA">
      <w:pPr>
        <w:spacing w:line="360" w:lineRule="auto"/>
      </w:pPr>
    </w:p>
    <w:p w:rsidR="001C7415" w:rsidRDefault="00165D45" w:rsidP="004928CA">
      <w:pPr>
        <w:spacing w:line="360" w:lineRule="auto"/>
      </w:pPr>
      <w:r>
        <w:tab/>
      </w:r>
      <w:r>
        <w:tab/>
        <w:t>15.</w:t>
      </w:r>
      <w:r>
        <w:tab/>
        <w:t xml:space="preserve">After his telephone discussion with the </w:t>
      </w:r>
      <w:r w:rsidR="00A40FFA">
        <w:t>DLC</w:t>
      </w:r>
      <w:r>
        <w:t xml:space="preserve"> representative, following his receipt of the 10-day shutoff notice on May 17, 2008, it was Mr. Oakes</w:t>
      </w:r>
      <w:r w:rsidR="00F36465">
        <w:t>’</w:t>
      </w:r>
      <w:r>
        <w:t xml:space="preserve"> understand</w:t>
      </w:r>
      <w:r w:rsidR="001C7415">
        <w:t>ing that</w:t>
      </w:r>
      <w:r w:rsidR="00244D0A">
        <w:t xml:space="preserve">: </w:t>
      </w:r>
      <w:r w:rsidR="001C7415">
        <w:t xml:space="preserve"> the Laketon Road property electric account was delinquent by a couple of months</w:t>
      </w:r>
      <w:r w:rsidR="00244D0A">
        <w:t>;</w:t>
      </w:r>
      <w:r w:rsidR="001C7415">
        <w:t xml:space="preserve"> there was a balance owed of over $400.00 on that account</w:t>
      </w:r>
      <w:r w:rsidR="00244D0A">
        <w:t>;</w:t>
      </w:r>
      <w:r w:rsidR="001C7415">
        <w:t xml:space="preserve"> and he </w:t>
      </w:r>
      <w:r w:rsidR="00F36465">
        <w:t>was</w:t>
      </w:r>
      <w:r w:rsidR="001C7415">
        <w:t xml:space="preserve"> trying to have </w:t>
      </w:r>
      <w:r w:rsidR="00A40FFA">
        <w:t>DLC</w:t>
      </w:r>
      <w:r w:rsidR="001C7415">
        <w:t xml:space="preserve"> terminate service to the Laketon Road property if the account c</w:t>
      </w:r>
      <w:r w:rsidR="00F36465">
        <w:t xml:space="preserve">ould </w:t>
      </w:r>
      <w:r w:rsidR="001C7415">
        <w:t>not be placed in the name of Ms. Cain (Tr. 13</w:t>
      </w:r>
      <w:r w:rsidR="00FA14FD">
        <w:t>, 19-20</w:t>
      </w:r>
      <w:r w:rsidR="001C7415">
        <w:t>).</w:t>
      </w:r>
    </w:p>
    <w:p w:rsidR="001C7415" w:rsidRDefault="001C7415" w:rsidP="004928CA">
      <w:pPr>
        <w:spacing w:line="360" w:lineRule="auto"/>
      </w:pPr>
    </w:p>
    <w:p w:rsidR="00165D45" w:rsidRDefault="001C7415" w:rsidP="004928CA">
      <w:pPr>
        <w:spacing w:line="360" w:lineRule="auto"/>
      </w:pPr>
      <w:r>
        <w:tab/>
      </w:r>
      <w:r>
        <w:tab/>
        <w:t>16.</w:t>
      </w:r>
      <w:r>
        <w:tab/>
      </w:r>
      <w:r w:rsidR="00F36465">
        <w:t>On a</w:t>
      </w:r>
      <w:r>
        <w:t>pproximately June 2, 2008, Mr. Oakes receive</w:t>
      </w:r>
      <w:r w:rsidR="00F36465">
        <w:t>d</w:t>
      </w:r>
      <w:r>
        <w:t xml:space="preserve"> a notice from </w:t>
      </w:r>
      <w:r w:rsidR="00A40FFA">
        <w:t>DLC</w:t>
      </w:r>
      <w:r>
        <w:t xml:space="preserve"> pertaining to his recent complaint filed with the Commission.  </w:t>
      </w:r>
      <w:r w:rsidR="001D0156">
        <w:t>Mr. Oakes did not file a complaint with the Commission in June of 2008.  His complaint was not filed until August or September of 2008</w:t>
      </w:r>
      <w:r w:rsidR="001D0156">
        <w:rPr>
          <w:rStyle w:val="FootnoteReference"/>
        </w:rPr>
        <w:footnoteReference w:id="3"/>
      </w:r>
      <w:r w:rsidR="001D0156">
        <w:t xml:space="preserve"> (Tr. 13-14).</w:t>
      </w:r>
    </w:p>
    <w:p w:rsidR="001D0156" w:rsidRDefault="001D0156" w:rsidP="004928CA">
      <w:pPr>
        <w:spacing w:line="360" w:lineRule="auto"/>
      </w:pPr>
    </w:p>
    <w:p w:rsidR="001D0156" w:rsidRDefault="001D0156" w:rsidP="004928CA">
      <w:pPr>
        <w:spacing w:line="360" w:lineRule="auto"/>
      </w:pPr>
      <w:r>
        <w:tab/>
      </w:r>
      <w:r>
        <w:tab/>
        <w:t>17.</w:t>
      </w:r>
      <w:r>
        <w:tab/>
        <w:t xml:space="preserve">Mr. Oakes tried to inquire about the complaint filed in June 2008, but was told that since it had been </w:t>
      </w:r>
      <w:r w:rsidR="00F91528">
        <w:t>filed by Satara Cain, he did not have the right to know what it was about (Tr. 14).</w:t>
      </w:r>
    </w:p>
    <w:p w:rsidR="00F91528" w:rsidRDefault="00F91528" w:rsidP="004928CA">
      <w:pPr>
        <w:spacing w:line="360" w:lineRule="auto"/>
      </w:pPr>
    </w:p>
    <w:p w:rsidR="00F91528" w:rsidRDefault="00F91528" w:rsidP="004928CA">
      <w:pPr>
        <w:spacing w:line="360" w:lineRule="auto"/>
      </w:pPr>
      <w:r>
        <w:tab/>
      </w:r>
      <w:r>
        <w:tab/>
        <w:t>18.</w:t>
      </w:r>
      <w:r>
        <w:tab/>
        <w:t>Mr. Oakes later received something in the mail directing Ms. Cain to pay $72.46, by a certain date, which he thinks Ms. Cain did pay (Tr. 14).</w:t>
      </w:r>
    </w:p>
    <w:p w:rsidR="00F91528" w:rsidRDefault="00F91528" w:rsidP="004928CA">
      <w:pPr>
        <w:spacing w:line="360" w:lineRule="auto"/>
      </w:pPr>
    </w:p>
    <w:p w:rsidR="00F91528" w:rsidRDefault="00F91528" w:rsidP="004928CA">
      <w:pPr>
        <w:spacing w:line="360" w:lineRule="auto"/>
      </w:pPr>
      <w:r>
        <w:tab/>
      </w:r>
      <w:r>
        <w:tab/>
        <w:t>19.</w:t>
      </w:r>
      <w:r>
        <w:tab/>
        <w:t>Mr. Oakes understands that he is the ratepayer for the electric service furnished to the Laketon Road property, and that the bill is in his name.  He did not file any complaint with the Commission in June of 2008</w:t>
      </w:r>
      <w:r w:rsidR="00B91F8B">
        <w:t>, and question</w:t>
      </w:r>
      <w:r w:rsidR="00F36465">
        <w:t>ed</w:t>
      </w:r>
      <w:r w:rsidR="00B91F8B">
        <w:t xml:space="preserve"> Ms. Cain’s right to file a complaint pertaining to the Laketon Road property electric account (Tr. 14-15).</w:t>
      </w:r>
    </w:p>
    <w:p w:rsidR="00B91F8B" w:rsidRDefault="00B91F8B" w:rsidP="004928CA">
      <w:pPr>
        <w:spacing w:line="360" w:lineRule="auto"/>
      </w:pPr>
    </w:p>
    <w:p w:rsidR="00B91F8B" w:rsidRDefault="00B91F8B" w:rsidP="00B91F8B">
      <w:pPr>
        <w:spacing w:line="360" w:lineRule="auto"/>
      </w:pPr>
      <w:r>
        <w:lastRenderedPageBreak/>
        <w:tab/>
      </w:r>
      <w:r>
        <w:tab/>
        <w:t>20.</w:t>
      </w:r>
      <w:r>
        <w:tab/>
      </w:r>
      <w:r w:rsidR="00E01075">
        <w:t>It is Mr. Oakes’ understanding that the issue involved with Ms. Cain’s complaint with the Commission pertained to her having an old delinquent account transferred to her at the Laketon Road property, and then having the bills for service to that property put in her name (Tr. 13-15).</w:t>
      </w:r>
    </w:p>
    <w:p w:rsidR="00786A70" w:rsidRDefault="00786A70" w:rsidP="00B91F8B">
      <w:pPr>
        <w:spacing w:line="360" w:lineRule="auto"/>
      </w:pPr>
    </w:p>
    <w:p w:rsidR="00786A70" w:rsidRDefault="00786A70" w:rsidP="00B91F8B">
      <w:pPr>
        <w:spacing w:line="360" w:lineRule="auto"/>
      </w:pPr>
      <w:r>
        <w:tab/>
      </w:r>
      <w:r>
        <w:tab/>
        <w:t>21.</w:t>
      </w:r>
      <w:r>
        <w:tab/>
      </w:r>
      <w:r w:rsidR="00E01075">
        <w:t xml:space="preserve">It is Mr. Oakes’ position that since the ratepayer did not file any complaint with the Commission in June of 2008, </w:t>
      </w:r>
      <w:r w:rsidR="00A40FFA">
        <w:t>DLC</w:t>
      </w:r>
      <w:r w:rsidR="00E01075">
        <w:t xml:space="preserve"> should have proceed</w:t>
      </w:r>
      <w:r w:rsidR="00F36465">
        <w:t xml:space="preserve">ed </w:t>
      </w:r>
      <w:r w:rsidR="00E01075">
        <w:t>with termination of service to that property for non-payment of the bills (Tr. 15-19).</w:t>
      </w:r>
    </w:p>
    <w:p w:rsidR="00786A70" w:rsidRDefault="00786A70" w:rsidP="00B91F8B">
      <w:pPr>
        <w:spacing w:line="360" w:lineRule="auto"/>
      </w:pPr>
    </w:p>
    <w:p w:rsidR="00786A70" w:rsidRDefault="00786A70" w:rsidP="00B91F8B">
      <w:pPr>
        <w:spacing w:line="360" w:lineRule="auto"/>
      </w:pPr>
      <w:r>
        <w:tab/>
      </w:r>
      <w:r>
        <w:tab/>
        <w:t>2</w:t>
      </w:r>
      <w:r w:rsidR="00E01075">
        <w:t>2</w:t>
      </w:r>
      <w:r>
        <w:t>.</w:t>
      </w:r>
      <w:r>
        <w:tab/>
        <w:t xml:space="preserve">At an unspecified date, Mr. Oakes was informed by Ms. Cain that she would be vacating the Laketon Road property in November of 2008. </w:t>
      </w:r>
      <w:r w:rsidR="00E01075">
        <w:t xml:space="preserve"> According to Mr. Oakes he was </w:t>
      </w:r>
      <w:r>
        <w:t>led</w:t>
      </w:r>
      <w:r w:rsidR="00E01075">
        <w:t xml:space="preserve"> by Ms. Cain to believe that her PUC complaint was finalized.  He understood this to mean that she would be responsible for the balance of the bill for the Laketon Road property when she moved into her new address (Tr. 19).</w:t>
      </w:r>
    </w:p>
    <w:p w:rsidR="00E01075" w:rsidRDefault="00E01075" w:rsidP="00B91F8B">
      <w:pPr>
        <w:spacing w:line="360" w:lineRule="auto"/>
      </w:pPr>
    </w:p>
    <w:p w:rsidR="00E01075" w:rsidRDefault="00E01075" w:rsidP="00B91F8B">
      <w:pPr>
        <w:spacing w:line="360" w:lineRule="auto"/>
      </w:pPr>
      <w:r>
        <w:tab/>
      </w:r>
      <w:r>
        <w:tab/>
        <w:t>23.</w:t>
      </w:r>
      <w:r>
        <w:tab/>
        <w:t xml:space="preserve">He contacted </w:t>
      </w:r>
      <w:r w:rsidR="00A40FFA">
        <w:t>DLC</w:t>
      </w:r>
      <w:r>
        <w:t xml:space="preserve"> to confirm his understanding </w:t>
      </w:r>
      <w:r w:rsidR="001D5547">
        <w:t>and was informed that the electric account</w:t>
      </w:r>
      <w:r w:rsidR="00CC7B62">
        <w:t xml:space="preserve"> for the Laketon Road property</w:t>
      </w:r>
      <w:r w:rsidR="001D5547">
        <w:t xml:space="preserve"> was not being transferred to Ms. Cain</w:t>
      </w:r>
      <w:r w:rsidR="00CC7B62">
        <w:t xml:space="preserve">.  He was further informed that the Laketon Road property electric service account was his and that he had accepted the charges, and that he had given approval for </w:t>
      </w:r>
      <w:r w:rsidR="00A40FFA">
        <w:t>DLC</w:t>
      </w:r>
      <w:r w:rsidR="00CC7B62">
        <w:t xml:space="preserve"> to di</w:t>
      </w:r>
      <w:r w:rsidR="00FA14FD">
        <w:t>scuss the account with Ms.</w:t>
      </w:r>
      <w:r w:rsidR="000F7542">
        <w:t> </w:t>
      </w:r>
      <w:r w:rsidR="00FA14FD">
        <w:t>Cain (Tr. 19).</w:t>
      </w:r>
    </w:p>
    <w:p w:rsidR="00301B5E" w:rsidRDefault="00301B5E" w:rsidP="00B91F8B">
      <w:pPr>
        <w:spacing w:line="360" w:lineRule="auto"/>
      </w:pPr>
    </w:p>
    <w:p w:rsidR="00301B5E" w:rsidRDefault="0071382D" w:rsidP="00B91F8B">
      <w:pPr>
        <w:spacing w:line="360" w:lineRule="auto"/>
      </w:pPr>
      <w:r>
        <w:tab/>
      </w:r>
      <w:r>
        <w:tab/>
        <w:t>24.</w:t>
      </w:r>
      <w:r>
        <w:tab/>
      </w:r>
      <w:r w:rsidR="00A40FFA">
        <w:t>DLC</w:t>
      </w:r>
      <w:r>
        <w:t xml:space="preserve"> maintains computerized records of residential customer service accounts.  Two computer programs are used for customer records.  One is called “DISCUS”, and the other is called “CACS</w:t>
      </w:r>
      <w:r w:rsidR="000F7542">
        <w:t>.</w:t>
      </w:r>
      <w:r>
        <w:t xml:space="preserve">”  The DISCUS </w:t>
      </w:r>
      <w:r w:rsidR="00150FB9">
        <w:t>program includes</w:t>
      </w:r>
      <w:r>
        <w:t xml:space="preserve"> anything that is related to customer accounts.  The CACS </w:t>
      </w:r>
      <w:r w:rsidR="00150FB9">
        <w:t>program pertains</w:t>
      </w:r>
      <w:r>
        <w:t xml:space="preserve"> to accounts that are “in termination” (Tr. 28).</w:t>
      </w:r>
    </w:p>
    <w:p w:rsidR="00EC5E67" w:rsidRDefault="00EC5E67" w:rsidP="00B91F8B">
      <w:pPr>
        <w:spacing w:line="360" w:lineRule="auto"/>
      </w:pPr>
    </w:p>
    <w:p w:rsidR="00EC5E67" w:rsidRDefault="00EC5E67" w:rsidP="00B91F8B">
      <w:pPr>
        <w:spacing w:line="360" w:lineRule="auto"/>
      </w:pPr>
      <w:r>
        <w:tab/>
      </w:r>
      <w:r>
        <w:tab/>
        <w:t>25.</w:t>
      </w:r>
      <w:r>
        <w:tab/>
        <w:t xml:space="preserve">When a customer calls </w:t>
      </w:r>
      <w:r w:rsidR="00A40FFA">
        <w:t>DLC</w:t>
      </w:r>
      <w:r>
        <w:t xml:space="preserve"> a customer service representative accesses the customer’s computerized account.  Any conversation between the customer and the service representative is typed into the computer during the conversation and becomes a permanent record on the customer’s account (Tr. 29).</w:t>
      </w:r>
    </w:p>
    <w:p w:rsidR="00EC5E67" w:rsidRDefault="00EC5E67" w:rsidP="00B91F8B">
      <w:pPr>
        <w:spacing w:line="360" w:lineRule="auto"/>
      </w:pPr>
    </w:p>
    <w:p w:rsidR="00EC5E67" w:rsidRDefault="00EC5E67" w:rsidP="00B91F8B">
      <w:pPr>
        <w:spacing w:line="360" w:lineRule="auto"/>
      </w:pPr>
      <w:r>
        <w:lastRenderedPageBreak/>
        <w:tab/>
      </w:r>
      <w:r>
        <w:tab/>
        <w:t>26.</w:t>
      </w:r>
      <w:r>
        <w:tab/>
        <w:t>The “concurrent record</w:t>
      </w:r>
      <w:r w:rsidR="00280A1E">
        <w:t>”</w:t>
      </w:r>
      <w:r>
        <w:t xml:space="preserve"> being created during the telephone conversation between the customer and the service representative cannot be changed.  In the event the customer service representative made an error during the conversation</w:t>
      </w:r>
      <w:r w:rsidR="004978E2">
        <w:t>, the only way to correct the error is for the service representative to type “correction” and then type the correct information (Tr. 29).</w:t>
      </w:r>
    </w:p>
    <w:p w:rsidR="004978E2" w:rsidRDefault="004978E2" w:rsidP="00B91F8B">
      <w:pPr>
        <w:spacing w:line="360" w:lineRule="auto"/>
      </w:pPr>
    </w:p>
    <w:p w:rsidR="004978E2" w:rsidRDefault="004978E2" w:rsidP="00B91F8B">
      <w:pPr>
        <w:spacing w:line="360" w:lineRule="auto"/>
      </w:pPr>
      <w:r>
        <w:tab/>
      </w:r>
      <w:r>
        <w:tab/>
        <w:t>27.</w:t>
      </w:r>
      <w:r>
        <w:tab/>
        <w:t>If a customer’s account is delinquent, the computer records would indicate if any termination notices have been sent, or if the service has been shut off for non-payment (Tr. 29-30).</w:t>
      </w:r>
    </w:p>
    <w:p w:rsidR="00986343" w:rsidRDefault="00986343" w:rsidP="00B91F8B">
      <w:pPr>
        <w:spacing w:line="360" w:lineRule="auto"/>
      </w:pPr>
    </w:p>
    <w:p w:rsidR="00986343" w:rsidRDefault="00986343" w:rsidP="00B91F8B">
      <w:pPr>
        <w:spacing w:line="360" w:lineRule="auto"/>
      </w:pPr>
      <w:r>
        <w:tab/>
      </w:r>
      <w:r>
        <w:tab/>
        <w:t>28.</w:t>
      </w:r>
      <w:r>
        <w:tab/>
        <w:t xml:space="preserve">Before </w:t>
      </w:r>
      <w:r w:rsidR="00A40FFA">
        <w:t>DLC</w:t>
      </w:r>
      <w:r>
        <w:t xml:space="preserve"> terminates service, a 10-day termination is sent.  </w:t>
      </w:r>
      <w:r w:rsidR="00A40FFA">
        <w:t>DLC</w:t>
      </w:r>
      <w:r>
        <w:t xml:space="preserve"> also attempts to provide two (2) 72-hour termination notices, usually by telephone call.  If payments are not made, or the payment agreement not satisfied, the electric service is terminated (Tr. 30).</w:t>
      </w:r>
    </w:p>
    <w:p w:rsidR="00986343" w:rsidRDefault="00986343" w:rsidP="00B91F8B">
      <w:pPr>
        <w:spacing w:line="360" w:lineRule="auto"/>
      </w:pPr>
    </w:p>
    <w:p w:rsidR="006233CF" w:rsidRDefault="00986343" w:rsidP="00B91F8B">
      <w:pPr>
        <w:spacing w:line="360" w:lineRule="auto"/>
      </w:pPr>
      <w:r>
        <w:tab/>
      </w:r>
      <w:r>
        <w:tab/>
        <w:t>29.</w:t>
      </w:r>
      <w:r>
        <w:tab/>
      </w:r>
      <w:r w:rsidR="00A40FFA">
        <w:t>DLC</w:t>
      </w:r>
      <w:r w:rsidR="006233CF">
        <w:t xml:space="preserve"> Exhibit 1 is a printout of its computerized customer account records from its CACS program</w:t>
      </w:r>
      <w:r w:rsidR="00244D0A">
        <w:t>.  It</w:t>
      </w:r>
      <w:r w:rsidR="006233CF">
        <w:t xml:space="preserve"> shows any collection action taken on accounts in the name of Mr.</w:t>
      </w:r>
      <w:r w:rsidR="002F671E">
        <w:t> </w:t>
      </w:r>
      <w:r w:rsidR="006233CF">
        <w:t xml:space="preserve">Oakes and any conversations that took place (Tr. 31; </w:t>
      </w:r>
      <w:r w:rsidR="00A40FFA">
        <w:t>DLC</w:t>
      </w:r>
      <w:r w:rsidR="006233CF">
        <w:t xml:space="preserve"> Ex. 1).</w:t>
      </w:r>
    </w:p>
    <w:p w:rsidR="006233CF" w:rsidRDefault="006233CF" w:rsidP="00B91F8B">
      <w:pPr>
        <w:spacing w:line="360" w:lineRule="auto"/>
      </w:pPr>
    </w:p>
    <w:p w:rsidR="006233CF" w:rsidRDefault="006233CF" w:rsidP="00B91F8B">
      <w:pPr>
        <w:spacing w:line="360" w:lineRule="auto"/>
      </w:pPr>
      <w:r>
        <w:tab/>
      </w:r>
      <w:r>
        <w:tab/>
        <w:t>30.</w:t>
      </w:r>
      <w:r>
        <w:tab/>
      </w:r>
      <w:r w:rsidR="00A40FFA">
        <w:t>DLC</w:t>
      </w:r>
      <w:r>
        <w:t xml:space="preserve"> Exhibit 2 is a printout </w:t>
      </w:r>
      <w:r w:rsidR="007300DF">
        <w:t>o</w:t>
      </w:r>
      <w:r>
        <w:t>f its computerized customer accounts from its DISCUS program</w:t>
      </w:r>
      <w:r w:rsidR="00A40FFA">
        <w:t xml:space="preserve"> and includes conversations that took place with Mr. Oakes (Tr. 31-32; DLC Ex. 2).</w:t>
      </w:r>
    </w:p>
    <w:p w:rsidR="00AB4673" w:rsidRDefault="00AB4673" w:rsidP="00B91F8B">
      <w:pPr>
        <w:spacing w:line="360" w:lineRule="auto"/>
      </w:pPr>
    </w:p>
    <w:p w:rsidR="00AB4673" w:rsidRDefault="00D823F6" w:rsidP="00B91F8B">
      <w:pPr>
        <w:spacing w:line="360" w:lineRule="auto"/>
      </w:pPr>
      <w:r>
        <w:tab/>
      </w:r>
      <w:r>
        <w:tab/>
        <w:t>31.</w:t>
      </w:r>
      <w:r>
        <w:tab/>
        <w:t>DLC’s records indicate that Mr. Oakes first contacted DLC about the electric service to the Laketon Road property being in the name of Ms. Cain on October 30, 2007.  At that time, the service representative informed him that Ms. Cain had not yet contacted DLC to have the service placed in her name.  Mr. Oakes indicated that he would speak to Ms.</w:t>
      </w:r>
      <w:r w:rsidR="002F671E">
        <w:t> </w:t>
      </w:r>
      <w:r>
        <w:t>Cain and indicated he was satisfied with the results of the conversation (Tr. 36; DLC Ex. 2, at 1).</w:t>
      </w:r>
    </w:p>
    <w:p w:rsidR="00D823F6" w:rsidRDefault="00D823F6" w:rsidP="00B91F8B">
      <w:pPr>
        <w:spacing w:line="360" w:lineRule="auto"/>
      </w:pPr>
    </w:p>
    <w:p w:rsidR="00D823F6" w:rsidRDefault="00D823F6" w:rsidP="00D823F6">
      <w:pPr>
        <w:spacing w:line="360" w:lineRule="auto"/>
      </w:pPr>
      <w:r>
        <w:tab/>
      </w:r>
      <w:r>
        <w:tab/>
        <w:t>32.</w:t>
      </w:r>
      <w:r>
        <w:tab/>
        <w:t xml:space="preserve">Ms. Cain contacted DLC, also on October 30, 2007, to have the electric service to the Laketon Road property placed in her name.  She was advised to pay </w:t>
      </w:r>
      <w:r w:rsidR="009B110D">
        <w:t xml:space="preserve">the amount of </w:t>
      </w:r>
      <w:r w:rsidR="009B110D">
        <w:lastRenderedPageBreak/>
        <w:t>an unpaid prior balance and a security deposit to have the service at the Laketon Road property placed in her name (Tr. 36).</w:t>
      </w:r>
    </w:p>
    <w:p w:rsidR="009B110D" w:rsidRDefault="009B110D" w:rsidP="00D823F6">
      <w:pPr>
        <w:spacing w:line="360" w:lineRule="auto"/>
      </w:pPr>
    </w:p>
    <w:p w:rsidR="009B110D" w:rsidRDefault="009B110D" w:rsidP="00D823F6">
      <w:pPr>
        <w:spacing w:line="360" w:lineRule="auto"/>
      </w:pPr>
      <w:r>
        <w:tab/>
      </w:r>
      <w:r>
        <w:tab/>
        <w:t>33.</w:t>
      </w:r>
      <w:r>
        <w:tab/>
        <w:t>Ms. Cain made no arrangements during that conversation to pay the prior balance or the security deposit.  At the end of the conversation, the electric service was still in the name of Mr. Oakes (Tr. 36-37).</w:t>
      </w:r>
    </w:p>
    <w:p w:rsidR="009B110D" w:rsidRDefault="009B110D" w:rsidP="00D823F6">
      <w:pPr>
        <w:spacing w:line="360" w:lineRule="auto"/>
      </w:pPr>
    </w:p>
    <w:p w:rsidR="009B110D" w:rsidRDefault="009B110D" w:rsidP="00D823F6">
      <w:pPr>
        <w:spacing w:line="360" w:lineRule="auto"/>
      </w:pPr>
      <w:r>
        <w:tab/>
      </w:r>
      <w:r>
        <w:tab/>
        <w:t>34.</w:t>
      </w:r>
      <w:r>
        <w:tab/>
        <w:t xml:space="preserve">Mr. Oakes’ next contact with DLC concerning the electric service to the Laketon Road property was on </w:t>
      </w:r>
      <w:r w:rsidR="00351775">
        <w:t>May 15</w:t>
      </w:r>
      <w:r w:rsidR="00933B61">
        <w:t xml:space="preserve">, 2008, when he contacted DLC and learned that the electric service for the Laketon Road property had not been placed in Ms. Cain’s name.  DLC’s records indicate that Mr. Oakes informed the service representative that Ms. Cain could discuss anything pertaining to this account, and that the service representative informed Mr. Oakes that this would permit Ms. Cain to negotiate </w:t>
      </w:r>
      <w:r w:rsidR="00F746C4">
        <w:t xml:space="preserve">a </w:t>
      </w:r>
      <w:r w:rsidR="00933B61">
        <w:t>payment arrangement (Tr. 37</w:t>
      </w:r>
      <w:r w:rsidR="00E77DB1">
        <w:t>; DLC Exs. 1</w:t>
      </w:r>
      <w:r w:rsidR="00F746C4">
        <w:t>,</w:t>
      </w:r>
      <w:r w:rsidR="00E77DB1">
        <w:t xml:space="preserve"> at 1, and 2</w:t>
      </w:r>
      <w:r w:rsidR="00F746C4">
        <w:t>,</w:t>
      </w:r>
      <w:r w:rsidR="00E77DB1">
        <w:t xml:space="preserve"> at 4).</w:t>
      </w:r>
    </w:p>
    <w:p w:rsidR="00E77DB1" w:rsidRDefault="00E77DB1" w:rsidP="00D823F6">
      <w:pPr>
        <w:spacing w:line="360" w:lineRule="auto"/>
      </w:pPr>
    </w:p>
    <w:p w:rsidR="00E77DB1" w:rsidRDefault="00C55B40" w:rsidP="00D823F6">
      <w:pPr>
        <w:spacing w:line="360" w:lineRule="auto"/>
      </w:pPr>
      <w:r>
        <w:tab/>
      </w:r>
      <w:r>
        <w:tab/>
        <w:t>35.</w:t>
      </w:r>
      <w:r>
        <w:tab/>
        <w:t xml:space="preserve">During the telephone conversation of May 15, 2008, DLC’s service representative informed Mr. Oakes that he could authorize termination of service to the Laketon Road property, and DLC would then post the property with a 72-hour shutoff notice for using electric service without a contract (Tr. </w:t>
      </w:r>
      <w:r w:rsidR="006C5A29">
        <w:t>38-39; DLC Ex. 1, at 1).</w:t>
      </w:r>
    </w:p>
    <w:p w:rsidR="006C5A29" w:rsidRDefault="006C5A29" w:rsidP="00D823F6">
      <w:pPr>
        <w:spacing w:line="360" w:lineRule="auto"/>
      </w:pPr>
    </w:p>
    <w:p w:rsidR="006C5A29" w:rsidRDefault="006C5A29" w:rsidP="00D823F6">
      <w:pPr>
        <w:spacing w:line="360" w:lineRule="auto"/>
      </w:pPr>
      <w:r>
        <w:tab/>
      </w:r>
      <w:r>
        <w:tab/>
        <w:t>36.</w:t>
      </w:r>
      <w:r>
        <w:tab/>
        <w:t>DLC’s records indicate that during the May 15, 2008 conversation, Mr.</w:t>
      </w:r>
      <w:r w:rsidR="00F746C4">
        <w:t> O</w:t>
      </w:r>
      <w:r>
        <w:t>akes indicated he was aware that he could terminate the electric service to the Laketon Road property, but he wanted DLC to proceed with the termination process.  The records also indicate Mr. Oakes understood that Ms. Cain was then authorized to negotiate payment arrangements on the Laketon Road property electric account, and he understood he was still responsible for the bill (Tr. 40</w:t>
      </w:r>
      <w:r w:rsidR="00D87418">
        <w:t>-41; DLC Ex. 1, at 1).</w:t>
      </w:r>
    </w:p>
    <w:p w:rsidR="00D87418" w:rsidRDefault="00D87418" w:rsidP="00D823F6">
      <w:pPr>
        <w:spacing w:line="360" w:lineRule="auto"/>
      </w:pPr>
    </w:p>
    <w:p w:rsidR="00D87418" w:rsidRDefault="00D87418" w:rsidP="00D823F6">
      <w:pPr>
        <w:spacing w:line="360" w:lineRule="auto"/>
      </w:pPr>
      <w:r>
        <w:tab/>
      </w:r>
      <w:r>
        <w:tab/>
      </w:r>
      <w:r w:rsidR="004D2967">
        <w:t>37.</w:t>
      </w:r>
      <w:r w:rsidR="004D2967">
        <w:tab/>
        <w:t>Because Mr. Oakes authorized Ms. Cain to discuss the electric service account for the Laketon Road property with DLC, Ms. Cain could have negotiated a payment arrangement on the account, even though she was the tenant and the account remained in the name of Mr. Oakes (Tr. 42).</w:t>
      </w:r>
    </w:p>
    <w:p w:rsidR="004D2967" w:rsidRDefault="004D2967" w:rsidP="00D823F6">
      <w:pPr>
        <w:spacing w:line="360" w:lineRule="auto"/>
      </w:pPr>
    </w:p>
    <w:p w:rsidR="004D2967" w:rsidRDefault="004D2967" w:rsidP="00D823F6">
      <w:pPr>
        <w:spacing w:line="360" w:lineRule="auto"/>
      </w:pPr>
      <w:r>
        <w:tab/>
      </w:r>
      <w:r>
        <w:tab/>
        <w:t>38.</w:t>
      </w:r>
      <w:r>
        <w:tab/>
        <w:t>On or about May 16, 2008, a written 10-day termination notice was issued by DLC.  It was mailed to 1100</w:t>
      </w:r>
      <w:r w:rsidR="00F746C4">
        <w:t xml:space="preserve"> </w:t>
      </w:r>
      <w:r>
        <w:t>Bessica Street, Pittsburgh, PA 15221, because that was the billing address in DLC’s records for the electric service account to the Laketon Road property (Tr</w:t>
      </w:r>
      <w:r w:rsidR="00150FB9">
        <w:t>.</w:t>
      </w:r>
      <w:r>
        <w:t xml:space="preserve"> 42-43</w:t>
      </w:r>
      <w:r w:rsidR="00240B9C">
        <w:t>).</w:t>
      </w:r>
    </w:p>
    <w:p w:rsidR="00240B9C" w:rsidRDefault="00240B9C" w:rsidP="00D823F6">
      <w:pPr>
        <w:spacing w:line="360" w:lineRule="auto"/>
      </w:pPr>
    </w:p>
    <w:p w:rsidR="00240B9C" w:rsidRDefault="00240B9C" w:rsidP="00D823F6">
      <w:pPr>
        <w:spacing w:line="360" w:lineRule="auto"/>
      </w:pPr>
      <w:r>
        <w:tab/>
      </w:r>
      <w:r>
        <w:tab/>
        <w:t>39.</w:t>
      </w:r>
      <w:r>
        <w:tab/>
        <w:t>On May 22, 2008, DLC made the first of the 72-hour termination notice attempt</w:t>
      </w:r>
      <w:r w:rsidR="00E441E5">
        <w:t>s</w:t>
      </w:r>
      <w:r>
        <w:t>.  On May 27, 2008, it completed the 72-hour notice by speaking with Mr. Oakes and advising him of the termination date and the “term amount</w:t>
      </w:r>
      <w:r w:rsidR="00F746C4">
        <w:t>.</w:t>
      </w:r>
      <w:r>
        <w:t>”  Mr. Oakes provided DLC with the telephone number for Ms. Cain.  DLC called that number and left a message for Ms. Cain informing her of the “term date and the term amount</w:t>
      </w:r>
      <w:r w:rsidR="007823FD">
        <w:t>.”</w:t>
      </w:r>
      <w:r w:rsidR="00C14D51">
        <w:t xml:space="preserve">  These phrases refer to the date of termination and the amount to pay to avoid termination</w:t>
      </w:r>
      <w:r w:rsidR="007823FD">
        <w:t xml:space="preserve"> (Tr. 43</w:t>
      </w:r>
      <w:r w:rsidR="00C14D51">
        <w:t>, 61)</w:t>
      </w:r>
      <w:r w:rsidR="002C0C99">
        <w:t>.</w:t>
      </w:r>
    </w:p>
    <w:p w:rsidR="002C0C99" w:rsidRDefault="002C0C99" w:rsidP="00D823F6">
      <w:pPr>
        <w:spacing w:line="360" w:lineRule="auto"/>
      </w:pPr>
    </w:p>
    <w:p w:rsidR="002C0C99" w:rsidRDefault="002C0C99" w:rsidP="00D823F6">
      <w:pPr>
        <w:spacing w:line="360" w:lineRule="auto"/>
      </w:pPr>
      <w:r>
        <w:tab/>
      </w:r>
      <w:r>
        <w:tab/>
        <w:t>40.</w:t>
      </w:r>
      <w:r>
        <w:tab/>
        <w:t>The account for the Laketon Road property was not terminated because a complaint was filed with the Commission on May 30, 2008.  Once a complaint is filed with the Commission all termination action stops until a decision is rendered by the Commission. (Tr. 43</w:t>
      </w:r>
      <w:r w:rsidR="00D65268">
        <w:t>,</w:t>
      </w:r>
      <w:r w:rsidR="0028522E">
        <w:t xml:space="preserve"> 65-67</w:t>
      </w:r>
      <w:r>
        <w:t>).</w:t>
      </w:r>
    </w:p>
    <w:p w:rsidR="00800C30" w:rsidRDefault="00800C30" w:rsidP="00D823F6">
      <w:pPr>
        <w:spacing w:line="360" w:lineRule="auto"/>
      </w:pPr>
    </w:p>
    <w:p w:rsidR="00800C30" w:rsidRDefault="00800C30" w:rsidP="00D823F6">
      <w:pPr>
        <w:spacing w:line="360" w:lineRule="auto"/>
      </w:pPr>
      <w:r>
        <w:tab/>
      </w:r>
      <w:r>
        <w:tab/>
        <w:t>41.</w:t>
      </w:r>
      <w:r>
        <w:tab/>
        <w:t>Mr. Oakes contacted DLC on June 3, 2008.  DLC advised him that Ms.</w:t>
      </w:r>
      <w:r w:rsidR="00734613">
        <w:t> </w:t>
      </w:r>
      <w:r>
        <w:t xml:space="preserve">Cain had filed a complaint with the Commission.  Mr. Oakes then scheduled an “online” payment of $80.00.  He was informed that the Commission </w:t>
      </w:r>
      <w:r w:rsidR="00E441E5">
        <w:t>would m</w:t>
      </w:r>
      <w:r>
        <w:t>ake a determination on Ms.</w:t>
      </w:r>
      <w:r w:rsidR="00734613">
        <w:t> </w:t>
      </w:r>
      <w:r>
        <w:t>Cain’s complaint (Tr. 44).</w:t>
      </w:r>
    </w:p>
    <w:p w:rsidR="002C0C99" w:rsidRDefault="002C0C99" w:rsidP="00D823F6">
      <w:pPr>
        <w:spacing w:line="360" w:lineRule="auto"/>
      </w:pPr>
    </w:p>
    <w:p w:rsidR="002C0C99" w:rsidRDefault="002C0C99" w:rsidP="00D823F6">
      <w:pPr>
        <w:spacing w:line="360" w:lineRule="auto"/>
      </w:pPr>
      <w:r>
        <w:tab/>
      </w:r>
      <w:r>
        <w:tab/>
        <w:t>4</w:t>
      </w:r>
      <w:r w:rsidR="0028522E">
        <w:t>2</w:t>
      </w:r>
      <w:r>
        <w:t>.</w:t>
      </w:r>
      <w:r>
        <w:tab/>
      </w:r>
      <w:r w:rsidR="00800C30">
        <w:t xml:space="preserve">The hold on the termination of the account was taken off on December 1, 2008.  </w:t>
      </w:r>
      <w:r>
        <w:t>A new 10-day termination notice was sent on De</w:t>
      </w:r>
      <w:r w:rsidR="00800C30">
        <w:t>cember 1, 2008 (Tr. 43-44).</w:t>
      </w:r>
    </w:p>
    <w:p w:rsidR="00800C30" w:rsidRDefault="00800C30" w:rsidP="00D823F6">
      <w:pPr>
        <w:spacing w:line="360" w:lineRule="auto"/>
      </w:pPr>
    </w:p>
    <w:p w:rsidR="00800C30" w:rsidRDefault="0028522E" w:rsidP="00D823F6">
      <w:pPr>
        <w:spacing w:line="360" w:lineRule="auto"/>
      </w:pPr>
      <w:r>
        <w:tab/>
      </w:r>
      <w:r>
        <w:tab/>
        <w:t>43</w:t>
      </w:r>
      <w:r w:rsidR="00800C30">
        <w:t>.</w:t>
      </w:r>
      <w:r w:rsidR="00800C30">
        <w:tab/>
        <w:t xml:space="preserve">On December 3, 2008, Mr. Oakes contacted DLC </w:t>
      </w:r>
      <w:r w:rsidR="00E859E3">
        <w:t>about whether the balance on the account for the Laketon Road property had been placed in Ms. Cain’s name.  Mr.</w:t>
      </w:r>
      <w:r w:rsidR="00E441E5">
        <w:t> </w:t>
      </w:r>
      <w:r w:rsidR="00E859E3">
        <w:t>Oakes was reminded of the May 15</w:t>
      </w:r>
      <w:r w:rsidR="00E859E3" w:rsidRPr="00E859E3">
        <w:rPr>
          <w:vertAlign w:val="superscript"/>
        </w:rPr>
        <w:t>th</w:t>
      </w:r>
      <w:r w:rsidR="00E859E3">
        <w:t xml:space="preserve"> conversation that he was responsible for the bills for the electric service to that property until he cancelled the account in his name.  At his request, </w:t>
      </w:r>
      <w:r w:rsidR="00E859E3">
        <w:lastRenderedPageBreak/>
        <w:t xml:space="preserve">Mr. Oakes was referred to a DLC supervisor, who reiterated the advice he had already received.  Shortly thereafter, Mr. Oakes filed the instant </w:t>
      </w:r>
      <w:r w:rsidR="00150FB9">
        <w:t>complaint (Tr</w:t>
      </w:r>
      <w:r w:rsidR="00E859E3">
        <w:t>. 44-45).</w:t>
      </w:r>
    </w:p>
    <w:p w:rsidR="00E859E3" w:rsidRDefault="00E859E3" w:rsidP="00D823F6">
      <w:pPr>
        <w:spacing w:line="360" w:lineRule="auto"/>
      </w:pPr>
    </w:p>
    <w:p w:rsidR="00E859E3" w:rsidRDefault="0028522E" w:rsidP="00D823F6">
      <w:pPr>
        <w:spacing w:line="360" w:lineRule="auto"/>
      </w:pPr>
      <w:r>
        <w:tab/>
      </w:r>
      <w:r>
        <w:tab/>
        <w:t>44</w:t>
      </w:r>
      <w:r w:rsidR="00E859E3">
        <w:t>.</w:t>
      </w:r>
      <w:r w:rsidR="00E859E3">
        <w:tab/>
        <w:t xml:space="preserve">The balance on the electric service account for the Laketon Road property is </w:t>
      </w:r>
      <w:r w:rsidR="00E945DC">
        <w:t>$816.64 (Tr. 45-46; DLC Ex. 4).</w:t>
      </w:r>
    </w:p>
    <w:p w:rsidR="00C022B2" w:rsidRDefault="00C022B2" w:rsidP="00D823F6">
      <w:pPr>
        <w:spacing w:line="360" w:lineRule="auto"/>
      </w:pPr>
    </w:p>
    <w:p w:rsidR="00C022B2" w:rsidRDefault="00C022B2" w:rsidP="00D823F6">
      <w:pPr>
        <w:spacing w:line="360" w:lineRule="auto"/>
      </w:pPr>
      <w:r>
        <w:tab/>
      </w:r>
      <w:r>
        <w:tab/>
        <w:t>4</w:t>
      </w:r>
      <w:r w:rsidR="0028522E">
        <w:t>5</w:t>
      </w:r>
      <w:r>
        <w:t>.</w:t>
      </w:r>
      <w:r>
        <w:tab/>
        <w:t xml:space="preserve">At no time during his contacts with DLC was Mr. Oakes informed that Ms. Cain would be unable to have the account for the Laketon Road property placed in her name because of a prior </w:t>
      </w:r>
      <w:r w:rsidR="00C14D51">
        <w:t>delinquent account.  DLC would not have told that to Mr. Oakes because that information was personal to Ms. Cain and would not have been disclosed to anyone without her authorization</w:t>
      </w:r>
      <w:r w:rsidR="0028522E">
        <w:t xml:space="preserve"> (Tr</w:t>
      </w:r>
      <w:r w:rsidR="00150FB9">
        <w:t>.</w:t>
      </w:r>
      <w:r w:rsidR="0028522E">
        <w:t xml:space="preserve"> 59-60).</w:t>
      </w:r>
    </w:p>
    <w:p w:rsidR="0028522E" w:rsidRDefault="0028522E" w:rsidP="00D823F6">
      <w:pPr>
        <w:spacing w:line="360" w:lineRule="auto"/>
      </w:pPr>
    </w:p>
    <w:p w:rsidR="0028522E" w:rsidRDefault="0028522E" w:rsidP="00D823F6">
      <w:pPr>
        <w:spacing w:line="360" w:lineRule="auto"/>
      </w:pPr>
      <w:r>
        <w:tab/>
      </w:r>
      <w:r>
        <w:tab/>
        <w:t>46.</w:t>
      </w:r>
      <w:r>
        <w:tab/>
        <w:t>During the pendency of Ms. Cain’s complaint to the Commissi</w:t>
      </w:r>
      <w:r w:rsidR="00F01B0E">
        <w:t>on, Mr.</w:t>
      </w:r>
      <w:r w:rsidR="00E441E5">
        <w:t> </w:t>
      </w:r>
      <w:r w:rsidR="00F01B0E">
        <w:t>Oakes continued to be charged and billed for the electric service to the Laketon Road property and remained responsible for the payment for the electric service furnished to that property (Tr. 65-68).</w:t>
      </w:r>
    </w:p>
    <w:p w:rsidR="0028522E" w:rsidRDefault="0028522E" w:rsidP="00D823F6">
      <w:pPr>
        <w:spacing w:line="360" w:lineRule="auto"/>
      </w:pPr>
    </w:p>
    <w:p w:rsidR="0028522E" w:rsidRDefault="0028522E" w:rsidP="00D823F6">
      <w:pPr>
        <w:spacing w:line="360" w:lineRule="auto"/>
      </w:pPr>
      <w:r>
        <w:tab/>
      </w:r>
      <w:r>
        <w:tab/>
      </w:r>
      <w:r w:rsidR="00F01B0E">
        <w:t>47</w:t>
      </w:r>
      <w:r>
        <w:t>.</w:t>
      </w:r>
      <w:r>
        <w:tab/>
        <w:t>Neither Mr. Oakes nor Ms. Cain entered into any</w:t>
      </w:r>
      <w:r w:rsidR="00F01B0E">
        <w:t xml:space="preserve"> payment arrangement with DLC with respect to the electric service account for the Laketon Road property (Tr. 63-68).</w:t>
      </w:r>
    </w:p>
    <w:p w:rsidR="001E4639" w:rsidRDefault="001E4639" w:rsidP="00D823F6">
      <w:pPr>
        <w:spacing w:line="360" w:lineRule="auto"/>
      </w:pPr>
    </w:p>
    <w:p w:rsidR="001E4639" w:rsidRDefault="001E4639" w:rsidP="00D823F6">
      <w:pPr>
        <w:spacing w:line="360" w:lineRule="auto"/>
      </w:pPr>
      <w:r>
        <w:tab/>
      </w:r>
      <w:r>
        <w:tab/>
        <w:t>48.</w:t>
      </w:r>
      <w:r>
        <w:tab/>
        <w:t xml:space="preserve">During the </w:t>
      </w:r>
      <w:r w:rsidR="00150FB9">
        <w:t>pendency</w:t>
      </w:r>
      <w:r>
        <w:t xml:space="preserve"> of Ms. Cain’s complaint to the Commission, three payments were made on the Laketon Road property electric service account:  $80.00 on June 4, 2008; $60.00 on August 27, 2008; and $80.00 on September 16, 2008</w:t>
      </w:r>
      <w:r w:rsidR="007D143A">
        <w:t xml:space="preserve"> (Tr. 65-66; DLC Ex. 4).</w:t>
      </w:r>
    </w:p>
    <w:p w:rsidR="007D143A" w:rsidRDefault="007D143A" w:rsidP="00D823F6">
      <w:pPr>
        <w:spacing w:line="360" w:lineRule="auto"/>
      </w:pPr>
    </w:p>
    <w:p w:rsidR="007D143A" w:rsidRDefault="007D143A" w:rsidP="007D143A">
      <w:pPr>
        <w:spacing w:line="360" w:lineRule="auto"/>
        <w:jc w:val="center"/>
      </w:pPr>
      <w:r>
        <w:rPr>
          <w:u w:val="single"/>
        </w:rPr>
        <w:t>DISCUSSION</w:t>
      </w:r>
    </w:p>
    <w:p w:rsidR="007D143A" w:rsidRDefault="007D143A" w:rsidP="007D143A">
      <w:pPr>
        <w:spacing w:line="360" w:lineRule="auto"/>
      </w:pPr>
    </w:p>
    <w:p w:rsidR="007D143A" w:rsidRPr="00F81039" w:rsidRDefault="007D143A" w:rsidP="00B95EA7">
      <w:pPr>
        <w:spacing w:line="360" w:lineRule="auto"/>
        <w:ind w:firstLine="1440"/>
        <w:rPr>
          <w:rFonts w:eastAsia="Calibri" w:cs="Times New Roman"/>
        </w:rPr>
      </w:pPr>
      <w:r w:rsidRPr="00F81039">
        <w:rPr>
          <w:rFonts w:eastAsia="Calibri" w:cs="Times New Roman"/>
        </w:rPr>
        <w:t xml:space="preserve">Section 701 of the Public Utility </w:t>
      </w:r>
      <w:r w:rsidR="00EF7465">
        <w:rPr>
          <w:rFonts w:eastAsia="Calibri" w:cs="Times New Roman"/>
        </w:rPr>
        <w:t>C</w:t>
      </w:r>
      <w:r w:rsidRPr="00F81039">
        <w:rPr>
          <w:rFonts w:eastAsia="Calibri" w:cs="Times New Roman"/>
        </w:rPr>
        <w:t xml:space="preserve">ode (Code), 66 Pa. C.S. §701, provides that any person may complain, in writing, about any act or thing done or omitted to be done by a public utility in violation, or claimed violation, of any law which the Commission has the jurisdiction to administer, or of any regulation or order of the Commission.  Section 332(a) of the Code, 66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w:t>
      </w:r>
      <w:r w:rsidRPr="00F81039">
        <w:rPr>
          <w:rFonts w:eastAsia="Calibri" w:cs="Times New Roman"/>
        </w:rPr>
        <w:lastRenderedPageBreak/>
        <w:t>C.S. §332(a), provides that the party seeking affirmative relief from the Commi</w:t>
      </w:r>
      <w:r>
        <w:rPr>
          <w:rFonts w:eastAsia="Calibri" w:cs="Times New Roman"/>
        </w:rPr>
        <w:t>ssion has the burden of proof.</w:t>
      </w:r>
    </w:p>
    <w:p w:rsidR="007D143A" w:rsidRPr="00F81039" w:rsidRDefault="007D143A" w:rsidP="00B95EA7">
      <w:pPr>
        <w:spacing w:line="360" w:lineRule="auto"/>
        <w:ind w:firstLine="1440"/>
        <w:rPr>
          <w:rFonts w:eastAsia="Calibri" w:cs="Times New Roman"/>
        </w:rPr>
      </w:pPr>
    </w:p>
    <w:p w:rsidR="007D143A" w:rsidRPr="00F81039" w:rsidRDefault="007D143A" w:rsidP="00B95EA7">
      <w:pPr>
        <w:spacing w:line="360" w:lineRule="auto"/>
        <w:ind w:firstLine="1440"/>
        <w:rPr>
          <w:rFonts w:eastAsia="Calibri" w:cs="Times New Roman"/>
        </w:rPr>
      </w:pPr>
      <w:r w:rsidRPr="00F81039">
        <w:rPr>
          <w:rFonts w:eastAsia="Calibri" w:cs="Times New Roman"/>
        </w:rPr>
        <w:t xml:space="preserve">In alleging </w:t>
      </w:r>
      <w:r>
        <w:rPr>
          <w:rFonts w:eastAsia="Calibri" w:cs="Times New Roman"/>
        </w:rPr>
        <w:t>a billing dispute</w:t>
      </w:r>
      <w:r w:rsidRPr="00F81039">
        <w:rPr>
          <w:rFonts w:eastAsia="Calibri" w:cs="Times New Roman"/>
        </w:rPr>
        <w:t>, and requesting</w:t>
      </w:r>
      <w:r>
        <w:rPr>
          <w:rFonts w:eastAsia="Calibri" w:cs="Times New Roman"/>
        </w:rPr>
        <w:t xml:space="preserve"> an adjustment to his electric service account to the Laketon Road property</w:t>
      </w:r>
      <w:r w:rsidRPr="00F81039">
        <w:rPr>
          <w:rFonts w:eastAsia="Calibri" w:cs="Times New Roman"/>
        </w:rPr>
        <w:t>, it is clear that</w:t>
      </w:r>
      <w:r>
        <w:rPr>
          <w:rFonts w:eastAsia="Calibri" w:cs="Times New Roman"/>
        </w:rPr>
        <w:t xml:space="preserve"> Mr. Oakes</w:t>
      </w:r>
      <w:r w:rsidRPr="00F81039">
        <w:rPr>
          <w:rFonts w:eastAsia="Calibri" w:cs="Times New Roman"/>
        </w:rPr>
        <w:t xml:space="preserve"> is the party seeking affirmative relief from the Commission and, therefore, has the burden of proof.  This means that</w:t>
      </w:r>
      <w:r w:rsidR="00907DBA">
        <w:rPr>
          <w:rFonts w:eastAsia="Calibri" w:cs="Times New Roman"/>
        </w:rPr>
        <w:t xml:space="preserve"> he</w:t>
      </w:r>
      <w:r w:rsidRPr="00F81039">
        <w:rPr>
          <w:rFonts w:eastAsia="Calibri" w:cs="Times New Roman"/>
        </w:rPr>
        <w:t xml:space="preserve"> has the duty to establish a fact by a preponderance of the evidence, and must show that the utility is responsible or accountable for the problem described in the complaint.  </w:t>
      </w:r>
      <w:r w:rsidRPr="00F81039">
        <w:rPr>
          <w:rFonts w:eastAsia="Calibri" w:cs="Times New Roman"/>
          <w:i/>
        </w:rPr>
        <w:t>Se-Ling Hosiery, Inc. v. Margulies</w:t>
      </w:r>
      <w:r w:rsidRPr="00F81039">
        <w:rPr>
          <w:rFonts w:eastAsia="Calibri" w:cs="Times New Roman"/>
        </w:rPr>
        <w:t xml:space="preserve">, 364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45, 70 A.2d 854 (1950); </w:t>
      </w:r>
      <w:r w:rsidRPr="00F81039">
        <w:rPr>
          <w:rFonts w:eastAsia="Calibri" w:cs="Times New Roman"/>
          <w:i/>
        </w:rPr>
        <w:t>Feinstein v. Philadelphia Suburban Water Company</w:t>
      </w:r>
      <w:r w:rsidRPr="00F81039">
        <w:rPr>
          <w:rFonts w:eastAsia="Calibri" w:cs="Times New Roman"/>
        </w:rPr>
        <w:t xml:space="preserve">, 50 PA PUC 300 (1976).  Additionally, care must be exercised to insure that the decision of the Commission is supported by substantial evidence in the record.  More is required than a mere trace of evidence or a suspicion of the existence of a fact sought to be established.  </w:t>
      </w:r>
      <w:r w:rsidRPr="00F81039">
        <w:rPr>
          <w:rFonts w:eastAsia="Calibri" w:cs="Times New Roman"/>
          <w:u w:val="single"/>
        </w:rPr>
        <w:t>See, e.g.</w:t>
      </w:r>
      <w:r w:rsidRPr="00F81039">
        <w:rPr>
          <w:rFonts w:eastAsia="Calibri" w:cs="Times New Roman"/>
        </w:rPr>
        <w:t xml:space="preserve">, Section 704 of the Administrative Agency Law, 2 Pa. C.S. §704; </w:t>
      </w:r>
      <w:r w:rsidRPr="00F81039">
        <w:rPr>
          <w:rFonts w:eastAsia="Calibri" w:cs="Times New Roman"/>
          <w:i/>
        </w:rPr>
        <w:t>Norfolk &amp; Western Ry. Co. v. PA PUC</w:t>
      </w:r>
      <w:r w:rsidRPr="00F81039">
        <w:rPr>
          <w:rFonts w:eastAsia="Calibri" w:cs="Times New Roman"/>
        </w:rPr>
        <w:t xml:space="preserve">, 489 Pa. 109, 413 A.2d 1037 (1980); </w:t>
      </w:r>
      <w:r w:rsidRPr="00F81039">
        <w:rPr>
          <w:rFonts w:eastAsia="Calibri" w:cs="Times New Roman"/>
          <w:i/>
        </w:rPr>
        <w:t>Erie Resistor Corp. v. Unemployment Comp. Bd. of Review</w:t>
      </w:r>
      <w:r w:rsidRPr="00F81039">
        <w:rPr>
          <w:rFonts w:eastAsia="Calibri" w:cs="Times New Roman"/>
        </w:rPr>
        <w:t xml:space="preserve">, 194 Pa. Superior Ct. 278, 166 A.2d 96 (1961); and </w:t>
      </w:r>
      <w:r w:rsidRPr="00F81039">
        <w:rPr>
          <w:rFonts w:eastAsia="Calibri" w:cs="Times New Roman"/>
          <w:i/>
        </w:rPr>
        <w:t>Murphy v. Dept. of Public Welfare, White Haven Center</w:t>
      </w:r>
      <w:r w:rsidRPr="00F81039">
        <w:rPr>
          <w:rFonts w:eastAsia="Calibri" w:cs="Times New Roman"/>
        </w:rPr>
        <w:t>, 480 A.2d 382 (Pa. Cmwlth</w:t>
      </w:r>
      <w:r w:rsidR="00F02D80">
        <w:rPr>
          <w:rFonts w:eastAsia="Calibri" w:cs="Times New Roman"/>
        </w:rPr>
        <w:t>.</w:t>
      </w:r>
      <w:r w:rsidRPr="00F81039">
        <w:rPr>
          <w:rFonts w:eastAsia="Calibri" w:cs="Times New Roman"/>
        </w:rPr>
        <w:t xml:space="preserve"> 1984).</w:t>
      </w:r>
    </w:p>
    <w:p w:rsidR="007D143A" w:rsidRPr="00F81039" w:rsidRDefault="007D143A" w:rsidP="00B95EA7">
      <w:pPr>
        <w:spacing w:line="360" w:lineRule="auto"/>
        <w:ind w:firstLine="1440"/>
        <w:rPr>
          <w:rFonts w:eastAsia="Calibri" w:cs="Times New Roman"/>
        </w:rPr>
      </w:pPr>
    </w:p>
    <w:p w:rsidR="007D143A" w:rsidRPr="00F81039" w:rsidRDefault="007D143A" w:rsidP="00B95EA7">
      <w:pPr>
        <w:spacing w:line="360" w:lineRule="auto"/>
        <w:ind w:firstLine="1440"/>
        <w:rPr>
          <w:rFonts w:eastAsia="Calibri" w:cs="Times New Roman"/>
        </w:rPr>
      </w:pPr>
      <w:r w:rsidRPr="00F81039">
        <w:rPr>
          <w:rFonts w:eastAsia="Calibri" w:cs="Times New Roman"/>
        </w:rPr>
        <w:t>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w:t>
      </w:r>
      <w:r w:rsidR="00EF7465">
        <w:rPr>
          <w:rFonts w:eastAsia="Calibri" w:cs="Times New Roman"/>
        </w:rPr>
        <w:t>,</w:t>
      </w:r>
      <w:r w:rsidRPr="00F81039">
        <w:rPr>
          <w:rFonts w:eastAsia="Calibri" w:cs="Times New Roman"/>
        </w:rPr>
        <w:t xml:space="preserve">” the burden of proof has not been satisfied.  The Complainant now has to provide some additional evidence to rebut that of the Respondent.  </w:t>
      </w:r>
      <w:r w:rsidRPr="00F81039">
        <w:rPr>
          <w:rFonts w:eastAsia="Calibri" w:cs="Times New Roman"/>
          <w:i/>
        </w:rPr>
        <w:t>Morrissey v. PA Dept. of Highways</w:t>
      </w:r>
      <w:r w:rsidRPr="00F81039">
        <w:rPr>
          <w:rFonts w:eastAsia="Calibri" w:cs="Times New Roman"/>
        </w:rPr>
        <w:t xml:space="preserve">, 424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87, 225 A.2d 895 (1967)</w:t>
      </w:r>
      <w:r w:rsidR="00EF7465">
        <w:rPr>
          <w:rFonts w:eastAsia="Calibri" w:cs="Times New Roman"/>
        </w:rPr>
        <w:t>;</w:t>
      </w:r>
      <w:r w:rsidRPr="00F81039">
        <w:rPr>
          <w:rFonts w:eastAsia="Calibri" w:cs="Times New Roman"/>
        </w:rPr>
        <w:t xml:space="preserve"> and </w:t>
      </w:r>
      <w:r w:rsidR="009D479E">
        <w:rPr>
          <w:rFonts w:eastAsia="Calibri" w:cs="Times New Roman"/>
          <w:i/>
        </w:rPr>
        <w:t>Burleson v. Pa. P.U</w:t>
      </w:r>
      <w:r w:rsidRPr="00F81039">
        <w:rPr>
          <w:rFonts w:eastAsia="Calibri" w:cs="Times New Roman"/>
          <w:i/>
        </w:rPr>
        <w:t>.</w:t>
      </w:r>
      <w:r w:rsidR="009D479E">
        <w:rPr>
          <w:rFonts w:eastAsia="Calibri" w:cs="Times New Roman"/>
          <w:i/>
        </w:rPr>
        <w:t>C.,</w:t>
      </w:r>
      <w:r w:rsidRPr="00F81039">
        <w:rPr>
          <w:rFonts w:eastAsia="Calibri" w:cs="Times New Roman"/>
        </w:rPr>
        <w:t xml:space="preserve"> 66 Pa. Commonwealth Ct. 282, 443 A.2d 1373 (1982), </w:t>
      </w:r>
      <w:r w:rsidRPr="00F81039">
        <w:rPr>
          <w:rFonts w:eastAsia="Calibri" w:cs="Times New Roman"/>
          <w:u w:val="single"/>
        </w:rPr>
        <w:t>aff’d.</w:t>
      </w:r>
      <w:r w:rsidRPr="00F81039">
        <w:rPr>
          <w:rFonts w:eastAsia="Calibri" w:cs="Times New Roman"/>
        </w:rPr>
        <w:t xml:space="preserve"> 501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443, 461 A.2d 1234.  For example, if one driver claims that an accident occurred on a dry road on a sunny day, and the other driver claims that the road was wet and it was raining at the time of the accident, neither driver has satisfied the burden of proof.  Additional evidence concerning the condition of the road and weather must now be provided by one or the other.</w:t>
      </w:r>
    </w:p>
    <w:p w:rsidR="007D143A" w:rsidRPr="00F81039" w:rsidRDefault="007D143A" w:rsidP="00B95EA7">
      <w:pPr>
        <w:spacing w:line="360" w:lineRule="auto"/>
        <w:ind w:firstLine="1440"/>
        <w:rPr>
          <w:rFonts w:eastAsia="Calibri" w:cs="Times New Roman"/>
        </w:rPr>
      </w:pPr>
    </w:p>
    <w:p w:rsidR="007D143A" w:rsidRPr="00F81039" w:rsidRDefault="007D143A" w:rsidP="00B95EA7">
      <w:pPr>
        <w:spacing w:line="360" w:lineRule="auto"/>
        <w:ind w:firstLine="1440"/>
        <w:rPr>
          <w:rFonts w:eastAsia="Calibri" w:cs="Times New Roman"/>
        </w:rPr>
      </w:pPr>
      <w:r w:rsidRPr="00F81039">
        <w:rPr>
          <w:rFonts w:eastAsia="Calibri" w:cs="Times New Roman"/>
        </w:rPr>
        <w:t xml:space="preserve">While the burden of persuasion may shift back and forth during a proceeding, the burden of proof never shifts.  The burden of proof always remains on the party seeking </w:t>
      </w:r>
      <w:r w:rsidRPr="00F81039">
        <w:rPr>
          <w:rFonts w:eastAsia="Calibri" w:cs="Times New Roman"/>
        </w:rPr>
        <w:lastRenderedPageBreak/>
        <w:t xml:space="preserve">affirmative relief from the Commission.  </w:t>
      </w:r>
      <w:r w:rsidRPr="00F81039">
        <w:rPr>
          <w:rFonts w:eastAsia="Calibri" w:cs="Times New Roman"/>
          <w:i/>
        </w:rPr>
        <w:t>Milkie v. PA PUC</w:t>
      </w:r>
      <w:r w:rsidRPr="00F81039">
        <w:rPr>
          <w:rFonts w:eastAsia="Calibri" w:cs="Times New Roman"/>
        </w:rPr>
        <w:t>, 768 A.2d 1217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Cmwlth. 2001);</w:t>
      </w:r>
      <w:r w:rsidRPr="00F81039">
        <w:rPr>
          <w:rFonts w:eastAsia="Calibri" w:cs="Times New Roman"/>
          <w:i/>
        </w:rPr>
        <w:t xml:space="preserve"> Waldron v. Philadelphia Electric Company</w:t>
      </w:r>
      <w:r w:rsidRPr="00F81039">
        <w:rPr>
          <w:rFonts w:eastAsia="Calibri" w:cs="Times New Roman"/>
        </w:rPr>
        <w:t>, 54 PA PUC 98 (1980)</w:t>
      </w:r>
      <w:r w:rsidR="004603FA">
        <w:rPr>
          <w:rFonts w:eastAsia="Calibri" w:cs="Times New Roman"/>
        </w:rPr>
        <w:t>;</w:t>
      </w:r>
      <w:r w:rsidRPr="00F81039">
        <w:rPr>
          <w:rFonts w:eastAsia="Calibri" w:cs="Times New Roman"/>
        </w:rPr>
        <w:t xml:space="preserve"> and </w:t>
      </w:r>
      <w:r w:rsidRPr="00F81039">
        <w:rPr>
          <w:rFonts w:eastAsia="Calibri" w:cs="Times New Roman"/>
          <w:i/>
        </w:rPr>
        <w:t>Replogle v. Philadelphia Electric Company</w:t>
      </w:r>
      <w:r w:rsidRPr="00F81039">
        <w:rPr>
          <w:rFonts w:eastAsia="Calibri" w:cs="Times New Roman"/>
        </w:rPr>
        <w:t>, 54 PA PUC 528 (1980).</w:t>
      </w:r>
    </w:p>
    <w:p w:rsidR="007D143A" w:rsidRPr="00F81039" w:rsidRDefault="007D143A" w:rsidP="00B95EA7">
      <w:pPr>
        <w:spacing w:line="360" w:lineRule="auto"/>
        <w:ind w:firstLine="1440"/>
        <w:rPr>
          <w:rFonts w:eastAsia="Calibri" w:cs="Times New Roman"/>
        </w:rPr>
      </w:pPr>
    </w:p>
    <w:p w:rsidR="007D143A" w:rsidRDefault="00490EEF" w:rsidP="00B95EA7">
      <w:pPr>
        <w:spacing w:line="360" w:lineRule="auto"/>
        <w:rPr>
          <w:rFonts w:eastAsia="Calibri" w:cs="Times New Roman"/>
        </w:rPr>
      </w:pPr>
      <w:r>
        <w:rPr>
          <w:rFonts w:eastAsia="Calibri" w:cs="Times New Roman"/>
        </w:rPr>
        <w:tab/>
      </w:r>
      <w:r>
        <w:rPr>
          <w:rFonts w:eastAsia="Calibri" w:cs="Times New Roman"/>
        </w:rPr>
        <w:tab/>
        <w:t xml:space="preserve">Mr. Oakes is the owner of the Laketon Road property which is the subject of this electric billing complaint proceeding.  Beginning in </w:t>
      </w:r>
      <w:r w:rsidR="00B95EA7">
        <w:rPr>
          <w:rFonts w:eastAsia="Calibri" w:cs="Times New Roman"/>
        </w:rPr>
        <w:t>November</w:t>
      </w:r>
      <w:r>
        <w:rPr>
          <w:rFonts w:eastAsia="Calibri" w:cs="Times New Roman"/>
        </w:rPr>
        <w:t xml:space="preserve"> of 2007, he leased the Laketon Road property to Satara Cain, described as the mother of his granddaughter.  According to Mr.</w:t>
      </w:r>
      <w:r w:rsidR="004603FA">
        <w:rPr>
          <w:rFonts w:eastAsia="Calibri" w:cs="Times New Roman"/>
        </w:rPr>
        <w:t> </w:t>
      </w:r>
      <w:r>
        <w:rPr>
          <w:rFonts w:eastAsia="Calibri" w:cs="Times New Roman"/>
        </w:rPr>
        <w:t>Oakes, the terms of the lease required Ms. Cain to have the electric account for the Laketon Road property put in her name.  Ms. Cain was not able to establish service to the Laketon Road property in her name because she had a prior delinquent electric account.</w:t>
      </w:r>
      <w:r w:rsidR="00B95EA7">
        <w:rPr>
          <w:rFonts w:eastAsia="Calibri" w:cs="Times New Roman"/>
        </w:rPr>
        <w:t xml:space="preserve">  At an undisclosed date after November of 2007, Mr. Oakes became aware that Ms. Cain had not had the electric service account for the Laketon Road property placed in her name.  However, as he </w:t>
      </w:r>
      <w:r w:rsidR="00150FB9">
        <w:rPr>
          <w:rFonts w:eastAsia="Calibri" w:cs="Times New Roman"/>
        </w:rPr>
        <w:t>believed that</w:t>
      </w:r>
      <w:r w:rsidR="00B95EA7">
        <w:rPr>
          <w:rFonts w:eastAsia="Calibri" w:cs="Times New Roman"/>
        </w:rPr>
        <w:t xml:space="preserve"> Ms.</w:t>
      </w:r>
      <w:r w:rsidR="004603FA">
        <w:rPr>
          <w:rFonts w:eastAsia="Calibri" w:cs="Times New Roman"/>
        </w:rPr>
        <w:t> </w:t>
      </w:r>
      <w:r w:rsidR="00B95EA7">
        <w:rPr>
          <w:rFonts w:eastAsia="Calibri" w:cs="Times New Roman"/>
        </w:rPr>
        <w:t>Cain was paying the electric bills for the Laketon Road property, he was fine with the account being left in his name.  When he became aware in May of 2008 that the electric bills for the Laketon Road property had not been paid for some time</w:t>
      </w:r>
      <w:r w:rsidR="004603FA">
        <w:rPr>
          <w:rFonts w:eastAsia="Calibri" w:cs="Times New Roman"/>
        </w:rPr>
        <w:t>,</w:t>
      </w:r>
      <w:r w:rsidR="00B95EA7">
        <w:rPr>
          <w:rFonts w:eastAsia="Calibri" w:cs="Times New Roman"/>
        </w:rPr>
        <w:t xml:space="preserve"> he contacted DLC to have DLC terminate service to that property.  Because </w:t>
      </w:r>
      <w:r w:rsidR="00212824">
        <w:rPr>
          <w:rFonts w:eastAsia="Calibri" w:cs="Times New Roman"/>
        </w:rPr>
        <w:t xml:space="preserve">of the family relationship with Ms. Cain, he did not want to direct DLC to cancel the account that was in his name.  Further, he was concerned that if </w:t>
      </w:r>
      <w:r w:rsidR="004603FA">
        <w:rPr>
          <w:rFonts w:eastAsia="Calibri" w:cs="Times New Roman"/>
        </w:rPr>
        <w:t xml:space="preserve">he </w:t>
      </w:r>
      <w:r w:rsidR="00212824">
        <w:rPr>
          <w:rFonts w:eastAsia="Calibri" w:cs="Times New Roman"/>
        </w:rPr>
        <w:t>cancelled the electric service account to the Laketon Road property, Ms. Cain would be able to charge him with “constructive eviction.”</w:t>
      </w:r>
    </w:p>
    <w:p w:rsidR="00A352DE" w:rsidRDefault="00A352DE" w:rsidP="00B95EA7">
      <w:pPr>
        <w:spacing w:line="360" w:lineRule="auto"/>
        <w:rPr>
          <w:rFonts w:eastAsia="Calibri" w:cs="Times New Roman"/>
        </w:rPr>
      </w:pPr>
    </w:p>
    <w:p w:rsidR="004B1741" w:rsidRDefault="00A352DE" w:rsidP="00B95EA7">
      <w:pPr>
        <w:spacing w:line="360" w:lineRule="auto"/>
        <w:rPr>
          <w:rFonts w:eastAsia="Calibri" w:cs="Times New Roman"/>
        </w:rPr>
      </w:pPr>
      <w:r>
        <w:rPr>
          <w:rFonts w:eastAsia="Calibri" w:cs="Times New Roman"/>
        </w:rPr>
        <w:tab/>
      </w:r>
      <w:r>
        <w:rPr>
          <w:rFonts w:eastAsia="Calibri" w:cs="Times New Roman"/>
        </w:rPr>
        <w:tab/>
        <w:t>Having decided not to request DLC to terminate the electric service in his name to the Laketon Road property, he complain</w:t>
      </w:r>
      <w:r w:rsidR="004603FA">
        <w:rPr>
          <w:rFonts w:eastAsia="Calibri" w:cs="Times New Roman"/>
        </w:rPr>
        <w:t>ed</w:t>
      </w:r>
      <w:r>
        <w:rPr>
          <w:rFonts w:eastAsia="Calibri" w:cs="Times New Roman"/>
        </w:rPr>
        <w:t xml:space="preserve"> that DLC did not </w:t>
      </w:r>
      <w:r w:rsidR="001D795C">
        <w:rPr>
          <w:rFonts w:eastAsia="Calibri" w:cs="Times New Roman"/>
        </w:rPr>
        <w:t>terminate the account to that property for non-payment of the bills, as he requested it to do on May 3, 2008.  In doing so, Mr.</w:t>
      </w:r>
      <w:r w:rsidR="004603FA">
        <w:rPr>
          <w:rFonts w:eastAsia="Calibri" w:cs="Times New Roman"/>
        </w:rPr>
        <w:t> </w:t>
      </w:r>
      <w:r w:rsidR="001D795C">
        <w:rPr>
          <w:rFonts w:eastAsia="Calibri" w:cs="Times New Roman"/>
        </w:rPr>
        <w:t>Oakes also complain</w:t>
      </w:r>
      <w:r w:rsidR="004603FA">
        <w:rPr>
          <w:rFonts w:eastAsia="Calibri" w:cs="Times New Roman"/>
        </w:rPr>
        <w:t>ed</w:t>
      </w:r>
      <w:r w:rsidR="001D795C">
        <w:rPr>
          <w:rFonts w:eastAsia="Calibri" w:cs="Times New Roman"/>
        </w:rPr>
        <w:t xml:space="preserve"> about DLC not proceeding with termination of service to the Laketon Road property after Ms. Cain complained to the Commission.</w:t>
      </w:r>
    </w:p>
    <w:p w:rsidR="004B1741" w:rsidRDefault="004B1741" w:rsidP="00B95EA7">
      <w:pPr>
        <w:spacing w:line="360" w:lineRule="auto"/>
        <w:rPr>
          <w:rFonts w:eastAsia="Calibri" w:cs="Times New Roman"/>
        </w:rPr>
      </w:pPr>
    </w:p>
    <w:p w:rsidR="00A352DE" w:rsidRDefault="004B1741" w:rsidP="00B95EA7">
      <w:pPr>
        <w:spacing w:line="360" w:lineRule="auto"/>
        <w:rPr>
          <w:rFonts w:eastAsia="Calibri" w:cs="Times New Roman"/>
        </w:rPr>
      </w:pPr>
      <w:r>
        <w:rPr>
          <w:rFonts w:eastAsia="Calibri" w:cs="Times New Roman"/>
        </w:rPr>
        <w:tab/>
      </w:r>
      <w:r>
        <w:rPr>
          <w:rFonts w:eastAsia="Calibri" w:cs="Times New Roman"/>
        </w:rPr>
        <w:tab/>
        <w:t xml:space="preserve">The Commission’s regulations clearly permit a ratepayer, such as Mr. Oakes, to request discontinuance of utility service to property owned by the ratepayer and which is not his residence.  </w:t>
      </w:r>
      <w:r>
        <w:rPr>
          <w:rFonts w:eastAsia="Calibri" w:cs="Times New Roman"/>
          <w:i/>
        </w:rPr>
        <w:t>See, e.g.</w:t>
      </w:r>
      <w:r>
        <w:rPr>
          <w:rFonts w:eastAsia="Calibri" w:cs="Times New Roman"/>
        </w:rPr>
        <w:t xml:space="preserve">, 52 Pa. Code §56.72.  Mr. Oakes was aware of his right to have the electric service to the Laketon Road property shut off.  However, as previously noted, he did not wish to be the party responsible for the termination of the electric </w:t>
      </w:r>
      <w:r w:rsidR="00EC2C4E">
        <w:rPr>
          <w:rFonts w:eastAsia="Calibri" w:cs="Times New Roman"/>
        </w:rPr>
        <w:t xml:space="preserve">service to </w:t>
      </w:r>
      <w:r w:rsidR="007300DF">
        <w:rPr>
          <w:rFonts w:eastAsia="Calibri" w:cs="Times New Roman"/>
        </w:rPr>
        <w:t xml:space="preserve">the </w:t>
      </w:r>
      <w:r w:rsidR="00EC2C4E">
        <w:rPr>
          <w:rFonts w:eastAsia="Calibri" w:cs="Times New Roman"/>
        </w:rPr>
        <w:t>property.</w:t>
      </w:r>
    </w:p>
    <w:p w:rsidR="007D143A" w:rsidRDefault="007D143A" w:rsidP="007D143A">
      <w:pPr>
        <w:spacing w:line="360" w:lineRule="auto"/>
      </w:pPr>
    </w:p>
    <w:p w:rsidR="005C7D14" w:rsidRDefault="005C7D14" w:rsidP="007D143A">
      <w:pPr>
        <w:spacing w:line="360" w:lineRule="auto"/>
      </w:pPr>
      <w:r>
        <w:tab/>
      </w:r>
      <w:r>
        <w:tab/>
      </w:r>
      <w:r w:rsidR="0039772D">
        <w:t>T</w:t>
      </w:r>
      <w:r w:rsidR="00383F86">
        <w:t>here is no question that DLC did not terminate service to the Laketon Road property in May of 2008, even after providing the 10-day written shutoff notice and the 72-hour shutoff notice</w:t>
      </w:r>
      <w:r w:rsidR="0039772D">
        <w:t>.  However, the reason service to the Laketon Road property was not terminated was Duquesne’s compliance with the Commission’s regulations.  DLC provided the 10-day notice as required by 52 Pa. Code §56.91.  It also provided the 72-hour notice</w:t>
      </w:r>
      <w:r w:rsidR="00767257">
        <w:t xml:space="preserve"> in accordance with 52 Pa. Code §56.93.  Once the tenant filed a complaint with the Commission pertaining to the electric service to the Laketon Road property, DLC ceased termination activities.  </w:t>
      </w:r>
      <w:r w:rsidR="00EA4093">
        <w:t>As this matter did not pertain to termination for unauthorized use of service, the provisions of 52 Pa. Code §56.164, pertaining to termination pending resolution of the dispute was inapplicable.</w:t>
      </w:r>
    </w:p>
    <w:p w:rsidR="00355C58" w:rsidRDefault="00355C58" w:rsidP="007D143A">
      <w:pPr>
        <w:spacing w:line="360" w:lineRule="auto"/>
      </w:pPr>
    </w:p>
    <w:p w:rsidR="00355C58" w:rsidRDefault="00355C58" w:rsidP="007D143A">
      <w:pPr>
        <w:spacing w:line="360" w:lineRule="auto"/>
      </w:pPr>
      <w:r>
        <w:tab/>
      </w:r>
      <w:r>
        <w:tab/>
        <w:t>Mr. Oakes had the ability to mitigate his liability for unpaid electric bills for service to the Laketon Road property and chose not to do</w:t>
      </w:r>
      <w:r w:rsidR="006830C2">
        <w:t xml:space="preserve"> so.  Mr. Oakes’ attempt to have the electric service to the Laketon Road property terminate</w:t>
      </w:r>
      <w:r w:rsidR="0057727C">
        <w:t>d</w:t>
      </w:r>
      <w:r w:rsidR="006830C2">
        <w:t>, while attempting to avoid any personal responsibility for the termination</w:t>
      </w:r>
      <w:r w:rsidR="0057727C">
        <w:t xml:space="preserve">, was frustrated by DLC’s compliance with the Commission’s regulations.  Since the record shows that DLC acted in conformity with the Commission’s regulations with respect to the proposed termination of electric service to the Laketon Road property, it is not legally </w:t>
      </w:r>
      <w:r w:rsidR="000E23DC">
        <w:t>responsib</w:t>
      </w:r>
      <w:r w:rsidR="00EC103A">
        <w:t xml:space="preserve">le </w:t>
      </w:r>
      <w:r w:rsidR="000E23DC">
        <w:t xml:space="preserve">or accountable for the fact that the account remained in the name of Mr. Oakes during the pendency of Ms. Cain’s complaint before the Commission.  </w:t>
      </w:r>
      <w:r w:rsidR="000E23DC">
        <w:rPr>
          <w:i/>
        </w:rPr>
        <w:t>Se-Ling Hosiery, supra.</w:t>
      </w:r>
      <w:r w:rsidR="000E23DC">
        <w:t xml:space="preserve">, and </w:t>
      </w:r>
      <w:r w:rsidR="000E23DC">
        <w:rPr>
          <w:i/>
        </w:rPr>
        <w:t>Feinstein, supra.</w:t>
      </w:r>
    </w:p>
    <w:p w:rsidR="000E23DC" w:rsidRDefault="000E23DC" w:rsidP="007D143A">
      <w:pPr>
        <w:spacing w:line="360" w:lineRule="auto"/>
      </w:pPr>
    </w:p>
    <w:p w:rsidR="000E23DC" w:rsidRDefault="000E23DC" w:rsidP="007D143A">
      <w:pPr>
        <w:spacing w:line="360" w:lineRule="auto"/>
      </w:pPr>
      <w:r>
        <w:tab/>
      </w:r>
      <w:r>
        <w:tab/>
        <w:t>Accordingly the complaint in this case should be dismissed.</w:t>
      </w:r>
    </w:p>
    <w:p w:rsidR="000E23DC" w:rsidRDefault="000E23DC" w:rsidP="007D143A">
      <w:pPr>
        <w:spacing w:line="360" w:lineRule="auto"/>
      </w:pPr>
    </w:p>
    <w:p w:rsidR="000E23DC" w:rsidRDefault="000E23DC" w:rsidP="000E23DC">
      <w:pPr>
        <w:spacing w:line="360" w:lineRule="auto"/>
        <w:jc w:val="center"/>
      </w:pPr>
      <w:r>
        <w:rPr>
          <w:u w:val="single"/>
        </w:rPr>
        <w:t>CONCLUSIONS OF LAW</w:t>
      </w:r>
    </w:p>
    <w:p w:rsidR="000E23DC" w:rsidRDefault="000E23DC" w:rsidP="000E23DC">
      <w:pPr>
        <w:spacing w:line="360" w:lineRule="auto"/>
      </w:pPr>
    </w:p>
    <w:p w:rsidR="000E23DC" w:rsidRDefault="000E23DC" w:rsidP="000E23DC">
      <w:pPr>
        <w:spacing w:line="360" w:lineRule="auto"/>
      </w:pPr>
      <w:r>
        <w:tab/>
      </w:r>
      <w:r>
        <w:tab/>
        <w:t>1.</w:t>
      </w:r>
      <w:r>
        <w:tab/>
        <w:t>The parties to and subject matter of this electric service billing dispute are properly before the Commission.</w:t>
      </w:r>
    </w:p>
    <w:p w:rsidR="000E23DC" w:rsidRDefault="000E23DC" w:rsidP="000E23DC">
      <w:pPr>
        <w:spacing w:line="360" w:lineRule="auto"/>
      </w:pPr>
    </w:p>
    <w:p w:rsidR="000E23DC" w:rsidRDefault="000E23DC" w:rsidP="000E23DC">
      <w:pPr>
        <w:spacing w:line="360" w:lineRule="auto"/>
      </w:pPr>
      <w:r>
        <w:tab/>
      </w:r>
      <w:r>
        <w:tab/>
        <w:t>2.</w:t>
      </w:r>
      <w:r>
        <w:tab/>
        <w:t>Mr. Oakes, the party seeking affirmative relief from the Commission, has the burden of proof.</w:t>
      </w:r>
    </w:p>
    <w:p w:rsidR="000E23DC" w:rsidRDefault="000E23DC" w:rsidP="000E23DC">
      <w:pPr>
        <w:spacing w:line="360" w:lineRule="auto"/>
      </w:pPr>
    </w:p>
    <w:p w:rsidR="000E23DC" w:rsidRDefault="000E23DC" w:rsidP="000E23DC">
      <w:pPr>
        <w:spacing w:line="360" w:lineRule="auto"/>
      </w:pPr>
      <w:r>
        <w:lastRenderedPageBreak/>
        <w:tab/>
      </w:r>
      <w:r>
        <w:tab/>
        <w:t>3.</w:t>
      </w:r>
      <w:r>
        <w:tab/>
        <w:t xml:space="preserve">Mr. Oakes has failed to satisfy the burden of proving that DLC acted in violation of any provision of the Code or Commission regulations with respect to </w:t>
      </w:r>
      <w:r w:rsidR="00921968">
        <w:t>Mr. Oakes’ efforts to have the service to the Laketon Road property terminated, while it was occupied by a tenant.</w:t>
      </w:r>
    </w:p>
    <w:p w:rsidR="00921968" w:rsidRDefault="00921968" w:rsidP="000E23DC">
      <w:pPr>
        <w:spacing w:line="360" w:lineRule="auto"/>
      </w:pPr>
    </w:p>
    <w:p w:rsidR="00921968" w:rsidRDefault="00921968" w:rsidP="000E23DC">
      <w:pPr>
        <w:spacing w:line="360" w:lineRule="auto"/>
      </w:pPr>
      <w:r>
        <w:tab/>
      </w:r>
      <w:r>
        <w:tab/>
        <w:t>4.</w:t>
      </w:r>
      <w:r>
        <w:tab/>
        <w:t xml:space="preserve">Mr. Oakes complaint should be </w:t>
      </w:r>
      <w:r w:rsidR="00150FB9">
        <w:t>dismissed</w:t>
      </w:r>
      <w:r>
        <w:t>.</w:t>
      </w:r>
    </w:p>
    <w:p w:rsidR="00921968" w:rsidRDefault="00921968" w:rsidP="000E23DC">
      <w:pPr>
        <w:spacing w:line="360" w:lineRule="auto"/>
      </w:pPr>
    </w:p>
    <w:p w:rsidR="00921968" w:rsidRDefault="00921968" w:rsidP="00921968">
      <w:pPr>
        <w:spacing w:line="360" w:lineRule="auto"/>
        <w:jc w:val="center"/>
      </w:pPr>
      <w:r>
        <w:rPr>
          <w:b/>
          <w:u w:val="single"/>
        </w:rPr>
        <w:t>ORDER</w:t>
      </w:r>
    </w:p>
    <w:p w:rsidR="00921968" w:rsidRDefault="00921968" w:rsidP="00921968">
      <w:pPr>
        <w:spacing w:line="360" w:lineRule="auto"/>
      </w:pPr>
    </w:p>
    <w:p w:rsidR="00921968" w:rsidRDefault="00921968" w:rsidP="00921968">
      <w:pPr>
        <w:spacing w:line="360" w:lineRule="auto"/>
      </w:pPr>
      <w:r>
        <w:tab/>
      </w:r>
      <w:r>
        <w:tab/>
        <w:t>THEREFORE,</w:t>
      </w:r>
    </w:p>
    <w:p w:rsidR="00921968" w:rsidRDefault="00921968" w:rsidP="00921968">
      <w:pPr>
        <w:spacing w:line="360" w:lineRule="auto"/>
      </w:pPr>
    </w:p>
    <w:p w:rsidR="00921968" w:rsidRDefault="00921968" w:rsidP="00921968">
      <w:pPr>
        <w:spacing w:line="360" w:lineRule="auto"/>
      </w:pPr>
      <w:r>
        <w:tab/>
      </w:r>
      <w:r>
        <w:tab/>
        <w:t>IT IS ORDERED:</w:t>
      </w:r>
    </w:p>
    <w:p w:rsidR="00921968" w:rsidRDefault="00921968" w:rsidP="00921968">
      <w:pPr>
        <w:spacing w:line="360" w:lineRule="auto"/>
      </w:pPr>
    </w:p>
    <w:p w:rsidR="00921968" w:rsidRDefault="00921968" w:rsidP="00921968">
      <w:pPr>
        <w:spacing w:line="360" w:lineRule="auto"/>
      </w:pPr>
      <w:r>
        <w:tab/>
      </w:r>
      <w:r>
        <w:tab/>
        <w:t xml:space="preserve">That the complaint of Emanuel J. Oakes, Jr., </w:t>
      </w:r>
      <w:r w:rsidR="00E4615E">
        <w:t>against Duquesne Light Company at Docket No. F-2009-2096047 is dismissed, for the failure to satisfy the burden of proof.</w:t>
      </w:r>
    </w:p>
    <w:p w:rsidR="00E4615E" w:rsidRPr="00833968" w:rsidRDefault="00E4615E">
      <w:pPr>
        <w:rPr>
          <w:szCs w:val="24"/>
        </w:rPr>
      </w:pPr>
      <w:r>
        <w:t xml:space="preserve">Date:  </w:t>
      </w:r>
      <w:r>
        <w:rPr>
          <w:u w:val="single"/>
        </w:rPr>
        <w:t>November 6, 2009</w:t>
      </w:r>
      <w:r>
        <w:tab/>
      </w:r>
      <w:r>
        <w:tab/>
      </w:r>
      <w:r>
        <w:tab/>
      </w:r>
      <w:r>
        <w:tab/>
      </w:r>
      <w:r w:rsidR="00ED38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89.6pt">
            <v:imagedata r:id="rId7" o:title=""/>
          </v:shape>
        </w:pict>
      </w:r>
    </w:p>
    <w:p w:rsidR="00F02D80" w:rsidRDefault="00F02D80">
      <w:pPr>
        <w:sectPr w:rsidR="00F02D80" w:rsidSect="00301B5E">
          <w:footerReference w:type="default" r:id="rId8"/>
          <w:endnotePr>
            <w:numFmt w:val="decimal"/>
          </w:endnotePr>
          <w:pgSz w:w="12240" w:h="15840"/>
          <w:pgMar w:top="1440" w:right="1440" w:bottom="1440" w:left="1440" w:header="720" w:footer="720" w:gutter="0"/>
          <w:cols w:space="720"/>
          <w:titlePg/>
          <w:docGrid w:linePitch="360"/>
        </w:sectPr>
      </w:pPr>
    </w:p>
    <w:p w:rsidR="002E1FF6" w:rsidRPr="00057980" w:rsidRDefault="002E1FF6" w:rsidP="002E1FF6">
      <w:pPr>
        <w:rPr>
          <w:rFonts w:ascii="Microsoft Sans Serif" w:hAnsi="Microsoft Sans Serif" w:cs="Microsoft Sans Serif"/>
          <w:b/>
          <w:caps/>
          <w:szCs w:val="24"/>
          <w:u w:val="single"/>
        </w:rPr>
      </w:pPr>
      <w:r w:rsidRPr="00264777">
        <w:rPr>
          <w:rFonts w:ascii="Microsoft Sans Serif" w:hAnsi="Microsoft Sans Serif" w:cs="Microsoft Sans Serif"/>
          <w:b/>
          <w:caps/>
          <w:noProof/>
          <w:szCs w:val="24"/>
          <w:u w:val="single"/>
        </w:rPr>
        <w:lastRenderedPageBreak/>
        <w:t>F-2009-2096047</w:t>
      </w:r>
      <w:r w:rsidRPr="00057980">
        <w:rPr>
          <w:rFonts w:ascii="Microsoft Sans Serif" w:hAnsi="Microsoft Sans Serif" w:cs="Microsoft Sans Serif"/>
          <w:b/>
          <w:caps/>
          <w:szCs w:val="24"/>
          <w:u w:val="single"/>
        </w:rPr>
        <w:t xml:space="preserve">  </w:t>
      </w:r>
      <w:r w:rsidRPr="00264777">
        <w:rPr>
          <w:rFonts w:ascii="Microsoft Sans Serif" w:hAnsi="Microsoft Sans Serif" w:cs="Microsoft Sans Serif"/>
          <w:b/>
          <w:caps/>
          <w:noProof/>
          <w:szCs w:val="24"/>
          <w:u w:val="single"/>
        </w:rPr>
        <w:t>Emanuel J Oakes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64777">
        <w:rPr>
          <w:rFonts w:ascii="Microsoft Sans Serif" w:hAnsi="Microsoft Sans Serif" w:cs="Microsoft Sans Serif"/>
          <w:b/>
          <w:caps/>
          <w:noProof/>
          <w:szCs w:val="24"/>
          <w:u w:val="single"/>
        </w:rPr>
        <w:t>Duquesne Light Company</w:t>
      </w:r>
    </w:p>
    <w:p w:rsidR="002E1FF6" w:rsidRPr="00057980" w:rsidRDefault="002E1FF6" w:rsidP="002E1FF6">
      <w:pPr>
        <w:rPr>
          <w:rFonts w:ascii="Microsoft Sans Serif" w:hAnsi="Microsoft Sans Serif" w:cs="Microsoft Sans Serif"/>
          <w:caps/>
          <w:szCs w:val="24"/>
        </w:rPr>
      </w:pPr>
    </w:p>
    <w:p w:rsidR="002E1FF6" w:rsidRPr="00057980" w:rsidRDefault="002E1FF6" w:rsidP="002E1FF6">
      <w:pPr>
        <w:rPr>
          <w:rFonts w:ascii="Microsoft Sans Serif" w:hAnsi="Microsoft Sans Serif" w:cs="Microsoft Sans Serif"/>
          <w:caps/>
          <w:szCs w:val="24"/>
        </w:rPr>
      </w:pP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caps/>
          <w:noProof/>
          <w:szCs w:val="24"/>
        </w:rPr>
        <w:t>Emanuel J</w:t>
      </w:r>
      <w:r w:rsidRPr="00057980">
        <w:rPr>
          <w:rFonts w:ascii="Microsoft Sans Serif" w:hAnsi="Microsoft Sans Serif" w:cs="Microsoft Sans Serif"/>
          <w:caps/>
          <w:szCs w:val="24"/>
        </w:rPr>
        <w:t xml:space="preserve"> </w:t>
      </w:r>
      <w:r w:rsidRPr="00264777">
        <w:rPr>
          <w:rFonts w:ascii="Microsoft Sans Serif" w:hAnsi="Microsoft Sans Serif" w:cs="Microsoft Sans Serif"/>
          <w:caps/>
          <w:noProof/>
          <w:szCs w:val="24"/>
        </w:rPr>
        <w:t>Oakes Jr</w:t>
      </w:r>
      <w:r w:rsidRPr="00057980">
        <w:rPr>
          <w:rFonts w:ascii="Microsoft Sans Serif" w:hAnsi="Microsoft Sans Serif" w:cs="Microsoft Sans Serif"/>
          <w:caps/>
          <w:szCs w:val="24"/>
        </w:rPr>
        <w:t xml:space="preserve"> </w:t>
      </w: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caps/>
          <w:noProof/>
          <w:szCs w:val="24"/>
        </w:rPr>
        <w:t>1100 Bessica Street</w:t>
      </w: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caps/>
          <w:noProof/>
          <w:szCs w:val="24"/>
        </w:rPr>
        <w:t>Wilkinsburg</w:t>
      </w:r>
      <w:r w:rsidRPr="00057980">
        <w:rPr>
          <w:rFonts w:ascii="Microsoft Sans Serif" w:hAnsi="Microsoft Sans Serif" w:cs="Microsoft Sans Serif"/>
          <w:caps/>
          <w:szCs w:val="24"/>
        </w:rPr>
        <w:t xml:space="preserve"> </w:t>
      </w:r>
      <w:r w:rsidRPr="0026477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64777">
        <w:rPr>
          <w:rFonts w:ascii="Microsoft Sans Serif" w:hAnsi="Microsoft Sans Serif" w:cs="Microsoft Sans Serif"/>
          <w:caps/>
          <w:noProof/>
          <w:szCs w:val="24"/>
        </w:rPr>
        <w:t>15221</w:t>
      </w:r>
    </w:p>
    <w:p w:rsidR="002E1FF6" w:rsidRPr="00057980" w:rsidRDefault="002E1FF6" w:rsidP="002E1FF6">
      <w:pPr>
        <w:rPr>
          <w:rFonts w:ascii="Microsoft Sans Serif" w:hAnsi="Microsoft Sans Serif" w:cs="Microsoft Sans Serif"/>
          <w:b/>
          <w:caps/>
          <w:szCs w:val="24"/>
          <w:u w:val="single"/>
        </w:rPr>
      </w:pPr>
      <w:r w:rsidRPr="00264777">
        <w:rPr>
          <w:rFonts w:ascii="Microsoft Sans Serif" w:hAnsi="Microsoft Sans Serif" w:cs="Microsoft Sans Serif"/>
          <w:b/>
          <w:caps/>
          <w:noProof/>
          <w:szCs w:val="24"/>
        </w:rPr>
        <w:t>412.371.5059</w:t>
      </w:r>
    </w:p>
    <w:p w:rsidR="002E1FF6" w:rsidRPr="00057980" w:rsidRDefault="002E1FF6" w:rsidP="002E1FF6">
      <w:pPr>
        <w:rPr>
          <w:rFonts w:ascii="Microsoft Sans Serif" w:hAnsi="Microsoft Sans Serif" w:cs="Microsoft Sans Serif"/>
          <w:caps/>
          <w:szCs w:val="24"/>
        </w:rPr>
      </w:pPr>
    </w:p>
    <w:p w:rsidR="002E1FF6" w:rsidRPr="00057980" w:rsidRDefault="002E1FF6" w:rsidP="002E1FF6">
      <w:pPr>
        <w:rPr>
          <w:rFonts w:ascii="Microsoft Sans Serif" w:hAnsi="Microsoft Sans Serif" w:cs="Microsoft Sans Serif"/>
          <w:caps/>
          <w:szCs w:val="24"/>
        </w:rPr>
      </w:pP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264777">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264777">
        <w:rPr>
          <w:rFonts w:ascii="Microsoft Sans Serif" w:hAnsi="Microsoft Sans Serif" w:cs="Microsoft Sans Serif"/>
          <w:caps/>
          <w:noProof/>
          <w:szCs w:val="24"/>
        </w:rPr>
        <w:t>Esquire</w:t>
      </w: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caps/>
          <w:noProof/>
          <w:szCs w:val="24"/>
        </w:rPr>
        <w:t>Duquesne Light Company</w:t>
      </w: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caps/>
          <w:noProof/>
          <w:szCs w:val="24"/>
        </w:rPr>
        <w:t xml:space="preserve">411 </w:t>
      </w:r>
      <w:smartTag w:uri="urn:schemas-microsoft-com:office:smarttags" w:element="place">
        <w:r w:rsidRPr="00264777">
          <w:rPr>
            <w:rFonts w:ascii="Microsoft Sans Serif" w:hAnsi="Microsoft Sans Serif" w:cs="Microsoft Sans Serif"/>
            <w:caps/>
            <w:noProof/>
            <w:szCs w:val="24"/>
          </w:rPr>
          <w:t>Seventh Avenue</w:t>
        </w:r>
      </w:smartTag>
      <w:r w:rsidRPr="00264777">
        <w:rPr>
          <w:rFonts w:ascii="Microsoft Sans Serif" w:hAnsi="Microsoft Sans Serif" w:cs="Microsoft Sans Serif"/>
          <w:caps/>
          <w:noProof/>
          <w:szCs w:val="24"/>
        </w:rPr>
        <w:t xml:space="preserve"> 16-1</w:t>
      </w: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26477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64777">
        <w:rPr>
          <w:rFonts w:ascii="Microsoft Sans Serif" w:hAnsi="Microsoft Sans Serif" w:cs="Microsoft Sans Serif"/>
          <w:caps/>
          <w:noProof/>
          <w:szCs w:val="24"/>
        </w:rPr>
        <w:t>15219</w:t>
      </w:r>
    </w:p>
    <w:p w:rsidR="002E1FF6" w:rsidRPr="00057980" w:rsidRDefault="002E1FF6" w:rsidP="002E1FF6">
      <w:pPr>
        <w:rPr>
          <w:rFonts w:ascii="Microsoft Sans Serif" w:hAnsi="Microsoft Sans Serif" w:cs="Microsoft Sans Serif"/>
          <w:caps/>
          <w:szCs w:val="24"/>
        </w:rPr>
      </w:pPr>
      <w:r w:rsidRPr="00264777">
        <w:rPr>
          <w:rFonts w:ascii="Microsoft Sans Serif" w:hAnsi="Microsoft Sans Serif" w:cs="Microsoft Sans Serif"/>
          <w:b/>
          <w:caps/>
          <w:noProof/>
          <w:szCs w:val="24"/>
        </w:rPr>
        <w:t>412.393.6505</w:t>
      </w:r>
    </w:p>
    <w:p w:rsidR="002E1FF6" w:rsidRPr="00E4615E" w:rsidRDefault="002E1FF6" w:rsidP="00E4615E"/>
    <w:sectPr w:rsidR="002E1FF6" w:rsidRPr="00E4615E" w:rsidSect="00301B5E">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B93" w:rsidRDefault="002C3B93" w:rsidP="00A91CF3">
      <w:r>
        <w:separator/>
      </w:r>
    </w:p>
  </w:endnote>
  <w:endnote w:type="continuationSeparator" w:id="0">
    <w:p w:rsidR="002C3B93" w:rsidRDefault="002C3B93" w:rsidP="00A91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67797"/>
      <w:docPartObj>
        <w:docPartGallery w:val="Page Numbers (Bottom of Page)"/>
        <w:docPartUnique/>
      </w:docPartObj>
    </w:sdtPr>
    <w:sdtContent>
      <w:p w:rsidR="00921968" w:rsidRDefault="00984AA3">
        <w:pPr>
          <w:pStyle w:val="Footer"/>
          <w:jc w:val="center"/>
        </w:pPr>
        <w:fldSimple w:instr=" PAGE   \* MERGEFORMAT ">
          <w:r w:rsidR="00280A1E">
            <w:rPr>
              <w:noProof/>
            </w:rPr>
            <w:t>6</w:t>
          </w:r>
        </w:fldSimple>
      </w:p>
    </w:sdtContent>
  </w:sdt>
  <w:p w:rsidR="00921968" w:rsidRDefault="00921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B93" w:rsidRDefault="002C3B93" w:rsidP="00A91CF3">
      <w:r>
        <w:separator/>
      </w:r>
    </w:p>
  </w:footnote>
  <w:footnote w:type="continuationSeparator" w:id="0">
    <w:p w:rsidR="002C3B93" w:rsidRDefault="002C3B93" w:rsidP="00A91CF3">
      <w:r>
        <w:continuationSeparator/>
      </w:r>
    </w:p>
  </w:footnote>
  <w:footnote w:id="1">
    <w:p w:rsidR="00921968" w:rsidRDefault="00921968" w:rsidP="00B86294">
      <w:pPr>
        <w:pStyle w:val="FootnoteText"/>
        <w:ind w:firstLine="720"/>
      </w:pPr>
      <w:r>
        <w:rPr>
          <w:rStyle w:val="FootnoteReference"/>
        </w:rPr>
        <w:footnoteRef/>
      </w:r>
      <w:r>
        <w:t xml:space="preserve"> </w:t>
      </w:r>
      <w:r w:rsidR="00B86294">
        <w:tab/>
      </w:r>
      <w:r>
        <w:t>Duquesne did not offer its “pre-marked” Exhibit No. 3.  The three Duquesne exhibits admitted into the record are numbers 1, 2, and 4.</w:t>
      </w:r>
    </w:p>
  </w:footnote>
  <w:footnote w:id="2">
    <w:p w:rsidR="00921968" w:rsidRDefault="00921968" w:rsidP="00B86294">
      <w:pPr>
        <w:pStyle w:val="FootnoteText"/>
        <w:ind w:firstLine="720"/>
      </w:pPr>
      <w:r>
        <w:rPr>
          <w:rStyle w:val="FootnoteReference"/>
        </w:rPr>
        <w:footnoteRef/>
      </w:r>
      <w:r>
        <w:t xml:space="preserve"> </w:t>
      </w:r>
      <w:r w:rsidR="00B86294">
        <w:tab/>
      </w:r>
      <w:r>
        <w:t>The transcript, at page 7, line 16, incorrectly identifies his place of residence as “Wilkes-Barre</w:t>
      </w:r>
      <w:r w:rsidR="007300DF">
        <w:t>.</w:t>
      </w:r>
      <w:r>
        <w:t>”  Page 7, line 16 of</w:t>
      </w:r>
      <w:r w:rsidR="001349BA">
        <w:t xml:space="preserve"> </w:t>
      </w:r>
      <w:r>
        <w:t xml:space="preserve"> the transcript is corrected to identify his place of residence as Wilkinsburg.</w:t>
      </w:r>
    </w:p>
  </w:footnote>
  <w:footnote w:id="3">
    <w:p w:rsidR="00921968" w:rsidRDefault="00921968" w:rsidP="00F36465">
      <w:pPr>
        <w:pStyle w:val="FootnoteText"/>
        <w:ind w:firstLine="720"/>
      </w:pPr>
      <w:r>
        <w:rPr>
          <w:rStyle w:val="FootnoteReference"/>
        </w:rPr>
        <w:footnoteRef/>
      </w:r>
      <w:r>
        <w:t xml:space="preserve"> </w:t>
      </w:r>
      <w:r w:rsidR="00F36465">
        <w:tab/>
      </w:r>
      <w:r>
        <w:t>This must be in reference to his informal complaint filed with the Commission’s Bureau of Consumer Services (BCS).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10750D"/>
    <w:rsid w:val="0002179D"/>
    <w:rsid w:val="00067BB8"/>
    <w:rsid w:val="000E23DC"/>
    <w:rsid w:val="000F7542"/>
    <w:rsid w:val="0010750D"/>
    <w:rsid w:val="00121E69"/>
    <w:rsid w:val="001226DF"/>
    <w:rsid w:val="001261B4"/>
    <w:rsid w:val="001349BA"/>
    <w:rsid w:val="00150FB9"/>
    <w:rsid w:val="00165D45"/>
    <w:rsid w:val="00190143"/>
    <w:rsid w:val="001C7415"/>
    <w:rsid w:val="001D0156"/>
    <w:rsid w:val="001D5547"/>
    <w:rsid w:val="001D795C"/>
    <w:rsid w:val="001E4639"/>
    <w:rsid w:val="0020620D"/>
    <w:rsid w:val="00212824"/>
    <w:rsid w:val="00240B9C"/>
    <w:rsid w:val="00244D0A"/>
    <w:rsid w:val="00280A1E"/>
    <w:rsid w:val="0028522E"/>
    <w:rsid w:val="002C0C99"/>
    <w:rsid w:val="002C3B93"/>
    <w:rsid w:val="002D65D6"/>
    <w:rsid w:val="002E1FF6"/>
    <w:rsid w:val="002F2B2F"/>
    <w:rsid w:val="002F671E"/>
    <w:rsid w:val="00301B5E"/>
    <w:rsid w:val="00313FFB"/>
    <w:rsid w:val="00335B4E"/>
    <w:rsid w:val="00351775"/>
    <w:rsid w:val="00355C58"/>
    <w:rsid w:val="00383729"/>
    <w:rsid w:val="00383F86"/>
    <w:rsid w:val="0039772D"/>
    <w:rsid w:val="003F04CA"/>
    <w:rsid w:val="00404130"/>
    <w:rsid w:val="00424D4C"/>
    <w:rsid w:val="004264F5"/>
    <w:rsid w:val="0043047A"/>
    <w:rsid w:val="004603FA"/>
    <w:rsid w:val="0047376B"/>
    <w:rsid w:val="00476B13"/>
    <w:rsid w:val="00490EEF"/>
    <w:rsid w:val="004928CA"/>
    <w:rsid w:val="004978E2"/>
    <w:rsid w:val="004B1741"/>
    <w:rsid w:val="004D2967"/>
    <w:rsid w:val="00523E32"/>
    <w:rsid w:val="00544A4A"/>
    <w:rsid w:val="00547BBC"/>
    <w:rsid w:val="00555009"/>
    <w:rsid w:val="0057146F"/>
    <w:rsid w:val="0057727C"/>
    <w:rsid w:val="005A6CF5"/>
    <w:rsid w:val="005C7D14"/>
    <w:rsid w:val="005E44E8"/>
    <w:rsid w:val="006233CF"/>
    <w:rsid w:val="006830C2"/>
    <w:rsid w:val="006B117B"/>
    <w:rsid w:val="006B26EE"/>
    <w:rsid w:val="006C5A29"/>
    <w:rsid w:val="006E30FF"/>
    <w:rsid w:val="006F7DD9"/>
    <w:rsid w:val="0071382D"/>
    <w:rsid w:val="007300DF"/>
    <w:rsid w:val="00734613"/>
    <w:rsid w:val="00734A98"/>
    <w:rsid w:val="00751895"/>
    <w:rsid w:val="00767257"/>
    <w:rsid w:val="007823FD"/>
    <w:rsid w:val="00786A70"/>
    <w:rsid w:val="007B7186"/>
    <w:rsid w:val="007B7DF8"/>
    <w:rsid w:val="007D143A"/>
    <w:rsid w:val="007D16EF"/>
    <w:rsid w:val="00800C30"/>
    <w:rsid w:val="00882CE3"/>
    <w:rsid w:val="008F3146"/>
    <w:rsid w:val="00907DBA"/>
    <w:rsid w:val="00921968"/>
    <w:rsid w:val="00933B61"/>
    <w:rsid w:val="00984AA3"/>
    <w:rsid w:val="00986343"/>
    <w:rsid w:val="009B110D"/>
    <w:rsid w:val="009D479E"/>
    <w:rsid w:val="00A16DDD"/>
    <w:rsid w:val="00A352DE"/>
    <w:rsid w:val="00A40FFA"/>
    <w:rsid w:val="00A91CF3"/>
    <w:rsid w:val="00AB28E8"/>
    <w:rsid w:val="00AB4673"/>
    <w:rsid w:val="00B568FE"/>
    <w:rsid w:val="00B70745"/>
    <w:rsid w:val="00B86294"/>
    <w:rsid w:val="00B91F8B"/>
    <w:rsid w:val="00B95EA7"/>
    <w:rsid w:val="00BA071B"/>
    <w:rsid w:val="00BC3026"/>
    <w:rsid w:val="00BC7297"/>
    <w:rsid w:val="00BC7C0D"/>
    <w:rsid w:val="00C022B2"/>
    <w:rsid w:val="00C14D51"/>
    <w:rsid w:val="00C26CF9"/>
    <w:rsid w:val="00C5386A"/>
    <w:rsid w:val="00C55B40"/>
    <w:rsid w:val="00CC0E73"/>
    <w:rsid w:val="00CC7B62"/>
    <w:rsid w:val="00CF66E8"/>
    <w:rsid w:val="00D10EB4"/>
    <w:rsid w:val="00D65268"/>
    <w:rsid w:val="00D823F6"/>
    <w:rsid w:val="00D87418"/>
    <w:rsid w:val="00DA032C"/>
    <w:rsid w:val="00DD326C"/>
    <w:rsid w:val="00DE30E9"/>
    <w:rsid w:val="00E01075"/>
    <w:rsid w:val="00E16D25"/>
    <w:rsid w:val="00E441E5"/>
    <w:rsid w:val="00E4615E"/>
    <w:rsid w:val="00E77DB1"/>
    <w:rsid w:val="00E859E3"/>
    <w:rsid w:val="00E945DC"/>
    <w:rsid w:val="00EA4093"/>
    <w:rsid w:val="00EC103A"/>
    <w:rsid w:val="00EC1F38"/>
    <w:rsid w:val="00EC2C4E"/>
    <w:rsid w:val="00EC5E67"/>
    <w:rsid w:val="00ED3897"/>
    <w:rsid w:val="00ED56D5"/>
    <w:rsid w:val="00EF7465"/>
    <w:rsid w:val="00F01B0E"/>
    <w:rsid w:val="00F02D80"/>
    <w:rsid w:val="00F36465"/>
    <w:rsid w:val="00F504C7"/>
    <w:rsid w:val="00F67E98"/>
    <w:rsid w:val="00F746C4"/>
    <w:rsid w:val="00F7744A"/>
    <w:rsid w:val="00F91528"/>
    <w:rsid w:val="00FA0BF2"/>
    <w:rsid w:val="00FA14FD"/>
    <w:rsid w:val="00FD3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91CF3"/>
    <w:rPr>
      <w:sz w:val="20"/>
      <w:szCs w:val="20"/>
    </w:rPr>
  </w:style>
  <w:style w:type="character" w:customStyle="1" w:styleId="EndnoteTextChar">
    <w:name w:val="Endnote Text Char"/>
    <w:basedOn w:val="DefaultParagraphFont"/>
    <w:link w:val="EndnoteText"/>
    <w:uiPriority w:val="99"/>
    <w:semiHidden/>
    <w:rsid w:val="00A91CF3"/>
    <w:rPr>
      <w:sz w:val="20"/>
      <w:szCs w:val="20"/>
    </w:rPr>
  </w:style>
  <w:style w:type="character" w:styleId="EndnoteReference">
    <w:name w:val="endnote reference"/>
    <w:basedOn w:val="DefaultParagraphFont"/>
    <w:uiPriority w:val="99"/>
    <w:semiHidden/>
    <w:unhideWhenUsed/>
    <w:rsid w:val="00A91CF3"/>
    <w:rPr>
      <w:vertAlign w:val="superscript"/>
    </w:rPr>
  </w:style>
  <w:style w:type="paragraph" w:styleId="FootnoteText">
    <w:name w:val="footnote text"/>
    <w:basedOn w:val="Normal"/>
    <w:link w:val="FootnoteTextChar"/>
    <w:uiPriority w:val="99"/>
    <w:semiHidden/>
    <w:unhideWhenUsed/>
    <w:rsid w:val="004928CA"/>
    <w:rPr>
      <w:sz w:val="20"/>
      <w:szCs w:val="20"/>
    </w:rPr>
  </w:style>
  <w:style w:type="character" w:customStyle="1" w:styleId="FootnoteTextChar">
    <w:name w:val="Footnote Text Char"/>
    <w:basedOn w:val="DefaultParagraphFont"/>
    <w:link w:val="FootnoteText"/>
    <w:uiPriority w:val="99"/>
    <w:semiHidden/>
    <w:rsid w:val="004928CA"/>
    <w:rPr>
      <w:sz w:val="20"/>
      <w:szCs w:val="20"/>
    </w:rPr>
  </w:style>
  <w:style w:type="character" w:styleId="FootnoteReference">
    <w:name w:val="footnote reference"/>
    <w:basedOn w:val="DefaultParagraphFont"/>
    <w:uiPriority w:val="99"/>
    <w:semiHidden/>
    <w:unhideWhenUsed/>
    <w:rsid w:val="004928CA"/>
    <w:rPr>
      <w:vertAlign w:val="superscript"/>
    </w:rPr>
  </w:style>
  <w:style w:type="paragraph" w:styleId="Header">
    <w:name w:val="header"/>
    <w:basedOn w:val="Normal"/>
    <w:link w:val="HeaderChar"/>
    <w:uiPriority w:val="99"/>
    <w:semiHidden/>
    <w:unhideWhenUsed/>
    <w:rsid w:val="00301B5E"/>
    <w:pPr>
      <w:tabs>
        <w:tab w:val="center" w:pos="4680"/>
        <w:tab w:val="right" w:pos="9360"/>
      </w:tabs>
    </w:pPr>
  </w:style>
  <w:style w:type="character" w:customStyle="1" w:styleId="HeaderChar">
    <w:name w:val="Header Char"/>
    <w:basedOn w:val="DefaultParagraphFont"/>
    <w:link w:val="Header"/>
    <w:uiPriority w:val="99"/>
    <w:semiHidden/>
    <w:rsid w:val="00301B5E"/>
  </w:style>
  <w:style w:type="paragraph" w:styleId="Footer">
    <w:name w:val="footer"/>
    <w:basedOn w:val="Normal"/>
    <w:link w:val="FooterChar"/>
    <w:uiPriority w:val="99"/>
    <w:unhideWhenUsed/>
    <w:rsid w:val="00301B5E"/>
    <w:pPr>
      <w:tabs>
        <w:tab w:val="center" w:pos="4680"/>
        <w:tab w:val="right" w:pos="9360"/>
      </w:tabs>
    </w:pPr>
  </w:style>
  <w:style w:type="character" w:customStyle="1" w:styleId="FooterChar">
    <w:name w:val="Footer Char"/>
    <w:basedOn w:val="DefaultParagraphFont"/>
    <w:link w:val="Footer"/>
    <w:uiPriority w:val="99"/>
    <w:rsid w:val="00301B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4D45-BD3C-4FB6-93C3-0BD8142E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rmeehan</dc:creator>
  <cp:keywords/>
  <dc:description/>
  <cp:lastModifiedBy>shoffner</cp:lastModifiedBy>
  <cp:revision>3</cp:revision>
  <cp:lastPrinted>2009-11-21T15:45:00Z</cp:lastPrinted>
  <dcterms:created xsi:type="dcterms:W3CDTF">2009-11-21T15:45:00Z</dcterms:created>
  <dcterms:modified xsi:type="dcterms:W3CDTF">2009-11-21T15:45:00Z</dcterms:modified>
</cp:coreProperties>
</file>