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53" w:rsidRPr="006F7437" w:rsidRDefault="00842E53" w:rsidP="00842E53">
      <w:pPr>
        <w:jc w:val="center"/>
        <w:rPr>
          <w:b/>
          <w:sz w:val="24"/>
          <w:szCs w:val="24"/>
        </w:rPr>
      </w:pPr>
      <w:r w:rsidRPr="006F7437">
        <w:rPr>
          <w:b/>
          <w:sz w:val="24"/>
          <w:szCs w:val="24"/>
        </w:rPr>
        <w:t>BEFORE THE</w:t>
      </w:r>
    </w:p>
    <w:p w:rsidR="00842E53" w:rsidRPr="006F7437" w:rsidRDefault="00842E53" w:rsidP="00842E53">
      <w:pPr>
        <w:jc w:val="center"/>
        <w:rPr>
          <w:b/>
          <w:sz w:val="24"/>
          <w:szCs w:val="24"/>
        </w:rPr>
      </w:pPr>
      <w:smartTag w:uri="urn:schemas-microsoft-com:office:smarttags" w:element="place">
        <w:smartTag w:uri="urn:schemas-microsoft-com:office:smarttags" w:element="State">
          <w:r w:rsidRPr="006F7437">
            <w:rPr>
              <w:b/>
              <w:sz w:val="24"/>
              <w:szCs w:val="24"/>
            </w:rPr>
            <w:t>PENNSYLVANIA</w:t>
          </w:r>
        </w:smartTag>
      </w:smartTag>
      <w:r w:rsidRPr="006F7437">
        <w:rPr>
          <w:b/>
          <w:sz w:val="24"/>
          <w:szCs w:val="24"/>
        </w:rPr>
        <w:t xml:space="preserve"> PUBLIC UTILITY COMMISSION</w:t>
      </w:r>
    </w:p>
    <w:p w:rsidR="00842E53" w:rsidRPr="006F7437" w:rsidRDefault="00842E53" w:rsidP="00842E53">
      <w:pPr>
        <w:jc w:val="center"/>
        <w:rPr>
          <w:b/>
          <w:sz w:val="24"/>
          <w:szCs w:val="24"/>
        </w:rPr>
      </w:pPr>
    </w:p>
    <w:p w:rsidR="00842E53" w:rsidRPr="006F7437" w:rsidRDefault="00842E53" w:rsidP="00842E53">
      <w:pPr>
        <w:jc w:val="center"/>
        <w:rPr>
          <w:b/>
          <w:sz w:val="24"/>
          <w:szCs w:val="24"/>
        </w:rPr>
      </w:pPr>
    </w:p>
    <w:p w:rsidR="00842E53" w:rsidRPr="006F7437" w:rsidRDefault="00842E53" w:rsidP="00842E53">
      <w:pPr>
        <w:jc w:val="center"/>
        <w:rPr>
          <w:b/>
          <w:sz w:val="24"/>
          <w:szCs w:val="24"/>
        </w:rPr>
      </w:pPr>
    </w:p>
    <w:p w:rsidR="00842E53" w:rsidRPr="006F7437" w:rsidRDefault="00842E53" w:rsidP="00842E53">
      <w:pPr>
        <w:rPr>
          <w:sz w:val="24"/>
          <w:szCs w:val="24"/>
        </w:rPr>
      </w:pPr>
      <w:r>
        <w:rPr>
          <w:sz w:val="24"/>
          <w:szCs w:val="24"/>
        </w:rPr>
        <w:t>Angelo Rodriguez</w:t>
      </w:r>
      <w:r>
        <w:rPr>
          <w:sz w:val="24"/>
          <w:szCs w:val="24"/>
        </w:rPr>
        <w:tab/>
      </w:r>
      <w:r>
        <w:rPr>
          <w:sz w:val="24"/>
          <w:szCs w:val="24"/>
        </w:rPr>
        <w:tab/>
      </w:r>
      <w:r>
        <w:rPr>
          <w:sz w:val="24"/>
          <w:szCs w:val="24"/>
        </w:rPr>
        <w:tab/>
      </w:r>
      <w:r>
        <w:rPr>
          <w:sz w:val="24"/>
          <w:szCs w:val="24"/>
        </w:rPr>
        <w:tab/>
      </w:r>
      <w:r w:rsidRPr="006F7437">
        <w:rPr>
          <w:sz w:val="24"/>
          <w:szCs w:val="24"/>
        </w:rPr>
        <w:tab/>
        <w:t>:</w:t>
      </w:r>
    </w:p>
    <w:p w:rsidR="00842E53" w:rsidRPr="006F7437" w:rsidRDefault="00842E53" w:rsidP="00842E53">
      <w:pPr>
        <w:rPr>
          <w:sz w:val="24"/>
          <w:szCs w:val="24"/>
        </w:rPr>
      </w:pP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p>
    <w:p w:rsidR="00842E53" w:rsidRPr="006F7437" w:rsidRDefault="00842E53" w:rsidP="00842E53">
      <w:pPr>
        <w:rPr>
          <w:sz w:val="24"/>
          <w:szCs w:val="24"/>
        </w:rPr>
      </w:pPr>
      <w:r w:rsidRPr="006F7437">
        <w:rPr>
          <w:sz w:val="24"/>
          <w:szCs w:val="24"/>
        </w:rPr>
        <w:tab/>
        <w:t>v.</w:t>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r w:rsidRPr="006F7437">
        <w:rPr>
          <w:sz w:val="24"/>
          <w:szCs w:val="24"/>
        </w:rPr>
        <w:tab/>
      </w:r>
      <w:r w:rsidRPr="006F7437">
        <w:rPr>
          <w:sz w:val="24"/>
          <w:szCs w:val="24"/>
        </w:rPr>
        <w:tab/>
      </w:r>
      <w:r>
        <w:rPr>
          <w:sz w:val="24"/>
          <w:szCs w:val="24"/>
        </w:rPr>
        <w:t>F-2009-2110772</w:t>
      </w:r>
    </w:p>
    <w:p w:rsidR="00842E53" w:rsidRPr="006F7437" w:rsidRDefault="00842E53" w:rsidP="00842E53">
      <w:pPr>
        <w:rPr>
          <w:sz w:val="24"/>
          <w:szCs w:val="24"/>
        </w:rPr>
      </w:pP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p>
    <w:p w:rsidR="00842E53" w:rsidRPr="006F7437" w:rsidRDefault="00842E53" w:rsidP="00842E53">
      <w:pPr>
        <w:rPr>
          <w:sz w:val="24"/>
          <w:szCs w:val="24"/>
        </w:rPr>
      </w:pPr>
      <w:r>
        <w:rPr>
          <w:sz w:val="24"/>
          <w:szCs w:val="24"/>
        </w:rPr>
        <w:t>Philadelphia Gas Works</w:t>
      </w:r>
      <w:r>
        <w:rPr>
          <w:sz w:val="24"/>
          <w:szCs w:val="24"/>
        </w:rPr>
        <w:tab/>
      </w:r>
      <w:r>
        <w:rPr>
          <w:sz w:val="24"/>
          <w:szCs w:val="24"/>
        </w:rPr>
        <w:tab/>
      </w:r>
      <w:r>
        <w:rPr>
          <w:sz w:val="24"/>
          <w:szCs w:val="24"/>
        </w:rPr>
        <w:tab/>
      </w:r>
      <w:r w:rsidRPr="006F7437">
        <w:rPr>
          <w:sz w:val="24"/>
          <w:szCs w:val="24"/>
        </w:rPr>
        <w:tab/>
        <w:t>:</w:t>
      </w:r>
    </w:p>
    <w:p w:rsidR="00842E53" w:rsidRPr="006F7437" w:rsidRDefault="00842E53" w:rsidP="00842E53">
      <w:pPr>
        <w:rPr>
          <w:sz w:val="24"/>
          <w:szCs w:val="24"/>
        </w:rPr>
      </w:pPr>
    </w:p>
    <w:p w:rsidR="00842E53" w:rsidRPr="006F7437" w:rsidRDefault="00842E53" w:rsidP="00842E53">
      <w:pPr>
        <w:rPr>
          <w:sz w:val="24"/>
          <w:szCs w:val="24"/>
        </w:rPr>
      </w:pPr>
    </w:p>
    <w:p w:rsidR="00842E53" w:rsidRPr="006F7437" w:rsidRDefault="00842E53" w:rsidP="00842E53">
      <w:pPr>
        <w:rPr>
          <w:sz w:val="24"/>
          <w:szCs w:val="24"/>
        </w:rPr>
      </w:pPr>
    </w:p>
    <w:p w:rsidR="00842E53" w:rsidRDefault="00842E53" w:rsidP="00842E53">
      <w:pPr>
        <w:jc w:val="center"/>
        <w:rPr>
          <w:b/>
          <w:caps/>
          <w:sz w:val="24"/>
          <w:szCs w:val="24"/>
          <w:u w:val="single"/>
        </w:rPr>
      </w:pPr>
      <w:r>
        <w:rPr>
          <w:b/>
          <w:caps/>
          <w:sz w:val="24"/>
          <w:szCs w:val="24"/>
          <w:u w:val="single"/>
        </w:rPr>
        <w:t>Initial Decision</w:t>
      </w:r>
    </w:p>
    <w:p w:rsidR="00842E53" w:rsidRDefault="00842E53" w:rsidP="00842E53">
      <w:pPr>
        <w:jc w:val="center"/>
        <w:rPr>
          <w:sz w:val="24"/>
          <w:szCs w:val="24"/>
          <w:u w:val="single"/>
        </w:rPr>
      </w:pPr>
    </w:p>
    <w:p w:rsidR="00873B21" w:rsidRPr="006F7437" w:rsidRDefault="00873B21" w:rsidP="00842E53">
      <w:pPr>
        <w:jc w:val="center"/>
        <w:rPr>
          <w:sz w:val="24"/>
          <w:szCs w:val="24"/>
          <w:u w:val="single"/>
        </w:rPr>
      </w:pPr>
    </w:p>
    <w:p w:rsidR="00842E53" w:rsidRPr="006F7437" w:rsidRDefault="00842E53" w:rsidP="00842E53">
      <w:pPr>
        <w:jc w:val="center"/>
        <w:rPr>
          <w:sz w:val="24"/>
          <w:szCs w:val="24"/>
        </w:rPr>
      </w:pPr>
      <w:r w:rsidRPr="006F7437">
        <w:rPr>
          <w:sz w:val="24"/>
          <w:szCs w:val="24"/>
        </w:rPr>
        <w:t>Before</w:t>
      </w:r>
    </w:p>
    <w:p w:rsidR="00842E53" w:rsidRPr="006F7437" w:rsidRDefault="00842E53" w:rsidP="00842E53">
      <w:pPr>
        <w:jc w:val="center"/>
        <w:rPr>
          <w:sz w:val="24"/>
          <w:szCs w:val="24"/>
        </w:rPr>
      </w:pPr>
      <w:r>
        <w:rPr>
          <w:sz w:val="24"/>
          <w:szCs w:val="24"/>
        </w:rPr>
        <w:t>Veronica A. Smith</w:t>
      </w:r>
    </w:p>
    <w:p w:rsidR="00842E53" w:rsidRPr="006F7437" w:rsidRDefault="00842E53" w:rsidP="00842E53">
      <w:pPr>
        <w:jc w:val="center"/>
        <w:rPr>
          <w:sz w:val="24"/>
          <w:szCs w:val="24"/>
        </w:rPr>
      </w:pPr>
      <w:r>
        <w:rPr>
          <w:sz w:val="24"/>
          <w:szCs w:val="24"/>
        </w:rPr>
        <w:t>Chief Administrative Law Judge</w:t>
      </w:r>
    </w:p>
    <w:p w:rsidR="00842E53" w:rsidRPr="006F7437" w:rsidRDefault="00842E53" w:rsidP="00842E53">
      <w:pPr>
        <w:jc w:val="center"/>
        <w:rPr>
          <w:sz w:val="24"/>
          <w:szCs w:val="24"/>
        </w:rPr>
      </w:pPr>
    </w:p>
    <w:p w:rsidR="00842E53" w:rsidRPr="006F7437" w:rsidRDefault="00842E53" w:rsidP="00842E53">
      <w:pPr>
        <w:jc w:val="center"/>
        <w:rPr>
          <w:sz w:val="24"/>
          <w:szCs w:val="24"/>
        </w:rPr>
      </w:pPr>
    </w:p>
    <w:p w:rsidR="00842E53" w:rsidRPr="006F7437" w:rsidRDefault="00842E53" w:rsidP="00842E53">
      <w:pPr>
        <w:jc w:val="center"/>
        <w:rPr>
          <w:sz w:val="24"/>
          <w:szCs w:val="24"/>
          <w:u w:val="single"/>
        </w:rPr>
      </w:pPr>
      <w:r w:rsidRPr="006F7437">
        <w:rPr>
          <w:sz w:val="24"/>
          <w:szCs w:val="24"/>
          <w:u w:val="single"/>
        </w:rPr>
        <w:t>HISTORY OF THE PROCEEDING</w:t>
      </w:r>
      <w:r>
        <w:rPr>
          <w:sz w:val="24"/>
          <w:szCs w:val="24"/>
          <w:u w:val="single"/>
        </w:rPr>
        <w:t>S</w:t>
      </w:r>
    </w:p>
    <w:p w:rsidR="00842E53" w:rsidRPr="006F7437" w:rsidRDefault="00842E53" w:rsidP="00842E53">
      <w:pPr>
        <w:jc w:val="center"/>
        <w:rPr>
          <w:sz w:val="24"/>
          <w:szCs w:val="24"/>
          <w:u w:val="single"/>
        </w:rPr>
      </w:pPr>
    </w:p>
    <w:p w:rsidR="00842E53" w:rsidRPr="006F7437" w:rsidRDefault="00842E53" w:rsidP="00842E53">
      <w:pPr>
        <w:jc w:val="center"/>
        <w:rPr>
          <w:sz w:val="24"/>
          <w:szCs w:val="24"/>
          <w:u w:val="single"/>
        </w:rPr>
      </w:pPr>
    </w:p>
    <w:p w:rsidR="00842E53" w:rsidRDefault="00842E53" w:rsidP="00975D63">
      <w:pPr>
        <w:spacing w:line="360" w:lineRule="auto"/>
        <w:ind w:right="-72" w:firstLine="1440"/>
        <w:rPr>
          <w:sz w:val="24"/>
          <w:szCs w:val="24"/>
        </w:rPr>
      </w:pPr>
      <w:r>
        <w:rPr>
          <w:sz w:val="24"/>
          <w:szCs w:val="24"/>
        </w:rPr>
        <w:t xml:space="preserve">On May 22, 2009, Angelo Rodriguez (Mr. Rodriguez or Complainant) filed a Formal Complaint </w:t>
      </w:r>
      <w:r w:rsidRPr="00FB4B44">
        <w:rPr>
          <w:sz w:val="24"/>
          <w:szCs w:val="24"/>
        </w:rPr>
        <w:t xml:space="preserve">with the Pennsylvania Public Utility Commission (Commission) </w:t>
      </w:r>
      <w:r>
        <w:rPr>
          <w:sz w:val="24"/>
          <w:szCs w:val="24"/>
        </w:rPr>
        <w:t>against Philadelphia Gas Works (PGW or Res</w:t>
      </w:r>
      <w:r w:rsidR="00975D63">
        <w:rPr>
          <w:sz w:val="24"/>
          <w:szCs w:val="24"/>
        </w:rPr>
        <w:t xml:space="preserve">pondent) </w:t>
      </w:r>
      <w:r w:rsidR="00975D63" w:rsidRPr="003106B5">
        <w:rPr>
          <w:sz w:val="24"/>
          <w:szCs w:val="24"/>
        </w:rPr>
        <w:t>using the Commission’s Forma</w:t>
      </w:r>
      <w:r w:rsidR="00975D63">
        <w:rPr>
          <w:sz w:val="24"/>
          <w:szCs w:val="24"/>
        </w:rPr>
        <w:t>l Complaint Form.  After completing sections 1-3 of the F</w:t>
      </w:r>
      <w:r w:rsidR="00975D63" w:rsidRPr="003106B5">
        <w:rPr>
          <w:sz w:val="24"/>
          <w:szCs w:val="24"/>
        </w:rPr>
        <w:t>or</w:t>
      </w:r>
      <w:r w:rsidR="00975D63">
        <w:rPr>
          <w:sz w:val="24"/>
          <w:szCs w:val="24"/>
        </w:rPr>
        <w:t>m, Complainant checked the box</w:t>
      </w:r>
      <w:r w:rsidR="00975D63" w:rsidRPr="003106B5">
        <w:rPr>
          <w:sz w:val="24"/>
          <w:szCs w:val="24"/>
        </w:rPr>
        <w:t xml:space="preserve"> next to “There a</w:t>
      </w:r>
      <w:r w:rsidR="00975D63">
        <w:rPr>
          <w:sz w:val="24"/>
          <w:szCs w:val="24"/>
        </w:rPr>
        <w:t>re incorrect charges on my bill</w:t>
      </w:r>
      <w:r w:rsidR="00975D63" w:rsidRPr="003106B5">
        <w:rPr>
          <w:sz w:val="24"/>
          <w:szCs w:val="24"/>
        </w:rPr>
        <w:t>” in section 4(A) of the Complaint Form.  Sections 4(B) and 5, which prompt the Complainant to</w:t>
      </w:r>
      <w:r w:rsidR="00975D63">
        <w:rPr>
          <w:sz w:val="24"/>
          <w:szCs w:val="24"/>
        </w:rPr>
        <w:t xml:space="preserve"> state the facts of the</w:t>
      </w:r>
      <w:r w:rsidR="00975D63" w:rsidRPr="003106B5">
        <w:rPr>
          <w:sz w:val="24"/>
          <w:szCs w:val="24"/>
        </w:rPr>
        <w:t xml:space="preserve"> Complaint and the relief requested, were left blank.</w:t>
      </w:r>
      <w:r w:rsidR="00975D63">
        <w:rPr>
          <w:sz w:val="24"/>
          <w:szCs w:val="24"/>
        </w:rPr>
        <w:t xml:space="preserve"> </w:t>
      </w:r>
      <w:r>
        <w:rPr>
          <w:sz w:val="24"/>
          <w:szCs w:val="24"/>
        </w:rPr>
        <w:t xml:space="preserve"> </w:t>
      </w:r>
    </w:p>
    <w:p w:rsidR="00842E53" w:rsidRDefault="00842E53" w:rsidP="00842E53">
      <w:pPr>
        <w:spacing w:line="360" w:lineRule="auto"/>
        <w:rPr>
          <w:sz w:val="24"/>
          <w:szCs w:val="24"/>
        </w:rPr>
      </w:pPr>
    </w:p>
    <w:p w:rsidR="00842E53" w:rsidRDefault="00842E53" w:rsidP="00842E53">
      <w:pPr>
        <w:spacing w:line="360" w:lineRule="auto"/>
        <w:ind w:firstLine="1440"/>
        <w:rPr>
          <w:sz w:val="24"/>
          <w:szCs w:val="24"/>
        </w:rPr>
      </w:pPr>
      <w:r>
        <w:rPr>
          <w:sz w:val="24"/>
          <w:szCs w:val="24"/>
        </w:rPr>
        <w:t>On June 15, 2009, Respondent filed a Preliminary Objectio</w:t>
      </w:r>
      <w:r w:rsidR="00AF0FD2">
        <w:rPr>
          <w:sz w:val="24"/>
          <w:szCs w:val="24"/>
        </w:rPr>
        <w:t>n averring that the Complaint is</w:t>
      </w:r>
      <w:r>
        <w:rPr>
          <w:sz w:val="24"/>
          <w:szCs w:val="24"/>
        </w:rPr>
        <w:t xml:space="preserve"> not specific enough to allow Respondent to file an appropriate answer because it contains no description of circumstances in support of the averment that there are incorrect charges on his PGW bill, or any other factual averments.  </w:t>
      </w:r>
      <w:r w:rsidR="00AF0FD2">
        <w:rPr>
          <w:sz w:val="24"/>
          <w:szCs w:val="24"/>
        </w:rPr>
        <w:t>Respondent requested</w:t>
      </w:r>
      <w:r>
        <w:rPr>
          <w:sz w:val="24"/>
          <w:szCs w:val="24"/>
        </w:rPr>
        <w:t xml:space="preserve"> that Mr. Rodriguez’ Complaint be dismissed on the grounds of insufficient specificity, pursuant t</w:t>
      </w:r>
      <w:r w:rsidR="004D3452">
        <w:rPr>
          <w:sz w:val="24"/>
          <w:szCs w:val="24"/>
        </w:rPr>
        <w:t>o 52 Pa. Code §</w:t>
      </w:r>
      <w:r>
        <w:rPr>
          <w:sz w:val="24"/>
          <w:szCs w:val="24"/>
        </w:rPr>
        <w:t>5.101(a)(3).</w:t>
      </w:r>
    </w:p>
    <w:p w:rsidR="00842E53" w:rsidRDefault="00842E53" w:rsidP="00842E53">
      <w:pPr>
        <w:spacing w:line="360" w:lineRule="auto"/>
        <w:ind w:firstLine="1440"/>
        <w:rPr>
          <w:sz w:val="24"/>
          <w:szCs w:val="24"/>
        </w:rPr>
      </w:pPr>
    </w:p>
    <w:p w:rsidR="00842E53" w:rsidRDefault="00842E53" w:rsidP="00842E53">
      <w:pPr>
        <w:spacing w:line="360" w:lineRule="auto"/>
        <w:ind w:firstLine="1440"/>
        <w:rPr>
          <w:sz w:val="24"/>
          <w:szCs w:val="24"/>
        </w:rPr>
      </w:pPr>
      <w:r w:rsidRPr="00EB19C2">
        <w:rPr>
          <w:sz w:val="24"/>
          <w:szCs w:val="24"/>
        </w:rPr>
        <w:lastRenderedPageBreak/>
        <w:t>Complainant did not file a response to Respondent’s</w:t>
      </w:r>
      <w:r>
        <w:rPr>
          <w:sz w:val="24"/>
          <w:szCs w:val="24"/>
        </w:rPr>
        <w:t xml:space="preserve"> </w:t>
      </w:r>
      <w:r w:rsidRPr="00EB19C2">
        <w:rPr>
          <w:sz w:val="24"/>
          <w:szCs w:val="24"/>
        </w:rPr>
        <w:t>Preliminary Objection.</w:t>
      </w:r>
      <w:r>
        <w:rPr>
          <w:sz w:val="24"/>
          <w:szCs w:val="24"/>
        </w:rPr>
        <w:t xml:space="preserve">  The matter was assigned to me by Motion Judge Assignment Notice dated June 19, 2009.  </w:t>
      </w:r>
    </w:p>
    <w:p w:rsidR="00842E53" w:rsidRDefault="00842E53" w:rsidP="00842E53">
      <w:pPr>
        <w:spacing w:line="360" w:lineRule="auto"/>
        <w:rPr>
          <w:sz w:val="24"/>
          <w:szCs w:val="24"/>
        </w:rPr>
      </w:pPr>
    </w:p>
    <w:p w:rsidR="00975D63" w:rsidRDefault="002D4FE3" w:rsidP="00C8701A">
      <w:pPr>
        <w:spacing w:line="360" w:lineRule="auto"/>
        <w:ind w:right="-28" w:firstLine="1440"/>
        <w:rPr>
          <w:sz w:val="24"/>
          <w:szCs w:val="24"/>
        </w:rPr>
      </w:pPr>
      <w:r>
        <w:rPr>
          <w:sz w:val="24"/>
          <w:szCs w:val="24"/>
        </w:rPr>
        <w:t xml:space="preserve">On August 31, 2009, I issued an Order </w:t>
      </w:r>
      <w:r w:rsidR="009A020B">
        <w:rPr>
          <w:sz w:val="24"/>
          <w:szCs w:val="24"/>
        </w:rPr>
        <w:t xml:space="preserve">on </w:t>
      </w:r>
      <w:r>
        <w:rPr>
          <w:sz w:val="24"/>
          <w:szCs w:val="24"/>
        </w:rPr>
        <w:t xml:space="preserve">Respondent’s Preliminary Objection.  The Order directed </w:t>
      </w:r>
      <w:r w:rsidR="00975D63">
        <w:rPr>
          <w:sz w:val="24"/>
          <w:szCs w:val="24"/>
        </w:rPr>
        <w:t>Complainant to file an amended complaint w</w:t>
      </w:r>
      <w:r>
        <w:rPr>
          <w:sz w:val="24"/>
          <w:szCs w:val="24"/>
        </w:rPr>
        <w:t>ithin 20 days of service of the Order that contained</w:t>
      </w:r>
      <w:r w:rsidR="00975D63">
        <w:rPr>
          <w:sz w:val="24"/>
          <w:szCs w:val="24"/>
        </w:rPr>
        <w:t xml:space="preserve"> specific facts </w:t>
      </w:r>
      <w:r>
        <w:rPr>
          <w:sz w:val="24"/>
          <w:szCs w:val="24"/>
        </w:rPr>
        <w:t xml:space="preserve">supporting and clarifying </w:t>
      </w:r>
      <w:r w:rsidR="00975D63">
        <w:rPr>
          <w:sz w:val="24"/>
          <w:szCs w:val="24"/>
        </w:rPr>
        <w:t>his dispute.</w:t>
      </w:r>
      <w:r>
        <w:rPr>
          <w:sz w:val="24"/>
          <w:szCs w:val="24"/>
        </w:rPr>
        <w:t xml:space="preserve">  </w:t>
      </w:r>
      <w:r w:rsidR="000C4C34">
        <w:rPr>
          <w:sz w:val="24"/>
          <w:szCs w:val="24"/>
        </w:rPr>
        <w:t>The Order stated that, i</w:t>
      </w:r>
      <w:r w:rsidR="004D3452">
        <w:rPr>
          <w:sz w:val="24"/>
          <w:szCs w:val="24"/>
        </w:rPr>
        <w:t>f Complainant failed</w:t>
      </w:r>
      <w:r w:rsidR="00975D63">
        <w:rPr>
          <w:sz w:val="24"/>
          <w:szCs w:val="24"/>
        </w:rPr>
        <w:t xml:space="preserve"> to file an amended complaint w</w:t>
      </w:r>
      <w:r w:rsidR="004D3452">
        <w:rPr>
          <w:sz w:val="24"/>
          <w:szCs w:val="24"/>
        </w:rPr>
        <w:t xml:space="preserve">ithin 20 days of service of the </w:t>
      </w:r>
      <w:r w:rsidR="00975D63">
        <w:rPr>
          <w:sz w:val="24"/>
          <w:szCs w:val="24"/>
        </w:rPr>
        <w:t xml:space="preserve">Order, the Formal Complaint at Docket No. F-2009-2110772 </w:t>
      </w:r>
      <w:r w:rsidR="004D3452">
        <w:rPr>
          <w:sz w:val="24"/>
          <w:szCs w:val="24"/>
        </w:rPr>
        <w:t xml:space="preserve">would </w:t>
      </w:r>
      <w:r w:rsidR="00975D63">
        <w:rPr>
          <w:sz w:val="24"/>
          <w:szCs w:val="24"/>
        </w:rPr>
        <w:t xml:space="preserve">be dismissed with prejudice.  </w:t>
      </w:r>
    </w:p>
    <w:p w:rsidR="004D3452" w:rsidRDefault="004D3452" w:rsidP="00C8701A">
      <w:pPr>
        <w:spacing w:line="360" w:lineRule="auto"/>
        <w:ind w:right="-28" w:firstLine="1440"/>
        <w:rPr>
          <w:sz w:val="24"/>
          <w:szCs w:val="24"/>
        </w:rPr>
      </w:pPr>
    </w:p>
    <w:p w:rsidR="004D3452" w:rsidRDefault="004D3452" w:rsidP="00C8701A">
      <w:pPr>
        <w:spacing w:line="360" w:lineRule="auto"/>
        <w:ind w:right="-28" w:firstLine="1440"/>
        <w:rPr>
          <w:sz w:val="24"/>
          <w:szCs w:val="24"/>
        </w:rPr>
      </w:pPr>
      <w:r>
        <w:rPr>
          <w:sz w:val="24"/>
          <w:szCs w:val="24"/>
        </w:rPr>
        <w:t xml:space="preserve">As of the date of </w:t>
      </w:r>
      <w:r w:rsidR="000C4C34">
        <w:rPr>
          <w:sz w:val="24"/>
          <w:szCs w:val="24"/>
        </w:rPr>
        <w:t>this Initial Decision, Complainant has not filed an amended complaint in this matter.</w:t>
      </w:r>
    </w:p>
    <w:p w:rsidR="00C8701A" w:rsidRDefault="00C8701A" w:rsidP="00975D63">
      <w:pPr>
        <w:spacing w:line="360" w:lineRule="auto"/>
        <w:ind w:right="-28" w:firstLine="1440"/>
        <w:rPr>
          <w:sz w:val="24"/>
          <w:szCs w:val="24"/>
        </w:rPr>
      </w:pPr>
    </w:p>
    <w:p w:rsidR="00842E53" w:rsidRDefault="00842E53" w:rsidP="00873B21">
      <w:pPr>
        <w:pStyle w:val="FootnoteText"/>
        <w:spacing w:line="360" w:lineRule="auto"/>
        <w:ind w:firstLine="1440"/>
        <w:rPr>
          <w:sz w:val="24"/>
          <w:szCs w:val="24"/>
        </w:rPr>
      </w:pPr>
      <w:r>
        <w:rPr>
          <w:sz w:val="24"/>
          <w:szCs w:val="24"/>
        </w:rPr>
        <w:t xml:space="preserve">A formal complaint must set forth “the act or thing done or omitted to be done” by a public utility “in violation, or claimed violation, of any law which the commission has jurisdiction to administer, or of any regulation or order of the commission.”  </w:t>
      </w:r>
      <w:r w:rsidRPr="00B42392">
        <w:rPr>
          <w:sz w:val="24"/>
          <w:szCs w:val="24"/>
        </w:rPr>
        <w:t xml:space="preserve">66 </w:t>
      </w:r>
      <w:smartTag w:uri="urn:schemas-microsoft-com:office:smarttags" w:element="State">
        <w:r w:rsidRPr="00B42392">
          <w:rPr>
            <w:sz w:val="24"/>
            <w:szCs w:val="24"/>
          </w:rPr>
          <w:t>Pa.</w:t>
        </w:r>
      </w:smartTag>
      <w:r w:rsidRPr="00B42392">
        <w:rPr>
          <w:sz w:val="24"/>
          <w:szCs w:val="24"/>
        </w:rPr>
        <w:t xml:space="preserve"> C.S. §</w:t>
      </w:r>
      <w:r>
        <w:rPr>
          <w:sz w:val="24"/>
          <w:szCs w:val="24"/>
        </w:rPr>
        <w:t xml:space="preserve"> </w:t>
      </w:r>
      <w:r w:rsidRPr="00B42392">
        <w:rPr>
          <w:sz w:val="24"/>
          <w:szCs w:val="24"/>
        </w:rPr>
        <w:t xml:space="preserve">701; 52 </w:t>
      </w:r>
      <w:smartTag w:uri="urn:schemas-microsoft-com:office:smarttags" w:element="place">
        <w:smartTag w:uri="urn:schemas-microsoft-com:office:smarttags" w:element="State">
          <w:r w:rsidRPr="00B42392">
            <w:rPr>
              <w:sz w:val="24"/>
              <w:szCs w:val="24"/>
            </w:rPr>
            <w:t>Pa.</w:t>
          </w:r>
        </w:smartTag>
      </w:smartTag>
      <w:r w:rsidRPr="00B42392">
        <w:rPr>
          <w:sz w:val="24"/>
          <w:szCs w:val="24"/>
        </w:rPr>
        <w:t xml:space="preserve"> Code §</w:t>
      </w:r>
      <w:r>
        <w:rPr>
          <w:sz w:val="24"/>
          <w:szCs w:val="24"/>
        </w:rPr>
        <w:t xml:space="preserve"> </w:t>
      </w:r>
      <w:r w:rsidRPr="00B42392">
        <w:rPr>
          <w:sz w:val="24"/>
          <w:szCs w:val="24"/>
        </w:rPr>
        <w:t>5.22(a)(4).</w:t>
      </w:r>
      <w:r w:rsidR="000C4C34">
        <w:rPr>
          <w:sz w:val="24"/>
          <w:szCs w:val="24"/>
        </w:rPr>
        <w:t xml:space="preserve">  T</w:t>
      </w:r>
      <w:r>
        <w:rPr>
          <w:sz w:val="24"/>
          <w:szCs w:val="24"/>
        </w:rPr>
        <w:t>he Commission’s regulations require that a complaint contain a clear statement of the relief sought.</w:t>
      </w:r>
      <w:r w:rsidRPr="00B42392">
        <w:t xml:space="preserve">  </w:t>
      </w:r>
      <w:r w:rsidRPr="00B42392">
        <w:rPr>
          <w:sz w:val="24"/>
          <w:szCs w:val="24"/>
        </w:rPr>
        <w:t xml:space="preserve">52 </w:t>
      </w:r>
      <w:smartTag w:uri="urn:schemas-microsoft-com:office:smarttags" w:element="place">
        <w:smartTag w:uri="urn:schemas-microsoft-com:office:smarttags" w:element="State">
          <w:r w:rsidRPr="00B42392">
            <w:rPr>
              <w:sz w:val="24"/>
              <w:szCs w:val="24"/>
            </w:rPr>
            <w:t>Pa.</w:t>
          </w:r>
        </w:smartTag>
      </w:smartTag>
      <w:r w:rsidRPr="00B42392">
        <w:rPr>
          <w:sz w:val="24"/>
          <w:szCs w:val="24"/>
        </w:rPr>
        <w:t xml:space="preserve"> Code §</w:t>
      </w:r>
      <w:r>
        <w:rPr>
          <w:sz w:val="24"/>
          <w:szCs w:val="24"/>
        </w:rPr>
        <w:t xml:space="preserve"> </w:t>
      </w:r>
      <w:r w:rsidRPr="00B42392">
        <w:rPr>
          <w:sz w:val="24"/>
          <w:szCs w:val="24"/>
        </w:rPr>
        <w:t>5.22(a)(5)</w:t>
      </w:r>
      <w:r>
        <w:t>.</w:t>
      </w:r>
      <w:r>
        <w:rPr>
          <w:sz w:val="24"/>
          <w:szCs w:val="24"/>
        </w:rPr>
        <w:t xml:space="preserve">  A complaint should contain information specific enough to allow the respondent to understand the allegations against it, in order to conduct a meaningful investigation of the allegations and to prepare a coherent response or defense.</w:t>
      </w:r>
      <w:r w:rsidR="003847BC">
        <w:rPr>
          <w:sz w:val="24"/>
          <w:szCs w:val="24"/>
        </w:rPr>
        <w:t xml:space="preserve">  Because Mr. Rodriguez’ Complaint, as it stands, does none of the above, the Commission is left with no option but to dismiss the Complaint with prejudice.</w:t>
      </w:r>
    </w:p>
    <w:p w:rsidR="00C01E3F" w:rsidRPr="00C8701A" w:rsidRDefault="00C01E3F" w:rsidP="00C8701A">
      <w:pPr>
        <w:spacing w:line="360" w:lineRule="auto"/>
        <w:ind w:right="-28" w:firstLine="1440"/>
        <w:rPr>
          <w:sz w:val="24"/>
          <w:szCs w:val="24"/>
        </w:rPr>
      </w:pPr>
    </w:p>
    <w:p w:rsidR="000C4C34" w:rsidRDefault="000C4C34" w:rsidP="000C4C34">
      <w:pPr>
        <w:spacing w:line="360" w:lineRule="auto"/>
        <w:ind w:firstLine="1440"/>
        <w:rPr>
          <w:spacing w:val="-3"/>
          <w:sz w:val="24"/>
          <w:szCs w:val="24"/>
        </w:rPr>
      </w:pPr>
      <w:r>
        <w:rPr>
          <w:spacing w:val="-3"/>
          <w:sz w:val="24"/>
          <w:szCs w:val="24"/>
        </w:rPr>
        <w:t xml:space="preserve">Furthermore, </w:t>
      </w:r>
      <w:r w:rsidRPr="00C8701A">
        <w:rPr>
          <w:spacing w:val="-3"/>
          <w:sz w:val="24"/>
          <w:szCs w:val="24"/>
        </w:rPr>
        <w:t>Complainan</w:t>
      </w:r>
      <w:r>
        <w:rPr>
          <w:spacing w:val="-3"/>
          <w:sz w:val="24"/>
          <w:szCs w:val="24"/>
        </w:rPr>
        <w:t>t’s lack of compliance with the August 31, 2009</w:t>
      </w:r>
      <w:r w:rsidRPr="00C8701A">
        <w:rPr>
          <w:spacing w:val="-3"/>
          <w:sz w:val="24"/>
          <w:szCs w:val="24"/>
        </w:rPr>
        <w:t xml:space="preserve"> Order constitutes </w:t>
      </w:r>
      <w:r>
        <w:rPr>
          <w:spacing w:val="-3"/>
          <w:sz w:val="24"/>
          <w:szCs w:val="24"/>
        </w:rPr>
        <w:t xml:space="preserve">additional </w:t>
      </w:r>
      <w:r w:rsidRPr="00C8701A">
        <w:rPr>
          <w:spacing w:val="-3"/>
          <w:sz w:val="24"/>
          <w:szCs w:val="24"/>
        </w:rPr>
        <w:t xml:space="preserve">grounds for dismissal of the Complaint.  </w:t>
      </w:r>
      <w:r w:rsidRPr="00C8701A">
        <w:rPr>
          <w:spacing w:val="-3"/>
          <w:sz w:val="24"/>
          <w:szCs w:val="24"/>
          <w:u w:val="single"/>
        </w:rPr>
        <w:t>Snyderville Community Development Corporation v. Philadelphia Gas Works</w:t>
      </w:r>
      <w:r w:rsidRPr="00C8701A">
        <w:rPr>
          <w:spacing w:val="-3"/>
          <w:sz w:val="24"/>
          <w:szCs w:val="24"/>
        </w:rPr>
        <w:t>, C-20055032</w:t>
      </w:r>
      <w:r>
        <w:rPr>
          <w:spacing w:val="-3"/>
          <w:sz w:val="24"/>
          <w:szCs w:val="24"/>
        </w:rPr>
        <w:t xml:space="preserve">, </w:t>
      </w:r>
      <w:r w:rsidRPr="00C8701A">
        <w:rPr>
          <w:spacing w:val="-3"/>
          <w:sz w:val="24"/>
          <w:szCs w:val="24"/>
        </w:rPr>
        <w:t xml:space="preserve">Opinion and Order adopted June 22, 2006, entered July 31, 2006. </w:t>
      </w:r>
    </w:p>
    <w:p w:rsidR="003847BC" w:rsidRDefault="003847BC" w:rsidP="000C4C34">
      <w:pPr>
        <w:spacing w:line="360" w:lineRule="auto"/>
        <w:ind w:firstLine="1440"/>
        <w:rPr>
          <w:spacing w:val="-3"/>
          <w:sz w:val="24"/>
          <w:szCs w:val="24"/>
        </w:rPr>
      </w:pPr>
    </w:p>
    <w:p w:rsidR="003847BC" w:rsidRPr="00624C10" w:rsidRDefault="003847BC" w:rsidP="000C4C34">
      <w:pPr>
        <w:spacing w:line="360" w:lineRule="auto"/>
        <w:ind w:firstLine="1440"/>
        <w:rPr>
          <w:sz w:val="24"/>
          <w:szCs w:val="24"/>
        </w:rPr>
      </w:pPr>
      <w:r>
        <w:rPr>
          <w:spacing w:val="-3"/>
          <w:sz w:val="24"/>
          <w:szCs w:val="24"/>
        </w:rPr>
        <w:t xml:space="preserve">For the reasons stated above, the Complaint filed by Angelo Rodriguez against Philadelphia Gas Works at </w:t>
      </w:r>
      <w:r w:rsidRPr="00624C10">
        <w:rPr>
          <w:spacing w:val="-3"/>
          <w:sz w:val="24"/>
          <w:szCs w:val="24"/>
        </w:rPr>
        <w:t xml:space="preserve">Docket No. </w:t>
      </w:r>
      <w:r w:rsidRPr="00624C10">
        <w:rPr>
          <w:sz w:val="24"/>
          <w:szCs w:val="24"/>
        </w:rPr>
        <w:t>F-2009-2110772</w:t>
      </w:r>
      <w:r w:rsidR="00624C10" w:rsidRPr="00624C10">
        <w:rPr>
          <w:sz w:val="24"/>
          <w:szCs w:val="24"/>
        </w:rPr>
        <w:t xml:space="preserve"> will be dismissed with prejudice for insufficient specificity of the pleading.</w:t>
      </w:r>
    </w:p>
    <w:p w:rsidR="00842E53" w:rsidRDefault="00842E53" w:rsidP="00842E53">
      <w:pPr>
        <w:spacing w:line="360" w:lineRule="auto"/>
        <w:ind w:right="-28" w:firstLine="1440"/>
        <w:rPr>
          <w:sz w:val="24"/>
          <w:szCs w:val="24"/>
        </w:rPr>
      </w:pPr>
    </w:p>
    <w:p w:rsidR="00624C10" w:rsidRPr="00624C10" w:rsidRDefault="00624C10" w:rsidP="00624C10">
      <w:pPr>
        <w:tabs>
          <w:tab w:val="left" w:pos="2160"/>
          <w:tab w:val="left" w:pos="2250"/>
        </w:tabs>
        <w:spacing w:line="360" w:lineRule="auto"/>
        <w:jc w:val="center"/>
        <w:outlineLvl w:val="0"/>
        <w:rPr>
          <w:bCs/>
          <w:sz w:val="24"/>
          <w:szCs w:val="24"/>
          <w:u w:val="single"/>
        </w:rPr>
      </w:pPr>
      <w:r w:rsidRPr="00624C10">
        <w:rPr>
          <w:bCs/>
          <w:sz w:val="24"/>
          <w:szCs w:val="24"/>
          <w:u w:val="single"/>
        </w:rPr>
        <w:lastRenderedPageBreak/>
        <w:t>ORDER</w:t>
      </w:r>
    </w:p>
    <w:p w:rsidR="00624C10" w:rsidRDefault="00624C10" w:rsidP="00624C10">
      <w:pPr>
        <w:tabs>
          <w:tab w:val="left" w:pos="2250"/>
        </w:tabs>
        <w:spacing w:line="360" w:lineRule="auto"/>
        <w:ind w:firstLine="1440"/>
        <w:rPr>
          <w:sz w:val="24"/>
          <w:szCs w:val="24"/>
        </w:rPr>
      </w:pPr>
    </w:p>
    <w:p w:rsidR="00873B21" w:rsidRPr="00624C10" w:rsidRDefault="00873B21" w:rsidP="00624C10">
      <w:pPr>
        <w:tabs>
          <w:tab w:val="left" w:pos="2250"/>
        </w:tabs>
        <w:spacing w:line="360" w:lineRule="auto"/>
        <w:ind w:firstLine="1440"/>
        <w:rPr>
          <w:sz w:val="24"/>
          <w:szCs w:val="24"/>
        </w:rPr>
      </w:pPr>
    </w:p>
    <w:p w:rsidR="00624C10" w:rsidRPr="00624C10" w:rsidRDefault="00624C10" w:rsidP="00624C10">
      <w:pPr>
        <w:tabs>
          <w:tab w:val="left" w:pos="2250"/>
        </w:tabs>
        <w:spacing w:line="360" w:lineRule="auto"/>
        <w:ind w:firstLine="1440"/>
        <w:rPr>
          <w:bCs/>
          <w:sz w:val="24"/>
          <w:szCs w:val="24"/>
        </w:rPr>
      </w:pPr>
      <w:r w:rsidRPr="00624C10">
        <w:rPr>
          <w:bCs/>
          <w:sz w:val="24"/>
          <w:szCs w:val="24"/>
        </w:rPr>
        <w:t>THEREFORE,</w:t>
      </w:r>
    </w:p>
    <w:p w:rsidR="00624C10" w:rsidRPr="00624C10" w:rsidRDefault="00624C10" w:rsidP="00624C10">
      <w:pPr>
        <w:tabs>
          <w:tab w:val="left" w:pos="2250"/>
        </w:tabs>
        <w:spacing w:line="360" w:lineRule="auto"/>
        <w:ind w:firstLine="1440"/>
        <w:rPr>
          <w:sz w:val="24"/>
          <w:szCs w:val="24"/>
        </w:rPr>
      </w:pPr>
    </w:p>
    <w:p w:rsidR="00624C10" w:rsidRPr="00624C10" w:rsidRDefault="00624C10" w:rsidP="00624C10">
      <w:pPr>
        <w:tabs>
          <w:tab w:val="left" w:pos="2250"/>
        </w:tabs>
        <w:spacing w:line="360" w:lineRule="auto"/>
        <w:ind w:firstLine="1440"/>
        <w:outlineLvl w:val="0"/>
        <w:rPr>
          <w:bCs/>
          <w:sz w:val="24"/>
          <w:szCs w:val="24"/>
        </w:rPr>
      </w:pPr>
      <w:r w:rsidRPr="00624C10">
        <w:rPr>
          <w:bCs/>
          <w:sz w:val="24"/>
          <w:szCs w:val="24"/>
        </w:rPr>
        <w:t>IT IS ORDERED:</w:t>
      </w:r>
    </w:p>
    <w:p w:rsidR="00624C10" w:rsidRPr="00624C10" w:rsidRDefault="00624C10" w:rsidP="00624C10">
      <w:pPr>
        <w:tabs>
          <w:tab w:val="left" w:pos="2250"/>
        </w:tabs>
        <w:spacing w:line="360" w:lineRule="auto"/>
        <w:ind w:firstLine="1440"/>
        <w:rPr>
          <w:sz w:val="24"/>
          <w:szCs w:val="24"/>
        </w:rPr>
      </w:pPr>
    </w:p>
    <w:p w:rsidR="00624C10" w:rsidRPr="00624C10" w:rsidRDefault="00624C10" w:rsidP="00624C10">
      <w:pPr>
        <w:spacing w:line="360" w:lineRule="auto"/>
        <w:ind w:firstLine="1440"/>
        <w:rPr>
          <w:sz w:val="24"/>
          <w:szCs w:val="24"/>
        </w:rPr>
      </w:pPr>
      <w:r w:rsidRPr="00624C10">
        <w:rPr>
          <w:sz w:val="24"/>
          <w:szCs w:val="24"/>
        </w:rPr>
        <w:t>1.</w:t>
      </w:r>
      <w:r w:rsidRPr="00624C10">
        <w:rPr>
          <w:sz w:val="24"/>
          <w:szCs w:val="24"/>
        </w:rPr>
        <w:tab/>
      </w:r>
      <w:r w:rsidR="009D3DB1">
        <w:rPr>
          <w:spacing w:val="-3"/>
          <w:sz w:val="24"/>
          <w:szCs w:val="24"/>
        </w:rPr>
        <w:t>That t</w:t>
      </w:r>
      <w:r>
        <w:rPr>
          <w:spacing w:val="-3"/>
          <w:sz w:val="24"/>
          <w:szCs w:val="24"/>
        </w:rPr>
        <w:t xml:space="preserve">he Complaint filed by Angelo Rodriguez against Philadelphia Gas Works at </w:t>
      </w:r>
      <w:r w:rsidRPr="00624C10">
        <w:rPr>
          <w:spacing w:val="-3"/>
          <w:sz w:val="24"/>
          <w:szCs w:val="24"/>
        </w:rPr>
        <w:t xml:space="preserve">Docket No. </w:t>
      </w:r>
      <w:r w:rsidRPr="00624C10">
        <w:rPr>
          <w:sz w:val="24"/>
          <w:szCs w:val="24"/>
        </w:rPr>
        <w:t>F-2009-2110772 be dismissed with prejudice for insufficient specificity of the pleading.</w:t>
      </w:r>
    </w:p>
    <w:p w:rsidR="00624C10" w:rsidRPr="00624C10" w:rsidRDefault="00624C10" w:rsidP="009D3DB1">
      <w:pPr>
        <w:tabs>
          <w:tab w:val="left" w:pos="2160"/>
          <w:tab w:val="left" w:pos="2250"/>
        </w:tabs>
        <w:spacing w:line="360" w:lineRule="auto"/>
        <w:rPr>
          <w:sz w:val="24"/>
          <w:szCs w:val="24"/>
        </w:rPr>
      </w:pPr>
    </w:p>
    <w:p w:rsidR="00624C10" w:rsidRPr="00624C10" w:rsidRDefault="00624C10" w:rsidP="00624C10">
      <w:pPr>
        <w:spacing w:line="360" w:lineRule="auto"/>
        <w:ind w:firstLine="1440"/>
        <w:rPr>
          <w:sz w:val="24"/>
          <w:szCs w:val="24"/>
        </w:rPr>
      </w:pPr>
      <w:r w:rsidRPr="00624C10">
        <w:rPr>
          <w:sz w:val="24"/>
          <w:szCs w:val="24"/>
        </w:rPr>
        <w:t>2.</w:t>
      </w:r>
      <w:r w:rsidRPr="00624C10">
        <w:rPr>
          <w:sz w:val="24"/>
          <w:szCs w:val="24"/>
        </w:rPr>
        <w:tab/>
      </w:r>
      <w:r w:rsidR="009D3DB1">
        <w:rPr>
          <w:sz w:val="24"/>
          <w:szCs w:val="24"/>
        </w:rPr>
        <w:t xml:space="preserve">That the Secretary’s Bureau mark the </w:t>
      </w:r>
      <w:r w:rsidRPr="00624C10">
        <w:rPr>
          <w:sz w:val="24"/>
          <w:szCs w:val="24"/>
        </w:rPr>
        <w:t>record closed.</w:t>
      </w:r>
    </w:p>
    <w:p w:rsidR="00842E53" w:rsidRPr="00624C10" w:rsidRDefault="00842E53" w:rsidP="00842E53">
      <w:pPr>
        <w:spacing w:line="360" w:lineRule="auto"/>
        <w:ind w:right="-28"/>
        <w:rPr>
          <w:sz w:val="24"/>
          <w:szCs w:val="24"/>
        </w:rPr>
      </w:pPr>
    </w:p>
    <w:p w:rsidR="00842E53" w:rsidRPr="00624C10" w:rsidRDefault="00842E53" w:rsidP="00842E53">
      <w:pPr>
        <w:spacing w:line="360" w:lineRule="auto"/>
        <w:ind w:right="-28"/>
        <w:rPr>
          <w:sz w:val="24"/>
          <w:szCs w:val="24"/>
        </w:rPr>
      </w:pPr>
    </w:p>
    <w:p w:rsidR="00842E53" w:rsidRPr="00624C10" w:rsidRDefault="00842E53" w:rsidP="00842E53">
      <w:pPr>
        <w:rPr>
          <w:sz w:val="24"/>
          <w:szCs w:val="24"/>
        </w:rPr>
      </w:pPr>
      <w:r w:rsidRPr="00624C10">
        <w:rPr>
          <w:sz w:val="24"/>
          <w:szCs w:val="24"/>
        </w:rPr>
        <w:t>Dated:</w:t>
      </w:r>
      <w:r w:rsidRPr="00624C10">
        <w:rPr>
          <w:sz w:val="24"/>
          <w:szCs w:val="24"/>
        </w:rPr>
        <w:tab/>
      </w:r>
      <w:r w:rsidR="00873B21">
        <w:rPr>
          <w:sz w:val="24"/>
          <w:szCs w:val="24"/>
          <w:u w:val="single"/>
        </w:rPr>
        <w:t>November 16, 2009</w:t>
      </w:r>
      <w:r w:rsidRPr="00624C10">
        <w:rPr>
          <w:sz w:val="24"/>
          <w:szCs w:val="24"/>
        </w:rPr>
        <w:tab/>
      </w:r>
      <w:r w:rsidRPr="00624C10">
        <w:rPr>
          <w:sz w:val="24"/>
          <w:szCs w:val="24"/>
        </w:rPr>
        <w:tab/>
      </w:r>
      <w:r w:rsidRPr="00624C10">
        <w:rPr>
          <w:sz w:val="24"/>
          <w:szCs w:val="24"/>
        </w:rPr>
        <w:tab/>
      </w:r>
      <w:r w:rsidRPr="00624C10">
        <w:rPr>
          <w:sz w:val="24"/>
          <w:szCs w:val="24"/>
        </w:rPr>
        <w:tab/>
        <w:t>_____________________________</w:t>
      </w:r>
    </w:p>
    <w:p w:rsidR="00842E53" w:rsidRPr="00624C10" w:rsidRDefault="00842E53" w:rsidP="00842E53">
      <w:pPr>
        <w:rPr>
          <w:sz w:val="24"/>
          <w:szCs w:val="24"/>
        </w:rPr>
      </w:pP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t xml:space="preserve">Veronica A. Smith </w:t>
      </w:r>
    </w:p>
    <w:p w:rsidR="00842E53" w:rsidRPr="00624C10" w:rsidRDefault="00842E53" w:rsidP="00842E53">
      <w:pPr>
        <w:rPr>
          <w:sz w:val="24"/>
          <w:szCs w:val="24"/>
        </w:rPr>
      </w:pP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r>
      <w:r w:rsidRPr="00624C10">
        <w:rPr>
          <w:sz w:val="24"/>
          <w:szCs w:val="24"/>
        </w:rPr>
        <w:tab/>
        <w:t>Chief Administrative Law Judge</w:t>
      </w:r>
    </w:p>
    <w:p w:rsidR="00842E53" w:rsidRPr="00624C10" w:rsidRDefault="00842E53" w:rsidP="00842E53">
      <w:pPr>
        <w:rPr>
          <w:sz w:val="24"/>
          <w:szCs w:val="24"/>
        </w:rPr>
      </w:pPr>
    </w:p>
    <w:p w:rsidR="00842E53" w:rsidRPr="00624C10" w:rsidRDefault="00842E53" w:rsidP="00842E53">
      <w:pPr>
        <w:spacing w:line="360" w:lineRule="auto"/>
        <w:ind w:right="-28" w:firstLine="1440"/>
        <w:rPr>
          <w:sz w:val="24"/>
          <w:szCs w:val="24"/>
        </w:rPr>
      </w:pPr>
    </w:p>
    <w:p w:rsidR="00842E53" w:rsidRPr="00624C10" w:rsidRDefault="00842E53" w:rsidP="00842E53">
      <w:pPr>
        <w:spacing w:line="360" w:lineRule="auto"/>
        <w:ind w:right="-28" w:firstLine="1440"/>
        <w:rPr>
          <w:sz w:val="24"/>
          <w:szCs w:val="24"/>
        </w:rPr>
      </w:pPr>
    </w:p>
    <w:p w:rsidR="00842E53" w:rsidRPr="00624C10" w:rsidRDefault="00842E53" w:rsidP="00842E53">
      <w:pPr>
        <w:rPr>
          <w:sz w:val="24"/>
          <w:szCs w:val="24"/>
        </w:rPr>
      </w:pPr>
    </w:p>
    <w:p w:rsidR="00F90038" w:rsidRPr="00624C10" w:rsidRDefault="00F90038">
      <w:pPr>
        <w:rPr>
          <w:sz w:val="24"/>
          <w:szCs w:val="24"/>
        </w:rPr>
      </w:pPr>
    </w:p>
    <w:sectPr w:rsidR="00F90038" w:rsidRPr="00624C10" w:rsidSect="00873B21">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B70" w:rsidRDefault="00060B70" w:rsidP="00842E53">
      <w:r>
        <w:separator/>
      </w:r>
    </w:p>
  </w:endnote>
  <w:endnote w:type="continuationSeparator" w:id="0">
    <w:p w:rsidR="00060B70" w:rsidRDefault="00060B70" w:rsidP="00842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37" w:rsidRDefault="006C1BBE" w:rsidP="002B5037">
    <w:pPr>
      <w:pStyle w:val="Footer"/>
      <w:framePr w:wrap="around" w:vAnchor="text" w:hAnchor="margin" w:xAlign="center" w:y="1"/>
      <w:rPr>
        <w:rStyle w:val="PageNumber"/>
      </w:rPr>
    </w:pPr>
    <w:r>
      <w:rPr>
        <w:rStyle w:val="PageNumber"/>
      </w:rPr>
      <w:fldChar w:fldCharType="begin"/>
    </w:r>
    <w:r w:rsidR="00F74B39">
      <w:rPr>
        <w:rStyle w:val="PageNumber"/>
      </w:rPr>
      <w:instrText xml:space="preserve">PAGE  </w:instrText>
    </w:r>
    <w:r>
      <w:rPr>
        <w:rStyle w:val="PageNumber"/>
      </w:rPr>
      <w:fldChar w:fldCharType="end"/>
    </w:r>
  </w:p>
  <w:p w:rsidR="002B5037" w:rsidRDefault="002B50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37" w:rsidRPr="006F7437" w:rsidRDefault="006C1BBE" w:rsidP="002B5037">
    <w:pPr>
      <w:pStyle w:val="Footer"/>
      <w:framePr w:wrap="around" w:vAnchor="text" w:hAnchor="margin" w:xAlign="center" w:y="1"/>
      <w:rPr>
        <w:rStyle w:val="PageNumber"/>
        <w:sz w:val="20"/>
        <w:szCs w:val="20"/>
      </w:rPr>
    </w:pPr>
    <w:r w:rsidRPr="006F7437">
      <w:rPr>
        <w:rStyle w:val="PageNumber"/>
        <w:sz w:val="20"/>
        <w:szCs w:val="20"/>
      </w:rPr>
      <w:fldChar w:fldCharType="begin"/>
    </w:r>
    <w:r w:rsidR="00F74B39" w:rsidRPr="006F7437">
      <w:rPr>
        <w:rStyle w:val="PageNumber"/>
        <w:sz w:val="20"/>
        <w:szCs w:val="20"/>
      </w:rPr>
      <w:instrText xml:space="preserve">PAGE  </w:instrText>
    </w:r>
    <w:r w:rsidRPr="006F7437">
      <w:rPr>
        <w:rStyle w:val="PageNumber"/>
        <w:sz w:val="20"/>
        <w:szCs w:val="20"/>
      </w:rPr>
      <w:fldChar w:fldCharType="separate"/>
    </w:r>
    <w:r w:rsidR="004E14C2">
      <w:rPr>
        <w:rStyle w:val="PageNumber"/>
        <w:noProof/>
        <w:sz w:val="20"/>
        <w:szCs w:val="20"/>
      </w:rPr>
      <w:t>3</w:t>
    </w:r>
    <w:r w:rsidRPr="006F7437">
      <w:rPr>
        <w:rStyle w:val="PageNumber"/>
        <w:sz w:val="20"/>
        <w:szCs w:val="20"/>
      </w:rPr>
      <w:fldChar w:fldCharType="end"/>
    </w:r>
  </w:p>
  <w:p w:rsidR="002B5037" w:rsidRDefault="002B50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B70" w:rsidRDefault="00060B70" w:rsidP="00842E53">
      <w:r>
        <w:separator/>
      </w:r>
    </w:p>
  </w:footnote>
  <w:footnote w:type="continuationSeparator" w:id="0">
    <w:p w:rsidR="00060B70" w:rsidRDefault="00060B70" w:rsidP="00842E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42E53"/>
    <w:rsid w:val="0000470F"/>
    <w:rsid w:val="000068D5"/>
    <w:rsid w:val="00025668"/>
    <w:rsid w:val="00026710"/>
    <w:rsid w:val="000376F9"/>
    <w:rsid w:val="0005066D"/>
    <w:rsid w:val="0005071B"/>
    <w:rsid w:val="00050E0C"/>
    <w:rsid w:val="00060B70"/>
    <w:rsid w:val="0006608A"/>
    <w:rsid w:val="000700AB"/>
    <w:rsid w:val="00077BC2"/>
    <w:rsid w:val="0009147B"/>
    <w:rsid w:val="000943BE"/>
    <w:rsid w:val="000974B4"/>
    <w:rsid w:val="000977CD"/>
    <w:rsid w:val="000A18DD"/>
    <w:rsid w:val="000B3AB8"/>
    <w:rsid w:val="000B6C5B"/>
    <w:rsid w:val="000B77FB"/>
    <w:rsid w:val="000C0C90"/>
    <w:rsid w:val="000C13F0"/>
    <w:rsid w:val="000C3DF7"/>
    <w:rsid w:val="000C4C34"/>
    <w:rsid w:val="000C67B7"/>
    <w:rsid w:val="000C723E"/>
    <w:rsid w:val="000C7890"/>
    <w:rsid w:val="000D4F59"/>
    <w:rsid w:val="000E45E1"/>
    <w:rsid w:val="000F2893"/>
    <w:rsid w:val="00106C5A"/>
    <w:rsid w:val="00115EE3"/>
    <w:rsid w:val="00117D59"/>
    <w:rsid w:val="001332E9"/>
    <w:rsid w:val="00137568"/>
    <w:rsid w:val="00151955"/>
    <w:rsid w:val="00152189"/>
    <w:rsid w:val="00157015"/>
    <w:rsid w:val="00157BD9"/>
    <w:rsid w:val="00161335"/>
    <w:rsid w:val="001655E0"/>
    <w:rsid w:val="00170604"/>
    <w:rsid w:val="00177B7D"/>
    <w:rsid w:val="00180890"/>
    <w:rsid w:val="00187979"/>
    <w:rsid w:val="001A205B"/>
    <w:rsid w:val="001A5FBA"/>
    <w:rsid w:val="001A79DB"/>
    <w:rsid w:val="001B3717"/>
    <w:rsid w:val="001C0B64"/>
    <w:rsid w:val="001C0D4B"/>
    <w:rsid w:val="001D08BE"/>
    <w:rsid w:val="001D1BF2"/>
    <w:rsid w:val="001E2102"/>
    <w:rsid w:val="001E5F8C"/>
    <w:rsid w:val="001E60B4"/>
    <w:rsid w:val="001F7C20"/>
    <w:rsid w:val="001F7CE1"/>
    <w:rsid w:val="002014FB"/>
    <w:rsid w:val="002120D7"/>
    <w:rsid w:val="00215177"/>
    <w:rsid w:val="002219F4"/>
    <w:rsid w:val="0022290A"/>
    <w:rsid w:val="002273B5"/>
    <w:rsid w:val="00233590"/>
    <w:rsid w:val="00244FA8"/>
    <w:rsid w:val="002575D1"/>
    <w:rsid w:val="00257C84"/>
    <w:rsid w:val="002601AE"/>
    <w:rsid w:val="00261A96"/>
    <w:rsid w:val="00266BC3"/>
    <w:rsid w:val="00272399"/>
    <w:rsid w:val="002A3298"/>
    <w:rsid w:val="002B0F8B"/>
    <w:rsid w:val="002B2928"/>
    <w:rsid w:val="002B5037"/>
    <w:rsid w:val="002C0E42"/>
    <w:rsid w:val="002C18A6"/>
    <w:rsid w:val="002D3A5E"/>
    <w:rsid w:val="002D4FE3"/>
    <w:rsid w:val="002E1741"/>
    <w:rsid w:val="002E6905"/>
    <w:rsid w:val="00306F18"/>
    <w:rsid w:val="00316451"/>
    <w:rsid w:val="00321BB7"/>
    <w:rsid w:val="00330E4F"/>
    <w:rsid w:val="00350C1F"/>
    <w:rsid w:val="00360EC5"/>
    <w:rsid w:val="00365F06"/>
    <w:rsid w:val="00371F3B"/>
    <w:rsid w:val="003720B7"/>
    <w:rsid w:val="0038042C"/>
    <w:rsid w:val="00381136"/>
    <w:rsid w:val="003847BC"/>
    <w:rsid w:val="0039037B"/>
    <w:rsid w:val="0039181D"/>
    <w:rsid w:val="00397596"/>
    <w:rsid w:val="003A0E25"/>
    <w:rsid w:val="003A6558"/>
    <w:rsid w:val="003B2831"/>
    <w:rsid w:val="003D2703"/>
    <w:rsid w:val="003D29AA"/>
    <w:rsid w:val="003D4361"/>
    <w:rsid w:val="003D45D8"/>
    <w:rsid w:val="003E587F"/>
    <w:rsid w:val="003E744E"/>
    <w:rsid w:val="003F6B18"/>
    <w:rsid w:val="00400067"/>
    <w:rsid w:val="00405FDB"/>
    <w:rsid w:val="00407E07"/>
    <w:rsid w:val="00423119"/>
    <w:rsid w:val="00425A4A"/>
    <w:rsid w:val="004279C9"/>
    <w:rsid w:val="004337C3"/>
    <w:rsid w:val="0043400C"/>
    <w:rsid w:val="00437530"/>
    <w:rsid w:val="004430B2"/>
    <w:rsid w:val="00453473"/>
    <w:rsid w:val="00480CA9"/>
    <w:rsid w:val="00483B82"/>
    <w:rsid w:val="00487F3B"/>
    <w:rsid w:val="004A0A46"/>
    <w:rsid w:val="004A3846"/>
    <w:rsid w:val="004A3FAA"/>
    <w:rsid w:val="004A5D8A"/>
    <w:rsid w:val="004C1F88"/>
    <w:rsid w:val="004C58BF"/>
    <w:rsid w:val="004D04F3"/>
    <w:rsid w:val="004D3452"/>
    <w:rsid w:val="004E14C2"/>
    <w:rsid w:val="004E5C0C"/>
    <w:rsid w:val="004E5DE6"/>
    <w:rsid w:val="004E71E1"/>
    <w:rsid w:val="00502E0A"/>
    <w:rsid w:val="00503610"/>
    <w:rsid w:val="0052406C"/>
    <w:rsid w:val="00527F8C"/>
    <w:rsid w:val="00542DB1"/>
    <w:rsid w:val="005559B7"/>
    <w:rsid w:val="00557EF4"/>
    <w:rsid w:val="00560968"/>
    <w:rsid w:val="005617F1"/>
    <w:rsid w:val="00574F21"/>
    <w:rsid w:val="00592F9A"/>
    <w:rsid w:val="005956BA"/>
    <w:rsid w:val="00597EC2"/>
    <w:rsid w:val="005A3661"/>
    <w:rsid w:val="005A7951"/>
    <w:rsid w:val="005B25FD"/>
    <w:rsid w:val="005B362C"/>
    <w:rsid w:val="005B5432"/>
    <w:rsid w:val="005B62CD"/>
    <w:rsid w:val="005B6BC3"/>
    <w:rsid w:val="005B7E31"/>
    <w:rsid w:val="005D2899"/>
    <w:rsid w:val="005E44B5"/>
    <w:rsid w:val="005E50A6"/>
    <w:rsid w:val="005E5ED9"/>
    <w:rsid w:val="005E625F"/>
    <w:rsid w:val="005F1C0D"/>
    <w:rsid w:val="005F3C15"/>
    <w:rsid w:val="005F7FC5"/>
    <w:rsid w:val="00605A4A"/>
    <w:rsid w:val="006168F4"/>
    <w:rsid w:val="006201B3"/>
    <w:rsid w:val="0062137E"/>
    <w:rsid w:val="00621416"/>
    <w:rsid w:val="00621A13"/>
    <w:rsid w:val="00622947"/>
    <w:rsid w:val="00624C10"/>
    <w:rsid w:val="00632D59"/>
    <w:rsid w:val="00637C00"/>
    <w:rsid w:val="00647152"/>
    <w:rsid w:val="00651DFD"/>
    <w:rsid w:val="00653729"/>
    <w:rsid w:val="006770BC"/>
    <w:rsid w:val="00683549"/>
    <w:rsid w:val="00696DAB"/>
    <w:rsid w:val="00697B9A"/>
    <w:rsid w:val="006A605E"/>
    <w:rsid w:val="006A60C2"/>
    <w:rsid w:val="006B3FE8"/>
    <w:rsid w:val="006B57B3"/>
    <w:rsid w:val="006C1226"/>
    <w:rsid w:val="006C1BBE"/>
    <w:rsid w:val="006C251B"/>
    <w:rsid w:val="006C3EE5"/>
    <w:rsid w:val="006C5E0E"/>
    <w:rsid w:val="006F4DC9"/>
    <w:rsid w:val="00710400"/>
    <w:rsid w:val="00714DBB"/>
    <w:rsid w:val="007160EF"/>
    <w:rsid w:val="00723AC1"/>
    <w:rsid w:val="00733AE0"/>
    <w:rsid w:val="00734C69"/>
    <w:rsid w:val="00737203"/>
    <w:rsid w:val="00737DB1"/>
    <w:rsid w:val="00740FBA"/>
    <w:rsid w:val="00755762"/>
    <w:rsid w:val="00760EA0"/>
    <w:rsid w:val="00762D04"/>
    <w:rsid w:val="00765B5E"/>
    <w:rsid w:val="00766B9B"/>
    <w:rsid w:val="00780161"/>
    <w:rsid w:val="00783B18"/>
    <w:rsid w:val="00787BD6"/>
    <w:rsid w:val="007948AB"/>
    <w:rsid w:val="007978A5"/>
    <w:rsid w:val="007A3677"/>
    <w:rsid w:val="007B48FD"/>
    <w:rsid w:val="007C1BCB"/>
    <w:rsid w:val="007C2E22"/>
    <w:rsid w:val="007D47F8"/>
    <w:rsid w:val="007D504E"/>
    <w:rsid w:val="007E465A"/>
    <w:rsid w:val="0080754A"/>
    <w:rsid w:val="00810E2F"/>
    <w:rsid w:val="00816DDF"/>
    <w:rsid w:val="00817CFC"/>
    <w:rsid w:val="0082047B"/>
    <w:rsid w:val="008249E3"/>
    <w:rsid w:val="00834011"/>
    <w:rsid w:val="00834281"/>
    <w:rsid w:val="008349EA"/>
    <w:rsid w:val="00837F97"/>
    <w:rsid w:val="00842001"/>
    <w:rsid w:val="00842E53"/>
    <w:rsid w:val="00846878"/>
    <w:rsid w:val="008559C5"/>
    <w:rsid w:val="00873B21"/>
    <w:rsid w:val="008931F8"/>
    <w:rsid w:val="008A25E6"/>
    <w:rsid w:val="008A2C31"/>
    <w:rsid w:val="008A5DD7"/>
    <w:rsid w:val="008A712B"/>
    <w:rsid w:val="008B18B0"/>
    <w:rsid w:val="008C13AD"/>
    <w:rsid w:val="008C405A"/>
    <w:rsid w:val="008E1DB1"/>
    <w:rsid w:val="008E5F76"/>
    <w:rsid w:val="008E6500"/>
    <w:rsid w:val="008F3974"/>
    <w:rsid w:val="008F4046"/>
    <w:rsid w:val="008F6B64"/>
    <w:rsid w:val="00900445"/>
    <w:rsid w:val="0091705E"/>
    <w:rsid w:val="0092050D"/>
    <w:rsid w:val="009210E1"/>
    <w:rsid w:val="00923CF8"/>
    <w:rsid w:val="00925925"/>
    <w:rsid w:val="009272F9"/>
    <w:rsid w:val="009278E9"/>
    <w:rsid w:val="009409DE"/>
    <w:rsid w:val="0094124A"/>
    <w:rsid w:val="009602CD"/>
    <w:rsid w:val="00960ECC"/>
    <w:rsid w:val="0096518B"/>
    <w:rsid w:val="0097524B"/>
    <w:rsid w:val="009757CC"/>
    <w:rsid w:val="00975D63"/>
    <w:rsid w:val="009913F0"/>
    <w:rsid w:val="0099255A"/>
    <w:rsid w:val="0099335F"/>
    <w:rsid w:val="00996CEA"/>
    <w:rsid w:val="009A020B"/>
    <w:rsid w:val="009A0683"/>
    <w:rsid w:val="009A7102"/>
    <w:rsid w:val="009B79D2"/>
    <w:rsid w:val="009C62BF"/>
    <w:rsid w:val="009D2A06"/>
    <w:rsid w:val="009D3DB1"/>
    <w:rsid w:val="009E44FC"/>
    <w:rsid w:val="009E4B8E"/>
    <w:rsid w:val="00A061F3"/>
    <w:rsid w:val="00A07A19"/>
    <w:rsid w:val="00A10E6A"/>
    <w:rsid w:val="00A10EA2"/>
    <w:rsid w:val="00A1253A"/>
    <w:rsid w:val="00A159FC"/>
    <w:rsid w:val="00A20FB9"/>
    <w:rsid w:val="00A245F1"/>
    <w:rsid w:val="00A27C72"/>
    <w:rsid w:val="00A317B1"/>
    <w:rsid w:val="00A31F96"/>
    <w:rsid w:val="00A619D6"/>
    <w:rsid w:val="00A61FFC"/>
    <w:rsid w:val="00A7170B"/>
    <w:rsid w:val="00A81658"/>
    <w:rsid w:val="00A91CF0"/>
    <w:rsid w:val="00AA01A8"/>
    <w:rsid w:val="00AA0A06"/>
    <w:rsid w:val="00AB56F7"/>
    <w:rsid w:val="00AC129C"/>
    <w:rsid w:val="00AC5794"/>
    <w:rsid w:val="00AE66AF"/>
    <w:rsid w:val="00AF0FD2"/>
    <w:rsid w:val="00B0314E"/>
    <w:rsid w:val="00B03470"/>
    <w:rsid w:val="00B13C8A"/>
    <w:rsid w:val="00B1540B"/>
    <w:rsid w:val="00B16DF7"/>
    <w:rsid w:val="00B25715"/>
    <w:rsid w:val="00B3412A"/>
    <w:rsid w:val="00B415D3"/>
    <w:rsid w:val="00B61B72"/>
    <w:rsid w:val="00B74F55"/>
    <w:rsid w:val="00B81484"/>
    <w:rsid w:val="00B82E03"/>
    <w:rsid w:val="00B85474"/>
    <w:rsid w:val="00B91A99"/>
    <w:rsid w:val="00B92B63"/>
    <w:rsid w:val="00BA240A"/>
    <w:rsid w:val="00BA29F7"/>
    <w:rsid w:val="00BA5F89"/>
    <w:rsid w:val="00BA7ECF"/>
    <w:rsid w:val="00BB0352"/>
    <w:rsid w:val="00BB35AF"/>
    <w:rsid w:val="00BB3757"/>
    <w:rsid w:val="00BB4862"/>
    <w:rsid w:val="00BB5C86"/>
    <w:rsid w:val="00BC09B3"/>
    <w:rsid w:val="00BC2D0F"/>
    <w:rsid w:val="00BC414E"/>
    <w:rsid w:val="00BC58B1"/>
    <w:rsid w:val="00BD0278"/>
    <w:rsid w:val="00BE396C"/>
    <w:rsid w:val="00BE6418"/>
    <w:rsid w:val="00BE6501"/>
    <w:rsid w:val="00BE78BC"/>
    <w:rsid w:val="00BF1D44"/>
    <w:rsid w:val="00BF3A63"/>
    <w:rsid w:val="00BF45AB"/>
    <w:rsid w:val="00BF4BD4"/>
    <w:rsid w:val="00C01CC1"/>
    <w:rsid w:val="00C01E3F"/>
    <w:rsid w:val="00C07697"/>
    <w:rsid w:val="00C07BD5"/>
    <w:rsid w:val="00C21188"/>
    <w:rsid w:val="00C212B6"/>
    <w:rsid w:val="00C24BFD"/>
    <w:rsid w:val="00C34E2D"/>
    <w:rsid w:val="00C3644D"/>
    <w:rsid w:val="00C36FB6"/>
    <w:rsid w:val="00C4622D"/>
    <w:rsid w:val="00C54CE7"/>
    <w:rsid w:val="00C62407"/>
    <w:rsid w:val="00C65C1A"/>
    <w:rsid w:val="00C743BB"/>
    <w:rsid w:val="00C777CE"/>
    <w:rsid w:val="00C77F29"/>
    <w:rsid w:val="00C83F97"/>
    <w:rsid w:val="00C858B8"/>
    <w:rsid w:val="00C8701A"/>
    <w:rsid w:val="00CA77E6"/>
    <w:rsid w:val="00CB3151"/>
    <w:rsid w:val="00CB330F"/>
    <w:rsid w:val="00CC124D"/>
    <w:rsid w:val="00CD63D9"/>
    <w:rsid w:val="00CE0045"/>
    <w:rsid w:val="00CE3AF1"/>
    <w:rsid w:val="00CE4F2E"/>
    <w:rsid w:val="00CE52B0"/>
    <w:rsid w:val="00CF50BB"/>
    <w:rsid w:val="00D029CB"/>
    <w:rsid w:val="00D16C19"/>
    <w:rsid w:val="00D17F66"/>
    <w:rsid w:val="00D2459D"/>
    <w:rsid w:val="00D2486F"/>
    <w:rsid w:val="00D26BFA"/>
    <w:rsid w:val="00D27042"/>
    <w:rsid w:val="00D3160E"/>
    <w:rsid w:val="00D318A9"/>
    <w:rsid w:val="00D31AF7"/>
    <w:rsid w:val="00D37DE0"/>
    <w:rsid w:val="00D403E8"/>
    <w:rsid w:val="00D4127F"/>
    <w:rsid w:val="00D42211"/>
    <w:rsid w:val="00D42522"/>
    <w:rsid w:val="00D55162"/>
    <w:rsid w:val="00D63D87"/>
    <w:rsid w:val="00D65BA1"/>
    <w:rsid w:val="00D734A6"/>
    <w:rsid w:val="00D73930"/>
    <w:rsid w:val="00D74C01"/>
    <w:rsid w:val="00D817C0"/>
    <w:rsid w:val="00D856F3"/>
    <w:rsid w:val="00DA2F8F"/>
    <w:rsid w:val="00DB226E"/>
    <w:rsid w:val="00DB2F85"/>
    <w:rsid w:val="00DC2B0D"/>
    <w:rsid w:val="00DC3144"/>
    <w:rsid w:val="00DC4DDD"/>
    <w:rsid w:val="00DD1A58"/>
    <w:rsid w:val="00DF13AB"/>
    <w:rsid w:val="00DF7748"/>
    <w:rsid w:val="00DF7776"/>
    <w:rsid w:val="00E00CFE"/>
    <w:rsid w:val="00E020B0"/>
    <w:rsid w:val="00E038DF"/>
    <w:rsid w:val="00E10DC4"/>
    <w:rsid w:val="00E12A47"/>
    <w:rsid w:val="00E1589F"/>
    <w:rsid w:val="00E265F6"/>
    <w:rsid w:val="00E26ED2"/>
    <w:rsid w:val="00E33BAD"/>
    <w:rsid w:val="00E3603A"/>
    <w:rsid w:val="00E36953"/>
    <w:rsid w:val="00E43D81"/>
    <w:rsid w:val="00E50732"/>
    <w:rsid w:val="00E5275A"/>
    <w:rsid w:val="00E52AE5"/>
    <w:rsid w:val="00E53B0C"/>
    <w:rsid w:val="00E652BD"/>
    <w:rsid w:val="00E80409"/>
    <w:rsid w:val="00E921DD"/>
    <w:rsid w:val="00E93DFF"/>
    <w:rsid w:val="00E94092"/>
    <w:rsid w:val="00E94DB8"/>
    <w:rsid w:val="00EB0895"/>
    <w:rsid w:val="00EC644B"/>
    <w:rsid w:val="00ED09B9"/>
    <w:rsid w:val="00ED399F"/>
    <w:rsid w:val="00ED41D4"/>
    <w:rsid w:val="00ED4BB5"/>
    <w:rsid w:val="00EF0EEC"/>
    <w:rsid w:val="00EF2633"/>
    <w:rsid w:val="00EF3B97"/>
    <w:rsid w:val="00EF4722"/>
    <w:rsid w:val="00EF4AAB"/>
    <w:rsid w:val="00EF6B65"/>
    <w:rsid w:val="00F00078"/>
    <w:rsid w:val="00F07605"/>
    <w:rsid w:val="00F07F12"/>
    <w:rsid w:val="00F147C3"/>
    <w:rsid w:val="00F14CA9"/>
    <w:rsid w:val="00F21946"/>
    <w:rsid w:val="00F271C6"/>
    <w:rsid w:val="00F323F6"/>
    <w:rsid w:val="00F411B0"/>
    <w:rsid w:val="00F505A5"/>
    <w:rsid w:val="00F5223B"/>
    <w:rsid w:val="00F56A55"/>
    <w:rsid w:val="00F6102F"/>
    <w:rsid w:val="00F61F8E"/>
    <w:rsid w:val="00F63740"/>
    <w:rsid w:val="00F660E9"/>
    <w:rsid w:val="00F70137"/>
    <w:rsid w:val="00F7264D"/>
    <w:rsid w:val="00F74B39"/>
    <w:rsid w:val="00F76612"/>
    <w:rsid w:val="00F83EC2"/>
    <w:rsid w:val="00F851F9"/>
    <w:rsid w:val="00F90038"/>
    <w:rsid w:val="00F90747"/>
    <w:rsid w:val="00F92D85"/>
    <w:rsid w:val="00F94C91"/>
    <w:rsid w:val="00FA076E"/>
    <w:rsid w:val="00FA4F5B"/>
    <w:rsid w:val="00FB0F5C"/>
    <w:rsid w:val="00FB4EB4"/>
    <w:rsid w:val="00FB691E"/>
    <w:rsid w:val="00FC440E"/>
    <w:rsid w:val="00FC6B34"/>
    <w:rsid w:val="00FC6DAF"/>
    <w:rsid w:val="00FD25F2"/>
    <w:rsid w:val="00FD2B3F"/>
    <w:rsid w:val="00FD4766"/>
    <w:rsid w:val="00FE0C87"/>
    <w:rsid w:val="00FE4615"/>
    <w:rsid w:val="00FE48D7"/>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53"/>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2E53"/>
    <w:pPr>
      <w:tabs>
        <w:tab w:val="center" w:pos="4320"/>
        <w:tab w:val="right" w:pos="8640"/>
      </w:tabs>
    </w:pPr>
  </w:style>
  <w:style w:type="character" w:customStyle="1" w:styleId="FooterChar">
    <w:name w:val="Footer Char"/>
    <w:basedOn w:val="DefaultParagraphFont"/>
    <w:link w:val="Footer"/>
    <w:rsid w:val="00842E53"/>
    <w:rPr>
      <w:rFonts w:ascii="Times New Roman" w:eastAsia="Times New Roman" w:hAnsi="Times New Roman" w:cs="Times New Roman"/>
      <w:sz w:val="26"/>
      <w:szCs w:val="26"/>
    </w:rPr>
  </w:style>
  <w:style w:type="character" w:styleId="PageNumber">
    <w:name w:val="page number"/>
    <w:basedOn w:val="DefaultParagraphFont"/>
    <w:rsid w:val="00842E53"/>
  </w:style>
  <w:style w:type="paragraph" w:styleId="FootnoteText">
    <w:name w:val="footnote text"/>
    <w:basedOn w:val="Normal"/>
    <w:link w:val="FootnoteTextChar"/>
    <w:semiHidden/>
    <w:rsid w:val="00842E53"/>
    <w:rPr>
      <w:sz w:val="20"/>
      <w:szCs w:val="20"/>
    </w:rPr>
  </w:style>
  <w:style w:type="character" w:customStyle="1" w:styleId="FootnoteTextChar">
    <w:name w:val="Footnote Text Char"/>
    <w:basedOn w:val="DefaultParagraphFont"/>
    <w:link w:val="FootnoteText"/>
    <w:semiHidden/>
    <w:rsid w:val="00842E53"/>
    <w:rPr>
      <w:rFonts w:ascii="Times New Roman" w:eastAsia="Times New Roman" w:hAnsi="Times New Roman" w:cs="Times New Roman"/>
      <w:sz w:val="20"/>
      <w:szCs w:val="20"/>
    </w:rPr>
  </w:style>
  <w:style w:type="character" w:styleId="FootnoteReference">
    <w:name w:val="footnote reference"/>
    <w:basedOn w:val="DefaultParagraphFont"/>
    <w:semiHidden/>
    <w:rsid w:val="00842E53"/>
    <w:rPr>
      <w:vertAlign w:val="superscript"/>
    </w:rPr>
  </w:style>
  <w:style w:type="character" w:styleId="CommentReference">
    <w:name w:val="annotation reference"/>
    <w:basedOn w:val="DefaultParagraphFont"/>
    <w:uiPriority w:val="99"/>
    <w:semiHidden/>
    <w:unhideWhenUsed/>
    <w:rsid w:val="00900445"/>
    <w:rPr>
      <w:sz w:val="16"/>
      <w:szCs w:val="16"/>
    </w:rPr>
  </w:style>
  <w:style w:type="paragraph" w:styleId="CommentText">
    <w:name w:val="annotation text"/>
    <w:basedOn w:val="Normal"/>
    <w:link w:val="CommentTextChar"/>
    <w:uiPriority w:val="99"/>
    <w:semiHidden/>
    <w:unhideWhenUsed/>
    <w:rsid w:val="00900445"/>
    <w:rPr>
      <w:sz w:val="20"/>
      <w:szCs w:val="20"/>
    </w:rPr>
  </w:style>
  <w:style w:type="character" w:customStyle="1" w:styleId="CommentTextChar">
    <w:name w:val="Comment Text Char"/>
    <w:basedOn w:val="DefaultParagraphFont"/>
    <w:link w:val="CommentText"/>
    <w:uiPriority w:val="99"/>
    <w:semiHidden/>
    <w:rsid w:val="009004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0445"/>
    <w:rPr>
      <w:b/>
      <w:bCs/>
    </w:rPr>
  </w:style>
  <w:style w:type="character" w:customStyle="1" w:styleId="CommentSubjectChar">
    <w:name w:val="Comment Subject Char"/>
    <w:basedOn w:val="CommentTextChar"/>
    <w:link w:val="CommentSubject"/>
    <w:uiPriority w:val="99"/>
    <w:semiHidden/>
    <w:rsid w:val="00900445"/>
    <w:rPr>
      <w:b/>
      <w:bCs/>
    </w:rPr>
  </w:style>
  <w:style w:type="paragraph" w:styleId="BalloonText">
    <w:name w:val="Balloon Text"/>
    <w:basedOn w:val="Normal"/>
    <w:link w:val="BalloonTextChar"/>
    <w:uiPriority w:val="99"/>
    <w:semiHidden/>
    <w:unhideWhenUsed/>
    <w:rsid w:val="00900445"/>
    <w:rPr>
      <w:rFonts w:ascii="Tahoma" w:hAnsi="Tahoma" w:cs="Tahoma"/>
      <w:sz w:val="16"/>
      <w:szCs w:val="16"/>
    </w:rPr>
  </w:style>
  <w:style w:type="character" w:customStyle="1" w:styleId="BalloonTextChar">
    <w:name w:val="Balloon Text Char"/>
    <w:basedOn w:val="DefaultParagraphFont"/>
    <w:link w:val="BalloonText"/>
    <w:uiPriority w:val="99"/>
    <w:semiHidden/>
    <w:rsid w:val="009004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2009-11-16T16:06:00Z</cp:lastPrinted>
  <dcterms:created xsi:type="dcterms:W3CDTF">2009-11-21T15:18:00Z</dcterms:created>
  <dcterms:modified xsi:type="dcterms:W3CDTF">2009-11-21T15:18:00Z</dcterms:modified>
</cp:coreProperties>
</file>