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74A51">
        <w:trPr>
          <w:trHeight w:val="990"/>
        </w:trPr>
        <w:tc>
          <w:tcPr>
            <w:tcW w:w="1363" w:type="dxa"/>
          </w:tcPr>
          <w:p w:rsidR="00C74A51" w:rsidRDefault="00D6076C">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pgSz w:w="12240" w:h="15840"/>
          <w:pgMar w:top="504" w:right="1440" w:bottom="1440" w:left="1440" w:header="720" w:footer="720" w:gutter="0"/>
          <w:cols w:space="720"/>
        </w:sectPr>
      </w:pPr>
    </w:p>
    <w:p w:rsidR="00660392" w:rsidRDefault="00DE4640" w:rsidP="00D31FDE">
      <w:pPr>
        <w:jc w:val="center"/>
        <w:rPr>
          <w:sz w:val="24"/>
          <w:szCs w:val="24"/>
        </w:rPr>
      </w:pPr>
      <w:r>
        <w:rPr>
          <w:sz w:val="24"/>
          <w:szCs w:val="24"/>
        </w:rPr>
        <w:lastRenderedPageBreak/>
        <w:t xml:space="preserve">December </w:t>
      </w:r>
      <w:r w:rsidR="006D012C">
        <w:rPr>
          <w:sz w:val="24"/>
          <w:szCs w:val="24"/>
        </w:rPr>
        <w:t>1</w:t>
      </w:r>
      <w:r w:rsidR="00D936E2">
        <w:rPr>
          <w:sz w:val="24"/>
          <w:szCs w:val="24"/>
        </w:rPr>
        <w:t>0</w:t>
      </w:r>
      <w:r>
        <w:rPr>
          <w:sz w:val="24"/>
          <w:szCs w:val="24"/>
        </w:rPr>
        <w:t>, 2009</w:t>
      </w:r>
    </w:p>
    <w:p w:rsidR="00DE4640" w:rsidRDefault="00DE4640" w:rsidP="00DE4640">
      <w:pPr>
        <w:tabs>
          <w:tab w:val="center" w:pos="0"/>
          <w:tab w:val="left" w:pos="720"/>
        </w:tabs>
        <w:jc w:val="center"/>
        <w:rPr>
          <w:sz w:val="24"/>
          <w:szCs w:val="24"/>
        </w:rPr>
      </w:pPr>
    </w:p>
    <w:p w:rsidR="00DE4640" w:rsidRDefault="00DE4640" w:rsidP="00DE4640">
      <w:pPr>
        <w:tabs>
          <w:tab w:val="center" w:pos="0"/>
          <w:tab w:val="left" w:pos="720"/>
        </w:tabs>
        <w:rPr>
          <w:sz w:val="24"/>
          <w:szCs w:val="24"/>
        </w:rPr>
      </w:pPr>
      <w:r>
        <w:rPr>
          <w:sz w:val="24"/>
          <w:szCs w:val="24"/>
        </w:rPr>
        <w:t>To:</w:t>
      </w:r>
      <w:r>
        <w:rPr>
          <w:sz w:val="24"/>
          <w:szCs w:val="24"/>
        </w:rPr>
        <w:tab/>
      </w:r>
      <w:r w:rsidR="00CE0A86">
        <w:rPr>
          <w:sz w:val="24"/>
          <w:szCs w:val="24"/>
        </w:rPr>
        <w:tab/>
      </w:r>
      <w:r>
        <w:rPr>
          <w:sz w:val="24"/>
          <w:szCs w:val="24"/>
        </w:rPr>
        <w:t>Interested Parties</w:t>
      </w:r>
    </w:p>
    <w:p w:rsidR="00DE4640" w:rsidRDefault="00DE4640" w:rsidP="00DE4640">
      <w:pPr>
        <w:tabs>
          <w:tab w:val="center" w:pos="0"/>
          <w:tab w:val="left" w:pos="720"/>
        </w:tabs>
        <w:rPr>
          <w:sz w:val="24"/>
          <w:szCs w:val="24"/>
        </w:rPr>
      </w:pPr>
    </w:p>
    <w:p w:rsidR="00DE4640" w:rsidRDefault="00DE4640" w:rsidP="00DE4640">
      <w:pPr>
        <w:tabs>
          <w:tab w:val="center" w:pos="0"/>
          <w:tab w:val="left" w:pos="720"/>
        </w:tabs>
        <w:rPr>
          <w:sz w:val="24"/>
          <w:szCs w:val="24"/>
        </w:rPr>
      </w:pPr>
      <w:r>
        <w:rPr>
          <w:sz w:val="24"/>
          <w:szCs w:val="24"/>
        </w:rPr>
        <w:t>Re:</w:t>
      </w:r>
      <w:r>
        <w:rPr>
          <w:sz w:val="24"/>
          <w:szCs w:val="24"/>
        </w:rPr>
        <w:tab/>
      </w:r>
      <w:r w:rsidR="00CE0A86">
        <w:rPr>
          <w:sz w:val="24"/>
          <w:szCs w:val="24"/>
        </w:rPr>
        <w:tab/>
      </w:r>
      <w:r>
        <w:rPr>
          <w:sz w:val="24"/>
          <w:szCs w:val="24"/>
        </w:rPr>
        <w:t>Fuel Switching Working Group</w:t>
      </w:r>
    </w:p>
    <w:p w:rsidR="00DE4640" w:rsidRDefault="00DE4640" w:rsidP="00DE4640">
      <w:pPr>
        <w:tabs>
          <w:tab w:val="center" w:pos="0"/>
          <w:tab w:val="left" w:pos="720"/>
        </w:tabs>
        <w:rPr>
          <w:sz w:val="24"/>
          <w:szCs w:val="24"/>
        </w:rPr>
      </w:pPr>
    </w:p>
    <w:p w:rsidR="00DE4640" w:rsidRDefault="00A96B98" w:rsidP="00DE4640">
      <w:pPr>
        <w:tabs>
          <w:tab w:val="center" w:pos="0"/>
          <w:tab w:val="left" w:pos="720"/>
        </w:tabs>
        <w:rPr>
          <w:sz w:val="24"/>
          <w:szCs w:val="24"/>
        </w:rPr>
      </w:pPr>
      <w:r>
        <w:rPr>
          <w:sz w:val="24"/>
          <w:szCs w:val="24"/>
        </w:rPr>
        <w:t>Docket No</w:t>
      </w:r>
      <w:r w:rsidR="00DE4640">
        <w:rPr>
          <w:sz w:val="24"/>
          <w:szCs w:val="24"/>
        </w:rPr>
        <w:t>.</w:t>
      </w:r>
      <w:r w:rsidR="00DE4640">
        <w:rPr>
          <w:sz w:val="24"/>
          <w:szCs w:val="24"/>
        </w:rPr>
        <w:tab/>
      </w:r>
      <w:r w:rsidR="00315F7E">
        <w:rPr>
          <w:sz w:val="24"/>
          <w:szCs w:val="24"/>
        </w:rPr>
        <w:t>M-000518</w:t>
      </w:r>
      <w:r w:rsidR="00AB00C4">
        <w:rPr>
          <w:sz w:val="24"/>
          <w:szCs w:val="24"/>
        </w:rPr>
        <w:t>65</w:t>
      </w:r>
    </w:p>
    <w:p w:rsidR="00DE4640" w:rsidRDefault="00DE4640" w:rsidP="00DE4640">
      <w:pPr>
        <w:tabs>
          <w:tab w:val="center" w:pos="0"/>
          <w:tab w:val="left" w:pos="720"/>
        </w:tabs>
        <w:rPr>
          <w:sz w:val="24"/>
          <w:szCs w:val="24"/>
        </w:rPr>
      </w:pPr>
    </w:p>
    <w:p w:rsidR="00D31DE3" w:rsidRDefault="00DE4640" w:rsidP="00DE4640">
      <w:pPr>
        <w:tabs>
          <w:tab w:val="center" w:pos="0"/>
          <w:tab w:val="left" w:pos="720"/>
        </w:tabs>
        <w:rPr>
          <w:sz w:val="24"/>
          <w:szCs w:val="24"/>
        </w:rPr>
      </w:pPr>
      <w:r>
        <w:rPr>
          <w:sz w:val="24"/>
          <w:szCs w:val="24"/>
        </w:rPr>
        <w:tab/>
      </w:r>
      <w:r w:rsidR="006D012C">
        <w:rPr>
          <w:sz w:val="24"/>
          <w:szCs w:val="24"/>
        </w:rPr>
        <w:t>By</w:t>
      </w:r>
      <w:r>
        <w:rPr>
          <w:sz w:val="24"/>
          <w:szCs w:val="24"/>
        </w:rPr>
        <w:t xml:space="preserve"> orders adopted on October 15 and October 22, 2009</w:t>
      </w:r>
      <w:r w:rsidR="006D012C">
        <w:rPr>
          <w:sz w:val="24"/>
          <w:szCs w:val="24"/>
        </w:rPr>
        <w:t xml:space="preserve">, the Commission addressed </w:t>
      </w:r>
      <w:r w:rsidR="00CE0A86">
        <w:rPr>
          <w:sz w:val="24"/>
          <w:szCs w:val="24"/>
        </w:rPr>
        <w:t>the</w:t>
      </w:r>
      <w:r>
        <w:rPr>
          <w:sz w:val="24"/>
          <w:szCs w:val="24"/>
        </w:rPr>
        <w:t xml:space="preserve"> Energy Efficiency and Conservation </w:t>
      </w:r>
      <w:r w:rsidR="00B72683">
        <w:rPr>
          <w:sz w:val="24"/>
          <w:szCs w:val="24"/>
        </w:rPr>
        <w:t xml:space="preserve">(EE&amp;C) </w:t>
      </w:r>
      <w:r>
        <w:rPr>
          <w:sz w:val="24"/>
          <w:szCs w:val="24"/>
        </w:rPr>
        <w:t xml:space="preserve">Plans filed by </w:t>
      </w:r>
      <w:r w:rsidR="00CE0A86">
        <w:rPr>
          <w:sz w:val="24"/>
          <w:szCs w:val="24"/>
        </w:rPr>
        <w:t xml:space="preserve">electric distribution companies </w:t>
      </w:r>
      <w:r w:rsidR="006D012C">
        <w:rPr>
          <w:sz w:val="24"/>
          <w:szCs w:val="24"/>
        </w:rPr>
        <w:t>(EDCs) pursuant</w:t>
      </w:r>
      <w:r w:rsidR="00CE0A86">
        <w:rPr>
          <w:sz w:val="24"/>
          <w:szCs w:val="24"/>
        </w:rPr>
        <w:t xml:space="preserve"> </w:t>
      </w:r>
      <w:r w:rsidR="008D10E7">
        <w:rPr>
          <w:sz w:val="24"/>
          <w:szCs w:val="24"/>
        </w:rPr>
        <w:t xml:space="preserve">to </w:t>
      </w:r>
      <w:r w:rsidR="00CE0A86">
        <w:rPr>
          <w:sz w:val="24"/>
          <w:szCs w:val="24"/>
        </w:rPr>
        <w:t>Act 129 of 2008</w:t>
      </w:r>
      <w:r w:rsidR="006D012C">
        <w:rPr>
          <w:sz w:val="24"/>
          <w:szCs w:val="24"/>
        </w:rPr>
        <w:t xml:space="preserve">.  In reviewing those plans, the </w:t>
      </w:r>
      <w:r w:rsidR="00246448">
        <w:rPr>
          <w:sz w:val="24"/>
          <w:szCs w:val="24"/>
        </w:rPr>
        <w:t xml:space="preserve">Commission </w:t>
      </w:r>
      <w:r w:rsidR="00CE0A86">
        <w:rPr>
          <w:sz w:val="24"/>
          <w:szCs w:val="24"/>
        </w:rPr>
        <w:t xml:space="preserve">directed </w:t>
      </w:r>
      <w:r w:rsidR="00246448">
        <w:rPr>
          <w:sz w:val="24"/>
          <w:szCs w:val="24"/>
        </w:rPr>
        <w:t xml:space="preserve">the Fuel Switching Working Group to </w:t>
      </w:r>
      <w:r w:rsidR="00716F38">
        <w:rPr>
          <w:sz w:val="24"/>
          <w:szCs w:val="24"/>
        </w:rPr>
        <w:t xml:space="preserve">provide recommendations by March 31, 2010 as to the appropriate treatment of fuel switching programs </w:t>
      </w:r>
      <w:r w:rsidR="0012697F">
        <w:rPr>
          <w:sz w:val="24"/>
          <w:szCs w:val="24"/>
        </w:rPr>
        <w:t xml:space="preserve">in the context of Act 129 requirements </w:t>
      </w:r>
      <w:r w:rsidR="00716F38">
        <w:rPr>
          <w:sz w:val="24"/>
          <w:szCs w:val="24"/>
        </w:rPr>
        <w:t xml:space="preserve">and whether revisions to the Technical Reference Manual (TRM) or Total Resource Cost Test are warranted.  The Commission </w:t>
      </w:r>
      <w:r w:rsidR="008D10E7">
        <w:rPr>
          <w:sz w:val="24"/>
          <w:szCs w:val="24"/>
        </w:rPr>
        <w:t xml:space="preserve">had </w:t>
      </w:r>
      <w:r w:rsidR="00716F38">
        <w:rPr>
          <w:sz w:val="24"/>
          <w:szCs w:val="24"/>
        </w:rPr>
        <w:t xml:space="preserve">initiated the Fuel Switching Working Group in June 2009 in the </w:t>
      </w:r>
      <w:r w:rsidR="008D10E7">
        <w:rPr>
          <w:sz w:val="24"/>
          <w:szCs w:val="24"/>
        </w:rPr>
        <w:t>TRM</w:t>
      </w:r>
      <w:r w:rsidR="00716F38">
        <w:rPr>
          <w:sz w:val="24"/>
          <w:szCs w:val="24"/>
        </w:rPr>
        <w:t xml:space="preserve"> proceeding at Docket No. M-000518</w:t>
      </w:r>
      <w:r w:rsidR="00AB00C4">
        <w:rPr>
          <w:sz w:val="24"/>
          <w:szCs w:val="24"/>
        </w:rPr>
        <w:t>65</w:t>
      </w:r>
      <w:r w:rsidR="00716F38">
        <w:rPr>
          <w:sz w:val="24"/>
          <w:szCs w:val="24"/>
        </w:rPr>
        <w:t xml:space="preserve"> to identify, research and address issues related to fuel switching with the possibility of its inclusion in future versions of the TRM.  </w:t>
      </w:r>
    </w:p>
    <w:p w:rsidR="008D10E7" w:rsidRDefault="008D10E7" w:rsidP="00DE4640">
      <w:pPr>
        <w:tabs>
          <w:tab w:val="center" w:pos="0"/>
          <w:tab w:val="left" w:pos="720"/>
        </w:tabs>
        <w:rPr>
          <w:sz w:val="24"/>
          <w:szCs w:val="24"/>
        </w:rPr>
      </w:pPr>
    </w:p>
    <w:p w:rsidR="008D10E7" w:rsidRDefault="008D10E7" w:rsidP="008D10E7">
      <w:pPr>
        <w:tabs>
          <w:tab w:val="center" w:pos="0"/>
          <w:tab w:val="left" w:pos="720"/>
        </w:tabs>
        <w:rPr>
          <w:sz w:val="24"/>
          <w:szCs w:val="24"/>
        </w:rPr>
      </w:pPr>
      <w:r>
        <w:rPr>
          <w:sz w:val="24"/>
          <w:szCs w:val="24"/>
        </w:rPr>
        <w:tab/>
        <w:t xml:space="preserve">Fuel switching proposals were included in some EE&amp;C plans filed on July 1, 2009. An example is a monetary incentive offered by an EDC to encourage a customer to switch from electric to natural gas heat.  The Commission approved some fuel switching programs, noting that it is reasonable to assume that some uses of natural gas may be energy efficient and finding that it was premature to prohibit EDCs from including such programs in their plans at that time.  In addition, a contested issue in those proceedings was whether the EE&amp;C plans should be substantially revised to include broad based fuel switching programs.  </w:t>
      </w:r>
    </w:p>
    <w:p w:rsidR="008D10E7" w:rsidRDefault="008D10E7" w:rsidP="00DE4640">
      <w:pPr>
        <w:tabs>
          <w:tab w:val="center" w:pos="0"/>
          <w:tab w:val="left" w:pos="720"/>
        </w:tabs>
        <w:rPr>
          <w:sz w:val="24"/>
          <w:szCs w:val="24"/>
        </w:rPr>
      </w:pPr>
    </w:p>
    <w:p w:rsidR="0012697F" w:rsidRDefault="0012697F" w:rsidP="00DE4640">
      <w:pPr>
        <w:tabs>
          <w:tab w:val="center" w:pos="0"/>
          <w:tab w:val="left" w:pos="720"/>
        </w:tabs>
        <w:rPr>
          <w:sz w:val="24"/>
          <w:szCs w:val="24"/>
        </w:rPr>
      </w:pPr>
      <w:r>
        <w:rPr>
          <w:sz w:val="24"/>
          <w:szCs w:val="24"/>
        </w:rPr>
        <w:tab/>
      </w:r>
      <w:r w:rsidR="00B72683">
        <w:rPr>
          <w:sz w:val="24"/>
          <w:szCs w:val="24"/>
        </w:rPr>
        <w:t xml:space="preserve">The </w:t>
      </w:r>
      <w:r>
        <w:rPr>
          <w:sz w:val="24"/>
          <w:szCs w:val="24"/>
        </w:rPr>
        <w:t xml:space="preserve">initial </w:t>
      </w:r>
      <w:r w:rsidR="00B72683">
        <w:rPr>
          <w:sz w:val="24"/>
          <w:szCs w:val="24"/>
        </w:rPr>
        <w:t xml:space="preserve">meeting </w:t>
      </w:r>
      <w:r>
        <w:rPr>
          <w:sz w:val="24"/>
          <w:szCs w:val="24"/>
        </w:rPr>
        <w:t xml:space="preserve">of the Fuel Switching Working Group </w:t>
      </w:r>
      <w:r w:rsidR="00B72683">
        <w:rPr>
          <w:sz w:val="24"/>
          <w:szCs w:val="24"/>
        </w:rPr>
        <w:t xml:space="preserve">will be held on </w:t>
      </w:r>
      <w:r w:rsidR="00D31DE3" w:rsidRPr="008D10E7">
        <w:rPr>
          <w:sz w:val="24"/>
          <w:szCs w:val="24"/>
        </w:rPr>
        <w:t xml:space="preserve">January 6, 2010 at 10:00 a.m. in </w:t>
      </w:r>
      <w:r>
        <w:rPr>
          <w:sz w:val="24"/>
          <w:szCs w:val="24"/>
        </w:rPr>
        <w:t xml:space="preserve">Executive Chambers, Third Floor, </w:t>
      </w:r>
      <w:r w:rsidR="00D31DE3">
        <w:rPr>
          <w:sz w:val="24"/>
          <w:szCs w:val="24"/>
        </w:rPr>
        <w:t>Commonwealth Keystone Building</w:t>
      </w:r>
      <w:r>
        <w:rPr>
          <w:sz w:val="24"/>
          <w:szCs w:val="24"/>
        </w:rPr>
        <w:t>, Harrisburg</w:t>
      </w:r>
      <w:r w:rsidR="00D31DE3">
        <w:rPr>
          <w:sz w:val="24"/>
          <w:szCs w:val="24"/>
        </w:rPr>
        <w:t xml:space="preserve">.   </w:t>
      </w:r>
      <w:r>
        <w:rPr>
          <w:sz w:val="24"/>
          <w:szCs w:val="24"/>
        </w:rPr>
        <w:t xml:space="preserve">A proposed list of topics for discussion at this meeting is attached.  Interested parties may suggest additional topics by sending an email to </w:t>
      </w:r>
      <w:hyperlink r:id="rId8" w:history="1">
        <w:r w:rsidRPr="004851A8">
          <w:rPr>
            <w:rStyle w:val="Hyperlink"/>
            <w:sz w:val="24"/>
            <w:szCs w:val="24"/>
          </w:rPr>
          <w:t>ra-Act129@state.pa.us</w:t>
        </w:r>
      </w:hyperlink>
      <w:r>
        <w:rPr>
          <w:sz w:val="24"/>
          <w:szCs w:val="24"/>
        </w:rPr>
        <w:t xml:space="preserve"> </w:t>
      </w:r>
      <w:r w:rsidR="00D31FDE">
        <w:rPr>
          <w:sz w:val="24"/>
          <w:szCs w:val="24"/>
        </w:rPr>
        <w:t>no later than</w:t>
      </w:r>
      <w:r>
        <w:rPr>
          <w:sz w:val="24"/>
          <w:szCs w:val="24"/>
        </w:rPr>
        <w:t xml:space="preserve"> December 30, 2009.  </w:t>
      </w:r>
      <w:r w:rsidR="00D15513">
        <w:rPr>
          <w:sz w:val="24"/>
          <w:szCs w:val="24"/>
        </w:rPr>
        <w:t>A full agenda will be released by January 5, 2010.</w:t>
      </w:r>
    </w:p>
    <w:p w:rsidR="0012697F" w:rsidRDefault="0012697F" w:rsidP="00DE4640">
      <w:pPr>
        <w:tabs>
          <w:tab w:val="center" w:pos="0"/>
          <w:tab w:val="left" w:pos="720"/>
        </w:tabs>
        <w:rPr>
          <w:sz w:val="24"/>
          <w:szCs w:val="24"/>
        </w:rPr>
      </w:pPr>
    </w:p>
    <w:p w:rsidR="00B72683" w:rsidRDefault="0012697F" w:rsidP="00DE4640">
      <w:pPr>
        <w:tabs>
          <w:tab w:val="center" w:pos="0"/>
          <w:tab w:val="left" w:pos="720"/>
        </w:tabs>
        <w:rPr>
          <w:sz w:val="24"/>
          <w:szCs w:val="24"/>
        </w:rPr>
      </w:pPr>
      <w:r>
        <w:rPr>
          <w:sz w:val="24"/>
          <w:szCs w:val="24"/>
        </w:rPr>
        <w:tab/>
      </w:r>
      <w:r w:rsidR="00D31FDE">
        <w:rPr>
          <w:sz w:val="24"/>
          <w:szCs w:val="24"/>
        </w:rPr>
        <w:t xml:space="preserve">Stakeholders who plan to actively participate in the discussion should plan to attend the meeting in person.  </w:t>
      </w:r>
      <w:r w:rsidR="00D31DE3">
        <w:rPr>
          <w:sz w:val="24"/>
          <w:szCs w:val="24"/>
        </w:rPr>
        <w:t xml:space="preserve">A call-in number will be provided for interested parties who wish to </w:t>
      </w:r>
      <w:r w:rsidR="00D31FDE">
        <w:rPr>
          <w:sz w:val="24"/>
          <w:szCs w:val="24"/>
        </w:rPr>
        <w:t xml:space="preserve">simply </w:t>
      </w:r>
      <w:r w:rsidR="00D31DE3">
        <w:rPr>
          <w:sz w:val="24"/>
          <w:szCs w:val="24"/>
        </w:rPr>
        <w:t xml:space="preserve">monitor the </w:t>
      </w:r>
      <w:r w:rsidR="00D31FDE">
        <w:rPr>
          <w:sz w:val="24"/>
          <w:szCs w:val="24"/>
        </w:rPr>
        <w:t>discussions</w:t>
      </w:r>
      <w:r w:rsidR="00D31DE3">
        <w:rPr>
          <w:sz w:val="24"/>
          <w:szCs w:val="24"/>
        </w:rPr>
        <w:t xml:space="preserve">.  </w:t>
      </w:r>
      <w:r w:rsidR="00D31FDE">
        <w:rPr>
          <w:sz w:val="24"/>
          <w:szCs w:val="24"/>
        </w:rPr>
        <w:t xml:space="preserve">If you plan to attend the meeting or wish to be provided with a call-in number, please send </w:t>
      </w:r>
      <w:r w:rsidR="00315F7E">
        <w:rPr>
          <w:sz w:val="24"/>
          <w:szCs w:val="24"/>
        </w:rPr>
        <w:t xml:space="preserve">an email to </w:t>
      </w:r>
      <w:hyperlink r:id="rId9" w:history="1">
        <w:r w:rsidR="00315F7E" w:rsidRPr="007303FC">
          <w:rPr>
            <w:rStyle w:val="Hyperlink"/>
            <w:sz w:val="24"/>
            <w:szCs w:val="24"/>
          </w:rPr>
          <w:t>ra-Act129@state.pa.us</w:t>
        </w:r>
      </w:hyperlink>
      <w:r w:rsidR="00315F7E">
        <w:rPr>
          <w:sz w:val="24"/>
          <w:szCs w:val="24"/>
        </w:rPr>
        <w:t xml:space="preserve"> by December 30.</w:t>
      </w:r>
      <w:r w:rsidR="00D31DE3">
        <w:rPr>
          <w:sz w:val="24"/>
          <w:szCs w:val="24"/>
        </w:rPr>
        <w:t xml:space="preserve">  </w:t>
      </w:r>
      <w:r w:rsidR="00D31FDE">
        <w:rPr>
          <w:sz w:val="24"/>
          <w:szCs w:val="24"/>
        </w:rPr>
        <w:tab/>
      </w:r>
      <w:r w:rsidR="00A96B98">
        <w:rPr>
          <w:sz w:val="24"/>
          <w:szCs w:val="24"/>
        </w:rPr>
        <w:t>Likewise, please direct any questions you have about the meeting to this email address.</w:t>
      </w:r>
    </w:p>
    <w:p w:rsidR="00D31FDE" w:rsidRDefault="00D31FDE" w:rsidP="00DE4640">
      <w:pPr>
        <w:tabs>
          <w:tab w:val="center" w:pos="0"/>
          <w:tab w:val="left" w:pos="720"/>
        </w:tabs>
        <w:rPr>
          <w:sz w:val="24"/>
          <w:szCs w:val="24"/>
        </w:rPr>
      </w:pPr>
    </w:p>
    <w:p w:rsidR="00D31FDE" w:rsidRDefault="00D31FDE" w:rsidP="00DE4640">
      <w:pPr>
        <w:tabs>
          <w:tab w:val="center" w:pos="0"/>
          <w:tab w:val="left" w:pos="72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Sincerely,</w:t>
      </w:r>
    </w:p>
    <w:p w:rsidR="00D31FDE" w:rsidRDefault="00D31FDE" w:rsidP="00DE4640">
      <w:pPr>
        <w:tabs>
          <w:tab w:val="center" w:pos="0"/>
          <w:tab w:val="left" w:pos="720"/>
        </w:tabs>
        <w:rPr>
          <w:sz w:val="24"/>
          <w:szCs w:val="24"/>
        </w:rPr>
      </w:pPr>
    </w:p>
    <w:p w:rsidR="00D31FDE" w:rsidRDefault="00D31FDE" w:rsidP="00DE4640">
      <w:pPr>
        <w:tabs>
          <w:tab w:val="center" w:pos="0"/>
          <w:tab w:val="left" w:pos="720"/>
        </w:tabs>
        <w:rPr>
          <w:sz w:val="24"/>
          <w:szCs w:val="24"/>
        </w:rPr>
      </w:pPr>
    </w:p>
    <w:p w:rsidR="00D31FDE" w:rsidRDefault="00D31FDE" w:rsidP="00DE4640">
      <w:pPr>
        <w:tabs>
          <w:tab w:val="center" w:pos="0"/>
          <w:tab w:val="left" w:pos="720"/>
        </w:tabs>
        <w:rPr>
          <w:sz w:val="24"/>
          <w:szCs w:val="24"/>
        </w:rPr>
      </w:pPr>
    </w:p>
    <w:p w:rsidR="00D31FDE" w:rsidRDefault="00D31FDE" w:rsidP="00DE4640">
      <w:pPr>
        <w:tabs>
          <w:tab w:val="center" w:pos="0"/>
          <w:tab w:val="left" w:pos="72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Karen Oill Moury</w:t>
      </w:r>
    </w:p>
    <w:p w:rsidR="00D31FDE" w:rsidRDefault="00D31FDE" w:rsidP="00DE4640">
      <w:pPr>
        <w:tabs>
          <w:tab w:val="center" w:pos="0"/>
          <w:tab w:val="left" w:pos="72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Director of Operations</w:t>
      </w:r>
    </w:p>
    <w:p w:rsidR="00D31FDE" w:rsidRDefault="00D31FDE" w:rsidP="00DE4640">
      <w:pPr>
        <w:tabs>
          <w:tab w:val="center" w:pos="0"/>
          <w:tab w:val="left" w:pos="720"/>
        </w:tabs>
        <w:rPr>
          <w:sz w:val="24"/>
          <w:szCs w:val="24"/>
        </w:rPr>
      </w:pPr>
    </w:p>
    <w:p w:rsidR="00D15513" w:rsidRDefault="00D15513" w:rsidP="00D15513">
      <w:pPr>
        <w:jc w:val="center"/>
        <w:rPr>
          <w:sz w:val="24"/>
          <w:szCs w:val="24"/>
        </w:rPr>
      </w:pPr>
    </w:p>
    <w:p w:rsidR="00D15513" w:rsidRDefault="00D15513" w:rsidP="00D15513">
      <w:pPr>
        <w:jc w:val="center"/>
        <w:rPr>
          <w:b/>
          <w:sz w:val="28"/>
          <w:szCs w:val="28"/>
        </w:rPr>
      </w:pPr>
    </w:p>
    <w:p w:rsidR="00D15513" w:rsidRDefault="00D15513" w:rsidP="00D15513">
      <w:pPr>
        <w:jc w:val="center"/>
        <w:rPr>
          <w:b/>
          <w:sz w:val="28"/>
          <w:szCs w:val="28"/>
        </w:rPr>
      </w:pPr>
    </w:p>
    <w:p w:rsidR="00D15513" w:rsidRPr="00D15513" w:rsidRDefault="00D15513" w:rsidP="00D15513">
      <w:pPr>
        <w:jc w:val="center"/>
        <w:rPr>
          <w:b/>
          <w:sz w:val="24"/>
          <w:szCs w:val="24"/>
        </w:rPr>
      </w:pPr>
      <w:r w:rsidRPr="00D15513">
        <w:rPr>
          <w:b/>
          <w:sz w:val="24"/>
          <w:szCs w:val="24"/>
        </w:rPr>
        <w:t>Fuel Switching Working Group Issues/Topics</w:t>
      </w:r>
    </w:p>
    <w:p w:rsidR="00D15513" w:rsidRPr="00D15513" w:rsidRDefault="00D15513" w:rsidP="00D15513">
      <w:pPr>
        <w:jc w:val="center"/>
        <w:rPr>
          <w:b/>
          <w:sz w:val="24"/>
          <w:szCs w:val="24"/>
        </w:rPr>
      </w:pPr>
    </w:p>
    <w:p w:rsidR="00D15513" w:rsidRPr="00D15513" w:rsidRDefault="00D15513" w:rsidP="00D15513">
      <w:pPr>
        <w:pStyle w:val="ListParagraph"/>
        <w:numPr>
          <w:ilvl w:val="0"/>
          <w:numId w:val="10"/>
        </w:numPr>
        <w:rPr>
          <w:sz w:val="24"/>
        </w:rPr>
      </w:pPr>
      <w:r w:rsidRPr="00D15513">
        <w:rPr>
          <w:sz w:val="24"/>
        </w:rPr>
        <w:t>Are energy efficiency and conservation measures that offer incentive to customers to switch from electric heat to gas heat or vice versa appropriate for EDC EE&amp;C programs?</w:t>
      </w:r>
    </w:p>
    <w:p w:rsidR="00D15513" w:rsidRPr="00D15513" w:rsidRDefault="00D15513" w:rsidP="00D15513">
      <w:pPr>
        <w:pStyle w:val="ListParagraph"/>
        <w:numPr>
          <w:ilvl w:val="0"/>
          <w:numId w:val="10"/>
        </w:numPr>
        <w:rPr>
          <w:sz w:val="24"/>
        </w:rPr>
      </w:pPr>
      <w:r w:rsidRPr="00D15513">
        <w:rPr>
          <w:sz w:val="24"/>
        </w:rPr>
        <w:t>Is it appropriate for electric customers to be subsidizing such a conversion?</w:t>
      </w:r>
    </w:p>
    <w:p w:rsidR="00D15513" w:rsidRPr="00D15513" w:rsidRDefault="00D15513" w:rsidP="00D15513">
      <w:pPr>
        <w:pStyle w:val="ListParagraph"/>
        <w:numPr>
          <w:ilvl w:val="0"/>
          <w:numId w:val="10"/>
        </w:numPr>
        <w:rPr>
          <w:sz w:val="24"/>
        </w:rPr>
      </w:pPr>
      <w:r w:rsidRPr="00D15513">
        <w:rPr>
          <w:sz w:val="24"/>
        </w:rPr>
        <w:t>Is it appropriate in service territories where access to natural gas is not universally accessible?  What data is needed or available to determine this penetration rate?</w:t>
      </w:r>
    </w:p>
    <w:p w:rsidR="00D15513" w:rsidRPr="00D15513" w:rsidRDefault="00D15513" w:rsidP="00D15513">
      <w:pPr>
        <w:pStyle w:val="ListParagraph"/>
        <w:numPr>
          <w:ilvl w:val="0"/>
          <w:numId w:val="10"/>
        </w:numPr>
        <w:rPr>
          <w:sz w:val="24"/>
        </w:rPr>
      </w:pPr>
      <w:r w:rsidRPr="00D15513">
        <w:rPr>
          <w:sz w:val="24"/>
        </w:rPr>
        <w:t>If permitted, should there be a cap on the level of subsidy provided, if so, what should that cap be?</w:t>
      </w:r>
    </w:p>
    <w:p w:rsidR="00D15513" w:rsidRPr="00D15513" w:rsidRDefault="00D15513" w:rsidP="00D15513">
      <w:pPr>
        <w:pStyle w:val="ListParagraph"/>
        <w:numPr>
          <w:ilvl w:val="0"/>
          <w:numId w:val="10"/>
        </w:numPr>
        <w:rPr>
          <w:sz w:val="24"/>
        </w:rPr>
      </w:pPr>
      <w:r w:rsidRPr="00D15513">
        <w:rPr>
          <w:sz w:val="24"/>
        </w:rPr>
        <w:t>If permitted, should there be a minimum efficiency rating for the new equipment, if so what should the minimum efficiency rating be?</w:t>
      </w:r>
    </w:p>
    <w:p w:rsidR="00D15513" w:rsidRPr="00D15513" w:rsidRDefault="00D15513" w:rsidP="00D15513">
      <w:pPr>
        <w:pStyle w:val="ListParagraph"/>
        <w:numPr>
          <w:ilvl w:val="0"/>
          <w:numId w:val="10"/>
        </w:numPr>
        <w:rPr>
          <w:sz w:val="24"/>
        </w:rPr>
      </w:pPr>
      <w:r w:rsidRPr="00D15513">
        <w:rPr>
          <w:sz w:val="24"/>
        </w:rPr>
        <w:t>If permitted, what level of electric energy savings should be attributable to the conversion?</w:t>
      </w:r>
    </w:p>
    <w:p w:rsidR="00D15513" w:rsidRPr="00D15513" w:rsidRDefault="00D15513" w:rsidP="00D15513">
      <w:pPr>
        <w:pStyle w:val="ListParagraph"/>
        <w:numPr>
          <w:ilvl w:val="1"/>
          <w:numId w:val="10"/>
        </w:numPr>
        <w:rPr>
          <w:sz w:val="24"/>
        </w:rPr>
      </w:pPr>
      <w:r w:rsidRPr="00D15513">
        <w:rPr>
          <w:sz w:val="24"/>
        </w:rPr>
        <w:t>Should it be the total electric load reduction?</w:t>
      </w:r>
    </w:p>
    <w:p w:rsidR="00D15513" w:rsidRPr="00D15513" w:rsidRDefault="00D15513" w:rsidP="00D15513">
      <w:pPr>
        <w:pStyle w:val="ListParagraph"/>
        <w:numPr>
          <w:ilvl w:val="1"/>
          <w:numId w:val="10"/>
        </w:numPr>
        <w:rPr>
          <w:sz w:val="24"/>
        </w:rPr>
      </w:pPr>
      <w:r w:rsidRPr="00D15513">
        <w:rPr>
          <w:sz w:val="24"/>
        </w:rPr>
        <w:t>Should it be the difference between the btu ratings of the system being replaced and the new system?</w:t>
      </w:r>
    </w:p>
    <w:p w:rsidR="00D15513" w:rsidRPr="00D15513" w:rsidRDefault="00D15513" w:rsidP="00D15513">
      <w:pPr>
        <w:pStyle w:val="ListParagraph"/>
        <w:numPr>
          <w:ilvl w:val="0"/>
          <w:numId w:val="10"/>
        </w:numPr>
        <w:rPr>
          <w:sz w:val="24"/>
        </w:rPr>
      </w:pPr>
      <w:r w:rsidRPr="00D15513">
        <w:rPr>
          <w:sz w:val="24"/>
        </w:rPr>
        <w:t xml:space="preserve">If permitted, what costs </w:t>
      </w:r>
      <w:r w:rsidR="00D91B46">
        <w:rPr>
          <w:sz w:val="24"/>
        </w:rPr>
        <w:t xml:space="preserve">and benefits </w:t>
      </w:r>
      <w:r w:rsidRPr="00D15513">
        <w:rPr>
          <w:sz w:val="24"/>
        </w:rPr>
        <w:t>should be included in the TRC test analysis of such programs?</w:t>
      </w:r>
    </w:p>
    <w:p w:rsidR="00D15513" w:rsidRPr="00D15513" w:rsidRDefault="00D15513" w:rsidP="00D15513">
      <w:pPr>
        <w:pStyle w:val="ListParagraph"/>
        <w:numPr>
          <w:ilvl w:val="0"/>
          <w:numId w:val="10"/>
        </w:numPr>
        <w:rPr>
          <w:sz w:val="24"/>
        </w:rPr>
      </w:pPr>
      <w:r w:rsidRPr="00D15513">
        <w:rPr>
          <w:sz w:val="24"/>
        </w:rPr>
        <w:t>Should the Commission establish an EE&amp;C program for Gas Distribution Companies before allowing fuel switching programs?</w:t>
      </w:r>
    </w:p>
    <w:p w:rsidR="00D15513" w:rsidRPr="00D15513" w:rsidRDefault="00D15513" w:rsidP="00D15513">
      <w:pPr>
        <w:pStyle w:val="ListParagraph"/>
        <w:numPr>
          <w:ilvl w:val="1"/>
          <w:numId w:val="10"/>
        </w:numPr>
        <w:rPr>
          <w:sz w:val="24"/>
        </w:rPr>
      </w:pPr>
      <w:r w:rsidRPr="00D15513">
        <w:rPr>
          <w:sz w:val="24"/>
        </w:rPr>
        <w:t>Can the Commission establish such a program?</w:t>
      </w:r>
    </w:p>
    <w:p w:rsidR="00D15513" w:rsidRPr="00D15513" w:rsidRDefault="00D15513" w:rsidP="00D15513">
      <w:pPr>
        <w:pStyle w:val="ListParagraph"/>
        <w:numPr>
          <w:ilvl w:val="1"/>
          <w:numId w:val="10"/>
        </w:numPr>
        <w:rPr>
          <w:sz w:val="24"/>
        </w:rPr>
      </w:pPr>
      <w:r w:rsidRPr="00D15513">
        <w:rPr>
          <w:sz w:val="24"/>
        </w:rPr>
        <w:t>What elements should be included in any such program?</w:t>
      </w:r>
    </w:p>
    <w:p w:rsidR="00C74A51" w:rsidRPr="00D15513" w:rsidRDefault="00C74A51" w:rsidP="00D31FDE">
      <w:pPr>
        <w:tabs>
          <w:tab w:val="center" w:pos="0"/>
          <w:tab w:val="left" w:pos="720"/>
        </w:tabs>
        <w:rPr>
          <w:sz w:val="24"/>
          <w:szCs w:val="24"/>
        </w:rPr>
      </w:pPr>
    </w:p>
    <w:sectPr w:rsidR="00C74A51" w:rsidRPr="00D15513" w:rsidSect="00F1477A">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934" w:rsidRDefault="00435934">
      <w:r>
        <w:separator/>
      </w:r>
    </w:p>
  </w:endnote>
  <w:endnote w:type="continuationSeparator" w:id="0">
    <w:p w:rsidR="00435934" w:rsidRDefault="004359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934" w:rsidRDefault="00435934">
      <w:r>
        <w:separator/>
      </w:r>
    </w:p>
  </w:footnote>
  <w:footnote w:type="continuationSeparator" w:id="0">
    <w:p w:rsidR="00435934" w:rsidRDefault="004359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A7D4E85"/>
    <w:multiLevelType w:val="hybridMultilevel"/>
    <w:tmpl w:val="EFE269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74A51"/>
    <w:rsid w:val="000A1398"/>
    <w:rsid w:val="001209F1"/>
    <w:rsid w:val="0012697F"/>
    <w:rsid w:val="00147FD4"/>
    <w:rsid w:val="002120F7"/>
    <w:rsid w:val="002229C3"/>
    <w:rsid w:val="00246448"/>
    <w:rsid w:val="0027219D"/>
    <w:rsid w:val="0029471C"/>
    <w:rsid w:val="00315F7E"/>
    <w:rsid w:val="00316461"/>
    <w:rsid w:val="00435934"/>
    <w:rsid w:val="00461039"/>
    <w:rsid w:val="00497B2B"/>
    <w:rsid w:val="00497F56"/>
    <w:rsid w:val="004B0335"/>
    <w:rsid w:val="005E25C5"/>
    <w:rsid w:val="00660392"/>
    <w:rsid w:val="00672D48"/>
    <w:rsid w:val="006755C0"/>
    <w:rsid w:val="006D012C"/>
    <w:rsid w:val="006D54FA"/>
    <w:rsid w:val="00706D80"/>
    <w:rsid w:val="00716F38"/>
    <w:rsid w:val="0071766C"/>
    <w:rsid w:val="00735C24"/>
    <w:rsid w:val="007A2F26"/>
    <w:rsid w:val="007A4569"/>
    <w:rsid w:val="00842188"/>
    <w:rsid w:val="008D10E7"/>
    <w:rsid w:val="009F5F66"/>
    <w:rsid w:val="00A96B98"/>
    <w:rsid w:val="00AB00C4"/>
    <w:rsid w:val="00AC3F88"/>
    <w:rsid w:val="00B72683"/>
    <w:rsid w:val="00BA6FEC"/>
    <w:rsid w:val="00BE5119"/>
    <w:rsid w:val="00C74A51"/>
    <w:rsid w:val="00CB1302"/>
    <w:rsid w:val="00CB5738"/>
    <w:rsid w:val="00CE0A86"/>
    <w:rsid w:val="00D15513"/>
    <w:rsid w:val="00D31DE3"/>
    <w:rsid w:val="00D31FDE"/>
    <w:rsid w:val="00D6076C"/>
    <w:rsid w:val="00D91B46"/>
    <w:rsid w:val="00D936E2"/>
    <w:rsid w:val="00DE4640"/>
    <w:rsid w:val="00F1477A"/>
    <w:rsid w:val="00F709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77A"/>
  </w:style>
  <w:style w:type="paragraph" w:styleId="Heading1">
    <w:name w:val="heading 1"/>
    <w:basedOn w:val="Normal"/>
    <w:next w:val="Normal"/>
    <w:qFormat/>
    <w:rsid w:val="00F1477A"/>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1477A"/>
    <w:pPr>
      <w:ind w:left="360"/>
    </w:pPr>
    <w:rPr>
      <w:sz w:val="24"/>
    </w:rPr>
  </w:style>
  <w:style w:type="paragraph" w:styleId="Header">
    <w:name w:val="header"/>
    <w:basedOn w:val="Normal"/>
    <w:rsid w:val="00F1477A"/>
    <w:pPr>
      <w:tabs>
        <w:tab w:val="center" w:pos="4320"/>
        <w:tab w:val="right" w:pos="8640"/>
      </w:tabs>
    </w:pPr>
  </w:style>
  <w:style w:type="paragraph" w:styleId="Footer">
    <w:name w:val="footer"/>
    <w:basedOn w:val="Normal"/>
    <w:rsid w:val="00F1477A"/>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basedOn w:val="DefaultParagraphFont"/>
    <w:rsid w:val="00315F7E"/>
    <w:rPr>
      <w:color w:val="0000FF"/>
      <w:u w:val="single"/>
    </w:rPr>
  </w:style>
  <w:style w:type="paragraph" w:styleId="ListParagraph">
    <w:name w:val="List Paragraph"/>
    <w:basedOn w:val="Normal"/>
    <w:uiPriority w:val="34"/>
    <w:qFormat/>
    <w:rsid w:val="00D15513"/>
    <w:pPr>
      <w:ind w:left="720"/>
      <w:contextualSpacing/>
    </w:pPr>
    <w:rPr>
      <w:sz w:val="26"/>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Act129@state.pa.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a-Act129@state.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8E0D8"/>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3985</CharactersWithSpaces>
  <SharedDoc>false</SharedDoc>
  <HLinks>
    <vt:vector size="6" baseType="variant">
      <vt:variant>
        <vt:i4>786550</vt:i4>
      </vt:variant>
      <vt:variant>
        <vt:i4>0</vt:i4>
      </vt:variant>
      <vt:variant>
        <vt:i4>0</vt:i4>
      </vt:variant>
      <vt:variant>
        <vt:i4>5</vt:i4>
      </vt:variant>
      <vt:variant>
        <vt:lpwstr>mailto:ra-Act129@state.pa.us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NASON</dc:creator>
  <cp:keywords/>
  <dc:description/>
  <cp:lastModifiedBy>kmoury</cp:lastModifiedBy>
  <cp:revision>8</cp:revision>
  <cp:lastPrinted>2009-12-10T14:01:00Z</cp:lastPrinted>
  <dcterms:created xsi:type="dcterms:W3CDTF">2009-12-04T21:28:00Z</dcterms:created>
  <dcterms:modified xsi:type="dcterms:W3CDTF">2009-12-10T15:06:00Z</dcterms:modified>
</cp:coreProperties>
</file>