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D6" w:rsidRPr="008B455C" w:rsidRDefault="008E4FD6" w:rsidP="008E4FD6">
      <w:pPr>
        <w:jc w:val="center"/>
        <w:rPr>
          <w:b/>
        </w:rPr>
      </w:pPr>
      <w:r w:rsidRPr="008B455C">
        <w:rPr>
          <w:b/>
        </w:rPr>
        <w:t>BEFORE THE</w:t>
      </w:r>
    </w:p>
    <w:p w:rsidR="008E4FD6" w:rsidRPr="008B455C" w:rsidRDefault="008E4FD6" w:rsidP="008E4FD6">
      <w:pPr>
        <w:jc w:val="center"/>
        <w:rPr>
          <w:b/>
        </w:rPr>
      </w:pPr>
      <w:smartTag w:uri="urn:schemas-microsoft-com:office:smarttags" w:element="State">
        <w:smartTag w:uri="urn:schemas-microsoft-com:office:smarttags" w:element="place">
          <w:r w:rsidRPr="008B455C">
            <w:rPr>
              <w:b/>
            </w:rPr>
            <w:t>PENNSYLVANIA</w:t>
          </w:r>
        </w:smartTag>
      </w:smartTag>
      <w:r w:rsidRPr="008B455C">
        <w:rPr>
          <w:b/>
        </w:rPr>
        <w:t xml:space="preserve"> PUBLIC UTILITY COMMISSION</w:t>
      </w:r>
    </w:p>
    <w:p w:rsidR="008E4FD6" w:rsidRPr="008B455C" w:rsidRDefault="008E4FD6" w:rsidP="008E4FD6">
      <w:pPr>
        <w:jc w:val="center"/>
        <w:rPr>
          <w:b/>
        </w:rPr>
      </w:pPr>
    </w:p>
    <w:p w:rsidR="008E4FD6" w:rsidRPr="008B455C" w:rsidRDefault="008E4FD6" w:rsidP="008E4FD6">
      <w:pPr>
        <w:jc w:val="center"/>
        <w:rPr>
          <w:b/>
        </w:rPr>
      </w:pPr>
    </w:p>
    <w:p w:rsidR="008E4FD6" w:rsidRPr="008B455C" w:rsidRDefault="008E4FD6" w:rsidP="008E4FD6">
      <w:pPr>
        <w:jc w:val="center"/>
        <w:rPr>
          <w:b/>
        </w:rPr>
      </w:pPr>
    </w:p>
    <w:p w:rsidR="00F9732A" w:rsidRPr="008B455C" w:rsidRDefault="00BC7989" w:rsidP="00F9732A">
      <w:r>
        <w:t>Pamela Thomas</w:t>
      </w:r>
      <w:r>
        <w:tab/>
      </w:r>
      <w:r>
        <w:tab/>
      </w:r>
      <w:r w:rsidR="00F9732A" w:rsidRPr="008B455C">
        <w:tab/>
      </w:r>
      <w:r w:rsidR="00EF7BB1" w:rsidRPr="008B455C">
        <w:tab/>
      </w:r>
      <w:r w:rsidR="00F9732A" w:rsidRPr="008B455C">
        <w:tab/>
        <w:t>:</w:t>
      </w:r>
      <w:r w:rsidR="00F9732A" w:rsidRPr="008B455C">
        <w:tab/>
      </w:r>
    </w:p>
    <w:p w:rsidR="00F9732A" w:rsidRPr="008B455C" w:rsidRDefault="00F9732A" w:rsidP="00F9732A">
      <w:r w:rsidRPr="008B455C">
        <w:tab/>
      </w:r>
      <w:r w:rsidRPr="008B455C">
        <w:tab/>
      </w:r>
      <w:r w:rsidRPr="008B455C">
        <w:tab/>
      </w:r>
      <w:r w:rsidRPr="008B455C">
        <w:tab/>
      </w:r>
      <w:r w:rsidRPr="008B455C">
        <w:tab/>
      </w:r>
      <w:r w:rsidRPr="008B455C">
        <w:tab/>
      </w:r>
      <w:r w:rsidRPr="008B455C">
        <w:tab/>
        <w:t>:</w:t>
      </w:r>
    </w:p>
    <w:p w:rsidR="00F9732A" w:rsidRPr="008B455C" w:rsidRDefault="00F9732A" w:rsidP="00F6612B">
      <w:pPr>
        <w:numPr>
          <w:ilvl w:val="0"/>
          <w:numId w:val="5"/>
        </w:numPr>
        <w:ind w:hanging="4320"/>
      </w:pPr>
      <w:r w:rsidRPr="008B455C">
        <w:t>:</w:t>
      </w:r>
      <w:r w:rsidRPr="008B455C">
        <w:tab/>
      </w:r>
      <w:r w:rsidR="00F6612B" w:rsidRPr="008B455C">
        <w:tab/>
      </w:r>
      <w:r w:rsidR="008E450B">
        <w:t>F</w:t>
      </w:r>
      <w:r w:rsidR="00BC7989">
        <w:t>-2009-2102639</w:t>
      </w:r>
    </w:p>
    <w:p w:rsidR="00F9732A" w:rsidRPr="008B455C" w:rsidRDefault="00F9732A" w:rsidP="00F9732A">
      <w:pPr>
        <w:ind w:left="5040"/>
      </w:pPr>
      <w:r w:rsidRPr="008B455C">
        <w:t>:</w:t>
      </w:r>
    </w:p>
    <w:p w:rsidR="00F9732A" w:rsidRPr="008B455C" w:rsidRDefault="00F9732A" w:rsidP="00F9732A">
      <w:r w:rsidRPr="008B455C">
        <w:t>Duquesne Light Company</w:t>
      </w:r>
      <w:r w:rsidRPr="008B455C">
        <w:tab/>
      </w:r>
      <w:r w:rsidRPr="008B455C">
        <w:tab/>
        <w:t xml:space="preserve"> </w:t>
      </w:r>
      <w:r w:rsidRPr="008B455C">
        <w:tab/>
      </w:r>
      <w:r w:rsidRPr="008B455C">
        <w:tab/>
        <w:t>:</w:t>
      </w:r>
    </w:p>
    <w:p w:rsidR="00F9732A" w:rsidRPr="008B455C" w:rsidRDefault="00F9732A" w:rsidP="00F9732A">
      <w:r w:rsidRPr="008B455C">
        <w:tab/>
      </w:r>
      <w:r w:rsidRPr="008B455C">
        <w:tab/>
      </w:r>
      <w:r w:rsidRPr="008B455C">
        <w:tab/>
      </w:r>
      <w:r w:rsidRPr="008B455C">
        <w:tab/>
      </w:r>
      <w:r w:rsidRPr="008B455C">
        <w:tab/>
      </w:r>
      <w:r w:rsidRPr="008B455C">
        <w:tab/>
      </w:r>
      <w:r w:rsidRPr="008B455C">
        <w:tab/>
      </w:r>
    </w:p>
    <w:p w:rsidR="008E4FD6" w:rsidRPr="008B455C" w:rsidRDefault="008E4FD6" w:rsidP="008E4FD6">
      <w:pPr>
        <w:tabs>
          <w:tab w:val="left" w:pos="1076"/>
        </w:tabs>
      </w:pPr>
    </w:p>
    <w:p w:rsidR="008E4FD6" w:rsidRPr="008B455C" w:rsidRDefault="008E4FD6" w:rsidP="008E4FD6">
      <w:pPr>
        <w:tabs>
          <w:tab w:val="left" w:pos="1076"/>
        </w:tabs>
      </w:pPr>
    </w:p>
    <w:p w:rsidR="008E4FD6" w:rsidRPr="008B455C" w:rsidRDefault="008E4FD6" w:rsidP="008E4FD6">
      <w:pPr>
        <w:jc w:val="center"/>
        <w:rPr>
          <w:b/>
          <w:u w:val="single"/>
        </w:rPr>
      </w:pPr>
      <w:r w:rsidRPr="008B455C">
        <w:rPr>
          <w:b/>
          <w:u w:val="single"/>
        </w:rPr>
        <w:t>INITIAL DECISION</w:t>
      </w:r>
    </w:p>
    <w:p w:rsidR="008E4FD6" w:rsidRPr="008B455C" w:rsidRDefault="008E4FD6" w:rsidP="008E4FD6">
      <w:pPr>
        <w:jc w:val="center"/>
      </w:pPr>
    </w:p>
    <w:p w:rsidR="009D47A5" w:rsidRPr="008B455C" w:rsidRDefault="009D47A5" w:rsidP="008E4FD6">
      <w:pPr>
        <w:jc w:val="center"/>
      </w:pPr>
    </w:p>
    <w:p w:rsidR="008E4FD6" w:rsidRPr="008B455C" w:rsidRDefault="008E4FD6" w:rsidP="008E4FD6">
      <w:pPr>
        <w:jc w:val="center"/>
      </w:pPr>
      <w:r w:rsidRPr="008B455C">
        <w:t>Before</w:t>
      </w:r>
    </w:p>
    <w:p w:rsidR="008E4FD6" w:rsidRPr="008B455C" w:rsidRDefault="00DF0974" w:rsidP="008E4FD6">
      <w:pPr>
        <w:jc w:val="center"/>
      </w:pPr>
      <w:r w:rsidRPr="008B455C">
        <w:t>Katrina L. Dunderdale</w:t>
      </w:r>
    </w:p>
    <w:p w:rsidR="008E4FD6" w:rsidRPr="008B455C" w:rsidRDefault="008E4FD6" w:rsidP="008E4FD6">
      <w:pPr>
        <w:jc w:val="center"/>
      </w:pPr>
      <w:r w:rsidRPr="008B455C">
        <w:t>Administrative Law Judge</w:t>
      </w:r>
    </w:p>
    <w:p w:rsidR="008E4FD6" w:rsidRPr="008B455C" w:rsidRDefault="008E4FD6" w:rsidP="008E4FD6">
      <w:pPr>
        <w:jc w:val="center"/>
      </w:pPr>
    </w:p>
    <w:p w:rsidR="008E4FD6" w:rsidRPr="008B455C" w:rsidRDefault="008E4FD6" w:rsidP="008E4FD6">
      <w:pPr>
        <w:jc w:val="center"/>
      </w:pPr>
    </w:p>
    <w:p w:rsidR="00F9732A" w:rsidRPr="008B455C" w:rsidRDefault="008E4FD6" w:rsidP="00F9732A">
      <w:pPr>
        <w:jc w:val="center"/>
        <w:rPr>
          <w:u w:val="single"/>
        </w:rPr>
      </w:pPr>
      <w:r w:rsidRPr="008B455C">
        <w:rPr>
          <w:u w:val="single"/>
        </w:rPr>
        <w:t>HISTORY OF THE PROCEEDING</w:t>
      </w:r>
    </w:p>
    <w:p w:rsidR="00F9732A" w:rsidRPr="008B455C" w:rsidRDefault="00F9732A" w:rsidP="00F9732A">
      <w:pPr>
        <w:jc w:val="center"/>
        <w:rPr>
          <w:u w:val="single"/>
        </w:rPr>
      </w:pPr>
    </w:p>
    <w:p w:rsidR="00D868FB" w:rsidRPr="008B455C" w:rsidRDefault="00D868FB" w:rsidP="00F9732A">
      <w:pPr>
        <w:jc w:val="center"/>
        <w:rPr>
          <w:u w:val="single"/>
        </w:rPr>
      </w:pPr>
    </w:p>
    <w:p w:rsidR="0041637D" w:rsidRPr="008B455C" w:rsidRDefault="00F9732A" w:rsidP="00BD76C8">
      <w:pPr>
        <w:spacing w:line="360" w:lineRule="auto"/>
      </w:pPr>
      <w:r w:rsidRPr="008B455C">
        <w:tab/>
      </w:r>
      <w:r w:rsidRPr="008B455C">
        <w:tab/>
      </w:r>
      <w:r w:rsidR="00BD76C8" w:rsidRPr="008B455C">
        <w:t xml:space="preserve">On </w:t>
      </w:r>
      <w:r w:rsidR="00BC7989">
        <w:t>April 14, 2009</w:t>
      </w:r>
      <w:r w:rsidR="00BD76C8" w:rsidRPr="008B455C">
        <w:t xml:space="preserve">, </w:t>
      </w:r>
      <w:r w:rsidR="00BC7989">
        <w:t>Pamela Thomas</w:t>
      </w:r>
      <w:r w:rsidR="0065346D" w:rsidRPr="008B455C">
        <w:t xml:space="preserve"> (“</w:t>
      </w:r>
      <w:r w:rsidR="00BC7989">
        <w:t>Thomas” or “Complainant</w:t>
      </w:r>
      <w:r w:rsidR="0065346D" w:rsidRPr="008B455C">
        <w:t>”)</w:t>
      </w:r>
      <w:r w:rsidR="00BD76C8" w:rsidRPr="008B455C">
        <w:t xml:space="preserve"> filed a formal complaint with the Pennsylvania P</w:t>
      </w:r>
      <w:r w:rsidR="0041637D" w:rsidRPr="008B455C">
        <w:t>u</w:t>
      </w:r>
      <w:r w:rsidR="00BD76C8" w:rsidRPr="008B455C">
        <w:t xml:space="preserve">blic Utility Commission (“Commission”) against Duquesne Light Company (“Duquesne Light” or “Respondent”) </w:t>
      </w:r>
      <w:r w:rsidR="0065346D" w:rsidRPr="008B455C">
        <w:t xml:space="preserve">complaining </w:t>
      </w:r>
      <w:r w:rsidR="00BD7A50">
        <w:t xml:space="preserve">Respondent </w:t>
      </w:r>
      <w:r w:rsidR="00BC7989">
        <w:t xml:space="preserve">refused to open a new account with her for electrical service on the grounds she owes money on a previous account left unpaid by her estranged husband, and </w:t>
      </w:r>
      <w:r w:rsidR="00BD7A50">
        <w:t>threatened to terminate service un</w:t>
      </w:r>
      <w:r w:rsidR="00B77E42">
        <w:t>less</w:t>
      </w:r>
      <w:r w:rsidR="00BD7A50">
        <w:t xml:space="preserve"> </w:t>
      </w:r>
      <w:r w:rsidR="00BC7989">
        <w:t>Complainant</w:t>
      </w:r>
      <w:r w:rsidR="00BD7A50">
        <w:t xml:space="preserve"> pay </w:t>
      </w:r>
      <w:r w:rsidR="0035629D">
        <w:t>the unpaid balance of $1,283.32</w:t>
      </w:r>
      <w:r w:rsidR="00BD7A50">
        <w:t xml:space="preserve"> to Respondent</w:t>
      </w:r>
      <w:r w:rsidR="00F86FB9">
        <w:t>.</w:t>
      </w:r>
    </w:p>
    <w:p w:rsidR="0041637D" w:rsidRPr="008B455C" w:rsidRDefault="0041637D" w:rsidP="00BD76C8">
      <w:pPr>
        <w:spacing w:line="360" w:lineRule="auto"/>
      </w:pPr>
    </w:p>
    <w:p w:rsidR="000B575F" w:rsidRPr="008B455C" w:rsidRDefault="0041637D" w:rsidP="00BD76C8">
      <w:pPr>
        <w:spacing w:line="360" w:lineRule="auto"/>
      </w:pPr>
      <w:r w:rsidRPr="008B455C">
        <w:tab/>
      </w:r>
      <w:r w:rsidRPr="008B455C">
        <w:tab/>
        <w:t xml:space="preserve">Duquesne Light filed </w:t>
      </w:r>
      <w:r w:rsidR="00DF0974" w:rsidRPr="008B455C">
        <w:t>an</w:t>
      </w:r>
      <w:r w:rsidR="00580D5E" w:rsidRPr="008B455C">
        <w:t xml:space="preserve"> </w:t>
      </w:r>
      <w:r w:rsidRPr="008B455C">
        <w:t xml:space="preserve">answer and new matter in response to </w:t>
      </w:r>
      <w:r w:rsidR="00F86FB9">
        <w:t>the</w:t>
      </w:r>
      <w:r w:rsidR="0065346D" w:rsidRPr="008B455C">
        <w:t xml:space="preserve"> </w:t>
      </w:r>
      <w:r w:rsidRPr="008B455C">
        <w:t xml:space="preserve">complaint on </w:t>
      </w:r>
      <w:r w:rsidR="0035629D">
        <w:t>May 12, 2009</w:t>
      </w:r>
      <w:r w:rsidRPr="008B455C">
        <w:t xml:space="preserve">.  In </w:t>
      </w:r>
      <w:r w:rsidR="00DF0974" w:rsidRPr="008B455C">
        <w:t>its</w:t>
      </w:r>
      <w:r w:rsidRPr="008B455C">
        <w:t xml:space="preserve"> </w:t>
      </w:r>
      <w:r w:rsidR="00580D5E" w:rsidRPr="008B455C">
        <w:t xml:space="preserve">responsive pleading, Duquesne Light avers </w:t>
      </w:r>
      <w:r w:rsidR="00BC7989">
        <w:t>Complainant</w:t>
      </w:r>
      <w:r w:rsidR="00F86FB9">
        <w:t xml:space="preserve"> </w:t>
      </w:r>
      <w:r w:rsidR="0035629D">
        <w:t>was a joint ratepayer on two accounts in her husband’s name from two previous addresses when Complainant resided with her husband</w:t>
      </w:r>
      <w:r w:rsidR="003D0DEF">
        <w:t xml:space="preserve">.  Duquesne Light admits </w:t>
      </w:r>
      <w:r w:rsidR="007B7EA3">
        <w:t>Complainant</w:t>
      </w:r>
      <w:r w:rsidR="003D0DEF">
        <w:t xml:space="preserve"> never personally applied for service but was an adult occupant residing in the premises and is responsible for any unpaid balance</w:t>
      </w:r>
      <w:r w:rsidR="00F86FB9">
        <w:t xml:space="preserve">.  </w:t>
      </w:r>
      <w:r w:rsidR="00DF08BA" w:rsidRPr="008B455C">
        <w:t xml:space="preserve">Duquesne Light requests </w:t>
      </w:r>
      <w:r w:rsidR="00DF0974" w:rsidRPr="008B455C">
        <w:t>the</w:t>
      </w:r>
      <w:r w:rsidR="00DF08BA" w:rsidRPr="008B455C">
        <w:t xml:space="preserve"> complaint </w:t>
      </w:r>
      <w:r w:rsidR="00DF39F5">
        <w:t xml:space="preserve">should </w:t>
      </w:r>
      <w:r w:rsidR="00DF08BA" w:rsidRPr="008B455C">
        <w:t>be dismissed</w:t>
      </w:r>
      <w:r w:rsidR="00DF39F5">
        <w:t xml:space="preserve"> and </w:t>
      </w:r>
      <w:r w:rsidR="00BC7989">
        <w:t>Complainant</w:t>
      </w:r>
      <w:r w:rsidR="00DF39F5">
        <w:t xml:space="preserve"> should be ordered to pay the $</w:t>
      </w:r>
      <w:r w:rsidR="003D0DEF">
        <w:t>1,283.32</w:t>
      </w:r>
      <w:r w:rsidR="00DF39F5">
        <w:t xml:space="preserve"> fee</w:t>
      </w:r>
      <w:r w:rsidR="00DF08BA" w:rsidRPr="008B455C">
        <w:t xml:space="preserve">.  </w:t>
      </w:r>
    </w:p>
    <w:p w:rsidR="008E4FD6" w:rsidRPr="008B455C" w:rsidRDefault="0084410C" w:rsidP="006D3697">
      <w:pPr>
        <w:spacing w:line="360" w:lineRule="auto"/>
      </w:pPr>
      <w:r w:rsidRPr="008B455C">
        <w:lastRenderedPageBreak/>
        <w:tab/>
      </w:r>
      <w:r w:rsidRPr="008B455C">
        <w:tab/>
      </w:r>
      <w:r w:rsidR="006D3697" w:rsidRPr="008B455C">
        <w:t xml:space="preserve">On </w:t>
      </w:r>
      <w:r w:rsidR="003D0DEF">
        <w:t>June 16, 2009</w:t>
      </w:r>
      <w:r w:rsidR="006D3697" w:rsidRPr="008B455C">
        <w:t xml:space="preserve">, </w:t>
      </w:r>
      <w:r w:rsidR="00EF5386" w:rsidRPr="008B455C">
        <w:t xml:space="preserve">I was assigned this case, which was scheduled for </w:t>
      </w:r>
      <w:r w:rsidR="006D3697" w:rsidRPr="008B455C">
        <w:t xml:space="preserve">an initial telephonic hearing </w:t>
      </w:r>
      <w:r w:rsidR="00EF5386" w:rsidRPr="008B455C">
        <w:t>to be conducted on</w:t>
      </w:r>
      <w:r w:rsidR="006D3697" w:rsidRPr="008B455C">
        <w:t xml:space="preserve"> </w:t>
      </w:r>
      <w:r w:rsidR="003D0DEF">
        <w:t>July 23, 2009</w:t>
      </w:r>
      <w:r w:rsidR="00EF5386" w:rsidRPr="008B455C">
        <w:t xml:space="preserve">.  A Telephone Hearing Notice </w:t>
      </w:r>
      <w:r w:rsidR="006D3697" w:rsidRPr="008B455C">
        <w:t xml:space="preserve">was sent to </w:t>
      </w:r>
      <w:r w:rsidR="00BC7989">
        <w:t>Complainant</w:t>
      </w:r>
      <w:r w:rsidR="00863BD5" w:rsidRPr="008B455C">
        <w:t xml:space="preserve"> </w:t>
      </w:r>
      <w:r w:rsidR="006D3697" w:rsidRPr="008B455C">
        <w:t>and Duquesne Light</w:t>
      </w:r>
      <w:r w:rsidR="00EF5386" w:rsidRPr="008B455C">
        <w:t xml:space="preserve"> on that date</w:t>
      </w:r>
      <w:r w:rsidR="006D3697" w:rsidRPr="008B455C">
        <w:t xml:space="preserve">.  On </w:t>
      </w:r>
      <w:r w:rsidR="003D0DEF">
        <w:t>June 17, 2009</w:t>
      </w:r>
      <w:r w:rsidR="006D3697" w:rsidRPr="008B455C">
        <w:t>, the undersigned issued a</w:t>
      </w:r>
      <w:r w:rsidR="008418FC" w:rsidRPr="008B455C">
        <w:t xml:space="preserve"> Prehearing Order.  </w:t>
      </w:r>
    </w:p>
    <w:p w:rsidR="008E4FD6" w:rsidRPr="008B455C" w:rsidRDefault="008E4FD6" w:rsidP="008E4FD6">
      <w:pPr>
        <w:tabs>
          <w:tab w:val="left" w:pos="2160"/>
        </w:tabs>
        <w:spacing w:line="360" w:lineRule="auto"/>
        <w:ind w:firstLine="1440"/>
      </w:pPr>
    </w:p>
    <w:p w:rsidR="00EE2926" w:rsidRPr="008B455C" w:rsidRDefault="001F030C" w:rsidP="008E4FD6">
      <w:pPr>
        <w:tabs>
          <w:tab w:val="left" w:pos="2160"/>
        </w:tabs>
        <w:spacing w:line="360" w:lineRule="auto"/>
        <w:ind w:firstLine="1440"/>
      </w:pPr>
      <w:r w:rsidRPr="008B455C">
        <w:t xml:space="preserve">The </w:t>
      </w:r>
      <w:r w:rsidR="00863BD5" w:rsidRPr="008B455C">
        <w:t xml:space="preserve">presiding officer convened the </w:t>
      </w:r>
      <w:r w:rsidRPr="008B455C">
        <w:t xml:space="preserve">initial hearing </w:t>
      </w:r>
      <w:r w:rsidR="006D3697" w:rsidRPr="008B455C">
        <w:t xml:space="preserve">as scheduled on </w:t>
      </w:r>
      <w:r w:rsidR="003D0DEF">
        <w:t>July 23, 2009</w:t>
      </w:r>
      <w:r w:rsidR="006D3697" w:rsidRPr="008B455C">
        <w:t xml:space="preserve">.  </w:t>
      </w:r>
      <w:r w:rsidR="00BC7989">
        <w:t>Complainant</w:t>
      </w:r>
      <w:r w:rsidR="00196E40" w:rsidRPr="008B455C">
        <w:t xml:space="preserve"> </w:t>
      </w:r>
      <w:r w:rsidR="00DC297D" w:rsidRPr="008B455C">
        <w:t xml:space="preserve">appeared </w:t>
      </w:r>
      <w:r w:rsidR="00DC297D" w:rsidRPr="008B455C">
        <w:rPr>
          <w:i/>
        </w:rPr>
        <w:t xml:space="preserve">pro se </w:t>
      </w:r>
      <w:r w:rsidR="00DC297D" w:rsidRPr="008B455C">
        <w:t xml:space="preserve">and </w:t>
      </w:r>
      <w:r w:rsidR="005E6DB5" w:rsidRPr="008B455C">
        <w:t xml:space="preserve">Duquesne Light was represented by </w:t>
      </w:r>
      <w:r w:rsidR="00196E40" w:rsidRPr="008B455C">
        <w:t>Krysia Kubiak</w:t>
      </w:r>
      <w:r w:rsidR="005E6DB5" w:rsidRPr="008B455C">
        <w:t xml:space="preserve">, Esquire.  Attorney </w:t>
      </w:r>
      <w:r w:rsidR="00196E40" w:rsidRPr="008B455C">
        <w:t>Kubiak</w:t>
      </w:r>
      <w:r w:rsidR="003D0DEF">
        <w:t xml:space="preserve"> presented the testimony</w:t>
      </w:r>
      <w:r w:rsidR="005E6DB5" w:rsidRPr="008B455C">
        <w:t xml:space="preserve"> of </w:t>
      </w:r>
      <w:r w:rsidR="000C39FB">
        <w:t>Joseph Becker</w:t>
      </w:r>
      <w:r w:rsidR="00863BD5" w:rsidRPr="008B455C">
        <w:t>,</w:t>
      </w:r>
      <w:r w:rsidR="00E16E9D" w:rsidRPr="008B455C">
        <w:t xml:space="preserve"> </w:t>
      </w:r>
      <w:r w:rsidR="005E6DB5" w:rsidRPr="008B455C">
        <w:t xml:space="preserve">and offered </w:t>
      </w:r>
      <w:r w:rsidR="00CD06EE">
        <w:t>five</w:t>
      </w:r>
      <w:r w:rsidR="005E6DB5" w:rsidRPr="008B455C">
        <w:t xml:space="preserve"> exhibits, marked Exhibit</w:t>
      </w:r>
      <w:r w:rsidR="000C39FB">
        <w:t xml:space="preserve">s 1, 2, 4, 5, </w:t>
      </w:r>
      <w:r w:rsidR="00A90619">
        <w:t xml:space="preserve">and </w:t>
      </w:r>
      <w:r w:rsidR="000C39FB">
        <w:t>6</w:t>
      </w:r>
      <w:r w:rsidR="001D5E87" w:rsidRPr="008B455C">
        <w:t>,</w:t>
      </w:r>
      <w:r w:rsidR="005E6DB5" w:rsidRPr="008B455C">
        <w:t xml:space="preserve"> </w:t>
      </w:r>
      <w:r w:rsidR="00DC3243" w:rsidRPr="008B455C">
        <w:t>which exhibits</w:t>
      </w:r>
      <w:r w:rsidR="005E6DB5" w:rsidRPr="008B455C">
        <w:t xml:space="preserve"> were admitted into evidence</w:t>
      </w:r>
      <w:r w:rsidR="00DC3243" w:rsidRPr="008B455C">
        <w:t xml:space="preserve"> on </w:t>
      </w:r>
      <w:r w:rsidR="00A90619">
        <w:t>July 23, 2009</w:t>
      </w:r>
      <w:r w:rsidR="005E6DB5" w:rsidRPr="008B455C">
        <w:t>.</w:t>
      </w:r>
      <w:r w:rsidR="00A90619">
        <w:t xml:space="preserve">  </w:t>
      </w:r>
      <w:r w:rsidR="00A90619" w:rsidRPr="00E16E1F">
        <w:t xml:space="preserve">In response to testimony provided at the hearing, </w:t>
      </w:r>
      <w:r w:rsidR="00A90619">
        <w:t xml:space="preserve">Respondent moved for submission </w:t>
      </w:r>
      <w:r w:rsidR="00A90619" w:rsidRPr="00E16E1F">
        <w:t xml:space="preserve">of </w:t>
      </w:r>
      <w:r w:rsidR="00A90619">
        <w:t>one additional exhibit</w:t>
      </w:r>
      <w:r w:rsidR="00A90619" w:rsidRPr="00E16E1F">
        <w:t>, Exhibit</w:t>
      </w:r>
      <w:r w:rsidR="00A90619">
        <w:t xml:space="preserve"> 7, which exhibit is an updated Exhibit 2</w:t>
      </w:r>
      <w:r w:rsidR="00A90619" w:rsidRPr="00E16E1F">
        <w:t>.  After providing Respondent with an opportunity to submit sufficient copies of Exhibit</w:t>
      </w:r>
      <w:r w:rsidR="00AE20FB">
        <w:t xml:space="preserve"> 7,</w:t>
      </w:r>
      <w:r w:rsidR="00A90619" w:rsidRPr="00E16E1F">
        <w:t xml:space="preserve"> th</w:t>
      </w:r>
      <w:r w:rsidR="00AE20FB">
        <w:t>is</w:t>
      </w:r>
      <w:r w:rsidR="00A90619" w:rsidRPr="00E16E1F">
        <w:t xml:space="preserve"> exhibit</w:t>
      </w:r>
      <w:r w:rsidR="00AE20FB">
        <w:t xml:space="preserve"> was</w:t>
      </w:r>
      <w:r w:rsidR="00A90619" w:rsidRPr="00E16E1F">
        <w:t xml:space="preserve"> admitted into evidence </w:t>
      </w:r>
      <w:r w:rsidR="00A62055">
        <w:t xml:space="preserve">on </w:t>
      </w:r>
      <w:r w:rsidR="00CD06EE">
        <w:t xml:space="preserve">July 23, 2009 </w:t>
      </w:r>
      <w:r w:rsidR="00AE20FB">
        <w:t>over Complainant’s</w:t>
      </w:r>
      <w:r w:rsidR="00A90619" w:rsidRPr="00E16E1F">
        <w:t xml:space="preserve"> objection upon </w:t>
      </w:r>
      <w:r w:rsidR="00AE20FB">
        <w:t>its</w:t>
      </w:r>
      <w:r w:rsidR="00A90619" w:rsidRPr="00E16E1F">
        <w:t xml:space="preserve"> receipt </w:t>
      </w:r>
      <w:r w:rsidR="00AE20FB">
        <w:t>after the conclusion of the hearing</w:t>
      </w:r>
      <w:r w:rsidR="00A90619" w:rsidRPr="00E16E1F">
        <w:t xml:space="preserve">.  </w:t>
      </w:r>
      <w:r w:rsidR="00E16E9D" w:rsidRPr="008B455C">
        <w:t xml:space="preserve">  </w:t>
      </w:r>
    </w:p>
    <w:p w:rsidR="00EE2926" w:rsidRPr="008B455C" w:rsidRDefault="00EE2926" w:rsidP="008E4FD6">
      <w:pPr>
        <w:tabs>
          <w:tab w:val="left" w:pos="2160"/>
        </w:tabs>
        <w:spacing w:line="360" w:lineRule="auto"/>
        <w:ind w:firstLine="1440"/>
      </w:pPr>
    </w:p>
    <w:p w:rsidR="005E6DB5" w:rsidRPr="008B455C" w:rsidRDefault="00FC4468" w:rsidP="008E4FD6">
      <w:pPr>
        <w:tabs>
          <w:tab w:val="left" w:pos="2160"/>
        </w:tabs>
        <w:spacing w:line="360" w:lineRule="auto"/>
        <w:ind w:firstLine="1440"/>
      </w:pPr>
      <w:r w:rsidRPr="008B455C">
        <w:t xml:space="preserve">The transcript of </w:t>
      </w:r>
      <w:r w:rsidR="005E6DB5" w:rsidRPr="008B455C">
        <w:t xml:space="preserve">the hearing contains </w:t>
      </w:r>
      <w:r w:rsidR="00537506">
        <w:t>seventy</w:t>
      </w:r>
      <w:r w:rsidR="0046290B" w:rsidRPr="008B455C">
        <w:t xml:space="preserve"> (</w:t>
      </w:r>
      <w:r w:rsidR="00537506">
        <w:t>70</w:t>
      </w:r>
      <w:r w:rsidR="0046290B" w:rsidRPr="008B455C">
        <w:t>)</w:t>
      </w:r>
      <w:r w:rsidRPr="008B455C">
        <w:t xml:space="preserve"> pages</w:t>
      </w:r>
      <w:r w:rsidR="00537506">
        <w:t xml:space="preserve">.  Complainant made a final statement on the record and </w:t>
      </w:r>
      <w:r w:rsidR="0046290B" w:rsidRPr="008B455C">
        <w:t>Respondent</w:t>
      </w:r>
      <w:r w:rsidR="00E16E9D" w:rsidRPr="008B455C">
        <w:t xml:space="preserve"> filed </w:t>
      </w:r>
      <w:r w:rsidR="00537506">
        <w:t>a brief</w:t>
      </w:r>
      <w:r w:rsidR="00E16E9D" w:rsidRPr="008B455C">
        <w:t xml:space="preserve"> on </w:t>
      </w:r>
      <w:r w:rsidR="00537506">
        <w:t>September 10, 2009</w:t>
      </w:r>
      <w:r w:rsidR="00DF39F5">
        <w:t>.</w:t>
      </w:r>
      <w:r w:rsidR="00F7580A" w:rsidRPr="008B455C">
        <w:t xml:space="preserve">  </w:t>
      </w:r>
    </w:p>
    <w:p w:rsidR="005E6DB5" w:rsidRPr="008B455C" w:rsidRDefault="005E6DB5" w:rsidP="008E4FD6">
      <w:pPr>
        <w:tabs>
          <w:tab w:val="left" w:pos="2160"/>
        </w:tabs>
        <w:spacing w:line="360" w:lineRule="auto"/>
        <w:ind w:firstLine="1440"/>
      </w:pPr>
    </w:p>
    <w:p w:rsidR="005E6DB5" w:rsidRPr="008B455C" w:rsidRDefault="005E6DB5" w:rsidP="008E4FD6">
      <w:pPr>
        <w:tabs>
          <w:tab w:val="left" w:pos="2160"/>
        </w:tabs>
        <w:spacing w:line="360" w:lineRule="auto"/>
        <w:ind w:firstLine="1440"/>
      </w:pPr>
      <w:r w:rsidRPr="008B455C">
        <w:t xml:space="preserve">On </w:t>
      </w:r>
      <w:r w:rsidR="00537506">
        <w:t xml:space="preserve">September 17, 2009, </w:t>
      </w:r>
      <w:r w:rsidR="00E05C97" w:rsidRPr="008B455C">
        <w:t>the</w:t>
      </w:r>
      <w:r w:rsidR="00EE2926" w:rsidRPr="008B455C">
        <w:t xml:space="preserve"> presiding officer closed the hearing </w:t>
      </w:r>
      <w:r w:rsidR="00E05C97" w:rsidRPr="008B455C">
        <w:t>record by Interim Order Closing the Hearing Record.</w:t>
      </w:r>
    </w:p>
    <w:p w:rsidR="00E05C97" w:rsidRPr="008B455C" w:rsidRDefault="00E05C97" w:rsidP="008E4FD6">
      <w:pPr>
        <w:tabs>
          <w:tab w:val="left" w:pos="2160"/>
        </w:tabs>
        <w:spacing w:line="360" w:lineRule="auto"/>
        <w:ind w:firstLine="1440"/>
      </w:pPr>
    </w:p>
    <w:p w:rsidR="008E4FD6" w:rsidRPr="008B455C" w:rsidRDefault="008E4FD6" w:rsidP="008E4FD6">
      <w:pPr>
        <w:tabs>
          <w:tab w:val="left" w:pos="2160"/>
        </w:tabs>
        <w:spacing w:line="360" w:lineRule="auto"/>
        <w:jc w:val="center"/>
        <w:rPr>
          <w:u w:val="single"/>
        </w:rPr>
      </w:pPr>
      <w:r w:rsidRPr="008B455C">
        <w:rPr>
          <w:u w:val="single"/>
        </w:rPr>
        <w:t xml:space="preserve">FINDINGS OF </w:t>
      </w:r>
      <w:smartTag w:uri="urn:schemas-microsoft-com:office:smarttags" w:element="stockticker">
        <w:r w:rsidRPr="008B455C">
          <w:rPr>
            <w:u w:val="single"/>
          </w:rPr>
          <w:t>FACT</w:t>
        </w:r>
      </w:smartTag>
    </w:p>
    <w:p w:rsidR="008E4FD6" w:rsidRPr="008B455C" w:rsidRDefault="008E4FD6" w:rsidP="008E4FD6">
      <w:pPr>
        <w:tabs>
          <w:tab w:val="left" w:pos="2160"/>
        </w:tabs>
        <w:spacing w:line="360" w:lineRule="auto"/>
        <w:rPr>
          <w:u w:val="single"/>
        </w:rPr>
      </w:pPr>
    </w:p>
    <w:p w:rsidR="00DA66D7" w:rsidRPr="009852DD" w:rsidRDefault="008E4FD6" w:rsidP="00600EE9">
      <w:pPr>
        <w:tabs>
          <w:tab w:val="left" w:pos="2160"/>
        </w:tabs>
        <w:spacing w:line="360" w:lineRule="auto"/>
        <w:ind w:firstLine="1440"/>
      </w:pPr>
      <w:r w:rsidRPr="009852DD">
        <w:t>1.</w:t>
      </w:r>
      <w:r w:rsidRPr="009852DD">
        <w:tab/>
      </w:r>
      <w:r w:rsidR="00BC7989" w:rsidRPr="009852DD">
        <w:t>Complainant</w:t>
      </w:r>
      <w:r w:rsidR="00FA2D82" w:rsidRPr="009852DD">
        <w:t xml:space="preserve">, </w:t>
      </w:r>
      <w:r w:rsidR="00B33E15" w:rsidRPr="009852DD">
        <w:t>Pamela Thomas</w:t>
      </w:r>
      <w:r w:rsidR="00E744B2" w:rsidRPr="009852DD">
        <w:t xml:space="preserve">, </w:t>
      </w:r>
      <w:r w:rsidR="00652B73">
        <w:t xml:space="preserve">currently </w:t>
      </w:r>
      <w:r w:rsidR="00B33E15" w:rsidRPr="009852DD">
        <w:t>receives mail at P.O. Box 261, Monroeville, Pennsylvania 15146</w:t>
      </w:r>
      <w:r w:rsidR="003121E7" w:rsidRPr="009852DD">
        <w:t xml:space="preserve">.  </w:t>
      </w:r>
      <w:r w:rsidR="00FA2D82" w:rsidRPr="009852DD">
        <w:t xml:space="preserve">(Tr. </w:t>
      </w:r>
      <w:r w:rsidR="005F21E6" w:rsidRPr="009852DD">
        <w:t>17</w:t>
      </w:r>
      <w:r w:rsidR="00EF7BB1" w:rsidRPr="009852DD">
        <w:t xml:space="preserve">; </w:t>
      </w:r>
      <w:r w:rsidR="00AB7864" w:rsidRPr="009852DD">
        <w:t>Duquesne Light Exhibits</w:t>
      </w:r>
      <w:r w:rsidR="00EF7BB1" w:rsidRPr="009852DD">
        <w:t xml:space="preserve"> </w:t>
      </w:r>
      <w:r w:rsidR="00D02CF4" w:rsidRPr="009852DD">
        <w:t>5 &amp; 7</w:t>
      </w:r>
      <w:r w:rsidR="00FA2D82" w:rsidRPr="009852DD">
        <w:t>).</w:t>
      </w:r>
      <w:r w:rsidR="00613AE9" w:rsidRPr="009852DD">
        <w:t xml:space="preserve"> </w:t>
      </w:r>
    </w:p>
    <w:p w:rsidR="001354D6" w:rsidRPr="009852DD" w:rsidRDefault="001354D6" w:rsidP="00600EE9">
      <w:pPr>
        <w:tabs>
          <w:tab w:val="left" w:pos="2160"/>
        </w:tabs>
        <w:spacing w:line="360" w:lineRule="auto"/>
        <w:ind w:firstLine="1440"/>
      </w:pPr>
    </w:p>
    <w:p w:rsidR="00851CB1" w:rsidRDefault="00851CB1" w:rsidP="00600EE9">
      <w:pPr>
        <w:tabs>
          <w:tab w:val="left" w:pos="2160"/>
        </w:tabs>
        <w:spacing w:line="360" w:lineRule="auto"/>
        <w:ind w:firstLine="1440"/>
      </w:pPr>
      <w:r w:rsidRPr="009852DD">
        <w:t>2.</w:t>
      </w:r>
      <w:r w:rsidRPr="009852DD">
        <w:tab/>
        <w:t xml:space="preserve">Complainant </w:t>
      </w:r>
      <w:r w:rsidR="003858F0">
        <w:t>resided</w:t>
      </w:r>
      <w:r w:rsidRPr="009852DD">
        <w:t xml:space="preserve"> at 520 Sunnyfield Drive</w:t>
      </w:r>
      <w:r w:rsidR="00652B73">
        <w:t xml:space="preserve">, Monroeville, Pennsylvania 15146, (“520 Sunnyfield”) </w:t>
      </w:r>
      <w:r w:rsidRPr="009852DD">
        <w:t xml:space="preserve">with her husband, Barron Thomas, </w:t>
      </w:r>
      <w:r w:rsidR="003858F0">
        <w:t>from</w:t>
      </w:r>
      <w:r w:rsidRPr="009852DD">
        <w:t xml:space="preserve"> July 2006</w:t>
      </w:r>
      <w:r w:rsidR="003858F0">
        <w:t xml:space="preserve"> to December 7, 2006</w:t>
      </w:r>
      <w:r w:rsidRPr="009852DD">
        <w:t xml:space="preserve">.  (Tr. </w:t>
      </w:r>
      <w:r w:rsidR="00652B73">
        <w:t xml:space="preserve">27, </w:t>
      </w:r>
      <w:r w:rsidRPr="009852DD">
        <w:t>29</w:t>
      </w:r>
      <w:r w:rsidR="003858F0">
        <w:t>, 36</w:t>
      </w:r>
      <w:r w:rsidRPr="009852DD">
        <w:t xml:space="preserve">; Duquesne Light Exhibit </w:t>
      </w:r>
      <w:r w:rsidR="003858F0">
        <w:t>1</w:t>
      </w:r>
      <w:r w:rsidRPr="009852DD">
        <w:t>).</w:t>
      </w:r>
    </w:p>
    <w:p w:rsidR="003858F0" w:rsidRDefault="003858F0" w:rsidP="00600EE9">
      <w:pPr>
        <w:tabs>
          <w:tab w:val="left" w:pos="2160"/>
        </w:tabs>
        <w:spacing w:line="360" w:lineRule="auto"/>
        <w:ind w:firstLine="1440"/>
      </w:pPr>
    </w:p>
    <w:p w:rsidR="00E8101A" w:rsidRDefault="00E8101A" w:rsidP="00600EE9">
      <w:pPr>
        <w:tabs>
          <w:tab w:val="left" w:pos="2160"/>
        </w:tabs>
        <w:spacing w:line="360" w:lineRule="auto"/>
        <w:ind w:firstLine="1440"/>
      </w:pPr>
      <w:r>
        <w:lastRenderedPageBreak/>
        <w:t>3.</w:t>
      </w:r>
      <w:r>
        <w:tab/>
        <w:t xml:space="preserve">Respondent provided electric service to 520 Sunnyfield from July 2006 to December </w:t>
      </w:r>
      <w:r w:rsidR="00781D1E">
        <w:t xml:space="preserve">7, </w:t>
      </w:r>
      <w:r>
        <w:t>2006 and payments were made on the account.  (Tr. 27, 29, 36; Duquesne Light Exhibit 1).</w:t>
      </w:r>
    </w:p>
    <w:p w:rsidR="00FE2A1D" w:rsidRDefault="00FE2A1D" w:rsidP="00600EE9">
      <w:pPr>
        <w:tabs>
          <w:tab w:val="left" w:pos="2160"/>
        </w:tabs>
        <w:spacing w:line="360" w:lineRule="auto"/>
        <w:ind w:firstLine="1440"/>
      </w:pPr>
    </w:p>
    <w:p w:rsidR="00851CB1" w:rsidRDefault="00FE2A1D" w:rsidP="00600EE9">
      <w:pPr>
        <w:tabs>
          <w:tab w:val="left" w:pos="2160"/>
        </w:tabs>
        <w:spacing w:line="360" w:lineRule="auto"/>
        <w:ind w:firstLine="1440"/>
      </w:pPr>
      <w:r>
        <w:t>4</w:t>
      </w:r>
      <w:r w:rsidR="00851CB1" w:rsidRPr="009852DD">
        <w:t>.</w:t>
      </w:r>
      <w:r w:rsidR="00851CB1" w:rsidRPr="009852DD">
        <w:tab/>
        <w:t xml:space="preserve">Complainant called Respondent on </w:t>
      </w:r>
      <w:r w:rsidR="001569B3">
        <w:t>November 20</w:t>
      </w:r>
      <w:r w:rsidR="00851CB1" w:rsidRPr="009852DD">
        <w:t xml:space="preserve">, 2006, </w:t>
      </w:r>
      <w:r w:rsidR="00652B73">
        <w:t xml:space="preserve">and </w:t>
      </w:r>
      <w:r w:rsidR="00851CB1" w:rsidRPr="009852DD">
        <w:t xml:space="preserve">requested cancellation of service at 520 Sunnyfield.  </w:t>
      </w:r>
      <w:r w:rsidR="005A60EA">
        <w:t>(Tr. 30, 46; Duquesne Light Exhibits 2 and 5).</w:t>
      </w:r>
    </w:p>
    <w:p w:rsidR="00554986" w:rsidRDefault="00554986" w:rsidP="00600EE9">
      <w:pPr>
        <w:tabs>
          <w:tab w:val="left" w:pos="2160"/>
        </w:tabs>
        <w:spacing w:line="360" w:lineRule="auto"/>
        <w:ind w:firstLine="1440"/>
      </w:pPr>
    </w:p>
    <w:p w:rsidR="00554986" w:rsidRPr="009852DD" w:rsidRDefault="00FE2A1D" w:rsidP="00781D1E">
      <w:pPr>
        <w:tabs>
          <w:tab w:val="left" w:pos="2160"/>
        </w:tabs>
        <w:spacing w:line="360" w:lineRule="auto"/>
        <w:ind w:firstLine="1440"/>
      </w:pPr>
      <w:r>
        <w:t>5</w:t>
      </w:r>
      <w:r w:rsidR="00554986">
        <w:t>.</w:t>
      </w:r>
      <w:r w:rsidR="00554986">
        <w:tab/>
      </w:r>
      <w:r w:rsidR="005A60EA">
        <w:t>Complainant</w:t>
      </w:r>
      <w:r w:rsidR="00554986" w:rsidRPr="009852DD">
        <w:t xml:space="preserve"> requested new </w:t>
      </w:r>
      <w:r w:rsidR="005A60EA">
        <w:t xml:space="preserve">electric </w:t>
      </w:r>
      <w:r w:rsidR="00554986" w:rsidRPr="009852DD">
        <w:t>service at 4402 McKenzie Drive</w:t>
      </w:r>
      <w:r w:rsidR="00652B73">
        <w:t xml:space="preserve">, </w:t>
      </w:r>
      <w:r w:rsidR="00652B73" w:rsidRPr="009852DD">
        <w:t>Monroeville, Pennsylvania 15146</w:t>
      </w:r>
      <w:r w:rsidR="00E8101A">
        <w:t xml:space="preserve"> (“4402 McKenzie”)</w:t>
      </w:r>
      <w:r w:rsidR="00781D1E">
        <w:t xml:space="preserve"> which service began on December 11, 2006</w:t>
      </w:r>
      <w:r w:rsidR="00554986">
        <w:t xml:space="preserve">.  </w:t>
      </w:r>
      <w:r w:rsidR="00554986" w:rsidRPr="009852DD">
        <w:t xml:space="preserve">(Tr. </w:t>
      </w:r>
      <w:r w:rsidR="00652B73">
        <w:t xml:space="preserve">27, </w:t>
      </w:r>
      <w:r w:rsidR="00554986" w:rsidRPr="009852DD">
        <w:t>30</w:t>
      </w:r>
      <w:r w:rsidR="005A60EA">
        <w:t>, 46</w:t>
      </w:r>
      <w:r w:rsidR="00554986">
        <w:t>; Duquesne Light Exhibit</w:t>
      </w:r>
      <w:r w:rsidR="005A60EA">
        <w:t>s</w:t>
      </w:r>
      <w:r w:rsidR="00554986">
        <w:t xml:space="preserve"> 2</w:t>
      </w:r>
      <w:r w:rsidR="005A60EA">
        <w:t xml:space="preserve"> and 5</w:t>
      </w:r>
      <w:r w:rsidR="00554986" w:rsidRPr="009852DD">
        <w:t>).</w:t>
      </w:r>
    </w:p>
    <w:p w:rsidR="005A60EA" w:rsidRDefault="005A60EA" w:rsidP="005A60EA">
      <w:pPr>
        <w:tabs>
          <w:tab w:val="left" w:pos="2160"/>
        </w:tabs>
        <w:spacing w:line="360" w:lineRule="auto"/>
        <w:ind w:firstLine="1440"/>
      </w:pPr>
    </w:p>
    <w:p w:rsidR="005A60EA" w:rsidRPr="009852DD" w:rsidRDefault="00FE2A1D" w:rsidP="005A60EA">
      <w:pPr>
        <w:tabs>
          <w:tab w:val="left" w:pos="2160"/>
        </w:tabs>
        <w:spacing w:line="360" w:lineRule="auto"/>
        <w:ind w:firstLine="1440"/>
      </w:pPr>
      <w:r>
        <w:t>6</w:t>
      </w:r>
      <w:r w:rsidR="005A60EA">
        <w:t>.</w:t>
      </w:r>
      <w:r w:rsidR="005A60EA">
        <w:tab/>
        <w:t>As of December 7, 2006, Respondent was owed $506.58 on the unpaid balance for 520 Sunnyfield.  (Tr. 36; Duquesne Light Exhibit 1).</w:t>
      </w:r>
    </w:p>
    <w:p w:rsidR="00851CB1" w:rsidRDefault="00851CB1" w:rsidP="00600EE9">
      <w:pPr>
        <w:tabs>
          <w:tab w:val="left" w:pos="2160"/>
        </w:tabs>
        <w:spacing w:line="360" w:lineRule="auto"/>
        <w:ind w:firstLine="1440"/>
      </w:pPr>
    </w:p>
    <w:p w:rsidR="005A60EA" w:rsidRDefault="00FE2A1D" w:rsidP="00600EE9">
      <w:pPr>
        <w:tabs>
          <w:tab w:val="left" w:pos="2160"/>
        </w:tabs>
        <w:spacing w:line="360" w:lineRule="auto"/>
        <w:ind w:firstLine="1440"/>
      </w:pPr>
      <w:r>
        <w:t>7</w:t>
      </w:r>
      <w:r w:rsidR="005A60EA">
        <w:t>.</w:t>
      </w:r>
      <w:r w:rsidR="005A60EA">
        <w:tab/>
        <w:t>Respondent carried over the unpaid balance from 520 Sunnyfield to the new account for 4402 McKenzie</w:t>
      </w:r>
      <w:r w:rsidR="00E8101A">
        <w:t>, and continued to receive payments on the electric account</w:t>
      </w:r>
      <w:r w:rsidR="005A60EA">
        <w:t xml:space="preserve">.  </w:t>
      </w:r>
      <w:r w:rsidR="009E3E84">
        <w:t>(Tr. 46</w:t>
      </w:r>
      <w:r w:rsidR="00E8101A">
        <w:t>; Duquesne Light Exhibit 1</w:t>
      </w:r>
      <w:r w:rsidR="009E3E84">
        <w:t>).</w:t>
      </w:r>
    </w:p>
    <w:p w:rsidR="005A60EA" w:rsidRDefault="005A60EA" w:rsidP="00600EE9">
      <w:pPr>
        <w:tabs>
          <w:tab w:val="left" w:pos="2160"/>
        </w:tabs>
        <w:spacing w:line="360" w:lineRule="auto"/>
        <w:ind w:firstLine="1440"/>
      </w:pPr>
    </w:p>
    <w:p w:rsidR="003858F0" w:rsidRDefault="00FE2A1D" w:rsidP="00600EE9">
      <w:pPr>
        <w:tabs>
          <w:tab w:val="left" w:pos="2160"/>
        </w:tabs>
        <w:spacing w:line="360" w:lineRule="auto"/>
        <w:ind w:firstLine="1440"/>
      </w:pPr>
      <w:r>
        <w:t>8</w:t>
      </w:r>
      <w:r w:rsidR="003858F0">
        <w:t>.</w:t>
      </w:r>
      <w:r w:rsidR="003858F0">
        <w:tab/>
      </w:r>
      <w:r w:rsidR="00F0133B">
        <w:t xml:space="preserve">Complainant resided with her husband at 4402 McKenzie from December 2006 to February 2008.  (Tr. 30, 31, 37).  </w:t>
      </w:r>
    </w:p>
    <w:p w:rsidR="003858F0" w:rsidRPr="009852DD" w:rsidRDefault="003858F0" w:rsidP="00600EE9">
      <w:pPr>
        <w:tabs>
          <w:tab w:val="left" w:pos="2160"/>
        </w:tabs>
        <w:spacing w:line="360" w:lineRule="auto"/>
        <w:ind w:firstLine="1440"/>
      </w:pPr>
    </w:p>
    <w:p w:rsidR="00851CB1" w:rsidRPr="009852DD" w:rsidRDefault="00FE2A1D" w:rsidP="00600EE9">
      <w:pPr>
        <w:tabs>
          <w:tab w:val="left" w:pos="2160"/>
        </w:tabs>
        <w:spacing w:line="360" w:lineRule="auto"/>
        <w:ind w:firstLine="1440"/>
      </w:pPr>
      <w:r>
        <w:t>9</w:t>
      </w:r>
      <w:r w:rsidR="00851CB1" w:rsidRPr="009852DD">
        <w:t>.</w:t>
      </w:r>
      <w:r w:rsidR="00851CB1" w:rsidRPr="009852DD">
        <w:tab/>
      </w:r>
      <w:r w:rsidR="009E3E84">
        <w:t xml:space="preserve">On February 1, 2008, </w:t>
      </w:r>
      <w:r w:rsidR="00851CB1" w:rsidRPr="009852DD">
        <w:t xml:space="preserve">Complainant cancelled service at 4402 McKenzie Drive </w:t>
      </w:r>
      <w:r w:rsidR="009E3E84">
        <w:t>effective</w:t>
      </w:r>
      <w:r w:rsidR="00851CB1" w:rsidRPr="009852DD">
        <w:t xml:space="preserve"> February</w:t>
      </w:r>
      <w:r w:rsidR="009E3E84">
        <w:t xml:space="preserve"> 4</w:t>
      </w:r>
      <w:r w:rsidR="00851CB1" w:rsidRPr="009852DD">
        <w:t>, 2008</w:t>
      </w:r>
      <w:r w:rsidR="008C4487" w:rsidRPr="009852DD">
        <w:t xml:space="preserve"> and provided a forwarding address.  (Tr. 30, 31</w:t>
      </w:r>
      <w:r w:rsidR="009E3E84">
        <w:t>, 47</w:t>
      </w:r>
      <w:r w:rsidR="008C4487" w:rsidRPr="009852DD">
        <w:t>).</w:t>
      </w:r>
    </w:p>
    <w:p w:rsidR="009E3E84" w:rsidRDefault="009E3E84" w:rsidP="009E3E84">
      <w:pPr>
        <w:tabs>
          <w:tab w:val="left" w:pos="2160"/>
        </w:tabs>
        <w:spacing w:line="360" w:lineRule="auto"/>
        <w:ind w:firstLine="1440"/>
      </w:pPr>
    </w:p>
    <w:p w:rsidR="009E3E84" w:rsidRDefault="00FE2A1D" w:rsidP="009E3E84">
      <w:pPr>
        <w:tabs>
          <w:tab w:val="left" w:pos="2160"/>
        </w:tabs>
        <w:spacing w:line="360" w:lineRule="auto"/>
        <w:ind w:firstLine="1440"/>
      </w:pPr>
      <w:r>
        <w:t>10</w:t>
      </w:r>
      <w:r w:rsidR="009E3E84">
        <w:t>.</w:t>
      </w:r>
      <w:r w:rsidR="009E3E84">
        <w:tab/>
        <w:t>As of February 28, 2008, the amount of $1,283.32 remained unpaid on the account at 4402 McKenzie.  (Tr. 37, 47;</w:t>
      </w:r>
      <w:r w:rsidR="006D1F5A">
        <w:t xml:space="preserve"> Duquesne Light Exhibits 2 and 5</w:t>
      </w:r>
      <w:r w:rsidR="009E3E84">
        <w:t>).</w:t>
      </w:r>
    </w:p>
    <w:p w:rsidR="008C4487" w:rsidRPr="009852DD" w:rsidRDefault="008C4487" w:rsidP="00600EE9">
      <w:pPr>
        <w:tabs>
          <w:tab w:val="left" w:pos="2160"/>
        </w:tabs>
        <w:spacing w:line="360" w:lineRule="auto"/>
        <w:ind w:firstLine="1440"/>
      </w:pPr>
    </w:p>
    <w:p w:rsidR="008C4487" w:rsidRPr="009852DD" w:rsidRDefault="00FE2A1D" w:rsidP="00600EE9">
      <w:pPr>
        <w:tabs>
          <w:tab w:val="left" w:pos="2160"/>
        </w:tabs>
        <w:spacing w:line="360" w:lineRule="auto"/>
        <w:ind w:firstLine="1440"/>
      </w:pPr>
      <w:r>
        <w:t>11</w:t>
      </w:r>
      <w:r w:rsidR="008C4487" w:rsidRPr="009852DD">
        <w:t>.</w:t>
      </w:r>
      <w:r w:rsidR="008C4487" w:rsidRPr="009852DD">
        <w:tab/>
        <w:t xml:space="preserve">On December 1, 2008, </w:t>
      </w:r>
      <w:r w:rsidR="00990955">
        <w:t xml:space="preserve">first Complainant’s husband and then </w:t>
      </w:r>
      <w:r w:rsidR="008C4487" w:rsidRPr="009852DD">
        <w:t xml:space="preserve">Complainant </w:t>
      </w:r>
      <w:r w:rsidR="006D1F5A">
        <w:t xml:space="preserve">separately </w:t>
      </w:r>
      <w:r w:rsidR="008C4487" w:rsidRPr="009852DD">
        <w:t>applied for service at 302 Shadow</w:t>
      </w:r>
      <w:r w:rsidR="00580BD5">
        <w:t xml:space="preserve"> W</w:t>
      </w:r>
      <w:r w:rsidR="008C4487" w:rsidRPr="009852DD">
        <w:t>ood Court</w:t>
      </w:r>
      <w:r w:rsidR="009E3E84">
        <w:t>, Trafford, Pennsylvania 15085</w:t>
      </w:r>
      <w:r w:rsidR="00580BD5">
        <w:t xml:space="preserve"> (“302 Shadow Wood”)</w:t>
      </w:r>
      <w:r w:rsidR="008C4487" w:rsidRPr="009852DD">
        <w:t>.  (Tr. 30, 31</w:t>
      </w:r>
      <w:r w:rsidR="009E3E84">
        <w:t>, 48</w:t>
      </w:r>
      <w:r w:rsidR="006D1F5A">
        <w:t>; Duquesne Light Exhibit 5</w:t>
      </w:r>
      <w:r w:rsidR="008C4487" w:rsidRPr="009852DD">
        <w:t>).</w:t>
      </w:r>
    </w:p>
    <w:p w:rsidR="008C4487" w:rsidRDefault="008C4487" w:rsidP="00600EE9">
      <w:pPr>
        <w:tabs>
          <w:tab w:val="left" w:pos="2160"/>
        </w:tabs>
        <w:spacing w:line="360" w:lineRule="auto"/>
        <w:ind w:firstLine="1440"/>
      </w:pPr>
    </w:p>
    <w:p w:rsidR="00580BD5" w:rsidRDefault="00FE2A1D" w:rsidP="00600EE9">
      <w:pPr>
        <w:tabs>
          <w:tab w:val="left" w:pos="2160"/>
        </w:tabs>
        <w:spacing w:line="360" w:lineRule="auto"/>
        <w:ind w:firstLine="1440"/>
      </w:pPr>
      <w:r>
        <w:lastRenderedPageBreak/>
        <w:t>12</w:t>
      </w:r>
      <w:r w:rsidR="00580BD5">
        <w:t>.</w:t>
      </w:r>
      <w:r w:rsidR="00580BD5">
        <w:tab/>
      </w:r>
      <w:r>
        <w:t xml:space="preserve">Respondent denied </w:t>
      </w:r>
      <w:r w:rsidR="00990955">
        <w:t>both</w:t>
      </w:r>
      <w:r>
        <w:t xml:space="preserve"> applications </w:t>
      </w:r>
      <w:r w:rsidR="00990955">
        <w:t xml:space="preserve">until such time as the prior balance </w:t>
      </w:r>
      <w:r w:rsidR="006D1F5A">
        <w:t xml:space="preserve">($1,283.32) </w:t>
      </w:r>
      <w:r w:rsidR="00990955">
        <w:t>was paid</w:t>
      </w:r>
      <w:r>
        <w:t xml:space="preserve">.  </w:t>
      </w:r>
      <w:r w:rsidR="00580BD5">
        <w:t>(Tr. 48).</w:t>
      </w:r>
    </w:p>
    <w:p w:rsidR="00580BD5" w:rsidRDefault="00580BD5" w:rsidP="00600EE9">
      <w:pPr>
        <w:tabs>
          <w:tab w:val="left" w:pos="2160"/>
        </w:tabs>
        <w:spacing w:line="360" w:lineRule="auto"/>
        <w:ind w:firstLine="1440"/>
      </w:pPr>
    </w:p>
    <w:p w:rsidR="00FE2A1D" w:rsidRPr="009852DD" w:rsidRDefault="00FE2A1D" w:rsidP="00FE2A1D">
      <w:pPr>
        <w:tabs>
          <w:tab w:val="left" w:pos="2160"/>
        </w:tabs>
        <w:spacing w:line="360" w:lineRule="auto"/>
        <w:ind w:firstLine="1440"/>
      </w:pPr>
      <w:r>
        <w:t>13.</w:t>
      </w:r>
      <w:r>
        <w:tab/>
      </w:r>
      <w:r w:rsidRPr="009852DD">
        <w:t xml:space="preserve">Complainant moved into 1620 Ridge </w:t>
      </w:r>
      <w:r w:rsidR="00D957AC">
        <w:t xml:space="preserve">Avenue, North Braddock, Pennsylvania 15104 (“1620 Ridge”) </w:t>
      </w:r>
      <w:r w:rsidRPr="009852DD">
        <w:t xml:space="preserve">and began residing with her father in late 2008.  (Tr. </w:t>
      </w:r>
      <w:r>
        <w:t>22</w:t>
      </w:r>
      <w:r w:rsidRPr="009852DD">
        <w:t>).</w:t>
      </w:r>
    </w:p>
    <w:p w:rsidR="00FE2A1D" w:rsidRDefault="00FE2A1D" w:rsidP="00600EE9">
      <w:pPr>
        <w:tabs>
          <w:tab w:val="left" w:pos="2160"/>
        </w:tabs>
        <w:spacing w:line="360" w:lineRule="auto"/>
        <w:ind w:firstLine="1440"/>
      </w:pPr>
    </w:p>
    <w:p w:rsidR="00B7676D" w:rsidRDefault="00FE2A1D" w:rsidP="00B7676D">
      <w:pPr>
        <w:tabs>
          <w:tab w:val="left" w:pos="2160"/>
        </w:tabs>
        <w:spacing w:line="360" w:lineRule="auto"/>
        <w:ind w:firstLine="1440"/>
      </w:pPr>
      <w:r>
        <w:t>14</w:t>
      </w:r>
      <w:r w:rsidR="00580BD5">
        <w:t>.</w:t>
      </w:r>
      <w:r w:rsidR="00580BD5">
        <w:tab/>
        <w:t>Complainant’s father, Alexander Spencer, called on January 5, 2009</w:t>
      </w:r>
      <w:r w:rsidR="00D957AC">
        <w:t xml:space="preserve">, </w:t>
      </w:r>
      <w:r w:rsidR="00580BD5">
        <w:t xml:space="preserve"> </w:t>
      </w:r>
      <w:r w:rsidR="00B7676D">
        <w:t>cancel</w:t>
      </w:r>
      <w:r w:rsidR="00D957AC">
        <w:t xml:space="preserve">led </w:t>
      </w:r>
      <w:r w:rsidR="00B7676D">
        <w:t xml:space="preserve">electric service </w:t>
      </w:r>
      <w:r w:rsidR="00D957AC">
        <w:t xml:space="preserve">in his name effective </w:t>
      </w:r>
      <w:r w:rsidR="00B7676D">
        <w:t>on January 6, 2009</w:t>
      </w:r>
      <w:r w:rsidR="00D957AC">
        <w:t>,</w:t>
      </w:r>
      <w:r w:rsidR="00B7676D">
        <w:t xml:space="preserve"> and </w:t>
      </w:r>
      <w:r w:rsidR="00D957AC">
        <w:t xml:space="preserve">requested Respondent </w:t>
      </w:r>
      <w:r w:rsidR="00B7676D">
        <w:t>open a new account in Complainant’s name because Complainant now lived at 1620 Ridge</w:t>
      </w:r>
      <w:r w:rsidR="00B72AF8">
        <w:t xml:space="preserve"> and he was vacating the residence</w:t>
      </w:r>
      <w:r w:rsidR="00B7676D">
        <w:t>.  (Tr. 49).</w:t>
      </w:r>
    </w:p>
    <w:p w:rsidR="00B7676D" w:rsidRDefault="00B7676D" w:rsidP="00B7676D">
      <w:pPr>
        <w:tabs>
          <w:tab w:val="left" w:pos="2160"/>
        </w:tabs>
        <w:spacing w:line="360" w:lineRule="auto"/>
        <w:ind w:firstLine="1440"/>
      </w:pPr>
    </w:p>
    <w:p w:rsidR="006D1F5A" w:rsidRDefault="006D1F5A" w:rsidP="00B7676D">
      <w:pPr>
        <w:tabs>
          <w:tab w:val="left" w:pos="2160"/>
        </w:tabs>
        <w:spacing w:line="360" w:lineRule="auto"/>
        <w:ind w:firstLine="1440"/>
      </w:pPr>
      <w:r>
        <w:t>15.</w:t>
      </w:r>
      <w:r>
        <w:tab/>
        <w:t xml:space="preserve">On January 6, 2009, Respondent posted a 72-hour, “Using Without a Contract”, termination notice on 1620 Ridge for using electricity without a contract </w:t>
      </w:r>
      <w:r w:rsidR="003A0189">
        <w:t>pending receipt of an application from Complainant</w:t>
      </w:r>
      <w:r>
        <w:t>.</w:t>
      </w:r>
      <w:r w:rsidRPr="009852DD">
        <w:t xml:space="preserve"> (Tr. </w:t>
      </w:r>
      <w:r w:rsidR="003A0189">
        <w:t>49-</w:t>
      </w:r>
      <w:r>
        <w:t>51; Duquesne Light Exhibit 5</w:t>
      </w:r>
      <w:r w:rsidRPr="009852DD">
        <w:t>).</w:t>
      </w:r>
    </w:p>
    <w:p w:rsidR="006D1F5A" w:rsidRPr="009852DD" w:rsidRDefault="006D1F5A" w:rsidP="00B7676D">
      <w:pPr>
        <w:tabs>
          <w:tab w:val="left" w:pos="2160"/>
        </w:tabs>
        <w:spacing w:line="360" w:lineRule="auto"/>
        <w:ind w:firstLine="1440"/>
      </w:pPr>
    </w:p>
    <w:p w:rsidR="00F35726" w:rsidRPr="009852DD" w:rsidRDefault="00FE2A1D" w:rsidP="00F35726">
      <w:pPr>
        <w:tabs>
          <w:tab w:val="left" w:pos="2160"/>
        </w:tabs>
        <w:spacing w:line="360" w:lineRule="auto"/>
        <w:ind w:firstLine="1440"/>
      </w:pPr>
      <w:r>
        <w:t>1</w:t>
      </w:r>
      <w:r w:rsidR="003A0189">
        <w:t>6</w:t>
      </w:r>
      <w:r w:rsidR="008C4487" w:rsidRPr="009852DD">
        <w:t>.</w:t>
      </w:r>
      <w:r w:rsidR="008C4487" w:rsidRPr="009852DD">
        <w:tab/>
      </w:r>
      <w:r w:rsidR="009852DD" w:rsidRPr="009852DD">
        <w:t xml:space="preserve"> </w:t>
      </w:r>
      <w:r w:rsidR="00B7676D">
        <w:t xml:space="preserve">On January 9, 2009, </w:t>
      </w:r>
      <w:r w:rsidR="00BC7989" w:rsidRPr="009852DD">
        <w:t>Complainant</w:t>
      </w:r>
      <w:r w:rsidR="00E744B2" w:rsidRPr="009852DD">
        <w:t xml:space="preserve"> </w:t>
      </w:r>
      <w:r w:rsidR="00DF3A4C" w:rsidRPr="009852DD">
        <w:t xml:space="preserve">applied to receive electric service from Respondent </w:t>
      </w:r>
      <w:r w:rsidR="00E744B2" w:rsidRPr="009852DD">
        <w:t>at 1620 Ridge</w:t>
      </w:r>
      <w:r w:rsidR="000D7C46" w:rsidRPr="009852DD">
        <w:t>.</w:t>
      </w:r>
      <w:r w:rsidR="00E744B2" w:rsidRPr="009852DD">
        <w:t xml:space="preserve"> </w:t>
      </w:r>
      <w:r w:rsidR="00EF7BB1" w:rsidRPr="009852DD">
        <w:t xml:space="preserve"> </w:t>
      </w:r>
      <w:r w:rsidR="00DF3A4C" w:rsidRPr="009852DD">
        <w:t>(Tr.19</w:t>
      </w:r>
      <w:r w:rsidR="000D7C46" w:rsidRPr="009852DD">
        <w:t>, 21</w:t>
      </w:r>
      <w:r w:rsidR="0000779D" w:rsidRPr="009852DD">
        <w:t>, 22</w:t>
      </w:r>
      <w:r w:rsidR="00B7676D">
        <w:t>, 49</w:t>
      </w:r>
      <w:r w:rsidR="00AB7864" w:rsidRPr="009852DD">
        <w:t xml:space="preserve">; Duquesne Light Exhibit </w:t>
      </w:r>
      <w:r>
        <w:t>1</w:t>
      </w:r>
      <w:r w:rsidR="000C736C" w:rsidRPr="009852DD">
        <w:t>).</w:t>
      </w:r>
      <w:r w:rsidR="00F866E9" w:rsidRPr="009852DD">
        <w:t xml:space="preserve"> </w:t>
      </w:r>
    </w:p>
    <w:p w:rsidR="00142A80" w:rsidRPr="009852DD" w:rsidRDefault="00142A80" w:rsidP="006B629F">
      <w:pPr>
        <w:tabs>
          <w:tab w:val="left" w:pos="2160"/>
        </w:tabs>
        <w:spacing w:line="360" w:lineRule="auto"/>
        <w:ind w:firstLine="1440"/>
      </w:pPr>
    </w:p>
    <w:p w:rsidR="000841E3" w:rsidRPr="009852DD" w:rsidRDefault="00FE2A1D" w:rsidP="006B629F">
      <w:pPr>
        <w:tabs>
          <w:tab w:val="left" w:pos="2160"/>
        </w:tabs>
        <w:spacing w:line="360" w:lineRule="auto"/>
        <w:ind w:firstLine="1440"/>
      </w:pPr>
      <w:r>
        <w:t>1</w:t>
      </w:r>
      <w:r w:rsidR="003A0189">
        <w:t>7</w:t>
      </w:r>
      <w:r w:rsidR="0000779D" w:rsidRPr="009852DD">
        <w:t>.</w:t>
      </w:r>
      <w:r w:rsidR="0000779D" w:rsidRPr="009852DD">
        <w:tab/>
        <w:t xml:space="preserve">Respondent denied Complainant’s request to have electric services put in her name </w:t>
      </w:r>
      <w:r w:rsidR="00742A7D">
        <w:t xml:space="preserve">until she </w:t>
      </w:r>
      <w:r w:rsidR="00990955">
        <w:t xml:space="preserve">first </w:t>
      </w:r>
      <w:r w:rsidR="00742A7D">
        <w:t xml:space="preserve">paid to Respondent </w:t>
      </w:r>
      <w:r w:rsidR="00B7676D">
        <w:t xml:space="preserve">$1,283.32 </w:t>
      </w:r>
      <w:r w:rsidR="00A62055">
        <w:t>o</w:t>
      </w:r>
      <w:r w:rsidR="00B7676D">
        <w:t>n a past due balance</w:t>
      </w:r>
      <w:r w:rsidR="00742A7D">
        <w:t xml:space="preserve"> in addition to paying $344 in security deposit</w:t>
      </w:r>
      <w:r w:rsidR="0000779D" w:rsidRPr="009852DD">
        <w:t xml:space="preserve">.  </w:t>
      </w:r>
      <w:r w:rsidR="00C01EA5" w:rsidRPr="009852DD">
        <w:t xml:space="preserve">(Tr. </w:t>
      </w:r>
      <w:r w:rsidR="0000779D" w:rsidRPr="009852DD">
        <w:t>23</w:t>
      </w:r>
      <w:r w:rsidR="00B7676D">
        <w:t>, 49</w:t>
      </w:r>
      <w:r w:rsidR="00742A7D">
        <w:t>, 50</w:t>
      </w:r>
      <w:r w:rsidR="00AB7864" w:rsidRPr="009852DD">
        <w:t xml:space="preserve">; Duquesne Light Exhibit </w:t>
      </w:r>
      <w:r>
        <w:t>1</w:t>
      </w:r>
      <w:r w:rsidR="00C01EA5" w:rsidRPr="009852DD">
        <w:t>).</w:t>
      </w:r>
    </w:p>
    <w:p w:rsidR="00F85392" w:rsidRDefault="00F85392" w:rsidP="006B629F">
      <w:pPr>
        <w:tabs>
          <w:tab w:val="left" w:pos="2160"/>
        </w:tabs>
        <w:spacing w:line="360" w:lineRule="auto"/>
        <w:ind w:firstLine="1440"/>
      </w:pPr>
    </w:p>
    <w:p w:rsidR="00554986" w:rsidRDefault="00FE2A1D" w:rsidP="006B629F">
      <w:pPr>
        <w:tabs>
          <w:tab w:val="left" w:pos="2160"/>
        </w:tabs>
        <w:spacing w:line="360" w:lineRule="auto"/>
        <w:ind w:firstLine="1440"/>
      </w:pPr>
      <w:r>
        <w:t>1</w:t>
      </w:r>
      <w:r w:rsidR="003A0189">
        <w:t>8</w:t>
      </w:r>
      <w:r w:rsidR="00554986">
        <w:t>.</w:t>
      </w:r>
      <w:r w:rsidR="00554986">
        <w:tab/>
      </w:r>
      <w:r w:rsidR="00742A7D">
        <w:t xml:space="preserve">On or about January 9, 2009, Respondent sent to Complainant </w:t>
      </w:r>
      <w:r w:rsidR="00990955">
        <w:t xml:space="preserve">a letter </w:t>
      </w:r>
      <w:r w:rsidR="00742A7D">
        <w:t>which</w:t>
      </w:r>
      <w:r w:rsidR="00990955">
        <w:t xml:space="preserve"> erroneously</w:t>
      </w:r>
      <w:r w:rsidR="00742A7D">
        <w:t xml:space="preserve"> </w:t>
      </w:r>
      <w:r w:rsidR="008C0C01">
        <w:t xml:space="preserve">indicated </w:t>
      </w:r>
      <w:r w:rsidR="006A3B9D">
        <w:t>$344 was paid on the</w:t>
      </w:r>
      <w:r w:rsidR="00990955">
        <w:t xml:space="preserve"> past-due</w:t>
      </w:r>
      <w:r w:rsidR="006A3B9D">
        <w:t xml:space="preserve"> account</w:t>
      </w:r>
      <w:r w:rsidR="00554986">
        <w:t xml:space="preserve">.  (Tr. </w:t>
      </w:r>
      <w:r w:rsidR="006A3B9D">
        <w:t>50</w:t>
      </w:r>
      <w:r w:rsidR="00554986">
        <w:t>).</w:t>
      </w:r>
    </w:p>
    <w:p w:rsidR="00554986" w:rsidRPr="009852DD" w:rsidRDefault="00554986" w:rsidP="006B629F">
      <w:pPr>
        <w:tabs>
          <w:tab w:val="left" w:pos="2160"/>
        </w:tabs>
        <w:spacing w:line="360" w:lineRule="auto"/>
        <w:ind w:firstLine="1440"/>
      </w:pPr>
    </w:p>
    <w:p w:rsidR="00F85392" w:rsidRPr="009852DD" w:rsidRDefault="005A60EA" w:rsidP="006B629F">
      <w:pPr>
        <w:tabs>
          <w:tab w:val="left" w:pos="2160"/>
        </w:tabs>
        <w:spacing w:line="360" w:lineRule="auto"/>
        <w:ind w:firstLine="1440"/>
      </w:pPr>
      <w:r>
        <w:t>1</w:t>
      </w:r>
      <w:r w:rsidR="003A0189">
        <w:t>9</w:t>
      </w:r>
      <w:r w:rsidR="00F85392" w:rsidRPr="009852DD">
        <w:t>.</w:t>
      </w:r>
      <w:r w:rsidR="00F85392" w:rsidRPr="009852DD">
        <w:tab/>
        <w:t xml:space="preserve"> </w:t>
      </w:r>
      <w:r w:rsidR="00803501" w:rsidRPr="009852DD">
        <w:t xml:space="preserve">Prior to 2009, Complainant </w:t>
      </w:r>
      <w:r w:rsidR="00FE2A1D">
        <w:t>was aware</w:t>
      </w:r>
      <w:r w:rsidR="00803501" w:rsidRPr="009852DD">
        <w:t xml:space="preserve"> Respondent was owed money on an electric services account opened up by Complainant’s husband, Barron Thomas, for electric services received while Complainant and her husband lived together at 520 Sunnyfield and 4402 McKenzie.  </w:t>
      </w:r>
      <w:r w:rsidR="00F85392" w:rsidRPr="009852DD">
        <w:t xml:space="preserve">(Tr. </w:t>
      </w:r>
      <w:r w:rsidR="00803501" w:rsidRPr="009852DD">
        <w:t>25</w:t>
      </w:r>
      <w:r w:rsidR="00B768AA" w:rsidRPr="009852DD">
        <w:t>, 26</w:t>
      </w:r>
      <w:r w:rsidR="00F85392" w:rsidRPr="009852DD">
        <w:t>).</w:t>
      </w:r>
    </w:p>
    <w:p w:rsidR="00FE2A1D" w:rsidRDefault="00FE2A1D" w:rsidP="00F17004">
      <w:pPr>
        <w:pStyle w:val="BodyText"/>
        <w:jc w:val="left"/>
        <w:rPr>
          <w:sz w:val="24"/>
          <w:szCs w:val="24"/>
        </w:rPr>
      </w:pPr>
    </w:p>
    <w:p w:rsidR="00EF7BB1" w:rsidRPr="009852DD" w:rsidRDefault="00C01EA5" w:rsidP="00F17004">
      <w:pPr>
        <w:pStyle w:val="BodyText"/>
        <w:jc w:val="left"/>
        <w:rPr>
          <w:sz w:val="24"/>
          <w:szCs w:val="24"/>
        </w:rPr>
      </w:pPr>
      <w:r w:rsidRPr="009852DD">
        <w:rPr>
          <w:sz w:val="24"/>
          <w:szCs w:val="24"/>
        </w:rPr>
        <w:lastRenderedPageBreak/>
        <w:tab/>
      </w:r>
      <w:r w:rsidRPr="009852DD">
        <w:rPr>
          <w:sz w:val="24"/>
          <w:szCs w:val="24"/>
        </w:rPr>
        <w:tab/>
      </w:r>
      <w:r w:rsidR="003A0189">
        <w:rPr>
          <w:sz w:val="24"/>
          <w:szCs w:val="24"/>
        </w:rPr>
        <w:t>20</w:t>
      </w:r>
      <w:r w:rsidR="00F06B97" w:rsidRPr="009852DD">
        <w:rPr>
          <w:sz w:val="24"/>
          <w:szCs w:val="24"/>
        </w:rPr>
        <w:t>.</w:t>
      </w:r>
      <w:r w:rsidR="00F06B97" w:rsidRPr="009852DD">
        <w:rPr>
          <w:sz w:val="24"/>
          <w:szCs w:val="24"/>
        </w:rPr>
        <w:tab/>
      </w:r>
      <w:r w:rsidR="00FE558E" w:rsidRPr="009852DD">
        <w:rPr>
          <w:sz w:val="24"/>
          <w:szCs w:val="24"/>
        </w:rPr>
        <w:t xml:space="preserve"> </w:t>
      </w:r>
      <w:r w:rsidR="00990955">
        <w:rPr>
          <w:sz w:val="24"/>
          <w:szCs w:val="24"/>
        </w:rPr>
        <w:t>Both</w:t>
      </w:r>
      <w:r w:rsidR="009852DD" w:rsidRPr="009852DD">
        <w:rPr>
          <w:sz w:val="24"/>
          <w:szCs w:val="24"/>
        </w:rPr>
        <w:t xml:space="preserve"> acco</w:t>
      </w:r>
      <w:r w:rsidR="00990955">
        <w:rPr>
          <w:sz w:val="24"/>
          <w:szCs w:val="24"/>
        </w:rPr>
        <w:t xml:space="preserve">unts concerning 520 Sunnyfield and </w:t>
      </w:r>
      <w:r w:rsidR="009852DD" w:rsidRPr="009852DD">
        <w:rPr>
          <w:sz w:val="24"/>
          <w:szCs w:val="24"/>
        </w:rPr>
        <w:t xml:space="preserve">4402 McKenzie were listed under Complainant’s husband’s name but while Complainant resided with her husband at those addresses, she handled paying bills for the household.  </w:t>
      </w:r>
      <w:r w:rsidR="00FE558E" w:rsidRPr="009852DD">
        <w:rPr>
          <w:sz w:val="24"/>
          <w:szCs w:val="24"/>
        </w:rPr>
        <w:t xml:space="preserve">(Tr. </w:t>
      </w:r>
      <w:r w:rsidR="009852DD" w:rsidRPr="009852DD">
        <w:rPr>
          <w:sz w:val="24"/>
          <w:szCs w:val="24"/>
        </w:rPr>
        <w:t>30-32</w:t>
      </w:r>
      <w:r w:rsidR="008B455C" w:rsidRPr="009852DD">
        <w:rPr>
          <w:sz w:val="24"/>
          <w:szCs w:val="24"/>
        </w:rPr>
        <w:t>).</w:t>
      </w:r>
    </w:p>
    <w:p w:rsidR="00EF7BB1" w:rsidRPr="009852DD" w:rsidRDefault="00EF7BB1" w:rsidP="00F17004">
      <w:pPr>
        <w:pStyle w:val="BodyText"/>
        <w:jc w:val="left"/>
        <w:rPr>
          <w:sz w:val="24"/>
          <w:szCs w:val="24"/>
        </w:rPr>
      </w:pPr>
    </w:p>
    <w:p w:rsidR="00EF7BB1" w:rsidRPr="009852DD" w:rsidRDefault="00C01EA5" w:rsidP="00F17004">
      <w:pPr>
        <w:pStyle w:val="BodyText"/>
        <w:jc w:val="left"/>
        <w:rPr>
          <w:sz w:val="24"/>
          <w:szCs w:val="24"/>
        </w:rPr>
      </w:pPr>
      <w:r w:rsidRPr="009852DD">
        <w:rPr>
          <w:sz w:val="24"/>
          <w:szCs w:val="24"/>
        </w:rPr>
        <w:tab/>
      </w:r>
      <w:r w:rsidRPr="009852DD">
        <w:rPr>
          <w:sz w:val="24"/>
          <w:szCs w:val="24"/>
        </w:rPr>
        <w:tab/>
      </w:r>
      <w:r w:rsidR="005A60EA">
        <w:rPr>
          <w:sz w:val="24"/>
          <w:szCs w:val="24"/>
        </w:rPr>
        <w:t>2</w:t>
      </w:r>
      <w:r w:rsidR="003A0189">
        <w:rPr>
          <w:sz w:val="24"/>
          <w:szCs w:val="24"/>
        </w:rPr>
        <w:t>1</w:t>
      </w:r>
      <w:r w:rsidR="00EF7BB1" w:rsidRPr="009852DD">
        <w:rPr>
          <w:sz w:val="24"/>
          <w:szCs w:val="24"/>
        </w:rPr>
        <w:t>.</w:t>
      </w:r>
      <w:r w:rsidR="00EF7BB1" w:rsidRPr="009852DD">
        <w:rPr>
          <w:sz w:val="24"/>
          <w:szCs w:val="24"/>
        </w:rPr>
        <w:tab/>
      </w:r>
      <w:r w:rsidR="00BC0CA0">
        <w:rPr>
          <w:sz w:val="24"/>
          <w:szCs w:val="24"/>
        </w:rPr>
        <w:t>On January 20, 2009, Respondent posted a 72</w:t>
      </w:r>
      <w:r w:rsidR="00990955">
        <w:rPr>
          <w:sz w:val="24"/>
          <w:szCs w:val="24"/>
        </w:rPr>
        <w:t>-</w:t>
      </w:r>
      <w:r w:rsidR="00BC0CA0">
        <w:rPr>
          <w:sz w:val="24"/>
          <w:szCs w:val="24"/>
        </w:rPr>
        <w:t>hour</w:t>
      </w:r>
      <w:r w:rsidR="00990955">
        <w:rPr>
          <w:sz w:val="24"/>
          <w:szCs w:val="24"/>
        </w:rPr>
        <w:t>, “Using Without a Contract”, termination</w:t>
      </w:r>
      <w:r w:rsidR="00BC0CA0">
        <w:rPr>
          <w:sz w:val="24"/>
          <w:szCs w:val="24"/>
        </w:rPr>
        <w:t xml:space="preserve"> notice on </w:t>
      </w:r>
      <w:r w:rsidR="00990955">
        <w:rPr>
          <w:sz w:val="24"/>
          <w:szCs w:val="24"/>
        </w:rPr>
        <w:t>1620 Ridge</w:t>
      </w:r>
      <w:r w:rsidR="00BC0CA0">
        <w:rPr>
          <w:sz w:val="24"/>
          <w:szCs w:val="24"/>
        </w:rPr>
        <w:t xml:space="preserve"> </w:t>
      </w:r>
      <w:r w:rsidR="00685423">
        <w:rPr>
          <w:sz w:val="24"/>
          <w:szCs w:val="24"/>
        </w:rPr>
        <w:t>for using electricity without a contract</w:t>
      </w:r>
      <w:r w:rsidR="00BC0CA0">
        <w:rPr>
          <w:sz w:val="24"/>
          <w:szCs w:val="24"/>
        </w:rPr>
        <w:t>.</w:t>
      </w:r>
      <w:r w:rsidR="000841E3" w:rsidRPr="009852DD">
        <w:rPr>
          <w:sz w:val="24"/>
          <w:szCs w:val="24"/>
        </w:rPr>
        <w:t xml:space="preserve"> </w:t>
      </w:r>
      <w:r w:rsidR="00FE558E" w:rsidRPr="009852DD">
        <w:rPr>
          <w:sz w:val="24"/>
          <w:szCs w:val="24"/>
        </w:rPr>
        <w:t xml:space="preserve">(Tr. </w:t>
      </w:r>
      <w:r w:rsidR="00BC0CA0">
        <w:rPr>
          <w:sz w:val="24"/>
          <w:szCs w:val="24"/>
        </w:rPr>
        <w:t>51</w:t>
      </w:r>
      <w:r w:rsidR="000841E3" w:rsidRPr="009852DD">
        <w:rPr>
          <w:sz w:val="24"/>
          <w:szCs w:val="24"/>
        </w:rPr>
        <w:t>).</w:t>
      </w:r>
    </w:p>
    <w:p w:rsidR="00156A90" w:rsidRDefault="00156A90" w:rsidP="00F17004">
      <w:pPr>
        <w:pStyle w:val="BodyText"/>
        <w:jc w:val="left"/>
        <w:rPr>
          <w:sz w:val="24"/>
          <w:szCs w:val="24"/>
        </w:rPr>
      </w:pPr>
    </w:p>
    <w:p w:rsidR="006C7DF6" w:rsidRDefault="006C7DF6" w:rsidP="00F17004">
      <w:pPr>
        <w:pStyle w:val="BodyText"/>
        <w:jc w:val="left"/>
        <w:rPr>
          <w:sz w:val="24"/>
          <w:szCs w:val="24"/>
        </w:rPr>
      </w:pPr>
      <w:r>
        <w:rPr>
          <w:sz w:val="24"/>
          <w:szCs w:val="24"/>
        </w:rPr>
        <w:tab/>
      </w:r>
      <w:r>
        <w:rPr>
          <w:sz w:val="24"/>
          <w:szCs w:val="24"/>
        </w:rPr>
        <w:tab/>
        <w:t>22.</w:t>
      </w:r>
      <w:r>
        <w:rPr>
          <w:sz w:val="24"/>
          <w:szCs w:val="24"/>
        </w:rPr>
        <w:tab/>
        <w:t>On January 22, 2009, Complainant file</w:t>
      </w:r>
      <w:r w:rsidR="00D72D85">
        <w:rPr>
          <w:sz w:val="24"/>
          <w:szCs w:val="24"/>
        </w:rPr>
        <w:t>d</w:t>
      </w:r>
      <w:r>
        <w:rPr>
          <w:sz w:val="24"/>
          <w:szCs w:val="24"/>
        </w:rPr>
        <w:t xml:space="preserve"> an informal complaint with the Commission’s Bureau of Consumer Services</w:t>
      </w:r>
      <w:r w:rsidR="00D72D85">
        <w:rPr>
          <w:sz w:val="24"/>
          <w:szCs w:val="24"/>
        </w:rPr>
        <w:t xml:space="preserve"> (“BCS”)</w:t>
      </w:r>
      <w:r>
        <w:rPr>
          <w:sz w:val="24"/>
          <w:szCs w:val="24"/>
        </w:rPr>
        <w:t>, which filing delay</w:t>
      </w:r>
      <w:r w:rsidR="00D72D85">
        <w:rPr>
          <w:sz w:val="24"/>
          <w:szCs w:val="24"/>
        </w:rPr>
        <w:t>ed</w:t>
      </w:r>
      <w:r>
        <w:rPr>
          <w:sz w:val="24"/>
          <w:szCs w:val="24"/>
        </w:rPr>
        <w:t xml:space="preserve"> termination of electrical services by Respondent.  (Tr. 51; Duquesne Light Exhibits 4 &amp; 5).</w:t>
      </w:r>
    </w:p>
    <w:p w:rsidR="006C7DF6" w:rsidRPr="009852DD" w:rsidRDefault="006C7DF6" w:rsidP="00F17004">
      <w:pPr>
        <w:pStyle w:val="BodyText"/>
        <w:jc w:val="left"/>
        <w:rPr>
          <w:sz w:val="24"/>
          <w:szCs w:val="24"/>
        </w:rPr>
      </w:pPr>
    </w:p>
    <w:p w:rsidR="00A00793" w:rsidRPr="009852DD" w:rsidRDefault="005A60EA" w:rsidP="00F17004">
      <w:pPr>
        <w:pStyle w:val="BodyText"/>
        <w:jc w:val="left"/>
        <w:rPr>
          <w:sz w:val="24"/>
          <w:szCs w:val="24"/>
        </w:rPr>
      </w:pPr>
      <w:r>
        <w:rPr>
          <w:sz w:val="24"/>
          <w:szCs w:val="24"/>
        </w:rPr>
        <w:tab/>
      </w:r>
      <w:r>
        <w:rPr>
          <w:sz w:val="24"/>
          <w:szCs w:val="24"/>
        </w:rPr>
        <w:tab/>
        <w:t>2</w:t>
      </w:r>
      <w:r w:rsidR="006C7DF6">
        <w:rPr>
          <w:sz w:val="24"/>
          <w:szCs w:val="24"/>
        </w:rPr>
        <w:t>3</w:t>
      </w:r>
      <w:r w:rsidR="00A00793" w:rsidRPr="009852DD">
        <w:rPr>
          <w:sz w:val="24"/>
          <w:szCs w:val="24"/>
        </w:rPr>
        <w:t>.</w:t>
      </w:r>
      <w:r w:rsidR="00A00793" w:rsidRPr="009852DD">
        <w:rPr>
          <w:sz w:val="24"/>
          <w:szCs w:val="24"/>
        </w:rPr>
        <w:tab/>
      </w:r>
      <w:r w:rsidR="00BC0CA0">
        <w:rPr>
          <w:sz w:val="24"/>
          <w:szCs w:val="24"/>
        </w:rPr>
        <w:t>On February 20, 2009, BCS rendered a decision on the informal complaint in Respondent’s favor</w:t>
      </w:r>
      <w:r w:rsidR="001569B3">
        <w:rPr>
          <w:sz w:val="24"/>
          <w:szCs w:val="24"/>
        </w:rPr>
        <w:t>, indicating Complainant could get service in her name if she paid the initial security deposit ($344) plus $21 each month to pay off the arrears</w:t>
      </w:r>
      <w:r w:rsidR="00BC0CA0">
        <w:rPr>
          <w:sz w:val="24"/>
          <w:szCs w:val="24"/>
        </w:rPr>
        <w:t xml:space="preserve">.  </w:t>
      </w:r>
      <w:r w:rsidR="00FE558E" w:rsidRPr="009852DD">
        <w:rPr>
          <w:sz w:val="24"/>
          <w:szCs w:val="24"/>
        </w:rPr>
        <w:t xml:space="preserve">(Tr. </w:t>
      </w:r>
      <w:r w:rsidR="00BC0CA0">
        <w:rPr>
          <w:sz w:val="24"/>
          <w:szCs w:val="24"/>
        </w:rPr>
        <w:t>52; Duquesne Light’s Exhibit 4</w:t>
      </w:r>
      <w:r w:rsidR="00B946B2" w:rsidRPr="009852DD">
        <w:rPr>
          <w:sz w:val="24"/>
          <w:szCs w:val="24"/>
        </w:rPr>
        <w:t>).</w:t>
      </w:r>
    </w:p>
    <w:p w:rsidR="00A00793" w:rsidRPr="008B455C" w:rsidRDefault="00A00793" w:rsidP="00F17004">
      <w:pPr>
        <w:pStyle w:val="BodyText"/>
        <w:jc w:val="left"/>
        <w:rPr>
          <w:sz w:val="24"/>
          <w:szCs w:val="24"/>
        </w:rPr>
      </w:pPr>
    </w:p>
    <w:p w:rsidR="008E0E89" w:rsidRPr="008B455C" w:rsidRDefault="005A60EA" w:rsidP="00F17004">
      <w:pPr>
        <w:pStyle w:val="BodyText"/>
        <w:jc w:val="left"/>
        <w:rPr>
          <w:sz w:val="24"/>
          <w:szCs w:val="24"/>
        </w:rPr>
      </w:pPr>
      <w:r>
        <w:rPr>
          <w:sz w:val="24"/>
          <w:szCs w:val="24"/>
        </w:rPr>
        <w:tab/>
      </w:r>
      <w:r>
        <w:rPr>
          <w:sz w:val="24"/>
          <w:szCs w:val="24"/>
        </w:rPr>
        <w:tab/>
        <w:t>2</w:t>
      </w:r>
      <w:r w:rsidR="006C7DF6">
        <w:rPr>
          <w:sz w:val="24"/>
          <w:szCs w:val="24"/>
        </w:rPr>
        <w:t>4</w:t>
      </w:r>
      <w:r w:rsidR="008E0E89" w:rsidRPr="008B455C">
        <w:rPr>
          <w:sz w:val="24"/>
          <w:szCs w:val="24"/>
        </w:rPr>
        <w:t>.</w:t>
      </w:r>
      <w:r w:rsidR="008E0E89" w:rsidRPr="008B455C">
        <w:rPr>
          <w:sz w:val="24"/>
          <w:szCs w:val="24"/>
        </w:rPr>
        <w:tab/>
      </w:r>
      <w:r w:rsidR="00BC0CA0">
        <w:rPr>
          <w:sz w:val="24"/>
          <w:szCs w:val="24"/>
        </w:rPr>
        <w:t xml:space="preserve">On March 5, 2009, </w:t>
      </w:r>
      <w:r w:rsidR="00685423">
        <w:rPr>
          <w:sz w:val="24"/>
          <w:szCs w:val="24"/>
        </w:rPr>
        <w:t>Respondent posted a 72</w:t>
      </w:r>
      <w:r w:rsidR="007E725F">
        <w:rPr>
          <w:sz w:val="24"/>
          <w:szCs w:val="24"/>
        </w:rPr>
        <w:t>-</w:t>
      </w:r>
      <w:r w:rsidR="00685423">
        <w:rPr>
          <w:sz w:val="24"/>
          <w:szCs w:val="24"/>
        </w:rPr>
        <w:t xml:space="preserve">hour notice on </w:t>
      </w:r>
      <w:r w:rsidR="00990955">
        <w:rPr>
          <w:sz w:val="24"/>
          <w:szCs w:val="24"/>
        </w:rPr>
        <w:t>1620 Ridge</w:t>
      </w:r>
      <w:r w:rsidR="00685423">
        <w:rPr>
          <w:sz w:val="24"/>
          <w:szCs w:val="24"/>
        </w:rPr>
        <w:t xml:space="preserve"> for using electricity without a contract.</w:t>
      </w:r>
      <w:r w:rsidR="00FE558E">
        <w:rPr>
          <w:sz w:val="24"/>
          <w:szCs w:val="24"/>
        </w:rPr>
        <w:t xml:space="preserve"> (Tr.</w:t>
      </w:r>
      <w:r w:rsidR="00685423">
        <w:rPr>
          <w:sz w:val="24"/>
          <w:szCs w:val="24"/>
        </w:rPr>
        <w:t xml:space="preserve"> 52</w:t>
      </w:r>
      <w:r w:rsidR="00D02CF4">
        <w:rPr>
          <w:sz w:val="24"/>
          <w:szCs w:val="24"/>
        </w:rPr>
        <w:t>)</w:t>
      </w:r>
      <w:r w:rsidR="00B946B2">
        <w:rPr>
          <w:sz w:val="24"/>
          <w:szCs w:val="24"/>
        </w:rPr>
        <w:t>.</w:t>
      </w:r>
    </w:p>
    <w:p w:rsidR="008E0E89" w:rsidRPr="008B455C" w:rsidRDefault="008E0E89" w:rsidP="00F17004">
      <w:pPr>
        <w:pStyle w:val="BodyText"/>
        <w:jc w:val="left"/>
        <w:rPr>
          <w:sz w:val="24"/>
          <w:szCs w:val="24"/>
        </w:rPr>
      </w:pPr>
    </w:p>
    <w:p w:rsidR="00156A90" w:rsidRPr="008B455C" w:rsidRDefault="005A60EA" w:rsidP="00F17004">
      <w:pPr>
        <w:pStyle w:val="BodyText"/>
        <w:jc w:val="left"/>
        <w:rPr>
          <w:sz w:val="24"/>
          <w:szCs w:val="24"/>
        </w:rPr>
      </w:pPr>
      <w:r>
        <w:rPr>
          <w:sz w:val="24"/>
          <w:szCs w:val="24"/>
        </w:rPr>
        <w:tab/>
      </w:r>
      <w:r>
        <w:rPr>
          <w:sz w:val="24"/>
          <w:szCs w:val="24"/>
        </w:rPr>
        <w:tab/>
        <w:t>2</w:t>
      </w:r>
      <w:r w:rsidR="006C7DF6">
        <w:rPr>
          <w:sz w:val="24"/>
          <w:szCs w:val="24"/>
        </w:rPr>
        <w:t>5</w:t>
      </w:r>
      <w:r w:rsidR="00156A90" w:rsidRPr="008B455C">
        <w:rPr>
          <w:sz w:val="24"/>
          <w:szCs w:val="24"/>
        </w:rPr>
        <w:t>.</w:t>
      </w:r>
      <w:r w:rsidR="00156A90" w:rsidRPr="008B455C">
        <w:rPr>
          <w:sz w:val="24"/>
          <w:szCs w:val="24"/>
        </w:rPr>
        <w:tab/>
      </w:r>
      <w:r w:rsidR="00685423">
        <w:rPr>
          <w:sz w:val="24"/>
          <w:szCs w:val="24"/>
        </w:rPr>
        <w:t>On March 12, 2009, Respondent posted a 48</w:t>
      </w:r>
      <w:r w:rsidR="007E725F">
        <w:rPr>
          <w:sz w:val="24"/>
          <w:szCs w:val="24"/>
        </w:rPr>
        <w:t>-</w:t>
      </w:r>
      <w:r w:rsidR="00685423">
        <w:rPr>
          <w:sz w:val="24"/>
          <w:szCs w:val="24"/>
        </w:rPr>
        <w:t xml:space="preserve">hour notice on </w:t>
      </w:r>
      <w:r w:rsidR="00990955">
        <w:rPr>
          <w:sz w:val="24"/>
          <w:szCs w:val="24"/>
        </w:rPr>
        <w:t>1620 Ridge</w:t>
      </w:r>
      <w:r w:rsidR="00685423">
        <w:rPr>
          <w:sz w:val="24"/>
          <w:szCs w:val="24"/>
        </w:rPr>
        <w:t xml:space="preserve"> for using electricity without a contract. (Tr. 52).</w:t>
      </w:r>
    </w:p>
    <w:p w:rsidR="00EF7BB1" w:rsidRDefault="00EF7BB1" w:rsidP="00F17004">
      <w:pPr>
        <w:pStyle w:val="BodyText"/>
        <w:jc w:val="left"/>
        <w:rPr>
          <w:sz w:val="24"/>
          <w:szCs w:val="24"/>
        </w:rPr>
      </w:pPr>
    </w:p>
    <w:p w:rsidR="00B946B2" w:rsidRDefault="005A60EA" w:rsidP="00F17004">
      <w:pPr>
        <w:pStyle w:val="BodyText"/>
        <w:jc w:val="left"/>
        <w:rPr>
          <w:sz w:val="24"/>
          <w:szCs w:val="24"/>
        </w:rPr>
      </w:pPr>
      <w:r>
        <w:rPr>
          <w:sz w:val="24"/>
          <w:szCs w:val="24"/>
        </w:rPr>
        <w:tab/>
      </w:r>
      <w:r>
        <w:rPr>
          <w:sz w:val="24"/>
          <w:szCs w:val="24"/>
        </w:rPr>
        <w:tab/>
        <w:t>2</w:t>
      </w:r>
      <w:r w:rsidR="006C7DF6">
        <w:rPr>
          <w:sz w:val="24"/>
          <w:szCs w:val="24"/>
        </w:rPr>
        <w:t>6</w:t>
      </w:r>
      <w:r w:rsidR="00B946B2">
        <w:rPr>
          <w:sz w:val="24"/>
          <w:szCs w:val="24"/>
        </w:rPr>
        <w:t>.</w:t>
      </w:r>
      <w:r w:rsidR="00B946B2">
        <w:rPr>
          <w:sz w:val="24"/>
          <w:szCs w:val="24"/>
        </w:rPr>
        <w:tab/>
      </w:r>
      <w:r w:rsidR="00FE558E">
        <w:rPr>
          <w:sz w:val="24"/>
          <w:szCs w:val="24"/>
        </w:rPr>
        <w:t xml:space="preserve"> </w:t>
      </w:r>
      <w:r w:rsidR="00685423">
        <w:rPr>
          <w:sz w:val="24"/>
          <w:szCs w:val="24"/>
        </w:rPr>
        <w:t xml:space="preserve">On April 1, 2009, Respondent terminated electric service to </w:t>
      </w:r>
      <w:r w:rsidR="00815729">
        <w:rPr>
          <w:sz w:val="24"/>
          <w:szCs w:val="24"/>
        </w:rPr>
        <w:t>1620 Ridge</w:t>
      </w:r>
      <w:r w:rsidR="00685423">
        <w:rPr>
          <w:sz w:val="24"/>
          <w:szCs w:val="24"/>
        </w:rPr>
        <w:t xml:space="preserve">.  </w:t>
      </w:r>
      <w:r w:rsidR="00FE558E">
        <w:rPr>
          <w:sz w:val="24"/>
          <w:szCs w:val="24"/>
        </w:rPr>
        <w:t xml:space="preserve">(Tr. </w:t>
      </w:r>
      <w:r w:rsidR="00685423">
        <w:rPr>
          <w:sz w:val="24"/>
          <w:szCs w:val="24"/>
        </w:rPr>
        <w:t>52</w:t>
      </w:r>
      <w:r w:rsidR="005E2935">
        <w:rPr>
          <w:sz w:val="24"/>
          <w:szCs w:val="24"/>
        </w:rPr>
        <w:t>).</w:t>
      </w:r>
    </w:p>
    <w:p w:rsidR="00B946B2" w:rsidRDefault="00B946B2" w:rsidP="00F17004">
      <w:pPr>
        <w:pStyle w:val="BodyText"/>
        <w:jc w:val="left"/>
        <w:rPr>
          <w:sz w:val="24"/>
          <w:szCs w:val="24"/>
        </w:rPr>
      </w:pPr>
    </w:p>
    <w:p w:rsidR="005E2935" w:rsidRDefault="005A60EA" w:rsidP="00F17004">
      <w:pPr>
        <w:pStyle w:val="BodyText"/>
        <w:jc w:val="left"/>
        <w:rPr>
          <w:sz w:val="24"/>
          <w:szCs w:val="24"/>
        </w:rPr>
      </w:pPr>
      <w:r>
        <w:rPr>
          <w:sz w:val="24"/>
          <w:szCs w:val="24"/>
        </w:rPr>
        <w:tab/>
      </w:r>
      <w:r>
        <w:rPr>
          <w:sz w:val="24"/>
          <w:szCs w:val="24"/>
        </w:rPr>
        <w:tab/>
        <w:t>2</w:t>
      </w:r>
      <w:r w:rsidR="006C7DF6">
        <w:rPr>
          <w:sz w:val="24"/>
          <w:szCs w:val="24"/>
        </w:rPr>
        <w:t>7</w:t>
      </w:r>
      <w:r w:rsidR="009901A1">
        <w:rPr>
          <w:sz w:val="24"/>
          <w:szCs w:val="24"/>
        </w:rPr>
        <w:t>.</w:t>
      </w:r>
      <w:r w:rsidR="009901A1">
        <w:rPr>
          <w:sz w:val="24"/>
          <w:szCs w:val="24"/>
        </w:rPr>
        <w:tab/>
      </w:r>
      <w:r w:rsidR="00685423">
        <w:rPr>
          <w:sz w:val="24"/>
          <w:szCs w:val="24"/>
        </w:rPr>
        <w:t xml:space="preserve">Complainant continued to use electricity at </w:t>
      </w:r>
      <w:r w:rsidR="00815729">
        <w:rPr>
          <w:sz w:val="24"/>
          <w:szCs w:val="24"/>
        </w:rPr>
        <w:t>1620 Ridge</w:t>
      </w:r>
      <w:r w:rsidR="00685423">
        <w:rPr>
          <w:sz w:val="24"/>
          <w:szCs w:val="24"/>
        </w:rPr>
        <w:t xml:space="preserve"> from January 2009 until services were terminated on April 1, 2009</w:t>
      </w:r>
      <w:r w:rsidR="00815729">
        <w:rPr>
          <w:sz w:val="24"/>
          <w:szCs w:val="24"/>
        </w:rPr>
        <w:t xml:space="preserve"> but did not make payments on that account</w:t>
      </w:r>
      <w:r w:rsidR="00685423">
        <w:rPr>
          <w:sz w:val="24"/>
          <w:szCs w:val="24"/>
        </w:rPr>
        <w:t>.  (Tr. 52).</w:t>
      </w:r>
    </w:p>
    <w:p w:rsidR="005E2935" w:rsidRDefault="005E2935" w:rsidP="00F17004">
      <w:pPr>
        <w:pStyle w:val="BodyText"/>
        <w:jc w:val="left"/>
        <w:rPr>
          <w:sz w:val="24"/>
          <w:szCs w:val="24"/>
        </w:rPr>
      </w:pPr>
    </w:p>
    <w:p w:rsidR="005E2935" w:rsidRDefault="005A60EA" w:rsidP="00F17004">
      <w:pPr>
        <w:pStyle w:val="BodyText"/>
        <w:jc w:val="left"/>
        <w:rPr>
          <w:sz w:val="24"/>
          <w:szCs w:val="24"/>
        </w:rPr>
      </w:pPr>
      <w:r>
        <w:rPr>
          <w:sz w:val="24"/>
          <w:szCs w:val="24"/>
        </w:rPr>
        <w:tab/>
      </w:r>
      <w:r>
        <w:rPr>
          <w:sz w:val="24"/>
          <w:szCs w:val="24"/>
        </w:rPr>
        <w:tab/>
        <w:t>2</w:t>
      </w:r>
      <w:r w:rsidR="006C7DF6">
        <w:rPr>
          <w:sz w:val="24"/>
          <w:szCs w:val="24"/>
        </w:rPr>
        <w:t>8</w:t>
      </w:r>
      <w:r w:rsidR="005E2935">
        <w:rPr>
          <w:sz w:val="24"/>
          <w:szCs w:val="24"/>
        </w:rPr>
        <w:t>.</w:t>
      </w:r>
      <w:r w:rsidR="005E2935">
        <w:rPr>
          <w:sz w:val="24"/>
          <w:szCs w:val="24"/>
        </w:rPr>
        <w:tab/>
      </w:r>
      <w:r w:rsidR="00685423">
        <w:rPr>
          <w:sz w:val="24"/>
          <w:szCs w:val="24"/>
        </w:rPr>
        <w:t>On April 23, 2009, Complainant filed a formal complaint with the Commission. (Tr. 52).</w:t>
      </w:r>
    </w:p>
    <w:p w:rsidR="008E4FD6" w:rsidRPr="00B524A4" w:rsidRDefault="008E4FD6" w:rsidP="008E4FD6">
      <w:pPr>
        <w:tabs>
          <w:tab w:val="left" w:pos="2160"/>
        </w:tabs>
        <w:spacing w:line="360" w:lineRule="auto"/>
        <w:jc w:val="center"/>
        <w:rPr>
          <w:u w:val="single"/>
        </w:rPr>
      </w:pPr>
      <w:r w:rsidRPr="00B524A4">
        <w:rPr>
          <w:u w:val="single"/>
        </w:rPr>
        <w:lastRenderedPageBreak/>
        <w:t>DISCUSSION</w:t>
      </w:r>
    </w:p>
    <w:p w:rsidR="008E4FD6" w:rsidRPr="00B524A4" w:rsidRDefault="008E4FD6" w:rsidP="008E4FD6">
      <w:pPr>
        <w:tabs>
          <w:tab w:val="left" w:pos="2160"/>
        </w:tabs>
        <w:spacing w:line="360" w:lineRule="auto"/>
        <w:jc w:val="center"/>
        <w:rPr>
          <w:u w:val="single"/>
        </w:rPr>
      </w:pPr>
    </w:p>
    <w:p w:rsidR="00B66DDD" w:rsidRPr="00B524A4" w:rsidRDefault="000C736C" w:rsidP="000C736C">
      <w:pPr>
        <w:pStyle w:val="BodyText"/>
        <w:jc w:val="left"/>
        <w:rPr>
          <w:sz w:val="24"/>
          <w:szCs w:val="24"/>
        </w:rPr>
      </w:pPr>
      <w:r w:rsidRPr="00B524A4">
        <w:rPr>
          <w:sz w:val="24"/>
          <w:szCs w:val="24"/>
        </w:rPr>
        <w:tab/>
      </w:r>
      <w:r w:rsidRPr="00B524A4">
        <w:rPr>
          <w:sz w:val="24"/>
          <w:szCs w:val="24"/>
        </w:rPr>
        <w:tab/>
      </w:r>
      <w:r w:rsidR="00C931B6" w:rsidRPr="00B524A4">
        <w:rPr>
          <w:sz w:val="24"/>
          <w:szCs w:val="24"/>
        </w:rPr>
        <w:t xml:space="preserve">On </w:t>
      </w:r>
      <w:r w:rsidR="00B524A4" w:rsidRPr="00B524A4">
        <w:rPr>
          <w:sz w:val="24"/>
          <w:szCs w:val="24"/>
        </w:rPr>
        <w:t>April 14, 2009</w:t>
      </w:r>
      <w:r w:rsidR="00C931B6" w:rsidRPr="00B524A4">
        <w:rPr>
          <w:sz w:val="24"/>
          <w:szCs w:val="24"/>
        </w:rPr>
        <w:t xml:space="preserve">, </w:t>
      </w:r>
      <w:r w:rsidR="00BC7989" w:rsidRPr="00B524A4">
        <w:rPr>
          <w:sz w:val="24"/>
          <w:szCs w:val="24"/>
        </w:rPr>
        <w:t>Complainant</w:t>
      </w:r>
      <w:r w:rsidR="00CB7EF0" w:rsidRPr="00B524A4">
        <w:rPr>
          <w:sz w:val="24"/>
          <w:szCs w:val="24"/>
        </w:rPr>
        <w:t xml:space="preserve"> </w:t>
      </w:r>
      <w:r w:rsidR="001140BC" w:rsidRPr="00B524A4">
        <w:rPr>
          <w:sz w:val="24"/>
          <w:szCs w:val="24"/>
        </w:rPr>
        <w:t xml:space="preserve">filed </w:t>
      </w:r>
      <w:r w:rsidR="00CB7EF0" w:rsidRPr="00B524A4">
        <w:rPr>
          <w:sz w:val="24"/>
          <w:szCs w:val="24"/>
        </w:rPr>
        <w:t>a formal complaint</w:t>
      </w:r>
      <w:r w:rsidR="001140BC" w:rsidRPr="00B524A4">
        <w:rPr>
          <w:sz w:val="24"/>
          <w:szCs w:val="24"/>
        </w:rPr>
        <w:t xml:space="preserve"> with the Commission</w:t>
      </w:r>
      <w:r w:rsidR="006515DB" w:rsidRPr="00B524A4">
        <w:rPr>
          <w:sz w:val="24"/>
          <w:szCs w:val="24"/>
        </w:rPr>
        <w:t xml:space="preserve"> </w:t>
      </w:r>
      <w:r w:rsidR="00874177" w:rsidRPr="00B524A4">
        <w:rPr>
          <w:sz w:val="24"/>
          <w:szCs w:val="24"/>
        </w:rPr>
        <w:t xml:space="preserve">alleging </w:t>
      </w:r>
      <w:r w:rsidR="00B524A4" w:rsidRPr="00B524A4">
        <w:rPr>
          <w:sz w:val="24"/>
          <w:szCs w:val="24"/>
        </w:rPr>
        <w:t>Respondent refused to open a new account with her for electrical service on the grounds she owes money on a previous account left unpaid by her estranged husband, and threatened to terminate service unless Complainant pay the unpaid balance of $1,283.32 to Respondent.</w:t>
      </w:r>
    </w:p>
    <w:p w:rsidR="00B66DDD" w:rsidRDefault="00B66DDD" w:rsidP="000C736C">
      <w:pPr>
        <w:pStyle w:val="BodyText"/>
        <w:jc w:val="left"/>
        <w:rPr>
          <w:sz w:val="24"/>
          <w:szCs w:val="24"/>
        </w:rPr>
      </w:pPr>
    </w:p>
    <w:p w:rsidR="00220603" w:rsidRDefault="00220603" w:rsidP="000C736C">
      <w:pPr>
        <w:pStyle w:val="BodyText"/>
        <w:jc w:val="left"/>
        <w:rPr>
          <w:sz w:val="24"/>
          <w:szCs w:val="24"/>
          <w:u w:val="single"/>
        </w:rPr>
      </w:pPr>
      <w:r>
        <w:rPr>
          <w:sz w:val="24"/>
          <w:szCs w:val="24"/>
          <w:u w:val="single"/>
        </w:rPr>
        <w:t>Motion for Sanctions</w:t>
      </w:r>
    </w:p>
    <w:p w:rsidR="00220603" w:rsidRPr="00220603" w:rsidRDefault="00220603" w:rsidP="000C736C">
      <w:pPr>
        <w:pStyle w:val="BodyText"/>
        <w:jc w:val="left"/>
        <w:rPr>
          <w:sz w:val="24"/>
          <w:szCs w:val="24"/>
          <w:u w:val="single"/>
        </w:rPr>
      </w:pPr>
    </w:p>
    <w:p w:rsidR="00354E57" w:rsidRDefault="009820A7" w:rsidP="000C736C">
      <w:pPr>
        <w:pStyle w:val="BodyText"/>
        <w:jc w:val="left"/>
        <w:rPr>
          <w:spacing w:val="-3"/>
          <w:sz w:val="24"/>
          <w:szCs w:val="24"/>
        </w:rPr>
      </w:pPr>
      <w:r>
        <w:rPr>
          <w:sz w:val="24"/>
          <w:szCs w:val="24"/>
        </w:rPr>
        <w:tab/>
      </w:r>
      <w:r>
        <w:rPr>
          <w:sz w:val="24"/>
          <w:szCs w:val="24"/>
        </w:rPr>
        <w:tab/>
      </w:r>
      <w:r w:rsidR="00354E57">
        <w:rPr>
          <w:sz w:val="24"/>
          <w:szCs w:val="24"/>
        </w:rPr>
        <w:t xml:space="preserve">On May 19, 2009, Respondent served a request for documents upon Complainant which requested, </w:t>
      </w:r>
      <w:r w:rsidR="00354E57">
        <w:rPr>
          <w:i/>
          <w:sz w:val="24"/>
          <w:szCs w:val="24"/>
        </w:rPr>
        <w:t>inter alia</w:t>
      </w:r>
      <w:r w:rsidR="00354E57">
        <w:rPr>
          <w:sz w:val="24"/>
          <w:szCs w:val="24"/>
        </w:rPr>
        <w:t xml:space="preserve">, for a copy of the mortgage, deed or lease for every place where Complainant lived over the previous five years.  Complainant did not respond to the utility company’s request.  On </w:t>
      </w:r>
      <w:r w:rsidR="00354E57">
        <w:rPr>
          <w:spacing w:val="-3"/>
          <w:sz w:val="24"/>
          <w:szCs w:val="24"/>
        </w:rPr>
        <w:t>June 23</w:t>
      </w:r>
      <w:r w:rsidR="00354E57" w:rsidRPr="00C477BD">
        <w:rPr>
          <w:spacing w:val="-3"/>
          <w:sz w:val="24"/>
          <w:szCs w:val="24"/>
        </w:rPr>
        <w:t xml:space="preserve">, 2009, </w:t>
      </w:r>
      <w:r w:rsidR="00354E57">
        <w:rPr>
          <w:spacing w:val="-3"/>
          <w:sz w:val="24"/>
          <w:szCs w:val="24"/>
        </w:rPr>
        <w:t>Respondent filed a Motion for Sanction for Failure to Respond to Discovery Requests wherein Duquesne alleged Complainant Thomas had not responded to the Motion for Sanctions.  On July 1, 2009, the presiding officer issued a First Interim Order that required Complainant to provide the requested material on or before July 17, 2009.  Complainant did not respond to the Motion for Sanctions or the First Interim Order.</w:t>
      </w:r>
    </w:p>
    <w:p w:rsidR="00354E57" w:rsidRDefault="00354E57" w:rsidP="000C736C">
      <w:pPr>
        <w:pStyle w:val="BodyText"/>
        <w:jc w:val="left"/>
        <w:rPr>
          <w:spacing w:val="-3"/>
          <w:sz w:val="24"/>
          <w:szCs w:val="24"/>
        </w:rPr>
      </w:pPr>
    </w:p>
    <w:p w:rsidR="00354E57" w:rsidRDefault="009820A7" w:rsidP="00253E56">
      <w:pPr>
        <w:pStyle w:val="BodyText"/>
        <w:ind w:firstLine="1440"/>
        <w:jc w:val="left"/>
        <w:rPr>
          <w:sz w:val="24"/>
          <w:szCs w:val="24"/>
        </w:rPr>
      </w:pPr>
      <w:r>
        <w:rPr>
          <w:sz w:val="24"/>
          <w:szCs w:val="24"/>
        </w:rPr>
        <w:t>At the initial telephonic hearing, Respondent made a motion for sanctions as a result of Complainant’s failure to comply with the First Interim</w:t>
      </w:r>
      <w:r w:rsidR="00354E57">
        <w:rPr>
          <w:sz w:val="24"/>
          <w:szCs w:val="24"/>
        </w:rPr>
        <w:t xml:space="preserve"> Order</w:t>
      </w:r>
      <w:r>
        <w:rPr>
          <w:sz w:val="24"/>
          <w:szCs w:val="24"/>
        </w:rPr>
        <w:t xml:space="preserve">.  </w:t>
      </w:r>
      <w:r w:rsidR="001F40C2">
        <w:rPr>
          <w:sz w:val="24"/>
          <w:szCs w:val="24"/>
        </w:rPr>
        <w:t>At the time of the initial telephonic hearing, Complainant acknowledged receiving the discovery request and the First Interim Order</w:t>
      </w:r>
      <w:r w:rsidR="00A72BCC">
        <w:rPr>
          <w:sz w:val="24"/>
          <w:szCs w:val="24"/>
        </w:rPr>
        <w:t xml:space="preserve">, and acknowledged she did not respond to either.  </w:t>
      </w:r>
      <w:r w:rsidR="00354E57">
        <w:rPr>
          <w:sz w:val="24"/>
          <w:szCs w:val="24"/>
        </w:rPr>
        <w:t xml:space="preserve">However, </w:t>
      </w:r>
      <w:r w:rsidR="00A72BCC">
        <w:rPr>
          <w:sz w:val="24"/>
          <w:szCs w:val="24"/>
        </w:rPr>
        <w:t xml:space="preserve">Complainant indicated at the hearing she did not respond to either the discovery request or the First Interim Order because </w:t>
      </w:r>
      <w:r w:rsidR="00354E57">
        <w:rPr>
          <w:sz w:val="24"/>
          <w:szCs w:val="24"/>
        </w:rPr>
        <w:t>the request and the Order</w:t>
      </w:r>
      <w:r w:rsidR="00A72BCC">
        <w:rPr>
          <w:sz w:val="24"/>
          <w:szCs w:val="24"/>
        </w:rPr>
        <w:t xml:space="preserve"> were irrelevant and had nothing to do with her complaint.  </w:t>
      </w:r>
    </w:p>
    <w:p w:rsidR="00354E57" w:rsidRDefault="00354E57" w:rsidP="00253E56">
      <w:pPr>
        <w:pStyle w:val="BodyText"/>
        <w:ind w:firstLine="1440"/>
        <w:jc w:val="left"/>
        <w:rPr>
          <w:sz w:val="24"/>
          <w:szCs w:val="24"/>
        </w:rPr>
      </w:pPr>
    </w:p>
    <w:p w:rsidR="009820A7" w:rsidRDefault="00A72BCC" w:rsidP="00253E56">
      <w:pPr>
        <w:pStyle w:val="BodyText"/>
        <w:ind w:firstLine="1440"/>
        <w:jc w:val="left"/>
        <w:rPr>
          <w:sz w:val="24"/>
          <w:szCs w:val="24"/>
        </w:rPr>
      </w:pPr>
      <w:r>
        <w:rPr>
          <w:sz w:val="24"/>
          <w:szCs w:val="24"/>
        </w:rPr>
        <w:t xml:space="preserve">Complainant averred the information requested was irrelevant because </w:t>
      </w:r>
      <w:r w:rsidR="00253E56">
        <w:rPr>
          <w:sz w:val="24"/>
          <w:szCs w:val="24"/>
        </w:rPr>
        <w:t xml:space="preserve">Respondent did not request that information at the time she applied for electrical services.  Respondent indicated it requested the information in order to verify or refute its </w:t>
      </w:r>
      <w:r w:rsidR="00CA263F">
        <w:rPr>
          <w:sz w:val="24"/>
          <w:szCs w:val="24"/>
        </w:rPr>
        <w:t>records, which show</w:t>
      </w:r>
      <w:r w:rsidR="00253E56">
        <w:rPr>
          <w:sz w:val="24"/>
          <w:szCs w:val="24"/>
        </w:rPr>
        <w:t xml:space="preserve"> Complainant was an adult occupant in prior premises </w:t>
      </w:r>
      <w:r w:rsidR="00A62055">
        <w:rPr>
          <w:sz w:val="24"/>
          <w:szCs w:val="24"/>
        </w:rPr>
        <w:t>and</w:t>
      </w:r>
      <w:r w:rsidR="00253E56">
        <w:rPr>
          <w:sz w:val="24"/>
          <w:szCs w:val="24"/>
        </w:rPr>
        <w:t xml:space="preserve"> incurred unpaid balance amounts</w:t>
      </w:r>
      <w:r w:rsidR="00CA263F">
        <w:rPr>
          <w:sz w:val="24"/>
          <w:szCs w:val="24"/>
        </w:rPr>
        <w:t xml:space="preserve">, back to a period of time that is outside the statute of limitations and for which </w:t>
      </w:r>
      <w:r w:rsidR="00CA263F">
        <w:rPr>
          <w:sz w:val="24"/>
          <w:szCs w:val="24"/>
        </w:rPr>
        <w:lastRenderedPageBreak/>
        <w:t>Respondent no longer maintained records due to the passage of time</w:t>
      </w:r>
      <w:r w:rsidR="00253E56">
        <w:rPr>
          <w:sz w:val="24"/>
          <w:szCs w:val="24"/>
        </w:rPr>
        <w:t xml:space="preserve">.  </w:t>
      </w:r>
      <w:r w:rsidR="00CA263F">
        <w:rPr>
          <w:sz w:val="24"/>
          <w:szCs w:val="24"/>
        </w:rPr>
        <w:t>The information requested, if provided, would have gone to show whether Respondent’s record-keeping was accurate.</w:t>
      </w:r>
    </w:p>
    <w:p w:rsidR="00CA263F" w:rsidRDefault="00CA263F" w:rsidP="00253E56">
      <w:pPr>
        <w:pStyle w:val="BodyText"/>
        <w:ind w:firstLine="1440"/>
        <w:jc w:val="left"/>
        <w:rPr>
          <w:sz w:val="24"/>
          <w:szCs w:val="24"/>
        </w:rPr>
      </w:pPr>
    </w:p>
    <w:p w:rsidR="00354E57" w:rsidRPr="009C5EB5" w:rsidRDefault="00354E57" w:rsidP="00354E57">
      <w:pPr>
        <w:pStyle w:val="BodyText"/>
        <w:ind w:firstLine="1440"/>
        <w:jc w:val="left"/>
        <w:rPr>
          <w:sz w:val="24"/>
          <w:szCs w:val="24"/>
        </w:rPr>
      </w:pPr>
      <w:r>
        <w:rPr>
          <w:spacing w:val="-3"/>
          <w:sz w:val="24"/>
          <w:szCs w:val="24"/>
        </w:rPr>
        <w:t>At the hearing, the presiding officer notified the parties that, as a result of Complainant’s refusal to provide the requested material and her refusal to comply with the judge’s order, the presiding officer granted the Motion for Sanctions.  Therefore, all the matters alleged by the utility company regarding the contents of the documentation requested were accepted as true.  The utility company alleged Complainant was an “</w:t>
      </w:r>
      <w:r>
        <w:rPr>
          <w:sz w:val="24"/>
          <w:szCs w:val="24"/>
        </w:rPr>
        <w:t>adult occupant whose name appears on the mortgage, deed or lease of the property for which the residential utility service is requested</w:t>
      </w:r>
      <w:r w:rsidR="00A62055">
        <w:rPr>
          <w:sz w:val="24"/>
          <w:szCs w:val="24"/>
        </w:rPr>
        <w:t>,</w:t>
      </w:r>
      <w:r>
        <w:rPr>
          <w:sz w:val="24"/>
          <w:szCs w:val="24"/>
        </w:rPr>
        <w:t>” and therefore, she was a “customer” as that term is defined at 66 Pa.C.S.A. §1403</w:t>
      </w:r>
      <w:r w:rsidR="004B4252">
        <w:rPr>
          <w:rStyle w:val="FootnoteReference"/>
          <w:sz w:val="24"/>
          <w:szCs w:val="24"/>
        </w:rPr>
        <w:footnoteReference w:id="1"/>
      </w:r>
      <w:r>
        <w:rPr>
          <w:sz w:val="24"/>
          <w:szCs w:val="24"/>
        </w:rPr>
        <w:t xml:space="preserve">.  </w:t>
      </w:r>
      <w:r>
        <w:rPr>
          <w:spacing w:val="-3"/>
          <w:sz w:val="24"/>
          <w:szCs w:val="24"/>
        </w:rPr>
        <w:t xml:space="preserve"> These alleged facts were taken as established</w:t>
      </w:r>
      <w:r w:rsidRPr="007B6214">
        <w:rPr>
          <w:spacing w:val="-3"/>
          <w:sz w:val="24"/>
          <w:szCs w:val="24"/>
        </w:rPr>
        <w:t xml:space="preserve"> </w:t>
      </w:r>
      <w:r>
        <w:rPr>
          <w:spacing w:val="-3"/>
          <w:sz w:val="24"/>
          <w:szCs w:val="24"/>
        </w:rPr>
        <w:t xml:space="preserve">in favor of the utility company and against Complainant, for the purposes of this proceeding.  In other words, it is presumed Complainant’s name appears on the mortgage, deed or lease for each of the two properties at which she resided with her husband at 520 Sunnyfield Drive and 4402 McKenzie Drive.  </w:t>
      </w:r>
    </w:p>
    <w:p w:rsidR="00CD57EB" w:rsidRDefault="00CD57EB" w:rsidP="00CD57EB">
      <w:pPr>
        <w:pStyle w:val="BodyText"/>
        <w:ind w:firstLine="1440"/>
        <w:jc w:val="left"/>
        <w:rPr>
          <w:sz w:val="24"/>
          <w:szCs w:val="24"/>
        </w:rPr>
      </w:pPr>
    </w:p>
    <w:p w:rsidR="00220603" w:rsidRPr="00085649" w:rsidRDefault="00336CC1" w:rsidP="000C736C">
      <w:pPr>
        <w:pStyle w:val="BodyText"/>
        <w:jc w:val="left"/>
        <w:rPr>
          <w:sz w:val="24"/>
          <w:szCs w:val="24"/>
        </w:rPr>
      </w:pPr>
      <w:r>
        <w:rPr>
          <w:sz w:val="24"/>
          <w:szCs w:val="24"/>
          <w:u w:val="single"/>
        </w:rPr>
        <w:t>Denied Application for Service</w:t>
      </w:r>
    </w:p>
    <w:p w:rsidR="00220603" w:rsidRPr="00220603" w:rsidRDefault="00220603" w:rsidP="000C736C">
      <w:pPr>
        <w:pStyle w:val="BodyText"/>
        <w:jc w:val="left"/>
        <w:rPr>
          <w:sz w:val="24"/>
          <w:szCs w:val="24"/>
        </w:rPr>
      </w:pPr>
    </w:p>
    <w:p w:rsidR="00563FC3" w:rsidRPr="008B455C" w:rsidRDefault="008618BE" w:rsidP="008B6587">
      <w:pPr>
        <w:pStyle w:val="BodyText"/>
        <w:jc w:val="left"/>
        <w:rPr>
          <w:sz w:val="24"/>
          <w:szCs w:val="24"/>
        </w:rPr>
      </w:pPr>
      <w:r w:rsidRPr="008B455C">
        <w:rPr>
          <w:sz w:val="24"/>
          <w:szCs w:val="24"/>
        </w:rPr>
        <w:tab/>
      </w:r>
      <w:r w:rsidRPr="008B455C">
        <w:rPr>
          <w:sz w:val="24"/>
          <w:szCs w:val="24"/>
        </w:rPr>
        <w:tab/>
      </w:r>
      <w:r w:rsidR="00BC7989">
        <w:rPr>
          <w:sz w:val="24"/>
          <w:szCs w:val="24"/>
        </w:rPr>
        <w:t>Complainant</w:t>
      </w:r>
      <w:r w:rsidR="00C40364" w:rsidRPr="008B455C">
        <w:rPr>
          <w:sz w:val="24"/>
          <w:szCs w:val="24"/>
        </w:rPr>
        <w:t xml:space="preserve"> </w:t>
      </w:r>
      <w:r w:rsidR="00E20D78">
        <w:rPr>
          <w:sz w:val="24"/>
          <w:szCs w:val="24"/>
        </w:rPr>
        <w:t xml:space="preserve">appeared </w:t>
      </w:r>
      <w:r w:rsidR="00E20D78" w:rsidRPr="00815729">
        <w:rPr>
          <w:i/>
          <w:sz w:val="24"/>
          <w:szCs w:val="24"/>
        </w:rPr>
        <w:t xml:space="preserve">pro se </w:t>
      </w:r>
      <w:r w:rsidR="00E20D78">
        <w:rPr>
          <w:sz w:val="24"/>
          <w:szCs w:val="24"/>
        </w:rPr>
        <w:t xml:space="preserve">and did not submit any documents into evidence.  She </w:t>
      </w:r>
      <w:r w:rsidR="00C40364" w:rsidRPr="008B455C">
        <w:rPr>
          <w:sz w:val="24"/>
          <w:szCs w:val="24"/>
        </w:rPr>
        <w:t xml:space="preserve">testified </w:t>
      </w:r>
      <w:r w:rsidR="00DF3A4C">
        <w:rPr>
          <w:sz w:val="24"/>
          <w:szCs w:val="24"/>
        </w:rPr>
        <w:t xml:space="preserve">Respondent </w:t>
      </w:r>
      <w:r w:rsidR="000C54F5">
        <w:rPr>
          <w:sz w:val="24"/>
          <w:szCs w:val="24"/>
        </w:rPr>
        <w:t xml:space="preserve">was in error to deny her application for electric service at 1620 Ridge.  Complainant contends Respondent is unable to </w:t>
      </w:r>
      <w:r w:rsidR="00DF3A4C">
        <w:rPr>
          <w:sz w:val="24"/>
          <w:szCs w:val="24"/>
        </w:rPr>
        <w:t xml:space="preserve">provide </w:t>
      </w:r>
      <w:r w:rsidR="000C54F5">
        <w:rPr>
          <w:sz w:val="24"/>
          <w:szCs w:val="24"/>
        </w:rPr>
        <w:t>a copy of</w:t>
      </w:r>
      <w:r w:rsidR="00DF3A4C">
        <w:rPr>
          <w:sz w:val="24"/>
          <w:szCs w:val="24"/>
        </w:rPr>
        <w:t xml:space="preserve"> an application </w:t>
      </w:r>
      <w:r w:rsidR="00085649">
        <w:rPr>
          <w:sz w:val="24"/>
          <w:szCs w:val="24"/>
        </w:rPr>
        <w:t>showing</w:t>
      </w:r>
      <w:r w:rsidR="00DF3A4C">
        <w:rPr>
          <w:sz w:val="24"/>
          <w:szCs w:val="24"/>
        </w:rPr>
        <w:t xml:space="preserve"> she applied for service and accepted responsibility to pay </w:t>
      </w:r>
      <w:r w:rsidR="00425E2B">
        <w:rPr>
          <w:sz w:val="24"/>
          <w:szCs w:val="24"/>
        </w:rPr>
        <w:t xml:space="preserve">for electric services </w:t>
      </w:r>
      <w:r w:rsidR="000C54F5">
        <w:rPr>
          <w:sz w:val="24"/>
          <w:szCs w:val="24"/>
        </w:rPr>
        <w:t xml:space="preserve">at the residences she shared with her husband </w:t>
      </w:r>
      <w:r w:rsidR="00DF3A4C">
        <w:rPr>
          <w:sz w:val="24"/>
          <w:szCs w:val="24"/>
        </w:rPr>
        <w:t xml:space="preserve">prior to her application for service at 1620 Ridge Avenue.  </w:t>
      </w:r>
      <w:r w:rsidR="000D7C46">
        <w:rPr>
          <w:sz w:val="24"/>
          <w:szCs w:val="24"/>
        </w:rPr>
        <w:t xml:space="preserve">Complainant averred she </w:t>
      </w:r>
      <w:r w:rsidR="000C54F5">
        <w:rPr>
          <w:sz w:val="24"/>
          <w:szCs w:val="24"/>
        </w:rPr>
        <w:t>cannot be</w:t>
      </w:r>
      <w:r w:rsidR="000D7C46">
        <w:rPr>
          <w:sz w:val="24"/>
          <w:szCs w:val="24"/>
        </w:rPr>
        <w:t xml:space="preserve"> financially responsible for any bills unless she signed her name agreeing to be responsible.  </w:t>
      </w:r>
      <w:r w:rsidR="00AB7864">
        <w:rPr>
          <w:sz w:val="24"/>
          <w:szCs w:val="24"/>
        </w:rPr>
        <w:t xml:space="preserve">Complainant contends she is not responsible to repay the balance owed by her husband and she never agreed to pay it.  Complainant argues the Commission should sustain her complaint and find she is not responsible to pay off the balance prior to obtaining electric service from Respondent at 1620 Ridge.  </w:t>
      </w:r>
    </w:p>
    <w:p w:rsidR="00563FC3" w:rsidRPr="008B455C" w:rsidRDefault="00563FC3" w:rsidP="008B6587">
      <w:pPr>
        <w:pStyle w:val="BodyText"/>
        <w:jc w:val="left"/>
        <w:rPr>
          <w:sz w:val="24"/>
          <w:szCs w:val="24"/>
        </w:rPr>
      </w:pPr>
    </w:p>
    <w:p w:rsidR="006B2DFE" w:rsidRPr="008B455C" w:rsidRDefault="006B2DFE" w:rsidP="00CD06EE">
      <w:pPr>
        <w:pStyle w:val="BodyText"/>
        <w:jc w:val="left"/>
        <w:rPr>
          <w:sz w:val="24"/>
          <w:szCs w:val="24"/>
        </w:rPr>
      </w:pPr>
      <w:r w:rsidRPr="008B455C">
        <w:rPr>
          <w:sz w:val="24"/>
          <w:szCs w:val="24"/>
        </w:rPr>
        <w:lastRenderedPageBreak/>
        <w:tab/>
      </w:r>
      <w:r w:rsidR="00F6612B" w:rsidRPr="008B455C">
        <w:rPr>
          <w:sz w:val="24"/>
          <w:szCs w:val="24"/>
        </w:rPr>
        <w:tab/>
      </w:r>
      <w:r w:rsidR="00336CC1">
        <w:rPr>
          <w:sz w:val="24"/>
          <w:szCs w:val="24"/>
        </w:rPr>
        <w:t>Respondent’s witness</w:t>
      </w:r>
      <w:r w:rsidRPr="008B455C">
        <w:rPr>
          <w:sz w:val="24"/>
          <w:szCs w:val="24"/>
        </w:rPr>
        <w:t xml:space="preserve"> testified</w:t>
      </w:r>
      <w:r w:rsidR="00336CC1">
        <w:rPr>
          <w:sz w:val="24"/>
          <w:szCs w:val="24"/>
        </w:rPr>
        <w:t xml:space="preserve"> Respondent’s computer records show Complainant was an adult resident in the premises where Respondent provided electric services under an account in Complainant’s husband’s name.  Respondent contends Complainant benefitted from receiving the electric services and she knew about the accruing account balances because she paid the household’s bills for electric service.  Respondent avers it was correct to deny Complainant’s application for electric service at 1620 Ridge until such time as Complainant provides a security deposit equal to two months’ service and pays the amount still owing on the previous account.</w:t>
      </w:r>
    </w:p>
    <w:p w:rsidR="006B2DFE" w:rsidRPr="008B455C" w:rsidRDefault="006B2DFE" w:rsidP="008B6587">
      <w:pPr>
        <w:pStyle w:val="BodyText"/>
        <w:jc w:val="left"/>
        <w:rPr>
          <w:sz w:val="24"/>
          <w:szCs w:val="24"/>
        </w:rPr>
      </w:pPr>
    </w:p>
    <w:p w:rsidR="00720C39" w:rsidRDefault="00085649" w:rsidP="00220603">
      <w:pPr>
        <w:pStyle w:val="BodyText"/>
        <w:ind w:firstLine="1440"/>
        <w:jc w:val="left"/>
        <w:rPr>
          <w:sz w:val="24"/>
          <w:szCs w:val="24"/>
        </w:rPr>
      </w:pPr>
      <w:r>
        <w:rPr>
          <w:sz w:val="24"/>
          <w:szCs w:val="24"/>
        </w:rPr>
        <w:t>Respondent utility company is required under the statute located at 66 Pa. C.S.A. §1501, to “</w:t>
      </w:r>
      <w:r w:rsidR="00720C39">
        <w:rPr>
          <w:sz w:val="24"/>
          <w:szCs w:val="24"/>
        </w:rPr>
        <w:t>furnis</w:t>
      </w:r>
      <w:r w:rsidR="006354D3">
        <w:rPr>
          <w:sz w:val="24"/>
          <w:szCs w:val="24"/>
        </w:rPr>
        <w:t>h and maintain adequate</w:t>
      </w:r>
      <w:r w:rsidR="00720C39">
        <w:rPr>
          <w:sz w:val="24"/>
          <w:szCs w:val="24"/>
        </w:rPr>
        <w:t>, efficient, safe, and reasonable service and facilities,</w:t>
      </w:r>
      <w:r w:rsidR="00CD57EB">
        <w:rPr>
          <w:sz w:val="24"/>
          <w:szCs w:val="24"/>
        </w:rPr>
        <w:t xml:space="preserve">… </w:t>
      </w:r>
      <w:r w:rsidR="00720C39">
        <w:rPr>
          <w:sz w:val="24"/>
          <w:szCs w:val="24"/>
        </w:rPr>
        <w:t>as shall be necessary or proper for the accommodation, convenience, and safety of its patrons, employees, and the public.  Such service also shall be reasonably continuous and without unreasonable interruptions or delay.</w:t>
      </w:r>
      <w:r w:rsidR="00CD57EB">
        <w:rPr>
          <w:sz w:val="24"/>
          <w:szCs w:val="24"/>
        </w:rPr>
        <w:t>”  Furthermore, the same statute requires all utility companies to conform to and comply with all regulation and</w:t>
      </w:r>
      <w:r w:rsidR="00720C39">
        <w:rPr>
          <w:sz w:val="24"/>
          <w:szCs w:val="24"/>
        </w:rPr>
        <w:t xml:space="preserve"> orders of the Commission</w:t>
      </w:r>
      <w:r w:rsidR="00CD57EB">
        <w:rPr>
          <w:sz w:val="24"/>
          <w:szCs w:val="24"/>
        </w:rPr>
        <w:t xml:space="preserve"> but each public utility “</w:t>
      </w:r>
      <w:r w:rsidR="00720C39">
        <w:rPr>
          <w:sz w:val="24"/>
          <w:szCs w:val="24"/>
        </w:rPr>
        <w:t>may have reasonable rules and regulations governing the conditions under which it shall be required to render service</w:t>
      </w:r>
      <w:r w:rsidR="006354D3">
        <w:rPr>
          <w:sz w:val="24"/>
          <w:szCs w:val="24"/>
        </w:rPr>
        <w:t xml:space="preserve">….”  </w:t>
      </w:r>
    </w:p>
    <w:p w:rsidR="00220603" w:rsidRDefault="00220603" w:rsidP="00220603">
      <w:pPr>
        <w:tabs>
          <w:tab w:val="left" w:pos="-1440"/>
          <w:tab w:val="left" w:pos="-720"/>
        </w:tabs>
        <w:suppressAutoHyphens/>
        <w:spacing w:line="360" w:lineRule="auto"/>
      </w:pPr>
    </w:p>
    <w:p w:rsidR="00220603" w:rsidRDefault="00220603" w:rsidP="00220603">
      <w:pPr>
        <w:tabs>
          <w:tab w:val="left" w:pos="-1440"/>
          <w:tab w:val="left" w:pos="-720"/>
        </w:tabs>
        <w:suppressAutoHyphens/>
        <w:spacing w:line="360" w:lineRule="auto"/>
        <w:rPr>
          <w:spacing w:val="-3"/>
        </w:rPr>
      </w:pPr>
      <w:r w:rsidRPr="007659E6">
        <w:tab/>
      </w:r>
      <w:r w:rsidRPr="007659E6">
        <w:tab/>
      </w:r>
      <w:r>
        <w:t>As a creature of the legislature, the Commission only has those duties, powers, responsibilities and jurisdiction specifically granted to it.</w:t>
      </w:r>
      <w:r>
        <w:rPr>
          <w:rStyle w:val="FootnoteReference"/>
        </w:rPr>
        <w:footnoteReference w:id="2"/>
      </w:r>
      <w:r>
        <w:t xml:space="preserve">  In this matter, the Commission’s responsibility extends to determining whether Respondent utility company violated the regulations or statute.  </w:t>
      </w:r>
      <w:r w:rsidRPr="007659E6">
        <w:t xml:space="preserve">As the party seeking the intervention </w:t>
      </w:r>
      <w:r>
        <w:t>from</w:t>
      </w:r>
      <w:r w:rsidRPr="007659E6">
        <w:t xml:space="preserve"> this Commission, </w:t>
      </w:r>
      <w:r>
        <w:t>Complainant bear the burden of proving</w:t>
      </w:r>
      <w:r w:rsidRPr="007659E6">
        <w:t xml:space="preserve"> </w:t>
      </w:r>
      <w:r>
        <w:t>Respondent</w:t>
      </w:r>
      <w:r w:rsidRPr="007659E6">
        <w:t xml:space="preserve"> violated provisions of the Public Utility Code or </w:t>
      </w:r>
      <w:r>
        <w:t>the Public Utility</w:t>
      </w:r>
      <w:r w:rsidRPr="007659E6">
        <w:t xml:space="preserve"> Commission’s regulations</w:t>
      </w:r>
      <w:r>
        <w:t xml:space="preserve"> in some fashion.</w:t>
      </w:r>
      <w:r>
        <w:rPr>
          <w:rStyle w:val="FootnoteReference"/>
        </w:rPr>
        <w:footnoteReference w:id="3"/>
      </w:r>
      <w:r>
        <w:t xml:space="preserve">  </w:t>
      </w:r>
      <w:r w:rsidRPr="00D27E1B">
        <w:rPr>
          <w:spacing w:val="-3"/>
        </w:rPr>
        <w:t xml:space="preserve">To establish a sufficient case and satisfy the burden of proof, </w:t>
      </w:r>
      <w:r>
        <w:rPr>
          <w:spacing w:val="-3"/>
        </w:rPr>
        <w:t>Complainant</w:t>
      </w:r>
      <w:r w:rsidRPr="00D27E1B">
        <w:rPr>
          <w:spacing w:val="-3"/>
        </w:rPr>
        <w:t xml:space="preserve"> must show the public utility is responsible or accountable for the problem described in the Complaint.</w:t>
      </w:r>
      <w:r>
        <w:rPr>
          <w:rStyle w:val="FootnoteReference"/>
          <w:spacing w:val="-3"/>
        </w:rPr>
        <w:footnoteReference w:id="4"/>
      </w:r>
      <w:r w:rsidRPr="00D27E1B">
        <w:rPr>
          <w:spacing w:val="-3"/>
        </w:rPr>
        <w:t xml:space="preserve">  Such a showing must be by a preponderance of the </w:t>
      </w:r>
      <w:r w:rsidRPr="00D27E1B">
        <w:rPr>
          <w:spacing w:val="-3"/>
        </w:rPr>
        <w:lastRenderedPageBreak/>
        <w:t>evidence</w:t>
      </w:r>
      <w:r>
        <w:rPr>
          <w:rStyle w:val="FootnoteReference"/>
          <w:spacing w:val="-3"/>
        </w:rPr>
        <w:footnoteReference w:id="5"/>
      </w:r>
      <w:r w:rsidR="00523EB3">
        <w:rPr>
          <w:spacing w:val="-3"/>
        </w:rPr>
        <w:t>.  Complainant</w:t>
      </w:r>
      <w:r>
        <w:rPr>
          <w:spacing w:val="-3"/>
        </w:rPr>
        <w:t xml:space="preserve"> can meet </w:t>
      </w:r>
      <w:r w:rsidR="00523EB3">
        <w:rPr>
          <w:spacing w:val="-3"/>
        </w:rPr>
        <w:t>this</w:t>
      </w:r>
      <w:r>
        <w:rPr>
          <w:spacing w:val="-3"/>
        </w:rPr>
        <w:t xml:space="preserve"> burden if </w:t>
      </w:r>
      <w:r w:rsidR="00523EB3">
        <w:rPr>
          <w:spacing w:val="-3"/>
        </w:rPr>
        <w:t>she</w:t>
      </w:r>
      <w:r>
        <w:rPr>
          <w:spacing w:val="-3"/>
        </w:rPr>
        <w:t xml:space="preserve"> present</w:t>
      </w:r>
      <w:r w:rsidR="00523EB3">
        <w:rPr>
          <w:spacing w:val="-3"/>
        </w:rPr>
        <w:t>s</w:t>
      </w:r>
      <w:r>
        <w:rPr>
          <w:spacing w:val="-3"/>
        </w:rPr>
        <w:t xml:space="preserve"> </w:t>
      </w:r>
      <w:r w:rsidRPr="00D27E1B">
        <w:rPr>
          <w:spacing w:val="-3"/>
        </w:rPr>
        <w:t xml:space="preserve">evidence </w:t>
      </w:r>
      <w:r w:rsidR="00523EB3">
        <w:rPr>
          <w:spacing w:val="-3"/>
        </w:rPr>
        <w:t xml:space="preserve">which is </w:t>
      </w:r>
      <w:r w:rsidRPr="00D27E1B">
        <w:rPr>
          <w:spacing w:val="-3"/>
        </w:rPr>
        <w:t>more convincing, by ev</w:t>
      </w:r>
      <w:r w:rsidR="00523EB3">
        <w:rPr>
          <w:spacing w:val="-3"/>
        </w:rPr>
        <w:t>en the smallest amount, than the</w:t>
      </w:r>
      <w:r w:rsidRPr="00D27E1B">
        <w:rPr>
          <w:spacing w:val="-3"/>
        </w:rPr>
        <w:t xml:space="preserve"> </w:t>
      </w:r>
      <w:r>
        <w:rPr>
          <w:spacing w:val="-3"/>
        </w:rPr>
        <w:t xml:space="preserve">evidence </w:t>
      </w:r>
      <w:r w:rsidRPr="00D27E1B">
        <w:rPr>
          <w:spacing w:val="-3"/>
        </w:rPr>
        <w:t xml:space="preserve">presented by </w:t>
      </w:r>
      <w:r>
        <w:rPr>
          <w:spacing w:val="-3"/>
        </w:rPr>
        <w:t>Respondent</w:t>
      </w:r>
      <w:r w:rsidRPr="00D27E1B">
        <w:rPr>
          <w:spacing w:val="-3"/>
        </w:rPr>
        <w:t>.</w:t>
      </w:r>
      <w:r>
        <w:rPr>
          <w:rStyle w:val="FootnoteReference"/>
          <w:spacing w:val="-3"/>
        </w:rPr>
        <w:footnoteReference w:id="6"/>
      </w:r>
      <w:r w:rsidRPr="00D27E1B">
        <w:rPr>
          <w:spacing w:val="-3"/>
        </w:rPr>
        <w:t xml:space="preserve">  </w:t>
      </w:r>
    </w:p>
    <w:p w:rsidR="00220603" w:rsidRDefault="00220603" w:rsidP="00220603">
      <w:pPr>
        <w:tabs>
          <w:tab w:val="left" w:pos="-1440"/>
          <w:tab w:val="left" w:pos="-720"/>
        </w:tabs>
        <w:suppressAutoHyphens/>
        <w:spacing w:line="360" w:lineRule="auto"/>
        <w:rPr>
          <w:spacing w:val="-3"/>
        </w:rPr>
      </w:pPr>
    </w:p>
    <w:p w:rsidR="00220603" w:rsidRPr="00CA7708" w:rsidRDefault="00220603" w:rsidP="00220603">
      <w:pPr>
        <w:tabs>
          <w:tab w:val="left" w:pos="-1440"/>
          <w:tab w:val="left" w:pos="-720"/>
        </w:tabs>
        <w:suppressAutoHyphens/>
        <w:spacing w:line="360" w:lineRule="auto"/>
        <w:rPr>
          <w:spacing w:val="-3"/>
        </w:rPr>
      </w:pPr>
      <w:r>
        <w:rPr>
          <w:spacing w:val="-3"/>
        </w:rPr>
        <w:tab/>
      </w:r>
      <w:r>
        <w:rPr>
          <w:spacing w:val="-3"/>
        </w:rPr>
        <w:tab/>
      </w:r>
      <w:r w:rsidRPr="00D27E1B">
        <w:rPr>
          <w:spacing w:val="-3"/>
        </w:rPr>
        <w:t>Additionally, any finding of fact necessary to support the Commission’s adjudication must be based upon substantial evidence</w:t>
      </w:r>
      <w:r>
        <w:rPr>
          <w:rStyle w:val="FootnoteReference"/>
          <w:spacing w:val="-3"/>
        </w:rPr>
        <w:footnoteReference w:id="7"/>
      </w:r>
      <w:r>
        <w:rPr>
          <w:spacing w:val="-3"/>
        </w:rPr>
        <w:t>, which is more th</w:t>
      </w:r>
      <w:r w:rsidRPr="00D27E1B">
        <w:rPr>
          <w:spacing w:val="-3"/>
        </w:rPr>
        <w:t>an a mere trace of evidence or a suspicion of the existence of a fact sought to be established.</w:t>
      </w:r>
      <w:r>
        <w:rPr>
          <w:rStyle w:val="FootnoteReference"/>
          <w:spacing w:val="-3"/>
        </w:rPr>
        <w:footnoteReference w:id="8"/>
      </w:r>
      <w:r w:rsidRPr="00D27E1B">
        <w:rPr>
          <w:spacing w:val="-3"/>
        </w:rPr>
        <w:t xml:space="preserve">  </w:t>
      </w:r>
    </w:p>
    <w:p w:rsidR="00220603" w:rsidRDefault="00220603" w:rsidP="00220603">
      <w:pPr>
        <w:tabs>
          <w:tab w:val="left" w:pos="-1440"/>
          <w:tab w:val="left" w:pos="-720"/>
        </w:tabs>
        <w:suppressAutoHyphens/>
        <w:spacing w:line="360" w:lineRule="auto"/>
      </w:pPr>
      <w:r>
        <w:tab/>
      </w:r>
      <w:r>
        <w:tab/>
      </w:r>
    </w:p>
    <w:p w:rsidR="00523EB3" w:rsidRDefault="004B4252" w:rsidP="004B4252">
      <w:pPr>
        <w:pStyle w:val="BodyText"/>
        <w:ind w:firstLine="1440"/>
        <w:jc w:val="left"/>
        <w:rPr>
          <w:sz w:val="24"/>
          <w:szCs w:val="24"/>
        </w:rPr>
      </w:pPr>
      <w:r>
        <w:rPr>
          <w:sz w:val="24"/>
          <w:szCs w:val="24"/>
        </w:rPr>
        <w:t xml:space="preserve">In this case, </w:t>
      </w:r>
      <w:r w:rsidR="00523EB3">
        <w:rPr>
          <w:sz w:val="24"/>
          <w:szCs w:val="24"/>
        </w:rPr>
        <w:t xml:space="preserve">Complainant failed to show she was not an adult occupant of the household who benefitted from the electric service Respondent provided at the Sunnyfield and McKenzie residences.  Complainant also failed to show Respondent was in violation of the statutes or regulations which it required Complainant to pay the past due balance from the other two residences before Respondent would provide electric service to Complainant at 1620 Ridge.  </w:t>
      </w:r>
    </w:p>
    <w:p w:rsidR="00523EB3" w:rsidRDefault="00523EB3" w:rsidP="004B4252">
      <w:pPr>
        <w:pStyle w:val="BodyText"/>
        <w:ind w:firstLine="1440"/>
        <w:jc w:val="left"/>
        <w:rPr>
          <w:sz w:val="24"/>
          <w:szCs w:val="24"/>
        </w:rPr>
      </w:pPr>
    </w:p>
    <w:p w:rsidR="004B4252" w:rsidRDefault="00523EB3" w:rsidP="004B4252">
      <w:pPr>
        <w:pStyle w:val="BodyText"/>
        <w:ind w:firstLine="1440"/>
        <w:jc w:val="left"/>
        <w:rPr>
          <w:sz w:val="24"/>
          <w:szCs w:val="24"/>
        </w:rPr>
      </w:pPr>
      <w:r>
        <w:rPr>
          <w:sz w:val="24"/>
          <w:szCs w:val="24"/>
        </w:rPr>
        <w:t xml:space="preserve">In contrast, </w:t>
      </w:r>
      <w:r w:rsidR="004B4252">
        <w:rPr>
          <w:sz w:val="24"/>
          <w:szCs w:val="24"/>
        </w:rPr>
        <w:t xml:space="preserve">Respondent provided sufficient evidence to show Complainant lived with her husband at the Sunnyfield and McKenzie residences, she was an adult at all times during her residence in those locations, and she used and enjoyed the electrical service provided by the utility company under her husband’s name.  In addition, </w:t>
      </w:r>
      <w:r w:rsidR="00287516">
        <w:rPr>
          <w:sz w:val="24"/>
          <w:szCs w:val="24"/>
        </w:rPr>
        <w:t xml:space="preserve">the evidence presented proves </w:t>
      </w:r>
      <w:r w:rsidR="004B4252">
        <w:rPr>
          <w:sz w:val="24"/>
          <w:szCs w:val="24"/>
        </w:rPr>
        <w:t xml:space="preserve">Complainant handled the payment of bills and communication with the utility company concerning these utility accounts due to her status as Barron Thomas’ wife and as a </w:t>
      </w:r>
      <w:r w:rsidR="005E3386">
        <w:rPr>
          <w:sz w:val="24"/>
          <w:szCs w:val="24"/>
        </w:rPr>
        <w:t>consumer</w:t>
      </w:r>
      <w:r w:rsidR="004B4252">
        <w:rPr>
          <w:sz w:val="24"/>
          <w:szCs w:val="24"/>
        </w:rPr>
        <w:t xml:space="preserve">.  Complainant was an adult occupant </w:t>
      </w:r>
      <w:r w:rsidR="00287516">
        <w:rPr>
          <w:sz w:val="24"/>
          <w:szCs w:val="24"/>
        </w:rPr>
        <w:t>at</w:t>
      </w:r>
      <w:r w:rsidR="004B4252">
        <w:rPr>
          <w:sz w:val="24"/>
          <w:szCs w:val="24"/>
        </w:rPr>
        <w:t xml:space="preserve"> </w:t>
      </w:r>
      <w:r w:rsidR="003D29E9">
        <w:rPr>
          <w:sz w:val="24"/>
          <w:szCs w:val="24"/>
        </w:rPr>
        <w:t xml:space="preserve">the Sunnyfield and McKenzie residences at which the </w:t>
      </w:r>
      <w:r w:rsidR="00287516">
        <w:rPr>
          <w:sz w:val="24"/>
          <w:szCs w:val="24"/>
        </w:rPr>
        <w:t xml:space="preserve">past due </w:t>
      </w:r>
      <w:r w:rsidR="003D29E9">
        <w:rPr>
          <w:sz w:val="24"/>
          <w:szCs w:val="24"/>
        </w:rPr>
        <w:t>account balance</w:t>
      </w:r>
      <w:r w:rsidR="00287516">
        <w:rPr>
          <w:sz w:val="24"/>
          <w:szCs w:val="24"/>
        </w:rPr>
        <w:t>s</w:t>
      </w:r>
      <w:r w:rsidR="003D29E9">
        <w:rPr>
          <w:sz w:val="24"/>
          <w:szCs w:val="24"/>
        </w:rPr>
        <w:t xml:space="preserve"> accrued.  </w:t>
      </w:r>
      <w:r w:rsidR="004B4252">
        <w:rPr>
          <w:sz w:val="24"/>
          <w:szCs w:val="24"/>
        </w:rPr>
        <w:t>Complainant has not provided sufficient evidence to rebut or refute the evidence.</w:t>
      </w:r>
    </w:p>
    <w:p w:rsidR="004B4252" w:rsidRDefault="004B4252" w:rsidP="004B4252">
      <w:pPr>
        <w:pStyle w:val="BodyText"/>
        <w:ind w:firstLine="1440"/>
        <w:jc w:val="left"/>
        <w:rPr>
          <w:sz w:val="24"/>
          <w:szCs w:val="24"/>
        </w:rPr>
      </w:pPr>
      <w:r>
        <w:rPr>
          <w:sz w:val="24"/>
          <w:szCs w:val="24"/>
        </w:rPr>
        <w:t xml:space="preserve"> </w:t>
      </w:r>
    </w:p>
    <w:p w:rsidR="00307FF8" w:rsidRPr="008B455C" w:rsidRDefault="008B6587" w:rsidP="00F6612B">
      <w:pPr>
        <w:pStyle w:val="BodyText"/>
        <w:ind w:firstLine="1440"/>
        <w:jc w:val="left"/>
        <w:rPr>
          <w:sz w:val="24"/>
          <w:szCs w:val="24"/>
        </w:rPr>
      </w:pPr>
      <w:r w:rsidRPr="008B455C">
        <w:rPr>
          <w:sz w:val="24"/>
          <w:szCs w:val="24"/>
        </w:rPr>
        <w:t>Accordingly</w:t>
      </w:r>
      <w:r w:rsidR="00144BDA">
        <w:rPr>
          <w:sz w:val="24"/>
          <w:szCs w:val="24"/>
        </w:rPr>
        <w:t>,</w:t>
      </w:r>
      <w:r w:rsidRPr="008B455C">
        <w:rPr>
          <w:sz w:val="24"/>
          <w:szCs w:val="24"/>
        </w:rPr>
        <w:t xml:space="preserve"> the complaint</w:t>
      </w:r>
      <w:r w:rsidR="00DC3243" w:rsidRPr="008B455C">
        <w:rPr>
          <w:sz w:val="24"/>
          <w:szCs w:val="24"/>
        </w:rPr>
        <w:t xml:space="preserve"> i</w:t>
      </w:r>
      <w:r w:rsidRPr="008B455C">
        <w:rPr>
          <w:sz w:val="24"/>
          <w:szCs w:val="24"/>
        </w:rPr>
        <w:t xml:space="preserve">s </w:t>
      </w:r>
      <w:r w:rsidR="006D384B">
        <w:rPr>
          <w:sz w:val="24"/>
          <w:szCs w:val="24"/>
        </w:rPr>
        <w:t>dismissed</w:t>
      </w:r>
      <w:r w:rsidRPr="008B455C">
        <w:rPr>
          <w:sz w:val="24"/>
          <w:szCs w:val="24"/>
        </w:rPr>
        <w:t xml:space="preserve"> in the ordering paragraphs below. </w:t>
      </w:r>
    </w:p>
    <w:p w:rsidR="008E4FD6" w:rsidRPr="008B455C" w:rsidRDefault="008E4FD6" w:rsidP="008E4FD6">
      <w:pPr>
        <w:spacing w:line="360" w:lineRule="auto"/>
        <w:jc w:val="center"/>
        <w:rPr>
          <w:u w:val="single"/>
        </w:rPr>
      </w:pPr>
      <w:r w:rsidRPr="008B455C">
        <w:rPr>
          <w:u w:val="single"/>
        </w:rPr>
        <w:lastRenderedPageBreak/>
        <w:t>CONCLUSIONS OF LAW</w:t>
      </w:r>
    </w:p>
    <w:p w:rsidR="008E4FD6" w:rsidRPr="008B455C" w:rsidRDefault="008E4FD6" w:rsidP="008E4FD6">
      <w:pPr>
        <w:spacing w:line="360" w:lineRule="auto"/>
        <w:ind w:firstLine="1440"/>
      </w:pPr>
    </w:p>
    <w:p w:rsidR="008E4FD6" w:rsidRPr="008B455C" w:rsidRDefault="008E4FD6" w:rsidP="008E4FD6">
      <w:pPr>
        <w:numPr>
          <w:ilvl w:val="0"/>
          <w:numId w:val="1"/>
        </w:numPr>
        <w:tabs>
          <w:tab w:val="clear" w:pos="900"/>
          <w:tab w:val="num" w:pos="2160"/>
        </w:tabs>
        <w:spacing w:line="360" w:lineRule="auto"/>
        <w:ind w:left="0" w:firstLine="1440"/>
      </w:pPr>
      <w:r w:rsidRPr="008B455C">
        <w:t xml:space="preserve">The Commission has jurisdiction over the parties and the subject matter of this proceeding.  66 </w:t>
      </w:r>
      <w:smartTag w:uri="urn:schemas-microsoft-com:office:smarttags" w:element="State">
        <w:smartTag w:uri="urn:schemas-microsoft-com:office:smarttags" w:element="place">
          <w:r w:rsidRPr="008B455C">
            <w:t>Pa.</w:t>
          </w:r>
        </w:smartTag>
      </w:smartTag>
      <w:r w:rsidRPr="008B455C">
        <w:t xml:space="preserve"> C.S. §701.</w:t>
      </w:r>
    </w:p>
    <w:p w:rsidR="008E4FD6" w:rsidRPr="008B455C" w:rsidRDefault="008E4FD6" w:rsidP="008E4FD6">
      <w:pPr>
        <w:tabs>
          <w:tab w:val="num" w:pos="2160"/>
        </w:tabs>
        <w:spacing w:line="360" w:lineRule="auto"/>
        <w:ind w:firstLine="1260"/>
      </w:pPr>
    </w:p>
    <w:p w:rsidR="00732CDD" w:rsidRPr="008B455C" w:rsidRDefault="00861DF9" w:rsidP="00943CC8">
      <w:pPr>
        <w:spacing w:line="360" w:lineRule="auto"/>
      </w:pPr>
      <w:r w:rsidRPr="008B455C">
        <w:tab/>
      </w:r>
      <w:r w:rsidRPr="008B455C">
        <w:tab/>
        <w:t>2</w:t>
      </w:r>
      <w:r w:rsidR="003E2BB0" w:rsidRPr="008B455C">
        <w:t>.</w:t>
      </w:r>
      <w:r w:rsidR="003E2BB0" w:rsidRPr="008B455C">
        <w:tab/>
      </w:r>
      <w:r w:rsidR="00BC7989">
        <w:t>Complainant</w:t>
      </w:r>
      <w:r w:rsidR="00EA1EDF" w:rsidRPr="008B455C">
        <w:t xml:space="preserve"> </w:t>
      </w:r>
      <w:r w:rsidR="00D868FB" w:rsidRPr="008B455C">
        <w:t>carr</w:t>
      </w:r>
      <w:r w:rsidR="006D384B">
        <w:t>ies</w:t>
      </w:r>
      <w:r w:rsidR="00EA1EDF" w:rsidRPr="008B455C">
        <w:t xml:space="preserve"> the burden of proving </w:t>
      </w:r>
      <w:r w:rsidR="00617C29" w:rsidRPr="008B455C">
        <w:t>Respondent</w:t>
      </w:r>
      <w:r w:rsidR="000943A5">
        <w:t xml:space="preserve"> </w:t>
      </w:r>
      <w:r w:rsidR="0016133D">
        <w:t>did</w:t>
      </w:r>
      <w:r w:rsidR="000943A5">
        <w:t xml:space="preserve"> not provid</w:t>
      </w:r>
      <w:r w:rsidR="0016133D">
        <w:t>e</w:t>
      </w:r>
      <w:r w:rsidR="000943A5">
        <w:t xml:space="preserve"> reasonable and adequate service</w:t>
      </w:r>
      <w:r w:rsidR="00617C29" w:rsidRPr="008B455C">
        <w:t>.</w:t>
      </w:r>
      <w:r w:rsidR="00B219F2" w:rsidRPr="008B455C">
        <w:t xml:space="preserve">  66 </w:t>
      </w:r>
      <w:smartTag w:uri="urn:schemas-microsoft-com:office:smarttags" w:element="State">
        <w:smartTag w:uri="urn:schemas-microsoft-com:office:smarttags" w:element="place">
          <w:r w:rsidR="00B219F2" w:rsidRPr="008B455C">
            <w:t>Pa.</w:t>
          </w:r>
        </w:smartTag>
      </w:smartTag>
      <w:r w:rsidR="00BC1FD7">
        <w:t xml:space="preserve"> </w:t>
      </w:r>
      <w:r w:rsidR="00B219F2" w:rsidRPr="008B455C">
        <w:t>C.S.A. §332(a).</w:t>
      </w:r>
    </w:p>
    <w:p w:rsidR="00732CDD" w:rsidRPr="008B455C" w:rsidRDefault="00732CDD" w:rsidP="00943CC8">
      <w:pPr>
        <w:spacing w:line="360" w:lineRule="auto"/>
      </w:pPr>
    </w:p>
    <w:p w:rsidR="008B6587" w:rsidRPr="008B455C" w:rsidRDefault="00732CDD" w:rsidP="008B6587">
      <w:pPr>
        <w:pStyle w:val="FootnoteText"/>
        <w:spacing w:line="360" w:lineRule="auto"/>
        <w:rPr>
          <w:sz w:val="24"/>
          <w:szCs w:val="24"/>
        </w:rPr>
      </w:pPr>
      <w:r w:rsidRPr="008B455C">
        <w:rPr>
          <w:sz w:val="24"/>
          <w:szCs w:val="24"/>
        </w:rPr>
        <w:tab/>
      </w:r>
      <w:r w:rsidRPr="008B455C">
        <w:rPr>
          <w:sz w:val="24"/>
          <w:szCs w:val="24"/>
        </w:rPr>
        <w:tab/>
      </w:r>
      <w:r w:rsidR="00D86C43" w:rsidRPr="008B455C">
        <w:rPr>
          <w:sz w:val="24"/>
          <w:szCs w:val="24"/>
        </w:rPr>
        <w:t>3</w:t>
      </w:r>
      <w:r w:rsidRPr="008B455C">
        <w:rPr>
          <w:sz w:val="24"/>
          <w:szCs w:val="24"/>
        </w:rPr>
        <w:t>.</w:t>
      </w:r>
      <w:r w:rsidRPr="008B455C">
        <w:rPr>
          <w:sz w:val="24"/>
          <w:szCs w:val="24"/>
        </w:rPr>
        <w:tab/>
      </w:r>
      <w:r w:rsidR="0016133D">
        <w:rPr>
          <w:sz w:val="24"/>
          <w:szCs w:val="24"/>
        </w:rPr>
        <w:t>Respondent appropriately required Complainant to pay the unpaid balance from the two previous electrical services accounts prior to opening an account for Complainant in her current residence</w:t>
      </w:r>
      <w:r w:rsidR="008B6587" w:rsidRPr="008B455C">
        <w:rPr>
          <w:sz w:val="24"/>
          <w:szCs w:val="24"/>
        </w:rPr>
        <w:t xml:space="preserve">.  </w:t>
      </w:r>
    </w:p>
    <w:p w:rsidR="00617C29" w:rsidRPr="008B455C" w:rsidRDefault="00617C29" w:rsidP="008B6587">
      <w:pPr>
        <w:pStyle w:val="FootnoteText"/>
        <w:spacing w:line="360" w:lineRule="auto"/>
        <w:rPr>
          <w:sz w:val="24"/>
          <w:szCs w:val="24"/>
        </w:rPr>
      </w:pPr>
    </w:p>
    <w:p w:rsidR="007D2DA0" w:rsidRPr="008B455C" w:rsidRDefault="00617C29" w:rsidP="00617C29">
      <w:pPr>
        <w:spacing w:line="360" w:lineRule="auto"/>
      </w:pPr>
      <w:r w:rsidRPr="008B455C">
        <w:tab/>
      </w:r>
      <w:r w:rsidRPr="008B455C">
        <w:tab/>
      </w:r>
      <w:r w:rsidR="00D86C43" w:rsidRPr="008B455C">
        <w:t>4</w:t>
      </w:r>
      <w:r w:rsidRPr="008B455C">
        <w:t>.</w:t>
      </w:r>
      <w:r w:rsidRPr="008B455C">
        <w:tab/>
      </w:r>
      <w:r w:rsidR="00BC7989">
        <w:t>Complainant</w:t>
      </w:r>
      <w:r w:rsidR="00DC3243" w:rsidRPr="008B455C">
        <w:t xml:space="preserve"> </w:t>
      </w:r>
      <w:r w:rsidR="006D384B">
        <w:t>failed to meet</w:t>
      </w:r>
      <w:r w:rsidR="00732CDD" w:rsidRPr="008B455C">
        <w:t xml:space="preserve"> </w:t>
      </w:r>
      <w:r w:rsidR="00DC3243" w:rsidRPr="008B455C">
        <w:t>the</w:t>
      </w:r>
      <w:r w:rsidR="00732CDD" w:rsidRPr="008B455C">
        <w:t xml:space="preserve"> burden of proving </w:t>
      </w:r>
      <w:r w:rsidRPr="008B455C">
        <w:t>Respondent</w:t>
      </w:r>
      <w:r w:rsidR="000943A5">
        <w:t xml:space="preserve"> did not provide reasonable and adequate service when the Respondent required </w:t>
      </w:r>
      <w:r w:rsidR="00BC7989">
        <w:t>Complainant</w:t>
      </w:r>
      <w:r w:rsidR="000943A5">
        <w:t xml:space="preserve"> to pay </w:t>
      </w:r>
      <w:r w:rsidR="00815729">
        <w:t xml:space="preserve">the unpaid balance of </w:t>
      </w:r>
      <w:r w:rsidR="006D384B">
        <w:t xml:space="preserve">$1,283.32 </w:t>
      </w:r>
      <w:r w:rsidR="00815729">
        <w:t xml:space="preserve">and a security deposit of $344 </w:t>
      </w:r>
      <w:r w:rsidR="006D384B">
        <w:t>in order to have electrical service transferred into her name</w:t>
      </w:r>
      <w:r w:rsidR="000943A5">
        <w:t>.</w:t>
      </w:r>
      <w:r w:rsidR="00861DF9" w:rsidRPr="008B455C">
        <w:t xml:space="preserve">  </w:t>
      </w:r>
    </w:p>
    <w:p w:rsidR="00A40462" w:rsidRPr="008B455C" w:rsidRDefault="007D2DA0" w:rsidP="003C13E7">
      <w:pPr>
        <w:spacing w:line="360" w:lineRule="auto"/>
      </w:pPr>
      <w:r w:rsidRPr="008B455C">
        <w:tab/>
      </w:r>
    </w:p>
    <w:p w:rsidR="008E4FD6" w:rsidRPr="008B455C" w:rsidRDefault="008E4FD6" w:rsidP="00CF2BAB">
      <w:pPr>
        <w:spacing w:line="360" w:lineRule="auto"/>
        <w:jc w:val="center"/>
        <w:rPr>
          <w:u w:val="single"/>
        </w:rPr>
      </w:pPr>
      <w:r w:rsidRPr="008B455C">
        <w:rPr>
          <w:u w:val="single"/>
        </w:rPr>
        <w:t>ORDER</w:t>
      </w:r>
    </w:p>
    <w:p w:rsidR="00A40462" w:rsidRPr="008B455C" w:rsidRDefault="00A40462" w:rsidP="008E4FD6">
      <w:pPr>
        <w:tabs>
          <w:tab w:val="num" w:pos="2160"/>
        </w:tabs>
        <w:spacing w:line="360" w:lineRule="auto"/>
        <w:jc w:val="center"/>
        <w:rPr>
          <w:u w:val="single"/>
        </w:rPr>
      </w:pPr>
    </w:p>
    <w:p w:rsidR="008E4FD6" w:rsidRPr="008B455C" w:rsidRDefault="008E4FD6" w:rsidP="008E4FD6">
      <w:pPr>
        <w:tabs>
          <w:tab w:val="num" w:pos="2160"/>
        </w:tabs>
        <w:spacing w:line="360" w:lineRule="auto"/>
        <w:ind w:firstLine="1440"/>
      </w:pPr>
      <w:r w:rsidRPr="008B455C">
        <w:t xml:space="preserve">THEREFORE, </w:t>
      </w:r>
    </w:p>
    <w:p w:rsidR="008E4FD6" w:rsidRPr="008B455C" w:rsidRDefault="008E4FD6" w:rsidP="008E4FD6">
      <w:pPr>
        <w:tabs>
          <w:tab w:val="num" w:pos="2160"/>
        </w:tabs>
        <w:spacing w:line="360" w:lineRule="auto"/>
      </w:pPr>
    </w:p>
    <w:p w:rsidR="008E4FD6" w:rsidRPr="008B455C" w:rsidRDefault="008E4FD6" w:rsidP="008E4FD6">
      <w:pPr>
        <w:tabs>
          <w:tab w:val="num" w:pos="2160"/>
        </w:tabs>
        <w:spacing w:line="360" w:lineRule="auto"/>
        <w:ind w:firstLine="1440"/>
      </w:pPr>
      <w:r w:rsidRPr="008B455C">
        <w:t>IT IS ORDERED:</w:t>
      </w:r>
    </w:p>
    <w:p w:rsidR="008E4FD6" w:rsidRPr="008B455C" w:rsidRDefault="008E4FD6" w:rsidP="008E4FD6">
      <w:pPr>
        <w:tabs>
          <w:tab w:val="num" w:pos="2160"/>
        </w:tabs>
        <w:spacing w:line="360" w:lineRule="auto"/>
        <w:rPr>
          <w:b/>
        </w:rPr>
      </w:pPr>
    </w:p>
    <w:p w:rsidR="008E4FD6" w:rsidRDefault="00055267" w:rsidP="008E4FD6">
      <w:pPr>
        <w:tabs>
          <w:tab w:val="num" w:pos="2160"/>
        </w:tabs>
        <w:spacing w:line="360" w:lineRule="auto"/>
        <w:ind w:firstLine="1440"/>
      </w:pPr>
      <w:r>
        <w:t>1.</w:t>
      </w:r>
      <w:r>
        <w:tab/>
      </w:r>
      <w:r w:rsidR="00DC3243" w:rsidRPr="008B455C">
        <w:t>T</w:t>
      </w:r>
      <w:r w:rsidR="00617C29" w:rsidRPr="008B455C">
        <w:t xml:space="preserve">hat the complaint of </w:t>
      </w:r>
      <w:r w:rsidR="006D384B" w:rsidRPr="00CD6927">
        <w:t>Pamela Thomas</w:t>
      </w:r>
      <w:r w:rsidR="003E1EE5" w:rsidRPr="00CD6927">
        <w:t xml:space="preserve"> </w:t>
      </w:r>
      <w:r w:rsidR="00B219F2" w:rsidRPr="00CD6927">
        <w:t>versus</w:t>
      </w:r>
      <w:r w:rsidR="00617C29" w:rsidRPr="00CD6927">
        <w:t xml:space="preserve"> Duquesne Light C</w:t>
      </w:r>
      <w:r w:rsidR="00A70C75" w:rsidRPr="00CD6927">
        <w:t>ompany</w:t>
      </w:r>
      <w:r w:rsidR="00B219F2" w:rsidRPr="00055267">
        <w:t xml:space="preserve"> </w:t>
      </w:r>
      <w:r w:rsidR="00B219F2" w:rsidRPr="008B455C">
        <w:t xml:space="preserve">at </w:t>
      </w:r>
      <w:r w:rsidR="008E450B">
        <w:t>Docket No. F</w:t>
      </w:r>
      <w:r w:rsidR="00F6612B" w:rsidRPr="008B455C">
        <w:noBreakHyphen/>
      </w:r>
      <w:r w:rsidR="00A70C75" w:rsidRPr="008B455C">
        <w:t>200</w:t>
      </w:r>
      <w:r w:rsidR="008E450B">
        <w:t>9</w:t>
      </w:r>
      <w:r w:rsidR="003E1EE5" w:rsidRPr="008B455C">
        <w:t>-2</w:t>
      </w:r>
      <w:r w:rsidR="006D384B">
        <w:t>102639</w:t>
      </w:r>
      <w:r w:rsidR="00A70C75" w:rsidRPr="008B455C">
        <w:t xml:space="preserve"> is hereby </w:t>
      </w:r>
      <w:r w:rsidR="006D384B">
        <w:t>dismissed</w:t>
      </w:r>
      <w:r w:rsidR="00A70C75" w:rsidRPr="008B455C">
        <w:t>.</w:t>
      </w:r>
    </w:p>
    <w:p w:rsidR="00055267" w:rsidRDefault="00055267" w:rsidP="008E4FD6">
      <w:pPr>
        <w:tabs>
          <w:tab w:val="num" w:pos="2160"/>
        </w:tabs>
        <w:spacing w:line="360" w:lineRule="auto"/>
        <w:ind w:firstLine="1440"/>
      </w:pPr>
    </w:p>
    <w:p w:rsidR="00055267" w:rsidRDefault="00055267" w:rsidP="008E4FD6">
      <w:pPr>
        <w:tabs>
          <w:tab w:val="num" w:pos="2160"/>
        </w:tabs>
        <w:spacing w:line="360" w:lineRule="auto"/>
        <w:ind w:firstLine="1440"/>
      </w:pPr>
      <w:r>
        <w:t>2.</w:t>
      </w:r>
      <w:r>
        <w:tab/>
        <w:t xml:space="preserve">That </w:t>
      </w:r>
      <w:r w:rsidR="005E3386">
        <w:t>Complainant is required to pay the amount of $1,283.32 to Respondent plus a security deposit equal to two months’ service prior to opening an account with Respondent.</w:t>
      </w:r>
    </w:p>
    <w:p w:rsidR="00055267" w:rsidRDefault="00055267" w:rsidP="008E4FD6">
      <w:pPr>
        <w:tabs>
          <w:tab w:val="num" w:pos="2160"/>
        </w:tabs>
        <w:spacing w:line="360" w:lineRule="auto"/>
        <w:ind w:firstLine="1440"/>
      </w:pPr>
    </w:p>
    <w:p w:rsidR="00055267" w:rsidRPr="008B455C" w:rsidRDefault="00055267" w:rsidP="008E4FD6">
      <w:pPr>
        <w:tabs>
          <w:tab w:val="num" w:pos="2160"/>
        </w:tabs>
        <w:spacing w:line="360" w:lineRule="auto"/>
        <w:ind w:firstLine="1440"/>
      </w:pPr>
      <w:r>
        <w:lastRenderedPageBreak/>
        <w:t>3.</w:t>
      </w:r>
      <w:r>
        <w:tab/>
        <w:t>That</w:t>
      </w:r>
      <w:r w:rsidR="005E3386">
        <w:t xml:space="preserve"> Complainant must pay to Respondent the cost of any electrical service which Complainant received at 1620 Ridge Avenue, </w:t>
      </w:r>
      <w:r w:rsidR="005E3386" w:rsidRPr="009852DD">
        <w:t>North Braddock, Pennsylvania 15104</w:t>
      </w:r>
      <w:r w:rsidR="00652B73">
        <w:t xml:space="preserve"> from February 1, 2009 to date.</w:t>
      </w:r>
    </w:p>
    <w:p w:rsidR="008E4FD6" w:rsidRPr="008B455C" w:rsidRDefault="008E4FD6" w:rsidP="008E4FD6">
      <w:pPr>
        <w:tabs>
          <w:tab w:val="num" w:pos="2160"/>
        </w:tabs>
        <w:spacing w:line="360" w:lineRule="auto"/>
        <w:ind w:firstLine="1440"/>
      </w:pPr>
    </w:p>
    <w:p w:rsidR="008E4FD6" w:rsidRPr="008B455C" w:rsidRDefault="00766B36" w:rsidP="008E4FD6">
      <w:pPr>
        <w:tabs>
          <w:tab w:val="num" w:pos="2160"/>
        </w:tabs>
        <w:spacing w:line="360" w:lineRule="auto"/>
        <w:ind w:firstLine="1440"/>
      </w:pPr>
      <w:r w:rsidRPr="008B455C">
        <w:tab/>
        <w:t xml:space="preserve"> </w:t>
      </w:r>
    </w:p>
    <w:p w:rsidR="008E4FD6" w:rsidRPr="008B455C" w:rsidRDefault="008E4FD6" w:rsidP="008E4FD6">
      <w:pPr>
        <w:tabs>
          <w:tab w:val="num" w:pos="2160"/>
          <w:tab w:val="left" w:pos="5048"/>
        </w:tabs>
      </w:pPr>
      <w:r w:rsidRPr="008B455C">
        <w:t>Dated:</w:t>
      </w:r>
      <w:r w:rsidR="009D47A5" w:rsidRPr="008B455C">
        <w:t xml:space="preserve"> </w:t>
      </w:r>
      <w:r w:rsidR="00652B73">
        <w:rPr>
          <w:u w:val="single"/>
        </w:rPr>
        <w:t>November 18</w:t>
      </w:r>
      <w:r w:rsidR="006D384B">
        <w:rPr>
          <w:u w:val="single"/>
        </w:rPr>
        <w:t>, 2009</w:t>
      </w:r>
      <w:r w:rsidRPr="008B455C">
        <w:tab/>
        <w:t>_________________________</w:t>
      </w:r>
    </w:p>
    <w:p w:rsidR="008E4FD6" w:rsidRPr="008B455C" w:rsidRDefault="008E4FD6" w:rsidP="008E4FD6">
      <w:pPr>
        <w:tabs>
          <w:tab w:val="num" w:pos="2160"/>
        </w:tabs>
      </w:pPr>
      <w:r w:rsidRPr="008B455C">
        <w:tab/>
      </w:r>
      <w:r w:rsidRPr="008B455C">
        <w:tab/>
      </w:r>
      <w:r w:rsidRPr="008B455C">
        <w:tab/>
      </w:r>
      <w:r w:rsidRPr="008B455C">
        <w:tab/>
      </w:r>
      <w:r w:rsidRPr="008B455C">
        <w:tab/>
      </w:r>
      <w:r w:rsidR="00DC3243" w:rsidRPr="008B455C">
        <w:t>Katrina L. Dunderdale</w:t>
      </w:r>
    </w:p>
    <w:p w:rsidR="00C04B60" w:rsidRDefault="008E4FD6" w:rsidP="00C04B60">
      <w:pPr>
        <w:tabs>
          <w:tab w:val="num" w:pos="2160"/>
        </w:tabs>
        <w:sectPr w:rsidR="00C04B60" w:rsidSect="00F6612B">
          <w:footerReference w:type="even" r:id="rId8"/>
          <w:footerReference w:type="default" r:id="rId9"/>
          <w:pgSz w:w="12240" w:h="15840" w:code="1"/>
          <w:pgMar w:top="1440" w:right="1440" w:bottom="1440" w:left="1440" w:header="720" w:footer="720" w:gutter="0"/>
          <w:paperSrc w:first="50"/>
          <w:pgNumType w:start="1"/>
          <w:cols w:space="720"/>
          <w:noEndnote/>
          <w:titlePg/>
          <w:docGrid w:linePitch="326"/>
        </w:sectPr>
      </w:pPr>
      <w:r w:rsidRPr="008B455C">
        <w:tab/>
      </w:r>
      <w:r w:rsidRPr="008B455C">
        <w:tab/>
      </w:r>
      <w:r w:rsidR="00F6612B" w:rsidRPr="008B455C">
        <w:tab/>
      </w:r>
      <w:r w:rsidRPr="008B455C">
        <w:tab/>
      </w:r>
      <w:r w:rsidRPr="008B455C">
        <w:tab/>
        <w:t>Administrative Law Judge</w:t>
      </w:r>
    </w:p>
    <w:p w:rsidR="00CD6927" w:rsidRPr="00057980" w:rsidRDefault="00CD6927" w:rsidP="00CD6927">
      <w:pPr>
        <w:rPr>
          <w:rFonts w:ascii="Microsoft Sans Serif" w:hAnsi="Microsoft Sans Serif" w:cs="Microsoft Sans Serif"/>
          <w:b/>
          <w:caps/>
          <w:u w:val="single"/>
        </w:rPr>
      </w:pPr>
      <w:r w:rsidRPr="00E02537">
        <w:rPr>
          <w:rFonts w:ascii="Microsoft Sans Serif" w:hAnsi="Microsoft Sans Serif" w:cs="Microsoft Sans Serif"/>
          <w:b/>
          <w:caps/>
          <w:noProof/>
          <w:u w:val="single"/>
        </w:rPr>
        <w:lastRenderedPageBreak/>
        <w:t>F-2009-2102639</w:t>
      </w:r>
      <w:r w:rsidRPr="00057980">
        <w:rPr>
          <w:rFonts w:ascii="Microsoft Sans Serif" w:hAnsi="Microsoft Sans Serif" w:cs="Microsoft Sans Serif"/>
          <w:b/>
          <w:caps/>
          <w:u w:val="single"/>
        </w:rPr>
        <w:t xml:space="preserve">  </w:t>
      </w:r>
      <w:r w:rsidRPr="00E02537">
        <w:rPr>
          <w:rFonts w:ascii="Microsoft Sans Serif" w:hAnsi="Microsoft Sans Serif" w:cs="Microsoft Sans Serif"/>
          <w:b/>
          <w:caps/>
          <w:noProof/>
          <w:u w:val="single"/>
        </w:rPr>
        <w:t>Pamela Thomas</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E02537">
        <w:rPr>
          <w:rFonts w:ascii="Microsoft Sans Serif" w:hAnsi="Microsoft Sans Serif" w:cs="Microsoft Sans Serif"/>
          <w:b/>
          <w:caps/>
          <w:noProof/>
          <w:u w:val="single"/>
        </w:rPr>
        <w:t>Duquesne Light Company</w:t>
      </w:r>
    </w:p>
    <w:p w:rsidR="00CD6927" w:rsidRPr="00057980" w:rsidRDefault="00CD6927" w:rsidP="00CD6927">
      <w:pPr>
        <w:rPr>
          <w:rFonts w:ascii="Microsoft Sans Serif" w:hAnsi="Microsoft Sans Serif" w:cs="Microsoft Sans Serif"/>
          <w:caps/>
        </w:rPr>
      </w:pPr>
    </w:p>
    <w:p w:rsidR="00CD6927" w:rsidRPr="00057980" w:rsidRDefault="00CD6927" w:rsidP="00CD6927">
      <w:pPr>
        <w:rPr>
          <w:rFonts w:ascii="Microsoft Sans Serif" w:hAnsi="Microsoft Sans Serif" w:cs="Microsoft Sans Serif"/>
          <w:caps/>
        </w:rPr>
      </w:pPr>
    </w:p>
    <w:p w:rsidR="00CD6927" w:rsidRPr="00057980" w:rsidRDefault="00CD6927" w:rsidP="00CD6927">
      <w:pPr>
        <w:rPr>
          <w:rFonts w:ascii="Microsoft Sans Serif" w:hAnsi="Microsoft Sans Serif" w:cs="Microsoft Sans Serif"/>
          <w:caps/>
        </w:rPr>
      </w:pPr>
      <w:r w:rsidRPr="00E02537">
        <w:rPr>
          <w:rFonts w:ascii="Microsoft Sans Serif" w:hAnsi="Microsoft Sans Serif" w:cs="Microsoft Sans Serif"/>
          <w:caps/>
          <w:noProof/>
        </w:rPr>
        <w:t>Pamela</w:t>
      </w:r>
      <w:r w:rsidRPr="00057980">
        <w:rPr>
          <w:rFonts w:ascii="Microsoft Sans Serif" w:hAnsi="Microsoft Sans Serif" w:cs="Microsoft Sans Serif"/>
          <w:caps/>
        </w:rPr>
        <w:t xml:space="preserve"> </w:t>
      </w:r>
      <w:r w:rsidRPr="00E02537">
        <w:rPr>
          <w:rFonts w:ascii="Microsoft Sans Serif" w:hAnsi="Microsoft Sans Serif" w:cs="Microsoft Sans Serif"/>
          <w:caps/>
          <w:noProof/>
        </w:rPr>
        <w:t>Thomas</w:t>
      </w:r>
      <w:r w:rsidRPr="00057980">
        <w:rPr>
          <w:rFonts w:ascii="Microsoft Sans Serif" w:hAnsi="Microsoft Sans Serif" w:cs="Microsoft Sans Serif"/>
          <w:caps/>
        </w:rPr>
        <w:t xml:space="preserve"> </w:t>
      </w:r>
    </w:p>
    <w:p w:rsidR="00CD6927" w:rsidRPr="00057980" w:rsidRDefault="00CD6927" w:rsidP="00CD6927">
      <w:pPr>
        <w:rPr>
          <w:rFonts w:ascii="Microsoft Sans Serif" w:hAnsi="Microsoft Sans Serif" w:cs="Microsoft Sans Serif"/>
          <w:caps/>
        </w:rPr>
      </w:pPr>
      <w:smartTag w:uri="urn:schemas-microsoft-com:office:smarttags" w:element="place">
        <w:r w:rsidRPr="00E02537">
          <w:rPr>
            <w:rFonts w:ascii="Microsoft Sans Serif" w:hAnsi="Microsoft Sans Serif" w:cs="Microsoft Sans Serif"/>
            <w:caps/>
            <w:noProof/>
          </w:rPr>
          <w:t>PO</w:t>
        </w:r>
      </w:smartTag>
      <w:r w:rsidRPr="00E02537">
        <w:rPr>
          <w:rFonts w:ascii="Microsoft Sans Serif" w:hAnsi="Microsoft Sans Serif" w:cs="Microsoft Sans Serif"/>
          <w:caps/>
          <w:noProof/>
        </w:rPr>
        <w:t xml:space="preserve"> </w:t>
      </w:r>
      <w:smartTag w:uri="urn:schemas-microsoft-com:office:smarttags" w:element="address">
        <w:smartTag w:uri="urn:schemas-microsoft-com:office:smarttags" w:element="Street">
          <w:r w:rsidRPr="00E02537">
            <w:rPr>
              <w:rFonts w:ascii="Microsoft Sans Serif" w:hAnsi="Microsoft Sans Serif" w:cs="Microsoft Sans Serif"/>
              <w:caps/>
              <w:noProof/>
            </w:rPr>
            <w:t>Box</w:t>
          </w:r>
        </w:smartTag>
        <w:r w:rsidRPr="00E02537">
          <w:rPr>
            <w:rFonts w:ascii="Microsoft Sans Serif" w:hAnsi="Microsoft Sans Serif" w:cs="Microsoft Sans Serif"/>
            <w:caps/>
            <w:noProof/>
          </w:rPr>
          <w:t xml:space="preserve"> 261</w:t>
        </w:r>
      </w:smartTag>
    </w:p>
    <w:p w:rsidR="00CD6927" w:rsidRPr="00057980" w:rsidRDefault="00CD6927" w:rsidP="00CD6927">
      <w:pPr>
        <w:rPr>
          <w:rFonts w:ascii="Microsoft Sans Serif" w:hAnsi="Microsoft Sans Serif" w:cs="Microsoft Sans Serif"/>
          <w:caps/>
        </w:rPr>
      </w:pPr>
      <w:smartTag w:uri="urn:schemas-microsoft-com:office:smarttags" w:element="place">
        <w:r w:rsidRPr="00E02537">
          <w:rPr>
            <w:rFonts w:ascii="Microsoft Sans Serif" w:hAnsi="Microsoft Sans Serif" w:cs="Microsoft Sans Serif"/>
            <w:caps/>
            <w:noProof/>
          </w:rPr>
          <w:t>Monroeville</w:t>
        </w:r>
      </w:smartTag>
      <w:r w:rsidRPr="00057980">
        <w:rPr>
          <w:rFonts w:ascii="Microsoft Sans Serif" w:hAnsi="Microsoft Sans Serif" w:cs="Microsoft Sans Serif"/>
          <w:caps/>
        </w:rPr>
        <w:t xml:space="preserve"> </w:t>
      </w:r>
      <w:r w:rsidRPr="00E02537">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E02537">
        <w:rPr>
          <w:rFonts w:ascii="Microsoft Sans Serif" w:hAnsi="Microsoft Sans Serif" w:cs="Microsoft Sans Serif"/>
          <w:caps/>
          <w:noProof/>
        </w:rPr>
        <w:t>15146</w:t>
      </w:r>
    </w:p>
    <w:p w:rsidR="00CD6927" w:rsidRPr="00057980" w:rsidRDefault="00CD6927" w:rsidP="00CD6927">
      <w:pPr>
        <w:rPr>
          <w:rFonts w:ascii="Microsoft Sans Serif" w:hAnsi="Microsoft Sans Serif" w:cs="Microsoft Sans Serif"/>
          <w:b/>
          <w:caps/>
          <w:u w:val="single"/>
        </w:rPr>
      </w:pPr>
      <w:r w:rsidRPr="00E02537">
        <w:rPr>
          <w:rFonts w:ascii="Microsoft Sans Serif" w:hAnsi="Microsoft Sans Serif" w:cs="Microsoft Sans Serif"/>
          <w:b/>
          <w:caps/>
          <w:noProof/>
        </w:rPr>
        <w:t>412.609</w:t>
      </w:r>
      <w:r>
        <w:rPr>
          <w:rFonts w:ascii="Microsoft Sans Serif" w:hAnsi="Microsoft Sans Serif" w:cs="Microsoft Sans Serif"/>
          <w:b/>
          <w:caps/>
          <w:noProof/>
        </w:rPr>
        <w:t>.</w:t>
      </w:r>
      <w:r w:rsidRPr="00E02537">
        <w:rPr>
          <w:rFonts w:ascii="Microsoft Sans Serif" w:hAnsi="Microsoft Sans Serif" w:cs="Microsoft Sans Serif"/>
          <w:b/>
          <w:caps/>
          <w:noProof/>
        </w:rPr>
        <w:t>3445</w:t>
      </w:r>
      <w:r w:rsidRPr="00057980">
        <w:rPr>
          <w:rFonts w:ascii="Microsoft Sans Serif" w:hAnsi="Microsoft Sans Serif" w:cs="Microsoft Sans Serif"/>
          <w:b/>
          <w:caps/>
          <w:u w:val="single"/>
        </w:rPr>
        <w:t xml:space="preserve"> </w:t>
      </w:r>
    </w:p>
    <w:p w:rsidR="00CD6927" w:rsidRPr="00057980" w:rsidRDefault="00CD6927" w:rsidP="00CD6927">
      <w:pPr>
        <w:rPr>
          <w:rFonts w:ascii="Microsoft Sans Serif" w:hAnsi="Microsoft Sans Serif" w:cs="Microsoft Sans Serif"/>
          <w:caps/>
        </w:rPr>
      </w:pPr>
    </w:p>
    <w:p w:rsidR="00CD6927" w:rsidRPr="00057980" w:rsidRDefault="00CD6927" w:rsidP="00CD6927">
      <w:pPr>
        <w:rPr>
          <w:rFonts w:ascii="Microsoft Sans Serif" w:hAnsi="Microsoft Sans Serif" w:cs="Microsoft Sans Serif"/>
          <w:caps/>
        </w:rPr>
      </w:pPr>
    </w:p>
    <w:p w:rsidR="00CD6927" w:rsidRPr="00057980" w:rsidRDefault="00CD6927" w:rsidP="00CD6927">
      <w:pPr>
        <w:rPr>
          <w:rFonts w:ascii="Microsoft Sans Serif" w:hAnsi="Microsoft Sans Serif" w:cs="Microsoft Sans Serif"/>
          <w:caps/>
        </w:rPr>
      </w:pPr>
      <w:r>
        <w:rPr>
          <w:rFonts w:ascii="Microsoft Sans Serif" w:hAnsi="Microsoft Sans Serif" w:cs="Microsoft Sans Serif"/>
          <w:caps/>
          <w:noProof/>
        </w:rPr>
        <w:t>Krysia</w:t>
      </w:r>
      <w:r w:rsidRPr="00057980">
        <w:rPr>
          <w:rFonts w:ascii="Microsoft Sans Serif" w:hAnsi="Microsoft Sans Serif" w:cs="Microsoft Sans Serif"/>
          <w:caps/>
        </w:rPr>
        <w:t xml:space="preserve"> </w:t>
      </w:r>
      <w:r w:rsidRPr="00E02537">
        <w:rPr>
          <w:rFonts w:ascii="Microsoft Sans Serif" w:hAnsi="Microsoft Sans Serif" w:cs="Microsoft Sans Serif"/>
          <w:caps/>
          <w:noProof/>
        </w:rPr>
        <w:t>Kubiak</w:t>
      </w:r>
      <w:r w:rsidRPr="00057980">
        <w:rPr>
          <w:rFonts w:ascii="Microsoft Sans Serif" w:hAnsi="Microsoft Sans Serif" w:cs="Microsoft Sans Serif"/>
          <w:caps/>
        </w:rPr>
        <w:t xml:space="preserve"> </w:t>
      </w:r>
      <w:r>
        <w:rPr>
          <w:rFonts w:ascii="Microsoft Sans Serif" w:hAnsi="Microsoft Sans Serif" w:cs="Microsoft Sans Serif"/>
          <w:caps/>
        </w:rPr>
        <w:t>Esquire</w:t>
      </w:r>
    </w:p>
    <w:p w:rsidR="00CD6927" w:rsidRPr="00057980" w:rsidRDefault="00CD6927" w:rsidP="00CD6927">
      <w:pPr>
        <w:rPr>
          <w:rFonts w:ascii="Microsoft Sans Serif" w:hAnsi="Microsoft Sans Serif" w:cs="Microsoft Sans Serif"/>
          <w:caps/>
        </w:rPr>
      </w:pPr>
      <w:r w:rsidRPr="00E02537">
        <w:rPr>
          <w:rFonts w:ascii="Microsoft Sans Serif" w:hAnsi="Microsoft Sans Serif" w:cs="Microsoft Sans Serif"/>
          <w:caps/>
          <w:noProof/>
        </w:rPr>
        <w:t xml:space="preserve">Duquesne Light Company </w:t>
      </w:r>
    </w:p>
    <w:p w:rsidR="00CD6927" w:rsidRPr="00057980" w:rsidRDefault="00CD6927" w:rsidP="00CD6927">
      <w:pPr>
        <w:rPr>
          <w:rFonts w:ascii="Microsoft Sans Serif" w:hAnsi="Microsoft Sans Serif" w:cs="Microsoft Sans Serif"/>
          <w:caps/>
        </w:rPr>
      </w:pPr>
      <w:r w:rsidRPr="00E02537">
        <w:rPr>
          <w:rFonts w:ascii="Microsoft Sans Serif" w:hAnsi="Microsoft Sans Serif" w:cs="Microsoft Sans Serif"/>
          <w:caps/>
          <w:noProof/>
        </w:rPr>
        <w:t>411 Seventh Avenue 16-1</w:t>
      </w:r>
    </w:p>
    <w:p w:rsidR="00CD6927" w:rsidRPr="00057980" w:rsidRDefault="00CD6927" w:rsidP="00CD6927">
      <w:pPr>
        <w:rPr>
          <w:rFonts w:ascii="Microsoft Sans Serif" w:hAnsi="Microsoft Sans Serif" w:cs="Microsoft Sans Serif"/>
          <w:caps/>
        </w:rPr>
      </w:pPr>
      <w:smartTag w:uri="urn:schemas-microsoft-com:office:smarttags" w:element="City">
        <w:smartTag w:uri="urn:schemas-microsoft-com:office:smarttags" w:element="place">
          <w:r w:rsidRPr="00E02537">
            <w:rPr>
              <w:rFonts w:ascii="Microsoft Sans Serif" w:hAnsi="Microsoft Sans Serif" w:cs="Microsoft Sans Serif"/>
              <w:caps/>
              <w:noProof/>
            </w:rPr>
            <w:t>Pittsburgh</w:t>
          </w:r>
        </w:smartTag>
      </w:smartTag>
      <w:r w:rsidRPr="00057980">
        <w:rPr>
          <w:rFonts w:ascii="Microsoft Sans Serif" w:hAnsi="Microsoft Sans Serif" w:cs="Microsoft Sans Serif"/>
          <w:caps/>
        </w:rPr>
        <w:t xml:space="preserve"> </w:t>
      </w:r>
      <w:r w:rsidRPr="00E02537">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E02537">
        <w:rPr>
          <w:rFonts w:ascii="Microsoft Sans Serif" w:hAnsi="Microsoft Sans Serif" w:cs="Microsoft Sans Serif"/>
          <w:caps/>
          <w:noProof/>
        </w:rPr>
        <w:t>15219</w:t>
      </w:r>
    </w:p>
    <w:p w:rsidR="00CD6927" w:rsidRPr="00057980" w:rsidRDefault="00CD6927" w:rsidP="00CD6927">
      <w:pPr>
        <w:rPr>
          <w:rFonts w:ascii="Microsoft Sans Serif" w:hAnsi="Microsoft Sans Serif" w:cs="Microsoft Sans Serif"/>
          <w:caps/>
        </w:rPr>
      </w:pPr>
      <w:r w:rsidRPr="00E02537">
        <w:rPr>
          <w:rFonts w:ascii="Microsoft Sans Serif" w:hAnsi="Microsoft Sans Serif" w:cs="Microsoft Sans Serif"/>
          <w:b/>
          <w:caps/>
          <w:noProof/>
        </w:rPr>
        <w:t>412.393.6505</w:t>
      </w:r>
    </w:p>
    <w:p w:rsidR="00CA57BA" w:rsidRPr="008B455C" w:rsidRDefault="00CA57BA" w:rsidP="00CD6927">
      <w:pPr>
        <w:jc w:val="center"/>
      </w:pPr>
    </w:p>
    <w:sectPr w:rsidR="00CA57BA" w:rsidRPr="008B455C" w:rsidSect="00CD6927">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2FE" w:rsidRDefault="001C22FE">
      <w:r>
        <w:separator/>
      </w:r>
    </w:p>
  </w:endnote>
  <w:endnote w:type="continuationSeparator" w:id="0">
    <w:p w:rsidR="001C22FE" w:rsidRDefault="001C2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562" w:rsidRDefault="00B03BBE" w:rsidP="008E4FD6">
    <w:pPr>
      <w:pStyle w:val="Footer"/>
      <w:framePr w:wrap="around" w:vAnchor="text" w:hAnchor="margin" w:xAlign="center" w:y="1"/>
      <w:rPr>
        <w:rStyle w:val="PageNumber"/>
      </w:rPr>
    </w:pPr>
    <w:r>
      <w:rPr>
        <w:rStyle w:val="PageNumber"/>
      </w:rPr>
      <w:fldChar w:fldCharType="begin"/>
    </w:r>
    <w:r w:rsidR="00F30562">
      <w:rPr>
        <w:rStyle w:val="PageNumber"/>
      </w:rPr>
      <w:instrText xml:space="preserve">PAGE  </w:instrText>
    </w:r>
    <w:r>
      <w:rPr>
        <w:rStyle w:val="PageNumber"/>
      </w:rPr>
      <w:fldChar w:fldCharType="separate"/>
    </w:r>
    <w:r w:rsidR="00F77EE0">
      <w:rPr>
        <w:rStyle w:val="PageNumber"/>
        <w:noProof/>
      </w:rPr>
      <w:t>8</w:t>
    </w:r>
    <w:r>
      <w:rPr>
        <w:rStyle w:val="PageNumber"/>
      </w:rPr>
      <w:fldChar w:fldCharType="end"/>
    </w:r>
  </w:p>
  <w:p w:rsidR="00F30562" w:rsidRDefault="00F305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562" w:rsidRPr="0014242F" w:rsidRDefault="00B03BBE"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F30562" w:rsidRPr="0014242F">
      <w:rPr>
        <w:rStyle w:val="PageNumber"/>
        <w:sz w:val="20"/>
        <w:szCs w:val="20"/>
      </w:rPr>
      <w:instrText xml:space="preserve">PAGE  </w:instrText>
    </w:r>
    <w:r w:rsidRPr="0014242F">
      <w:rPr>
        <w:rStyle w:val="PageNumber"/>
        <w:sz w:val="20"/>
        <w:szCs w:val="20"/>
      </w:rPr>
      <w:fldChar w:fldCharType="separate"/>
    </w:r>
    <w:r w:rsidR="0072545B">
      <w:rPr>
        <w:rStyle w:val="PageNumber"/>
        <w:noProof/>
        <w:sz w:val="20"/>
        <w:szCs w:val="20"/>
      </w:rPr>
      <w:t>11</w:t>
    </w:r>
    <w:r w:rsidRPr="0014242F">
      <w:rPr>
        <w:rStyle w:val="PageNumber"/>
        <w:sz w:val="20"/>
        <w:szCs w:val="20"/>
      </w:rPr>
      <w:fldChar w:fldCharType="end"/>
    </w:r>
  </w:p>
  <w:p w:rsidR="00F30562" w:rsidRDefault="00F305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2FE" w:rsidRDefault="001C22FE">
      <w:r>
        <w:separator/>
      </w:r>
    </w:p>
  </w:footnote>
  <w:footnote w:type="continuationSeparator" w:id="0">
    <w:p w:rsidR="001C22FE" w:rsidRDefault="001C22FE">
      <w:r>
        <w:continuationSeparator/>
      </w:r>
    </w:p>
  </w:footnote>
  <w:footnote w:id="1">
    <w:p w:rsidR="004B4252" w:rsidRPr="004B4252" w:rsidRDefault="004B4252" w:rsidP="007E725F">
      <w:pPr>
        <w:pStyle w:val="FootnoteText"/>
        <w:ind w:firstLine="720"/>
      </w:pPr>
      <w:r>
        <w:rPr>
          <w:rStyle w:val="FootnoteReference"/>
        </w:rPr>
        <w:footnoteRef/>
      </w:r>
      <w:r>
        <w:t xml:space="preserve"> </w:t>
      </w:r>
      <w:r w:rsidRPr="004B4252">
        <w:tab/>
        <w:t xml:space="preserve">“Customer” is defined at 66 Pa. C.S.A. §1403, as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w:t>
      </w:r>
    </w:p>
  </w:footnote>
  <w:footnote w:id="2">
    <w:p w:rsidR="00220603" w:rsidRDefault="00220603" w:rsidP="00220603">
      <w:pPr>
        <w:pStyle w:val="FootnoteText"/>
        <w:ind w:firstLine="720"/>
      </w:pPr>
      <w:r>
        <w:rPr>
          <w:rStyle w:val="FootnoteReference"/>
        </w:rPr>
        <w:footnoteRef/>
      </w:r>
      <w:r>
        <w:t xml:space="preserve"> </w:t>
      </w:r>
      <w:r>
        <w:tab/>
      </w:r>
      <w:r w:rsidRPr="0058651A">
        <w:rPr>
          <w:u w:val="single"/>
        </w:rPr>
        <w:t>Rogoff v. The Buncher Company</w:t>
      </w:r>
      <w:r w:rsidRPr="0058651A">
        <w:t xml:space="preserve">, 395 Pa. 477, 151 A.2d 162 (1985).  </w:t>
      </w:r>
    </w:p>
    <w:p w:rsidR="00220603" w:rsidRDefault="00220603" w:rsidP="00220603">
      <w:pPr>
        <w:pStyle w:val="FootnoteText"/>
        <w:ind w:firstLine="720"/>
      </w:pPr>
    </w:p>
  </w:footnote>
  <w:footnote w:id="3">
    <w:p w:rsidR="00220603" w:rsidRDefault="00220603" w:rsidP="00220603">
      <w:pPr>
        <w:pStyle w:val="FootnoteText"/>
        <w:ind w:firstLine="720"/>
      </w:pPr>
      <w:r>
        <w:rPr>
          <w:rStyle w:val="FootnoteReference"/>
        </w:rPr>
        <w:footnoteRef/>
      </w:r>
      <w:r>
        <w:t xml:space="preserve"> </w:t>
      </w:r>
      <w:r>
        <w:tab/>
      </w:r>
      <w:r w:rsidRPr="00EC0D25">
        <w:t>Section 332(a) of the Public Utility Code, 66 Pa. C.S. §332(a).</w:t>
      </w:r>
    </w:p>
    <w:p w:rsidR="00220603" w:rsidRPr="00EC0D25" w:rsidRDefault="00220603" w:rsidP="00220603">
      <w:pPr>
        <w:pStyle w:val="FootnoteText"/>
        <w:ind w:firstLine="720"/>
      </w:pPr>
    </w:p>
  </w:footnote>
  <w:footnote w:id="4">
    <w:p w:rsidR="00220603" w:rsidRDefault="00220603" w:rsidP="00220603">
      <w:pPr>
        <w:pStyle w:val="FootnoteText"/>
        <w:ind w:firstLine="720"/>
      </w:pPr>
      <w:r>
        <w:rPr>
          <w:rStyle w:val="FootnoteReference"/>
        </w:rPr>
        <w:footnoteRef/>
      </w:r>
      <w:r>
        <w:t xml:space="preserve"> </w:t>
      </w:r>
      <w:r>
        <w:tab/>
      </w:r>
      <w:r w:rsidRPr="0058651A">
        <w:rPr>
          <w:spacing w:val="-3"/>
          <w:u w:val="single"/>
        </w:rPr>
        <w:t>Patterson v. Bell Telephone Company of Pennsylvania</w:t>
      </w:r>
      <w:r w:rsidRPr="0058651A">
        <w:rPr>
          <w:spacing w:val="-3"/>
        </w:rPr>
        <w:t xml:space="preserve">, 72 PA PUC 196 (1990), </w:t>
      </w:r>
      <w:r w:rsidRPr="0058651A">
        <w:rPr>
          <w:spacing w:val="-3"/>
          <w:u w:val="single"/>
        </w:rPr>
        <w:t>Feinstein v. Philadelphia Suburban Water Company</w:t>
      </w:r>
      <w:r w:rsidRPr="0058651A">
        <w:rPr>
          <w:spacing w:val="-3"/>
        </w:rPr>
        <w:t>, 50 PA PUC 300 (1976).</w:t>
      </w:r>
      <w:r w:rsidRPr="00D27E1B">
        <w:rPr>
          <w:spacing w:val="-3"/>
          <w:sz w:val="24"/>
          <w:szCs w:val="24"/>
        </w:rPr>
        <w:t xml:space="preserve">  </w:t>
      </w:r>
    </w:p>
  </w:footnote>
  <w:footnote w:id="5">
    <w:p w:rsidR="00220603" w:rsidRDefault="00220603" w:rsidP="00220603">
      <w:pPr>
        <w:pStyle w:val="FootnoteText"/>
        <w:ind w:firstLine="720"/>
        <w:rPr>
          <w:spacing w:val="-3"/>
        </w:rPr>
      </w:pPr>
      <w:r>
        <w:rPr>
          <w:rStyle w:val="FootnoteReference"/>
        </w:rPr>
        <w:footnoteRef/>
      </w:r>
      <w:r>
        <w:t xml:space="preserve"> </w:t>
      </w:r>
      <w:r>
        <w:tab/>
      </w:r>
      <w:r w:rsidRPr="00EC0D25">
        <w:rPr>
          <w:spacing w:val="-3"/>
          <w:u w:val="single"/>
        </w:rPr>
        <w:t>Samuel J. Lansberry, Inc. v. Pa. Public Utility Comm’n</w:t>
      </w:r>
      <w:r w:rsidRPr="00EC0D25">
        <w:rPr>
          <w:spacing w:val="-3"/>
        </w:rPr>
        <w:t xml:space="preserve">, 134 Pa.Commw. 218; 221-222, 578 A.2d 600; 602 (1990), </w:t>
      </w:r>
      <w:r w:rsidRPr="00EC0D25">
        <w:rPr>
          <w:i/>
          <w:iCs/>
          <w:spacing w:val="-3"/>
        </w:rPr>
        <w:t>alloc. den</w:t>
      </w:r>
      <w:r w:rsidRPr="00EC0D25">
        <w:rPr>
          <w:spacing w:val="-3"/>
        </w:rPr>
        <w:t>. in 602 A.2d 863 (1992)</w:t>
      </w:r>
      <w:r>
        <w:rPr>
          <w:spacing w:val="-3"/>
        </w:rPr>
        <w:t>.</w:t>
      </w:r>
    </w:p>
    <w:p w:rsidR="00220603" w:rsidRPr="00EC0D25" w:rsidRDefault="00220603" w:rsidP="00220603">
      <w:pPr>
        <w:pStyle w:val="FootnoteText"/>
        <w:ind w:firstLine="720"/>
      </w:pPr>
    </w:p>
  </w:footnote>
  <w:footnote w:id="6">
    <w:p w:rsidR="00220603" w:rsidRDefault="00220603" w:rsidP="00220603">
      <w:pPr>
        <w:tabs>
          <w:tab w:val="left" w:pos="-1440"/>
          <w:tab w:val="left" w:pos="-720"/>
        </w:tabs>
        <w:suppressAutoHyphens/>
        <w:rPr>
          <w:spacing w:val="-3"/>
          <w:sz w:val="20"/>
        </w:rPr>
      </w:pPr>
      <w:r>
        <w:tab/>
      </w:r>
      <w:r>
        <w:rPr>
          <w:rStyle w:val="FootnoteReference"/>
        </w:rPr>
        <w:footnoteRef/>
      </w:r>
      <w:r>
        <w:t xml:space="preserve"> </w:t>
      </w:r>
      <w:r>
        <w:tab/>
      </w:r>
      <w:r w:rsidRPr="009828D3">
        <w:rPr>
          <w:spacing w:val="-3"/>
          <w:sz w:val="20"/>
          <w:u w:val="single"/>
        </w:rPr>
        <w:t>Se-Ling Hosiery v. Margulies</w:t>
      </w:r>
      <w:r w:rsidRPr="009828D3">
        <w:rPr>
          <w:spacing w:val="-3"/>
          <w:sz w:val="20"/>
        </w:rPr>
        <w:t xml:space="preserve">, 364 Pa. 45, 70 A.2d 854 (1950).  </w:t>
      </w:r>
    </w:p>
    <w:p w:rsidR="00220603" w:rsidRDefault="00220603" w:rsidP="00220603">
      <w:pPr>
        <w:tabs>
          <w:tab w:val="left" w:pos="-1440"/>
          <w:tab w:val="left" w:pos="-720"/>
        </w:tabs>
        <w:suppressAutoHyphens/>
      </w:pPr>
    </w:p>
  </w:footnote>
  <w:footnote w:id="7">
    <w:p w:rsidR="00220603" w:rsidRDefault="00220603" w:rsidP="00220603">
      <w:pPr>
        <w:pStyle w:val="FootnoteText"/>
        <w:ind w:firstLine="720"/>
        <w:rPr>
          <w:spacing w:val="-3"/>
          <w:sz w:val="24"/>
          <w:szCs w:val="24"/>
        </w:rPr>
      </w:pPr>
      <w:r>
        <w:rPr>
          <w:rStyle w:val="FootnoteReference"/>
        </w:rPr>
        <w:footnoteRef/>
      </w:r>
      <w:r>
        <w:t xml:space="preserve"> </w:t>
      </w:r>
      <w:r>
        <w:tab/>
      </w:r>
      <w:r w:rsidRPr="009828D3">
        <w:rPr>
          <w:spacing w:val="-3"/>
          <w:u w:val="single"/>
        </w:rPr>
        <w:t>Mill v. Commw., PA Public Utility Comm’n</w:t>
      </w:r>
      <w:r w:rsidRPr="009828D3">
        <w:rPr>
          <w:spacing w:val="-3"/>
        </w:rPr>
        <w:t xml:space="preserve">, 67 Pa.Commw. 597, 447 A.2d 1100 (1982), </w:t>
      </w:r>
      <w:r w:rsidRPr="009828D3">
        <w:rPr>
          <w:spacing w:val="-3"/>
          <w:u w:val="single"/>
        </w:rPr>
        <w:t>Edan Transportation Corp. v. PA Public Utility Comm’n</w:t>
      </w:r>
      <w:r w:rsidRPr="009828D3">
        <w:rPr>
          <w:spacing w:val="-3"/>
        </w:rPr>
        <w:t>, 154 Pa.Commw. 21, 623 A.2d 6 (1993), 2 Pa.C.S. §704.</w:t>
      </w:r>
      <w:r w:rsidRPr="00D27E1B">
        <w:rPr>
          <w:spacing w:val="-3"/>
          <w:sz w:val="24"/>
          <w:szCs w:val="24"/>
        </w:rPr>
        <w:t xml:space="preserve"> </w:t>
      </w:r>
    </w:p>
    <w:p w:rsidR="00220603" w:rsidRDefault="00220603" w:rsidP="00220603">
      <w:pPr>
        <w:pStyle w:val="FootnoteText"/>
        <w:ind w:firstLine="720"/>
      </w:pPr>
      <w:r w:rsidRPr="00D27E1B">
        <w:rPr>
          <w:spacing w:val="-3"/>
          <w:sz w:val="24"/>
          <w:szCs w:val="24"/>
        </w:rPr>
        <w:t xml:space="preserve"> </w:t>
      </w:r>
    </w:p>
  </w:footnote>
  <w:footnote w:id="8">
    <w:p w:rsidR="00220603" w:rsidRDefault="00220603" w:rsidP="00220603">
      <w:pPr>
        <w:pStyle w:val="FootnoteText"/>
        <w:ind w:firstLine="720"/>
      </w:pPr>
      <w:r>
        <w:rPr>
          <w:rStyle w:val="FootnoteReference"/>
        </w:rPr>
        <w:footnoteRef/>
      </w:r>
      <w:r>
        <w:t xml:space="preserve"> </w:t>
      </w:r>
      <w:r>
        <w:tab/>
      </w:r>
      <w:r w:rsidRPr="009828D3">
        <w:rPr>
          <w:spacing w:val="-3"/>
          <w:u w:val="single"/>
        </w:rPr>
        <w:t>Norfolk and Western Ry. v. Pa. Public Utility Comm’n</w:t>
      </w:r>
      <w:r w:rsidRPr="009828D3">
        <w:rPr>
          <w:spacing w:val="-3"/>
        </w:rPr>
        <w:t xml:space="preserve">, 489 Pa. 109, 413 A.2d 1037 (1980); </w:t>
      </w:r>
      <w:r w:rsidRPr="009828D3">
        <w:rPr>
          <w:spacing w:val="-3"/>
          <w:u w:val="single"/>
        </w:rPr>
        <w:t>Erie Resistor Corp. v. Unemployment Compensation Bd. of Review</w:t>
      </w:r>
      <w:r w:rsidRPr="009828D3">
        <w:rPr>
          <w:spacing w:val="-3"/>
        </w:rPr>
        <w:t xml:space="preserve">, 194 Pa.Super. 278, 166 A.2d 96 (1960); </w:t>
      </w:r>
      <w:r w:rsidRPr="009828D3">
        <w:rPr>
          <w:spacing w:val="-3"/>
          <w:u w:val="single"/>
        </w:rPr>
        <w:t>Murphy v. Commonwealth, Dep’t. of Public Welfare, White Haven Center</w:t>
      </w:r>
      <w:r w:rsidRPr="009828D3">
        <w:rPr>
          <w:spacing w:val="-3"/>
        </w:rPr>
        <w:t>, 85 Pa.Commw. 23, 480 A.2d 382 (1984).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noPunctuationKerning/>
  <w:characterSpacingControl w:val="doNotCompress"/>
  <w:footnotePr>
    <w:footnote w:id="-1"/>
    <w:footnote w:id="0"/>
  </w:footnotePr>
  <w:endnotePr>
    <w:endnote w:id="-1"/>
    <w:endnote w:id="0"/>
  </w:endnotePr>
  <w:compat/>
  <w:rsids>
    <w:rsidRoot w:val="00CA57BA"/>
    <w:rsid w:val="00002933"/>
    <w:rsid w:val="00004CAB"/>
    <w:rsid w:val="0000779D"/>
    <w:rsid w:val="00014CD9"/>
    <w:rsid w:val="00015B93"/>
    <w:rsid w:val="00015E77"/>
    <w:rsid w:val="000218E1"/>
    <w:rsid w:val="0002562B"/>
    <w:rsid w:val="00030A0C"/>
    <w:rsid w:val="00032447"/>
    <w:rsid w:val="0003254A"/>
    <w:rsid w:val="0003345F"/>
    <w:rsid w:val="00034A65"/>
    <w:rsid w:val="00034D3C"/>
    <w:rsid w:val="0003750C"/>
    <w:rsid w:val="00042684"/>
    <w:rsid w:val="00045F63"/>
    <w:rsid w:val="00051FFD"/>
    <w:rsid w:val="000539E5"/>
    <w:rsid w:val="00055267"/>
    <w:rsid w:val="00065B67"/>
    <w:rsid w:val="00066099"/>
    <w:rsid w:val="00067DC6"/>
    <w:rsid w:val="00081933"/>
    <w:rsid w:val="000841E3"/>
    <w:rsid w:val="00085649"/>
    <w:rsid w:val="000919E3"/>
    <w:rsid w:val="000920B0"/>
    <w:rsid w:val="000943A5"/>
    <w:rsid w:val="00094EC4"/>
    <w:rsid w:val="00095A48"/>
    <w:rsid w:val="000A7A7E"/>
    <w:rsid w:val="000A7DE2"/>
    <w:rsid w:val="000B0443"/>
    <w:rsid w:val="000B1450"/>
    <w:rsid w:val="000B4044"/>
    <w:rsid w:val="000B575F"/>
    <w:rsid w:val="000C22D0"/>
    <w:rsid w:val="000C39FB"/>
    <w:rsid w:val="000C54F5"/>
    <w:rsid w:val="000C639E"/>
    <w:rsid w:val="000C6633"/>
    <w:rsid w:val="000C736C"/>
    <w:rsid w:val="000D4E83"/>
    <w:rsid w:val="000D7C46"/>
    <w:rsid w:val="000D7D68"/>
    <w:rsid w:val="000E0DDA"/>
    <w:rsid w:val="000E33AA"/>
    <w:rsid w:val="000E4C15"/>
    <w:rsid w:val="000E4D29"/>
    <w:rsid w:val="000F0F3C"/>
    <w:rsid w:val="000F45A3"/>
    <w:rsid w:val="000F4D6B"/>
    <w:rsid w:val="0010040A"/>
    <w:rsid w:val="00103B9D"/>
    <w:rsid w:val="0010437D"/>
    <w:rsid w:val="00106746"/>
    <w:rsid w:val="001130C8"/>
    <w:rsid w:val="001140BC"/>
    <w:rsid w:val="001161AA"/>
    <w:rsid w:val="0011788E"/>
    <w:rsid w:val="0012141F"/>
    <w:rsid w:val="00121AE5"/>
    <w:rsid w:val="0012478B"/>
    <w:rsid w:val="00125CCD"/>
    <w:rsid w:val="00127B2C"/>
    <w:rsid w:val="00130E27"/>
    <w:rsid w:val="001339E0"/>
    <w:rsid w:val="00133A47"/>
    <w:rsid w:val="00133B41"/>
    <w:rsid w:val="001354D6"/>
    <w:rsid w:val="00137307"/>
    <w:rsid w:val="001375AA"/>
    <w:rsid w:val="00142A80"/>
    <w:rsid w:val="00143FA7"/>
    <w:rsid w:val="00144748"/>
    <w:rsid w:val="00144BDA"/>
    <w:rsid w:val="00145EBF"/>
    <w:rsid w:val="001513EC"/>
    <w:rsid w:val="00152853"/>
    <w:rsid w:val="00153E19"/>
    <w:rsid w:val="00156938"/>
    <w:rsid w:val="001569B3"/>
    <w:rsid w:val="00156A90"/>
    <w:rsid w:val="0016133D"/>
    <w:rsid w:val="00165400"/>
    <w:rsid w:val="00166F22"/>
    <w:rsid w:val="00167534"/>
    <w:rsid w:val="0017741E"/>
    <w:rsid w:val="00182EDA"/>
    <w:rsid w:val="0018379D"/>
    <w:rsid w:val="00183AE1"/>
    <w:rsid w:val="00185EF9"/>
    <w:rsid w:val="00195561"/>
    <w:rsid w:val="00196E40"/>
    <w:rsid w:val="001B283D"/>
    <w:rsid w:val="001B3B0D"/>
    <w:rsid w:val="001B436F"/>
    <w:rsid w:val="001C22FE"/>
    <w:rsid w:val="001C3008"/>
    <w:rsid w:val="001C5F76"/>
    <w:rsid w:val="001D1DC6"/>
    <w:rsid w:val="001D5E87"/>
    <w:rsid w:val="001D67F3"/>
    <w:rsid w:val="001D6F49"/>
    <w:rsid w:val="001D7070"/>
    <w:rsid w:val="001D79FF"/>
    <w:rsid w:val="001E2C24"/>
    <w:rsid w:val="001F030C"/>
    <w:rsid w:val="001F40C2"/>
    <w:rsid w:val="00200ED0"/>
    <w:rsid w:val="00203C61"/>
    <w:rsid w:val="00206B04"/>
    <w:rsid w:val="002075E6"/>
    <w:rsid w:val="00210334"/>
    <w:rsid w:val="00210460"/>
    <w:rsid w:val="00214A19"/>
    <w:rsid w:val="002154B5"/>
    <w:rsid w:val="002165A2"/>
    <w:rsid w:val="00216A05"/>
    <w:rsid w:val="00220603"/>
    <w:rsid w:val="00230C81"/>
    <w:rsid w:val="00234C5A"/>
    <w:rsid w:val="00244AD1"/>
    <w:rsid w:val="002520A5"/>
    <w:rsid w:val="00253E56"/>
    <w:rsid w:val="00254BFC"/>
    <w:rsid w:val="00254FD1"/>
    <w:rsid w:val="0025557F"/>
    <w:rsid w:val="00263EFE"/>
    <w:rsid w:val="00265108"/>
    <w:rsid w:val="0026526F"/>
    <w:rsid w:val="00271E72"/>
    <w:rsid w:val="00271FF1"/>
    <w:rsid w:val="00280380"/>
    <w:rsid w:val="00280AF0"/>
    <w:rsid w:val="00283A3F"/>
    <w:rsid w:val="00284FA9"/>
    <w:rsid w:val="002867AD"/>
    <w:rsid w:val="00287516"/>
    <w:rsid w:val="002904BB"/>
    <w:rsid w:val="00291917"/>
    <w:rsid w:val="00295403"/>
    <w:rsid w:val="002A78AC"/>
    <w:rsid w:val="002B433A"/>
    <w:rsid w:val="002B4996"/>
    <w:rsid w:val="002B4DFA"/>
    <w:rsid w:val="002C703F"/>
    <w:rsid w:val="002C7AB0"/>
    <w:rsid w:val="002D04F8"/>
    <w:rsid w:val="002D29E7"/>
    <w:rsid w:val="002E2B6E"/>
    <w:rsid w:val="002E597B"/>
    <w:rsid w:val="002E5A74"/>
    <w:rsid w:val="002E6B15"/>
    <w:rsid w:val="002F1743"/>
    <w:rsid w:val="002F4F6F"/>
    <w:rsid w:val="002F6CA8"/>
    <w:rsid w:val="002F6DFB"/>
    <w:rsid w:val="00302C62"/>
    <w:rsid w:val="00302D41"/>
    <w:rsid w:val="00307FF8"/>
    <w:rsid w:val="00311588"/>
    <w:rsid w:val="003121E7"/>
    <w:rsid w:val="00324C80"/>
    <w:rsid w:val="00326059"/>
    <w:rsid w:val="00330B01"/>
    <w:rsid w:val="0033183D"/>
    <w:rsid w:val="00336CC1"/>
    <w:rsid w:val="0034231B"/>
    <w:rsid w:val="00342B49"/>
    <w:rsid w:val="0034410D"/>
    <w:rsid w:val="0034692A"/>
    <w:rsid w:val="00354E57"/>
    <w:rsid w:val="0035629D"/>
    <w:rsid w:val="003603C7"/>
    <w:rsid w:val="00360EB9"/>
    <w:rsid w:val="003649AC"/>
    <w:rsid w:val="00365F7C"/>
    <w:rsid w:val="00367FCA"/>
    <w:rsid w:val="00370128"/>
    <w:rsid w:val="00373245"/>
    <w:rsid w:val="00373ECC"/>
    <w:rsid w:val="0037694C"/>
    <w:rsid w:val="00380F4B"/>
    <w:rsid w:val="003858F0"/>
    <w:rsid w:val="00386C1C"/>
    <w:rsid w:val="00387E50"/>
    <w:rsid w:val="003908EE"/>
    <w:rsid w:val="00391096"/>
    <w:rsid w:val="00394A82"/>
    <w:rsid w:val="003A0189"/>
    <w:rsid w:val="003B045F"/>
    <w:rsid w:val="003B4F65"/>
    <w:rsid w:val="003B7783"/>
    <w:rsid w:val="003C13E7"/>
    <w:rsid w:val="003C417D"/>
    <w:rsid w:val="003C7776"/>
    <w:rsid w:val="003D0DEF"/>
    <w:rsid w:val="003D29E9"/>
    <w:rsid w:val="003D374F"/>
    <w:rsid w:val="003D500A"/>
    <w:rsid w:val="003D5173"/>
    <w:rsid w:val="003D67D8"/>
    <w:rsid w:val="003E1EE5"/>
    <w:rsid w:val="003E2BB0"/>
    <w:rsid w:val="003E2D32"/>
    <w:rsid w:val="003E60E7"/>
    <w:rsid w:val="003F1BC1"/>
    <w:rsid w:val="003F56DB"/>
    <w:rsid w:val="003F6E27"/>
    <w:rsid w:val="0040104B"/>
    <w:rsid w:val="0040125C"/>
    <w:rsid w:val="0041637D"/>
    <w:rsid w:val="00421585"/>
    <w:rsid w:val="004219BD"/>
    <w:rsid w:val="00424E72"/>
    <w:rsid w:val="00425E2B"/>
    <w:rsid w:val="00430437"/>
    <w:rsid w:val="004322BD"/>
    <w:rsid w:val="00440B6B"/>
    <w:rsid w:val="004455C4"/>
    <w:rsid w:val="00462770"/>
    <w:rsid w:val="0046290B"/>
    <w:rsid w:val="004635FD"/>
    <w:rsid w:val="00465878"/>
    <w:rsid w:val="0046652F"/>
    <w:rsid w:val="00470AFC"/>
    <w:rsid w:val="00474C53"/>
    <w:rsid w:val="00483A4C"/>
    <w:rsid w:val="004859D0"/>
    <w:rsid w:val="00487AE0"/>
    <w:rsid w:val="004967B2"/>
    <w:rsid w:val="004970DA"/>
    <w:rsid w:val="004A26B6"/>
    <w:rsid w:val="004A6673"/>
    <w:rsid w:val="004B34C6"/>
    <w:rsid w:val="004B422F"/>
    <w:rsid w:val="004B4252"/>
    <w:rsid w:val="004B4B53"/>
    <w:rsid w:val="004C1AE1"/>
    <w:rsid w:val="004C5FA9"/>
    <w:rsid w:val="004C6202"/>
    <w:rsid w:val="004D3826"/>
    <w:rsid w:val="004D3A14"/>
    <w:rsid w:val="004D454A"/>
    <w:rsid w:val="004D75D5"/>
    <w:rsid w:val="004E01BD"/>
    <w:rsid w:val="004E3B20"/>
    <w:rsid w:val="004E4252"/>
    <w:rsid w:val="004E605F"/>
    <w:rsid w:val="0050181E"/>
    <w:rsid w:val="0050497A"/>
    <w:rsid w:val="00504A1A"/>
    <w:rsid w:val="00507ECF"/>
    <w:rsid w:val="00517217"/>
    <w:rsid w:val="00522985"/>
    <w:rsid w:val="00523EB3"/>
    <w:rsid w:val="00537506"/>
    <w:rsid w:val="0053772F"/>
    <w:rsid w:val="00540E3A"/>
    <w:rsid w:val="00543B7C"/>
    <w:rsid w:val="00543F98"/>
    <w:rsid w:val="005447FE"/>
    <w:rsid w:val="00544F7E"/>
    <w:rsid w:val="00545043"/>
    <w:rsid w:val="005451B0"/>
    <w:rsid w:val="00547948"/>
    <w:rsid w:val="00550F87"/>
    <w:rsid w:val="00552C73"/>
    <w:rsid w:val="00553E91"/>
    <w:rsid w:val="00554986"/>
    <w:rsid w:val="00557326"/>
    <w:rsid w:val="00563142"/>
    <w:rsid w:val="00563254"/>
    <w:rsid w:val="005637DF"/>
    <w:rsid w:val="00563FC3"/>
    <w:rsid w:val="005647C7"/>
    <w:rsid w:val="00573FD4"/>
    <w:rsid w:val="005763CB"/>
    <w:rsid w:val="00577567"/>
    <w:rsid w:val="00580981"/>
    <w:rsid w:val="00580BD5"/>
    <w:rsid w:val="00580D5E"/>
    <w:rsid w:val="0058201B"/>
    <w:rsid w:val="005900D4"/>
    <w:rsid w:val="0059029B"/>
    <w:rsid w:val="00592DDB"/>
    <w:rsid w:val="0059631D"/>
    <w:rsid w:val="005A3E08"/>
    <w:rsid w:val="005A60EA"/>
    <w:rsid w:val="005A77D0"/>
    <w:rsid w:val="005B64BD"/>
    <w:rsid w:val="005D03F4"/>
    <w:rsid w:val="005D4345"/>
    <w:rsid w:val="005E1CC5"/>
    <w:rsid w:val="005E2935"/>
    <w:rsid w:val="005E3386"/>
    <w:rsid w:val="005E636D"/>
    <w:rsid w:val="005E6DB5"/>
    <w:rsid w:val="005F21E6"/>
    <w:rsid w:val="00600EE9"/>
    <w:rsid w:val="0060359F"/>
    <w:rsid w:val="00613AE9"/>
    <w:rsid w:val="00616E73"/>
    <w:rsid w:val="00616FE9"/>
    <w:rsid w:val="00617C29"/>
    <w:rsid w:val="006220FF"/>
    <w:rsid w:val="00623177"/>
    <w:rsid w:val="00632562"/>
    <w:rsid w:val="00633976"/>
    <w:rsid w:val="00633E89"/>
    <w:rsid w:val="0063487E"/>
    <w:rsid w:val="006354D3"/>
    <w:rsid w:val="00636459"/>
    <w:rsid w:val="00641052"/>
    <w:rsid w:val="00645FE8"/>
    <w:rsid w:val="0065019D"/>
    <w:rsid w:val="006515DB"/>
    <w:rsid w:val="00651AB0"/>
    <w:rsid w:val="00652B73"/>
    <w:rsid w:val="0065346D"/>
    <w:rsid w:val="00653FDE"/>
    <w:rsid w:val="006552C8"/>
    <w:rsid w:val="0066212D"/>
    <w:rsid w:val="00664032"/>
    <w:rsid w:val="006663CA"/>
    <w:rsid w:val="0066791C"/>
    <w:rsid w:val="00674B93"/>
    <w:rsid w:val="006771E3"/>
    <w:rsid w:val="006772A2"/>
    <w:rsid w:val="00682B76"/>
    <w:rsid w:val="00685423"/>
    <w:rsid w:val="006869B5"/>
    <w:rsid w:val="00691FDA"/>
    <w:rsid w:val="00692E3E"/>
    <w:rsid w:val="00694153"/>
    <w:rsid w:val="0069460C"/>
    <w:rsid w:val="006954BC"/>
    <w:rsid w:val="006A0714"/>
    <w:rsid w:val="006A3B9D"/>
    <w:rsid w:val="006A7864"/>
    <w:rsid w:val="006B0612"/>
    <w:rsid w:val="006B2DFE"/>
    <w:rsid w:val="006B50E8"/>
    <w:rsid w:val="006B629F"/>
    <w:rsid w:val="006B7DE7"/>
    <w:rsid w:val="006C13BF"/>
    <w:rsid w:val="006C7D49"/>
    <w:rsid w:val="006C7DF6"/>
    <w:rsid w:val="006D1F5A"/>
    <w:rsid w:val="006D2CFC"/>
    <w:rsid w:val="006D2E25"/>
    <w:rsid w:val="006D2F3E"/>
    <w:rsid w:val="006D3697"/>
    <w:rsid w:val="006D384B"/>
    <w:rsid w:val="006D38B1"/>
    <w:rsid w:val="006D68C8"/>
    <w:rsid w:val="006E0E78"/>
    <w:rsid w:val="006E12A1"/>
    <w:rsid w:val="006E175B"/>
    <w:rsid w:val="006E59A8"/>
    <w:rsid w:val="006F10EA"/>
    <w:rsid w:val="006F2B77"/>
    <w:rsid w:val="006F324E"/>
    <w:rsid w:val="006F5FE7"/>
    <w:rsid w:val="006F60DA"/>
    <w:rsid w:val="006F6520"/>
    <w:rsid w:val="006F7393"/>
    <w:rsid w:val="00700704"/>
    <w:rsid w:val="00700E85"/>
    <w:rsid w:val="00710B17"/>
    <w:rsid w:val="00710CE3"/>
    <w:rsid w:val="0071171E"/>
    <w:rsid w:val="007121EF"/>
    <w:rsid w:val="0071586C"/>
    <w:rsid w:val="007172D2"/>
    <w:rsid w:val="00720C39"/>
    <w:rsid w:val="0072545B"/>
    <w:rsid w:val="007272A7"/>
    <w:rsid w:val="00732CDD"/>
    <w:rsid w:val="00736DBA"/>
    <w:rsid w:val="00740BC6"/>
    <w:rsid w:val="00742A7D"/>
    <w:rsid w:val="007516D0"/>
    <w:rsid w:val="00751CE0"/>
    <w:rsid w:val="007532B8"/>
    <w:rsid w:val="007535C9"/>
    <w:rsid w:val="00753A3F"/>
    <w:rsid w:val="00754FD3"/>
    <w:rsid w:val="00757A01"/>
    <w:rsid w:val="00766B36"/>
    <w:rsid w:val="00772949"/>
    <w:rsid w:val="00772CFC"/>
    <w:rsid w:val="00776CD8"/>
    <w:rsid w:val="0078110D"/>
    <w:rsid w:val="00781A81"/>
    <w:rsid w:val="00781D1E"/>
    <w:rsid w:val="00783095"/>
    <w:rsid w:val="00785AF3"/>
    <w:rsid w:val="0079328F"/>
    <w:rsid w:val="007939B6"/>
    <w:rsid w:val="00794F1B"/>
    <w:rsid w:val="007A32D3"/>
    <w:rsid w:val="007A40D1"/>
    <w:rsid w:val="007A5552"/>
    <w:rsid w:val="007B6775"/>
    <w:rsid w:val="007B7EA3"/>
    <w:rsid w:val="007C06FD"/>
    <w:rsid w:val="007C404E"/>
    <w:rsid w:val="007D2958"/>
    <w:rsid w:val="007D2DA0"/>
    <w:rsid w:val="007D79D2"/>
    <w:rsid w:val="007E725F"/>
    <w:rsid w:val="007E7B4E"/>
    <w:rsid w:val="007F02A4"/>
    <w:rsid w:val="007F479E"/>
    <w:rsid w:val="00803501"/>
    <w:rsid w:val="00806E0D"/>
    <w:rsid w:val="00815729"/>
    <w:rsid w:val="00823FCA"/>
    <w:rsid w:val="00824890"/>
    <w:rsid w:val="00836E65"/>
    <w:rsid w:val="008418FC"/>
    <w:rsid w:val="0084410C"/>
    <w:rsid w:val="00845F75"/>
    <w:rsid w:val="00851CB1"/>
    <w:rsid w:val="008541D0"/>
    <w:rsid w:val="00854CF4"/>
    <w:rsid w:val="0085780E"/>
    <w:rsid w:val="008618BE"/>
    <w:rsid w:val="00861DA4"/>
    <w:rsid w:val="00861DF9"/>
    <w:rsid w:val="00862D6B"/>
    <w:rsid w:val="0086399B"/>
    <w:rsid w:val="00863BD5"/>
    <w:rsid w:val="00863CD4"/>
    <w:rsid w:val="00864EB7"/>
    <w:rsid w:val="0086657E"/>
    <w:rsid w:val="00867F55"/>
    <w:rsid w:val="00873D8A"/>
    <w:rsid w:val="00874177"/>
    <w:rsid w:val="00891035"/>
    <w:rsid w:val="008927B5"/>
    <w:rsid w:val="00892EA3"/>
    <w:rsid w:val="00894816"/>
    <w:rsid w:val="008A28F8"/>
    <w:rsid w:val="008A63E2"/>
    <w:rsid w:val="008B3879"/>
    <w:rsid w:val="008B445B"/>
    <w:rsid w:val="008B455C"/>
    <w:rsid w:val="008B6587"/>
    <w:rsid w:val="008C0C01"/>
    <w:rsid w:val="008C17E6"/>
    <w:rsid w:val="008C36F2"/>
    <w:rsid w:val="008C4246"/>
    <w:rsid w:val="008C4487"/>
    <w:rsid w:val="008D0326"/>
    <w:rsid w:val="008D0D31"/>
    <w:rsid w:val="008D6CA9"/>
    <w:rsid w:val="008D6E2C"/>
    <w:rsid w:val="008D7DC6"/>
    <w:rsid w:val="008E09C6"/>
    <w:rsid w:val="008E0E89"/>
    <w:rsid w:val="008E450B"/>
    <w:rsid w:val="008E4FD6"/>
    <w:rsid w:val="008E5C99"/>
    <w:rsid w:val="008F4EF2"/>
    <w:rsid w:val="008F7C99"/>
    <w:rsid w:val="009001C9"/>
    <w:rsid w:val="00906FD4"/>
    <w:rsid w:val="009101FF"/>
    <w:rsid w:val="00910A53"/>
    <w:rsid w:val="00914585"/>
    <w:rsid w:val="00917283"/>
    <w:rsid w:val="0092068A"/>
    <w:rsid w:val="00921285"/>
    <w:rsid w:val="009252B2"/>
    <w:rsid w:val="009310EE"/>
    <w:rsid w:val="00933485"/>
    <w:rsid w:val="0094142D"/>
    <w:rsid w:val="00943CC8"/>
    <w:rsid w:val="00943E53"/>
    <w:rsid w:val="009445CA"/>
    <w:rsid w:val="00960580"/>
    <w:rsid w:val="00962EE7"/>
    <w:rsid w:val="00966C36"/>
    <w:rsid w:val="00970027"/>
    <w:rsid w:val="009760CB"/>
    <w:rsid w:val="009820A7"/>
    <w:rsid w:val="009852DD"/>
    <w:rsid w:val="009901A1"/>
    <w:rsid w:val="00990955"/>
    <w:rsid w:val="009A5AF8"/>
    <w:rsid w:val="009B446B"/>
    <w:rsid w:val="009C05E9"/>
    <w:rsid w:val="009C27D2"/>
    <w:rsid w:val="009C3132"/>
    <w:rsid w:val="009C4526"/>
    <w:rsid w:val="009C5EB5"/>
    <w:rsid w:val="009D227B"/>
    <w:rsid w:val="009D2B67"/>
    <w:rsid w:val="009D47A5"/>
    <w:rsid w:val="009D69B6"/>
    <w:rsid w:val="009E3E84"/>
    <w:rsid w:val="009E6876"/>
    <w:rsid w:val="009F38D7"/>
    <w:rsid w:val="009F6130"/>
    <w:rsid w:val="00A00793"/>
    <w:rsid w:val="00A04076"/>
    <w:rsid w:val="00A10010"/>
    <w:rsid w:val="00A10E1F"/>
    <w:rsid w:val="00A128E0"/>
    <w:rsid w:val="00A15866"/>
    <w:rsid w:val="00A16D50"/>
    <w:rsid w:val="00A23CCA"/>
    <w:rsid w:val="00A248FB"/>
    <w:rsid w:val="00A334E4"/>
    <w:rsid w:val="00A33DF5"/>
    <w:rsid w:val="00A40462"/>
    <w:rsid w:val="00A4355E"/>
    <w:rsid w:val="00A469B4"/>
    <w:rsid w:val="00A46AA1"/>
    <w:rsid w:val="00A511AD"/>
    <w:rsid w:val="00A520A8"/>
    <w:rsid w:val="00A52673"/>
    <w:rsid w:val="00A55F7C"/>
    <w:rsid w:val="00A62055"/>
    <w:rsid w:val="00A64AC5"/>
    <w:rsid w:val="00A70C75"/>
    <w:rsid w:val="00A72BCC"/>
    <w:rsid w:val="00A733A2"/>
    <w:rsid w:val="00A801E7"/>
    <w:rsid w:val="00A806BC"/>
    <w:rsid w:val="00A80E4E"/>
    <w:rsid w:val="00A831C5"/>
    <w:rsid w:val="00A848BA"/>
    <w:rsid w:val="00A86E3D"/>
    <w:rsid w:val="00A90619"/>
    <w:rsid w:val="00A914E9"/>
    <w:rsid w:val="00A93EC0"/>
    <w:rsid w:val="00A94A48"/>
    <w:rsid w:val="00AA70E2"/>
    <w:rsid w:val="00AB30CF"/>
    <w:rsid w:val="00AB40A9"/>
    <w:rsid w:val="00AB7864"/>
    <w:rsid w:val="00AC1113"/>
    <w:rsid w:val="00AC1F4C"/>
    <w:rsid w:val="00AC3C83"/>
    <w:rsid w:val="00AC5A8F"/>
    <w:rsid w:val="00AC6067"/>
    <w:rsid w:val="00AC6745"/>
    <w:rsid w:val="00AC6E5D"/>
    <w:rsid w:val="00AE20FB"/>
    <w:rsid w:val="00AE290D"/>
    <w:rsid w:val="00AE3923"/>
    <w:rsid w:val="00AF4238"/>
    <w:rsid w:val="00AF5FC0"/>
    <w:rsid w:val="00AF63EA"/>
    <w:rsid w:val="00B010E8"/>
    <w:rsid w:val="00B03BBE"/>
    <w:rsid w:val="00B16875"/>
    <w:rsid w:val="00B219F2"/>
    <w:rsid w:val="00B23445"/>
    <w:rsid w:val="00B33E15"/>
    <w:rsid w:val="00B406E2"/>
    <w:rsid w:val="00B41507"/>
    <w:rsid w:val="00B428F4"/>
    <w:rsid w:val="00B46636"/>
    <w:rsid w:val="00B50814"/>
    <w:rsid w:val="00B5162C"/>
    <w:rsid w:val="00B524A4"/>
    <w:rsid w:val="00B55DDC"/>
    <w:rsid w:val="00B66DDD"/>
    <w:rsid w:val="00B67B97"/>
    <w:rsid w:val="00B72AF8"/>
    <w:rsid w:val="00B7377B"/>
    <w:rsid w:val="00B7676D"/>
    <w:rsid w:val="00B768AA"/>
    <w:rsid w:val="00B77E42"/>
    <w:rsid w:val="00B81FED"/>
    <w:rsid w:val="00B845F6"/>
    <w:rsid w:val="00B91AD9"/>
    <w:rsid w:val="00B93A4F"/>
    <w:rsid w:val="00B946B2"/>
    <w:rsid w:val="00B94FFF"/>
    <w:rsid w:val="00BA3DE1"/>
    <w:rsid w:val="00BA45E7"/>
    <w:rsid w:val="00BA4C2A"/>
    <w:rsid w:val="00BA5695"/>
    <w:rsid w:val="00BB036D"/>
    <w:rsid w:val="00BB1FC4"/>
    <w:rsid w:val="00BB4907"/>
    <w:rsid w:val="00BB6201"/>
    <w:rsid w:val="00BB70B3"/>
    <w:rsid w:val="00BB7D46"/>
    <w:rsid w:val="00BC0CA0"/>
    <w:rsid w:val="00BC1B4F"/>
    <w:rsid w:val="00BC1FD7"/>
    <w:rsid w:val="00BC360E"/>
    <w:rsid w:val="00BC6CA5"/>
    <w:rsid w:val="00BC7989"/>
    <w:rsid w:val="00BD11FD"/>
    <w:rsid w:val="00BD3085"/>
    <w:rsid w:val="00BD6511"/>
    <w:rsid w:val="00BD76C8"/>
    <w:rsid w:val="00BD7A50"/>
    <w:rsid w:val="00BE36AA"/>
    <w:rsid w:val="00BE55BE"/>
    <w:rsid w:val="00BE5FCB"/>
    <w:rsid w:val="00BE723C"/>
    <w:rsid w:val="00BF28AB"/>
    <w:rsid w:val="00C01EA5"/>
    <w:rsid w:val="00C03561"/>
    <w:rsid w:val="00C0376D"/>
    <w:rsid w:val="00C03919"/>
    <w:rsid w:val="00C04B60"/>
    <w:rsid w:val="00C0572F"/>
    <w:rsid w:val="00C12C25"/>
    <w:rsid w:val="00C13DF0"/>
    <w:rsid w:val="00C14193"/>
    <w:rsid w:val="00C17738"/>
    <w:rsid w:val="00C17AD8"/>
    <w:rsid w:val="00C2330B"/>
    <w:rsid w:val="00C23A79"/>
    <w:rsid w:val="00C23DE7"/>
    <w:rsid w:val="00C26323"/>
    <w:rsid w:val="00C308BA"/>
    <w:rsid w:val="00C3358D"/>
    <w:rsid w:val="00C378D0"/>
    <w:rsid w:val="00C37FDB"/>
    <w:rsid w:val="00C40364"/>
    <w:rsid w:val="00C44AC9"/>
    <w:rsid w:val="00C45F56"/>
    <w:rsid w:val="00C5642D"/>
    <w:rsid w:val="00C61317"/>
    <w:rsid w:val="00C655E8"/>
    <w:rsid w:val="00C7117A"/>
    <w:rsid w:val="00C74183"/>
    <w:rsid w:val="00C800CB"/>
    <w:rsid w:val="00C803A5"/>
    <w:rsid w:val="00C82C14"/>
    <w:rsid w:val="00C85078"/>
    <w:rsid w:val="00C862F8"/>
    <w:rsid w:val="00C908DB"/>
    <w:rsid w:val="00C931B6"/>
    <w:rsid w:val="00C93B23"/>
    <w:rsid w:val="00CA0FA9"/>
    <w:rsid w:val="00CA262F"/>
    <w:rsid w:val="00CA263F"/>
    <w:rsid w:val="00CA57BA"/>
    <w:rsid w:val="00CB54CC"/>
    <w:rsid w:val="00CB7EF0"/>
    <w:rsid w:val="00CC069F"/>
    <w:rsid w:val="00CD06EE"/>
    <w:rsid w:val="00CD4ED5"/>
    <w:rsid w:val="00CD53CA"/>
    <w:rsid w:val="00CD57EB"/>
    <w:rsid w:val="00CD6927"/>
    <w:rsid w:val="00CE02D2"/>
    <w:rsid w:val="00CE1628"/>
    <w:rsid w:val="00CE3AFA"/>
    <w:rsid w:val="00CF2BAB"/>
    <w:rsid w:val="00CF54D1"/>
    <w:rsid w:val="00D010F1"/>
    <w:rsid w:val="00D01109"/>
    <w:rsid w:val="00D02CF4"/>
    <w:rsid w:val="00D06971"/>
    <w:rsid w:val="00D06B34"/>
    <w:rsid w:val="00D07E03"/>
    <w:rsid w:val="00D13BDB"/>
    <w:rsid w:val="00D165A0"/>
    <w:rsid w:val="00D27A8A"/>
    <w:rsid w:val="00D30F60"/>
    <w:rsid w:val="00D354FD"/>
    <w:rsid w:val="00D3570E"/>
    <w:rsid w:val="00D41A38"/>
    <w:rsid w:val="00D422B1"/>
    <w:rsid w:val="00D45250"/>
    <w:rsid w:val="00D45488"/>
    <w:rsid w:val="00D467C6"/>
    <w:rsid w:val="00D654B3"/>
    <w:rsid w:val="00D65923"/>
    <w:rsid w:val="00D65D16"/>
    <w:rsid w:val="00D66AFA"/>
    <w:rsid w:val="00D72D85"/>
    <w:rsid w:val="00D761B6"/>
    <w:rsid w:val="00D76D1C"/>
    <w:rsid w:val="00D76DB8"/>
    <w:rsid w:val="00D838A7"/>
    <w:rsid w:val="00D85A3F"/>
    <w:rsid w:val="00D868FB"/>
    <w:rsid w:val="00D86C43"/>
    <w:rsid w:val="00D86FEA"/>
    <w:rsid w:val="00D9205D"/>
    <w:rsid w:val="00D94038"/>
    <w:rsid w:val="00D957AC"/>
    <w:rsid w:val="00DA3335"/>
    <w:rsid w:val="00DA3D69"/>
    <w:rsid w:val="00DA430D"/>
    <w:rsid w:val="00DA5163"/>
    <w:rsid w:val="00DA66D7"/>
    <w:rsid w:val="00DA72B7"/>
    <w:rsid w:val="00DB1053"/>
    <w:rsid w:val="00DB192A"/>
    <w:rsid w:val="00DB40BF"/>
    <w:rsid w:val="00DB7463"/>
    <w:rsid w:val="00DC297D"/>
    <w:rsid w:val="00DC3243"/>
    <w:rsid w:val="00DC6EA0"/>
    <w:rsid w:val="00DD020B"/>
    <w:rsid w:val="00DD2547"/>
    <w:rsid w:val="00DD6D12"/>
    <w:rsid w:val="00DD7859"/>
    <w:rsid w:val="00DE608E"/>
    <w:rsid w:val="00DF08BA"/>
    <w:rsid w:val="00DF0974"/>
    <w:rsid w:val="00DF2688"/>
    <w:rsid w:val="00DF26E1"/>
    <w:rsid w:val="00DF3972"/>
    <w:rsid w:val="00DF39F5"/>
    <w:rsid w:val="00DF3A4C"/>
    <w:rsid w:val="00DF4B76"/>
    <w:rsid w:val="00E04321"/>
    <w:rsid w:val="00E05C97"/>
    <w:rsid w:val="00E109B6"/>
    <w:rsid w:val="00E11F39"/>
    <w:rsid w:val="00E14394"/>
    <w:rsid w:val="00E14693"/>
    <w:rsid w:val="00E14AE5"/>
    <w:rsid w:val="00E16E1F"/>
    <w:rsid w:val="00E16E9D"/>
    <w:rsid w:val="00E20D78"/>
    <w:rsid w:val="00E305D1"/>
    <w:rsid w:val="00E31B73"/>
    <w:rsid w:val="00E34A6F"/>
    <w:rsid w:val="00E36F96"/>
    <w:rsid w:val="00E41DD8"/>
    <w:rsid w:val="00E47B98"/>
    <w:rsid w:val="00E52B61"/>
    <w:rsid w:val="00E52BA8"/>
    <w:rsid w:val="00E56F54"/>
    <w:rsid w:val="00E57675"/>
    <w:rsid w:val="00E645B5"/>
    <w:rsid w:val="00E744B2"/>
    <w:rsid w:val="00E75181"/>
    <w:rsid w:val="00E7573A"/>
    <w:rsid w:val="00E7797A"/>
    <w:rsid w:val="00E8101A"/>
    <w:rsid w:val="00E8182E"/>
    <w:rsid w:val="00E86BB6"/>
    <w:rsid w:val="00E87654"/>
    <w:rsid w:val="00E9039A"/>
    <w:rsid w:val="00E90BC9"/>
    <w:rsid w:val="00E95158"/>
    <w:rsid w:val="00EA075C"/>
    <w:rsid w:val="00EA12C1"/>
    <w:rsid w:val="00EA1752"/>
    <w:rsid w:val="00EA1EDF"/>
    <w:rsid w:val="00EA5CC6"/>
    <w:rsid w:val="00EB2068"/>
    <w:rsid w:val="00EB2F3A"/>
    <w:rsid w:val="00EB6518"/>
    <w:rsid w:val="00EC1213"/>
    <w:rsid w:val="00EC1C81"/>
    <w:rsid w:val="00EC6DA3"/>
    <w:rsid w:val="00ED0A26"/>
    <w:rsid w:val="00ED13BB"/>
    <w:rsid w:val="00ED6AF6"/>
    <w:rsid w:val="00ED7A75"/>
    <w:rsid w:val="00EE2926"/>
    <w:rsid w:val="00EF0B42"/>
    <w:rsid w:val="00EF2B87"/>
    <w:rsid w:val="00EF49DF"/>
    <w:rsid w:val="00EF5386"/>
    <w:rsid w:val="00EF6B54"/>
    <w:rsid w:val="00EF6D7D"/>
    <w:rsid w:val="00EF7458"/>
    <w:rsid w:val="00EF7BB1"/>
    <w:rsid w:val="00F0133B"/>
    <w:rsid w:val="00F06B97"/>
    <w:rsid w:val="00F12CBF"/>
    <w:rsid w:val="00F1611B"/>
    <w:rsid w:val="00F17004"/>
    <w:rsid w:val="00F17080"/>
    <w:rsid w:val="00F205AD"/>
    <w:rsid w:val="00F21839"/>
    <w:rsid w:val="00F2639D"/>
    <w:rsid w:val="00F2792A"/>
    <w:rsid w:val="00F27D7F"/>
    <w:rsid w:val="00F27E5E"/>
    <w:rsid w:val="00F30562"/>
    <w:rsid w:val="00F31764"/>
    <w:rsid w:val="00F31BDE"/>
    <w:rsid w:val="00F3411A"/>
    <w:rsid w:val="00F35726"/>
    <w:rsid w:val="00F35B71"/>
    <w:rsid w:val="00F42A12"/>
    <w:rsid w:val="00F431AE"/>
    <w:rsid w:val="00F556B2"/>
    <w:rsid w:val="00F606DA"/>
    <w:rsid w:val="00F650AC"/>
    <w:rsid w:val="00F6612B"/>
    <w:rsid w:val="00F67901"/>
    <w:rsid w:val="00F7580A"/>
    <w:rsid w:val="00F768B3"/>
    <w:rsid w:val="00F77EE0"/>
    <w:rsid w:val="00F81937"/>
    <w:rsid w:val="00F83DE6"/>
    <w:rsid w:val="00F85392"/>
    <w:rsid w:val="00F863BA"/>
    <w:rsid w:val="00F866E9"/>
    <w:rsid w:val="00F86FB9"/>
    <w:rsid w:val="00F872F3"/>
    <w:rsid w:val="00F9451C"/>
    <w:rsid w:val="00F9542E"/>
    <w:rsid w:val="00F95F05"/>
    <w:rsid w:val="00F9732A"/>
    <w:rsid w:val="00FA2D82"/>
    <w:rsid w:val="00FA766D"/>
    <w:rsid w:val="00FA7693"/>
    <w:rsid w:val="00FB12D4"/>
    <w:rsid w:val="00FB13F3"/>
    <w:rsid w:val="00FC0796"/>
    <w:rsid w:val="00FC23D6"/>
    <w:rsid w:val="00FC4468"/>
    <w:rsid w:val="00FD73AA"/>
    <w:rsid w:val="00FE2A1D"/>
    <w:rsid w:val="00FE3E04"/>
    <w:rsid w:val="00FE558E"/>
    <w:rsid w:val="00FF021A"/>
    <w:rsid w:val="00FF0E78"/>
    <w:rsid w:val="00FF31A7"/>
    <w:rsid w:val="00FF467D"/>
    <w:rsid w:val="00FF5278"/>
    <w:rsid w:val="00FF6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295DF-D13F-4903-B12F-2AE1B1CB6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2591</Words>
  <Characters>14773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HOYER</dc:creator>
  <cp:keywords/>
  <dc:description/>
  <cp:lastModifiedBy>shoffner</cp:lastModifiedBy>
  <cp:revision>2</cp:revision>
  <cp:lastPrinted>2009-12-11T15:06:00Z</cp:lastPrinted>
  <dcterms:created xsi:type="dcterms:W3CDTF">2009-12-14T21:03:00Z</dcterms:created>
  <dcterms:modified xsi:type="dcterms:W3CDTF">2009-12-14T21:03:00Z</dcterms:modified>
</cp:coreProperties>
</file>