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6E0F47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60F3F" w:rsidRDefault="00460F3F" w:rsidP="00460F3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December 17, 2009</w:t>
      </w:r>
    </w:p>
    <w:p w:rsidR="00C94C80" w:rsidRPr="009363AD" w:rsidRDefault="00C94C80" w:rsidP="009363AD">
      <w:pPr>
        <w:rPr>
          <w:rFonts w:ascii="Times New Roman" w:hAnsi="Times New Roman"/>
          <w:sz w:val="26"/>
          <w:szCs w:val="26"/>
        </w:rPr>
      </w:pPr>
    </w:p>
    <w:p w:rsidR="00A4213B" w:rsidRPr="006F0BB5" w:rsidRDefault="00A4213B" w:rsidP="00A4213B">
      <w:pPr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>MR RICHARD G WEBSTER JR</w:t>
      </w:r>
    </w:p>
    <w:p w:rsidR="00A4213B" w:rsidRPr="006F0BB5" w:rsidRDefault="00A4213B" w:rsidP="00A4213B">
      <w:pPr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 xml:space="preserve">DIRECTOR </w:t>
      </w:r>
    </w:p>
    <w:p w:rsidR="00A4213B" w:rsidRPr="006F0BB5" w:rsidRDefault="00A4213B" w:rsidP="00A4213B">
      <w:pPr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>RATES AND REGULATORY AFFAIRS</w:t>
      </w:r>
    </w:p>
    <w:p w:rsidR="00A4213B" w:rsidRPr="006F0BB5" w:rsidRDefault="00A4213B" w:rsidP="00A4213B">
      <w:pPr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>PECO ENERGY COMPANY</w:t>
      </w:r>
    </w:p>
    <w:p w:rsidR="00A4213B" w:rsidRPr="006F0BB5" w:rsidRDefault="00A4213B" w:rsidP="00A4213B">
      <w:pPr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>P O BOX 8699</w:t>
      </w:r>
    </w:p>
    <w:p w:rsidR="00A4213B" w:rsidRPr="00467684" w:rsidRDefault="00A4213B" w:rsidP="00A4213B">
      <w:pPr>
        <w:suppressAutoHyphens/>
        <w:rPr>
          <w:rFonts w:ascii="Arial" w:hAnsi="Arial" w:cs="Arial"/>
          <w:b/>
          <w:szCs w:val="24"/>
        </w:rPr>
      </w:pPr>
      <w:r w:rsidRPr="006F0BB5">
        <w:rPr>
          <w:rFonts w:ascii="Arial" w:hAnsi="Arial" w:cs="Arial"/>
          <w:b/>
          <w:szCs w:val="24"/>
        </w:rPr>
        <w:t>PHILADELPHIA PA  19101-8699</w:t>
      </w:r>
    </w:p>
    <w:p w:rsidR="002A0F4E" w:rsidRPr="001B15EC" w:rsidRDefault="002A0F4E">
      <w:pPr>
        <w:suppressAutoHyphens/>
        <w:rPr>
          <w:rFonts w:ascii="Arial" w:hAnsi="Arial" w:cs="Arial"/>
          <w:sz w:val="16"/>
          <w:szCs w:val="24"/>
        </w:rPr>
      </w:pPr>
    </w:p>
    <w:p w:rsidR="002A0F4E" w:rsidRPr="00467684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67684">
        <w:rPr>
          <w:rFonts w:ascii="Arial" w:hAnsi="Arial" w:cs="Arial"/>
          <w:b/>
          <w:szCs w:val="24"/>
        </w:rPr>
        <w:t>RE:</w:t>
      </w:r>
      <w:r w:rsidRPr="00467684">
        <w:rPr>
          <w:rFonts w:ascii="Arial" w:hAnsi="Arial" w:cs="Arial"/>
          <w:b/>
          <w:szCs w:val="24"/>
        </w:rPr>
        <w:tab/>
      </w:r>
      <w:r w:rsidR="004F4B59">
        <w:rPr>
          <w:rFonts w:ascii="Arial" w:hAnsi="Arial" w:cs="Arial"/>
          <w:b/>
          <w:szCs w:val="24"/>
        </w:rPr>
        <w:t xml:space="preserve">PECO Energy </w:t>
      </w:r>
      <w:r w:rsidR="00F166C1" w:rsidRPr="00467684">
        <w:rPr>
          <w:rFonts w:ascii="Arial" w:hAnsi="Arial" w:cs="Arial"/>
          <w:b/>
          <w:szCs w:val="24"/>
        </w:rPr>
        <w:t xml:space="preserve">Company’s </w:t>
      </w:r>
      <w:r w:rsidR="004F4B59">
        <w:rPr>
          <w:rFonts w:ascii="Arial" w:hAnsi="Arial" w:cs="Arial"/>
          <w:b/>
          <w:szCs w:val="24"/>
        </w:rPr>
        <w:t xml:space="preserve">Competitive </w:t>
      </w:r>
      <w:r w:rsidR="00F166C1" w:rsidRPr="00467684">
        <w:rPr>
          <w:rFonts w:ascii="Arial" w:hAnsi="Arial" w:cs="Arial"/>
          <w:b/>
          <w:szCs w:val="24"/>
        </w:rPr>
        <w:t>Transition Charge Reconciliation</w:t>
      </w:r>
    </w:p>
    <w:p w:rsidR="00F166C1" w:rsidRPr="00467684" w:rsidRDefault="00F166C1" w:rsidP="00633DD1">
      <w:pPr>
        <w:pStyle w:val="Heading1"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ab/>
        <w:t xml:space="preserve">Filing For The </w:t>
      </w:r>
      <w:r w:rsidR="00E7772E">
        <w:rPr>
          <w:rFonts w:ascii="Arial" w:hAnsi="Arial" w:cs="Arial"/>
          <w:szCs w:val="24"/>
        </w:rPr>
        <w:t>Year Ended</w:t>
      </w:r>
      <w:r w:rsidRPr="00467684">
        <w:rPr>
          <w:rFonts w:ascii="Arial" w:hAnsi="Arial" w:cs="Arial"/>
          <w:szCs w:val="24"/>
        </w:rPr>
        <w:t xml:space="preserve"> </w:t>
      </w:r>
      <w:r w:rsidR="004F4B59">
        <w:rPr>
          <w:rFonts w:ascii="Arial" w:hAnsi="Arial" w:cs="Arial"/>
          <w:szCs w:val="24"/>
        </w:rPr>
        <w:t>September</w:t>
      </w:r>
      <w:r w:rsidRPr="00467684">
        <w:rPr>
          <w:rFonts w:ascii="Arial" w:hAnsi="Arial" w:cs="Arial"/>
          <w:szCs w:val="24"/>
        </w:rPr>
        <w:t xml:space="preserve"> 30, 20</w:t>
      </w:r>
      <w:r w:rsidR="000259F2">
        <w:rPr>
          <w:rFonts w:ascii="Arial" w:hAnsi="Arial" w:cs="Arial"/>
          <w:szCs w:val="24"/>
        </w:rPr>
        <w:t>09</w:t>
      </w:r>
    </w:p>
    <w:p w:rsidR="002A0F4E" w:rsidRPr="00467684" w:rsidRDefault="00633DD1" w:rsidP="00633DD1">
      <w:pPr>
        <w:pStyle w:val="Heading1"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ab/>
        <w:t>M-200</w:t>
      </w:r>
      <w:r w:rsidR="0052180B" w:rsidRPr="00467684">
        <w:rPr>
          <w:rFonts w:ascii="Arial" w:hAnsi="Arial" w:cs="Arial"/>
          <w:szCs w:val="24"/>
        </w:rPr>
        <w:t>9-21</w:t>
      </w:r>
      <w:r w:rsidR="004F4B59">
        <w:rPr>
          <w:rFonts w:ascii="Arial" w:hAnsi="Arial" w:cs="Arial"/>
          <w:szCs w:val="24"/>
        </w:rPr>
        <w:t>28478</w:t>
      </w:r>
    </w:p>
    <w:p w:rsidR="001202C9" w:rsidRPr="001B15EC" w:rsidRDefault="001202C9" w:rsidP="001202C9">
      <w:pPr>
        <w:rPr>
          <w:rFonts w:ascii="Arial" w:hAnsi="Arial" w:cs="Arial"/>
          <w:sz w:val="16"/>
          <w:szCs w:val="24"/>
        </w:rPr>
      </w:pPr>
    </w:p>
    <w:p w:rsidR="002A0F4E" w:rsidRPr="00467684" w:rsidRDefault="002A0F4E">
      <w:pPr>
        <w:suppressAutoHyphens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 xml:space="preserve">Dear Mr. </w:t>
      </w:r>
      <w:r w:rsidR="004F4B59">
        <w:rPr>
          <w:rFonts w:ascii="Arial" w:hAnsi="Arial" w:cs="Arial"/>
          <w:szCs w:val="24"/>
        </w:rPr>
        <w:t>Webster:</w:t>
      </w:r>
    </w:p>
    <w:p w:rsidR="002A0F4E" w:rsidRPr="001B15EC" w:rsidRDefault="002A0F4E">
      <w:pPr>
        <w:suppressAutoHyphens/>
        <w:rPr>
          <w:rFonts w:ascii="Arial" w:hAnsi="Arial" w:cs="Arial"/>
          <w:sz w:val="16"/>
          <w:szCs w:val="24"/>
        </w:rPr>
      </w:pPr>
    </w:p>
    <w:p w:rsidR="002A0F4E" w:rsidRPr="00467684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ab/>
      </w:r>
      <w:r w:rsidR="00543891" w:rsidRPr="00467684">
        <w:rPr>
          <w:rFonts w:ascii="Arial" w:hAnsi="Arial" w:cs="Arial"/>
          <w:szCs w:val="24"/>
        </w:rPr>
        <w:t xml:space="preserve">The Commission, at its Public Meeting of </w:t>
      </w:r>
      <w:r w:rsidR="009F1E30" w:rsidRPr="00467684">
        <w:rPr>
          <w:rFonts w:ascii="Arial" w:hAnsi="Arial" w:cs="Arial"/>
          <w:szCs w:val="24"/>
        </w:rPr>
        <w:t xml:space="preserve">December </w:t>
      </w:r>
      <w:r w:rsidR="002C55F3" w:rsidRPr="00467684">
        <w:rPr>
          <w:rFonts w:ascii="Arial" w:hAnsi="Arial" w:cs="Arial"/>
          <w:szCs w:val="24"/>
        </w:rPr>
        <w:t>1</w:t>
      </w:r>
      <w:r w:rsidR="0052180B" w:rsidRPr="00467684">
        <w:rPr>
          <w:rFonts w:ascii="Arial" w:hAnsi="Arial" w:cs="Arial"/>
          <w:szCs w:val="24"/>
        </w:rPr>
        <w:t>7</w:t>
      </w:r>
      <w:r w:rsidRPr="00467684">
        <w:rPr>
          <w:rFonts w:ascii="Arial" w:hAnsi="Arial" w:cs="Arial"/>
          <w:szCs w:val="24"/>
        </w:rPr>
        <w:t>, 200</w:t>
      </w:r>
      <w:r w:rsidR="0052180B" w:rsidRPr="00467684">
        <w:rPr>
          <w:rFonts w:ascii="Arial" w:hAnsi="Arial" w:cs="Arial"/>
          <w:szCs w:val="24"/>
        </w:rPr>
        <w:t>9</w:t>
      </w:r>
      <w:r w:rsidRPr="00467684">
        <w:rPr>
          <w:rFonts w:ascii="Arial" w:hAnsi="Arial" w:cs="Arial"/>
          <w:szCs w:val="24"/>
        </w:rPr>
        <w:t xml:space="preserve">, </w:t>
      </w:r>
      <w:r w:rsidR="00543891" w:rsidRPr="00467684">
        <w:rPr>
          <w:rFonts w:ascii="Arial" w:hAnsi="Arial" w:cs="Arial"/>
          <w:szCs w:val="24"/>
        </w:rPr>
        <w:t>considered the</w:t>
      </w:r>
      <w:r w:rsidR="009F1E30" w:rsidRPr="00467684">
        <w:rPr>
          <w:rFonts w:ascii="Arial" w:hAnsi="Arial" w:cs="Arial"/>
          <w:szCs w:val="24"/>
        </w:rPr>
        <w:t xml:space="preserve"> Bureau of Audits recommendation</w:t>
      </w:r>
      <w:r w:rsidR="00543891" w:rsidRPr="00467684">
        <w:rPr>
          <w:rFonts w:ascii="Arial" w:hAnsi="Arial" w:cs="Arial"/>
          <w:szCs w:val="24"/>
        </w:rPr>
        <w:t xml:space="preserve">s regarding the Company’s </w:t>
      </w:r>
      <w:r w:rsidR="004F4B59">
        <w:rPr>
          <w:rFonts w:ascii="Arial" w:hAnsi="Arial" w:cs="Arial"/>
          <w:szCs w:val="24"/>
        </w:rPr>
        <w:t xml:space="preserve">Competitive </w:t>
      </w:r>
      <w:r w:rsidR="00543891" w:rsidRPr="00467684">
        <w:rPr>
          <w:rFonts w:ascii="Arial" w:hAnsi="Arial" w:cs="Arial"/>
          <w:szCs w:val="24"/>
        </w:rPr>
        <w:t>Transition Charge (</w:t>
      </w:r>
      <w:r w:rsidR="004F4B59">
        <w:rPr>
          <w:rFonts w:ascii="Arial" w:hAnsi="Arial" w:cs="Arial"/>
          <w:szCs w:val="24"/>
        </w:rPr>
        <w:t>C</w:t>
      </w:r>
      <w:r w:rsidR="00543891" w:rsidRPr="00467684">
        <w:rPr>
          <w:rFonts w:ascii="Arial" w:hAnsi="Arial" w:cs="Arial"/>
          <w:szCs w:val="24"/>
        </w:rPr>
        <w:t xml:space="preserve">TC) reconciliation filing for the period </w:t>
      </w:r>
      <w:r w:rsidR="004F4B59">
        <w:rPr>
          <w:rFonts w:ascii="Arial" w:hAnsi="Arial" w:cs="Arial"/>
          <w:szCs w:val="24"/>
        </w:rPr>
        <w:t>October</w:t>
      </w:r>
      <w:r w:rsidR="00543891" w:rsidRPr="00467684">
        <w:rPr>
          <w:rFonts w:ascii="Arial" w:hAnsi="Arial" w:cs="Arial"/>
          <w:szCs w:val="24"/>
        </w:rPr>
        <w:t xml:space="preserve"> 1, 200</w:t>
      </w:r>
      <w:r w:rsidR="0052180B" w:rsidRPr="00467684">
        <w:rPr>
          <w:rFonts w:ascii="Arial" w:hAnsi="Arial" w:cs="Arial"/>
          <w:szCs w:val="24"/>
        </w:rPr>
        <w:t>8</w:t>
      </w:r>
      <w:r w:rsidR="00543891" w:rsidRPr="00467684">
        <w:rPr>
          <w:rFonts w:ascii="Arial" w:hAnsi="Arial" w:cs="Arial"/>
          <w:szCs w:val="24"/>
        </w:rPr>
        <w:t xml:space="preserve"> through </w:t>
      </w:r>
      <w:r w:rsidR="004F4B59">
        <w:rPr>
          <w:rFonts w:ascii="Arial" w:hAnsi="Arial" w:cs="Arial"/>
          <w:szCs w:val="24"/>
        </w:rPr>
        <w:t>September</w:t>
      </w:r>
      <w:r w:rsidR="00543891" w:rsidRPr="00467684">
        <w:rPr>
          <w:rFonts w:ascii="Arial" w:hAnsi="Arial" w:cs="Arial"/>
          <w:szCs w:val="24"/>
        </w:rPr>
        <w:t xml:space="preserve"> 30, 200</w:t>
      </w:r>
      <w:r w:rsidR="0052180B" w:rsidRPr="00467684">
        <w:rPr>
          <w:rFonts w:ascii="Arial" w:hAnsi="Arial" w:cs="Arial"/>
          <w:szCs w:val="24"/>
        </w:rPr>
        <w:t>9</w:t>
      </w:r>
      <w:r w:rsidR="00543891" w:rsidRPr="00467684">
        <w:rPr>
          <w:rFonts w:ascii="Arial" w:hAnsi="Arial" w:cs="Arial"/>
          <w:szCs w:val="24"/>
        </w:rPr>
        <w:t>.  After considering the staff’s recommendations regarding this filing, the Commission took the following action:</w:t>
      </w:r>
    </w:p>
    <w:p w:rsidR="00543891" w:rsidRPr="001B15EC" w:rsidRDefault="005438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16"/>
          <w:szCs w:val="24"/>
        </w:rPr>
      </w:pPr>
    </w:p>
    <w:p w:rsidR="00543891" w:rsidRPr="00467684" w:rsidRDefault="009F4404" w:rsidP="00543891">
      <w:pPr>
        <w:pStyle w:val="BodyText"/>
        <w:numPr>
          <w:ilvl w:val="0"/>
          <w:numId w:val="1"/>
        </w:numPr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>A</w:t>
      </w:r>
      <w:r w:rsidR="00E7772E">
        <w:rPr>
          <w:rFonts w:ascii="Arial" w:hAnsi="Arial" w:cs="Arial"/>
          <w:szCs w:val="24"/>
        </w:rPr>
        <w:t>ccept</w:t>
      </w:r>
      <w:r w:rsidRPr="00467684">
        <w:rPr>
          <w:rFonts w:ascii="Arial" w:hAnsi="Arial" w:cs="Arial"/>
          <w:szCs w:val="24"/>
        </w:rPr>
        <w:t xml:space="preserve">ed </w:t>
      </w:r>
      <w:r w:rsidR="004F4B59">
        <w:rPr>
          <w:rFonts w:ascii="Arial" w:hAnsi="Arial" w:cs="Arial"/>
          <w:szCs w:val="24"/>
        </w:rPr>
        <w:t>PECO Energy</w:t>
      </w:r>
      <w:r w:rsidRPr="00467684">
        <w:rPr>
          <w:rFonts w:ascii="Arial" w:hAnsi="Arial" w:cs="Arial"/>
          <w:szCs w:val="24"/>
        </w:rPr>
        <w:t xml:space="preserve"> Company’s </w:t>
      </w:r>
      <w:r w:rsidR="004F4B59">
        <w:rPr>
          <w:rFonts w:ascii="Arial" w:hAnsi="Arial" w:cs="Arial"/>
          <w:szCs w:val="24"/>
        </w:rPr>
        <w:t>CTC reconciliation statement</w:t>
      </w:r>
      <w:r w:rsidR="00200FCD">
        <w:rPr>
          <w:rFonts w:ascii="Arial" w:hAnsi="Arial" w:cs="Arial"/>
          <w:szCs w:val="24"/>
        </w:rPr>
        <w:t>, filed October 14, 2009, subject to public hearing held pursuant to 66 Pa. C.C. §1307(e).</w:t>
      </w:r>
    </w:p>
    <w:p w:rsidR="009F4404" w:rsidRPr="001B15EC" w:rsidRDefault="009F4404" w:rsidP="009F4404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left="360"/>
        <w:rPr>
          <w:rFonts w:ascii="Arial" w:hAnsi="Arial" w:cs="Arial"/>
          <w:sz w:val="16"/>
          <w:szCs w:val="24"/>
        </w:rPr>
      </w:pPr>
    </w:p>
    <w:p w:rsidR="009F4404" w:rsidRPr="00467684" w:rsidRDefault="00200FCD" w:rsidP="00543891">
      <w:pPr>
        <w:pStyle w:val="BodyText"/>
        <w:numPr>
          <w:ilvl w:val="0"/>
          <w:numId w:val="1"/>
        </w:numPr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Approved the proposed language changes to PECO Energy Company’s CTC/ITC Rider to permit quarterly, and if necessary, monthly reconciliation and rate adjustment filings to be filed on ten days notice.</w:t>
      </w:r>
    </w:p>
    <w:p w:rsidR="009F4404" w:rsidRPr="001B15EC" w:rsidRDefault="009F4404" w:rsidP="009F4404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16"/>
          <w:szCs w:val="24"/>
        </w:rPr>
      </w:pPr>
    </w:p>
    <w:p w:rsidR="009F4404" w:rsidRPr="00467684" w:rsidRDefault="00200FCD" w:rsidP="00543891">
      <w:pPr>
        <w:pStyle w:val="BodyText"/>
        <w:numPr>
          <w:ilvl w:val="0"/>
          <w:numId w:val="1"/>
        </w:numPr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9F4404" w:rsidRPr="00467684">
        <w:rPr>
          <w:rFonts w:ascii="Arial" w:hAnsi="Arial" w:cs="Arial"/>
          <w:szCs w:val="24"/>
        </w:rPr>
        <w:t xml:space="preserve">pproved </w:t>
      </w:r>
      <w:r>
        <w:rPr>
          <w:rFonts w:ascii="Arial" w:hAnsi="Arial" w:cs="Arial"/>
          <w:szCs w:val="24"/>
        </w:rPr>
        <w:t>the proposed CTC</w:t>
      </w:r>
      <w:r w:rsidR="00E7772E">
        <w:rPr>
          <w:rFonts w:ascii="Arial" w:hAnsi="Arial" w:cs="Arial"/>
          <w:szCs w:val="24"/>
        </w:rPr>
        <w:t xml:space="preserve"> and Market Energy</w:t>
      </w:r>
      <w:r>
        <w:rPr>
          <w:rFonts w:ascii="Arial" w:hAnsi="Arial" w:cs="Arial"/>
          <w:szCs w:val="24"/>
        </w:rPr>
        <w:t xml:space="preserve"> rates as reflected in the filing submitted on October 14, 2009</w:t>
      </w:r>
      <w:r w:rsidR="005B39B5">
        <w:rPr>
          <w:rFonts w:ascii="Arial" w:hAnsi="Arial" w:cs="Arial"/>
          <w:szCs w:val="24"/>
        </w:rPr>
        <w:t xml:space="preserve"> that reflects system average CTC and Market Energy rates of 3.01 and 5.12 cents per KWH, respectively</w:t>
      </w:r>
      <w:r>
        <w:rPr>
          <w:rFonts w:ascii="Arial" w:hAnsi="Arial" w:cs="Arial"/>
          <w:szCs w:val="24"/>
        </w:rPr>
        <w:t>, and direct</w:t>
      </w:r>
      <w:r w:rsidR="00E7772E">
        <w:rPr>
          <w:rFonts w:ascii="Arial" w:hAnsi="Arial" w:cs="Arial"/>
          <w:szCs w:val="24"/>
        </w:rPr>
        <w:t>ed</w:t>
      </w:r>
      <w:r>
        <w:rPr>
          <w:rFonts w:ascii="Arial" w:hAnsi="Arial" w:cs="Arial"/>
          <w:szCs w:val="24"/>
        </w:rPr>
        <w:t xml:space="preserve"> PECO Energy Company to submit</w:t>
      </w:r>
      <w:r w:rsidR="007F3635">
        <w:rPr>
          <w:rFonts w:ascii="Arial" w:hAnsi="Arial" w:cs="Arial"/>
          <w:szCs w:val="24"/>
        </w:rPr>
        <w:t xml:space="preserve">, within ten days, </w:t>
      </w:r>
      <w:r>
        <w:rPr>
          <w:rFonts w:ascii="Arial" w:hAnsi="Arial" w:cs="Arial"/>
          <w:szCs w:val="24"/>
        </w:rPr>
        <w:t xml:space="preserve"> the appropriate tariff supplement reflecting the approved CTC rates, to become effective January 1, 2010.</w:t>
      </w:r>
    </w:p>
    <w:p w:rsidR="009F4404" w:rsidRPr="001B15EC" w:rsidRDefault="009F4404" w:rsidP="009F4404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16"/>
          <w:szCs w:val="24"/>
        </w:rPr>
      </w:pPr>
    </w:p>
    <w:p w:rsidR="009F4404" w:rsidRPr="00467684" w:rsidRDefault="00200FCD" w:rsidP="00543891">
      <w:pPr>
        <w:pStyle w:val="BodyText"/>
        <w:numPr>
          <w:ilvl w:val="0"/>
          <w:numId w:val="1"/>
        </w:numPr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Directed PECO Energy </w:t>
      </w:r>
      <w:r w:rsidR="009F4404" w:rsidRPr="00467684">
        <w:rPr>
          <w:rFonts w:ascii="Arial" w:hAnsi="Arial" w:cs="Arial"/>
          <w:szCs w:val="24"/>
        </w:rPr>
        <w:t>Company</w:t>
      </w:r>
      <w:r>
        <w:rPr>
          <w:rFonts w:ascii="Arial" w:hAnsi="Arial" w:cs="Arial"/>
          <w:szCs w:val="24"/>
        </w:rPr>
        <w:t xml:space="preserve"> to submit a final CTC reconciliation </w:t>
      </w:r>
      <w:r w:rsidR="0072700F">
        <w:rPr>
          <w:rFonts w:ascii="Arial" w:hAnsi="Arial" w:cs="Arial"/>
          <w:szCs w:val="24"/>
        </w:rPr>
        <w:t>by March 31, 2011</w:t>
      </w:r>
      <w:r>
        <w:rPr>
          <w:rFonts w:ascii="Arial" w:hAnsi="Arial" w:cs="Arial"/>
          <w:szCs w:val="24"/>
        </w:rPr>
        <w:t>.</w:t>
      </w:r>
    </w:p>
    <w:p w:rsidR="009855A6" w:rsidRPr="001B15EC" w:rsidRDefault="009855A6" w:rsidP="009855A6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16"/>
          <w:szCs w:val="24"/>
        </w:rPr>
      </w:pPr>
    </w:p>
    <w:p w:rsidR="00C04144" w:rsidRDefault="00E7772E" w:rsidP="001B15E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CTC is subject to continuous Commission review and annual audit as well as reconciliation reports and hearings in accordance with Section 1307(e) of the Public </w:t>
      </w:r>
      <w:r w:rsidR="001B15EC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tility Code, 66 Pa. C.S. § 1307(e)</w:t>
      </w:r>
    </w:p>
    <w:p w:rsidR="00C04144" w:rsidRPr="001B15EC" w:rsidRDefault="00C04144" w:rsidP="009855A6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16"/>
          <w:szCs w:val="24"/>
        </w:rPr>
      </w:pPr>
    </w:p>
    <w:p w:rsidR="00040568" w:rsidRPr="00467684" w:rsidRDefault="00460F3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192405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0568" w:rsidRPr="00467684">
        <w:rPr>
          <w:rFonts w:ascii="Arial" w:hAnsi="Arial" w:cs="Arial"/>
          <w:szCs w:val="24"/>
        </w:rPr>
        <w:tab/>
        <w:t xml:space="preserve">Any subsequent submissions to the Commission related to this docketed </w:t>
      </w:r>
      <w:r w:rsidR="002C7A43" w:rsidRPr="00467684">
        <w:rPr>
          <w:rFonts w:ascii="Arial" w:hAnsi="Arial" w:cs="Arial"/>
          <w:szCs w:val="24"/>
        </w:rPr>
        <w:t xml:space="preserve">case should reference Docket No. </w:t>
      </w:r>
      <w:r w:rsidR="00040568" w:rsidRPr="00467684">
        <w:rPr>
          <w:rFonts w:ascii="Arial" w:hAnsi="Arial" w:cs="Arial"/>
          <w:szCs w:val="24"/>
        </w:rPr>
        <w:t>M-200</w:t>
      </w:r>
      <w:r w:rsidR="0052180B" w:rsidRPr="00467684">
        <w:rPr>
          <w:rFonts w:ascii="Arial" w:hAnsi="Arial" w:cs="Arial"/>
          <w:szCs w:val="24"/>
        </w:rPr>
        <w:t>9-21</w:t>
      </w:r>
      <w:r w:rsidR="00C04144">
        <w:rPr>
          <w:rFonts w:ascii="Arial" w:hAnsi="Arial" w:cs="Arial"/>
          <w:szCs w:val="24"/>
        </w:rPr>
        <w:t>28478</w:t>
      </w:r>
      <w:r w:rsidR="008173E9" w:rsidRPr="00467684">
        <w:rPr>
          <w:rFonts w:ascii="Arial" w:hAnsi="Arial" w:cs="Arial"/>
          <w:szCs w:val="24"/>
        </w:rPr>
        <w:t>.</w:t>
      </w:r>
    </w:p>
    <w:p w:rsidR="002A0F4E" w:rsidRPr="001B15EC" w:rsidRDefault="002A0F4E">
      <w:pPr>
        <w:suppressAutoHyphens/>
        <w:rPr>
          <w:rFonts w:ascii="Arial" w:hAnsi="Arial" w:cs="Arial"/>
          <w:sz w:val="16"/>
          <w:szCs w:val="24"/>
        </w:rPr>
      </w:pPr>
    </w:p>
    <w:p w:rsidR="002A0F4E" w:rsidRPr="00467684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>Very truly yours,</w:t>
      </w:r>
    </w:p>
    <w:p w:rsidR="002A0F4E" w:rsidRPr="005B39B5" w:rsidRDefault="002A0F4E">
      <w:pPr>
        <w:suppressAutoHyphens/>
        <w:rPr>
          <w:rFonts w:ascii="Arial" w:hAnsi="Arial" w:cs="Arial"/>
          <w:sz w:val="20"/>
          <w:szCs w:val="24"/>
        </w:rPr>
      </w:pPr>
    </w:p>
    <w:p w:rsidR="002A0F4E" w:rsidRPr="005B39B5" w:rsidRDefault="002A0F4E">
      <w:pPr>
        <w:suppressAutoHyphens/>
        <w:rPr>
          <w:rFonts w:ascii="Arial" w:hAnsi="Arial" w:cs="Arial"/>
          <w:sz w:val="20"/>
          <w:szCs w:val="24"/>
        </w:rPr>
      </w:pPr>
    </w:p>
    <w:p w:rsidR="002A0F4E" w:rsidRPr="005B39B5" w:rsidRDefault="002A0F4E">
      <w:pPr>
        <w:suppressAutoHyphens/>
        <w:rPr>
          <w:rFonts w:ascii="Arial" w:hAnsi="Arial" w:cs="Arial"/>
          <w:sz w:val="20"/>
          <w:szCs w:val="24"/>
        </w:rPr>
      </w:pPr>
    </w:p>
    <w:p w:rsidR="002A0F4E" w:rsidRPr="00467684" w:rsidRDefault="002A0F4E">
      <w:pPr>
        <w:suppressAutoHyphens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  <w:t xml:space="preserve"> </w:t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  <w:t>James J. McNulty</w:t>
      </w:r>
    </w:p>
    <w:p w:rsidR="002A0F4E" w:rsidRPr="00467684" w:rsidRDefault="002A0F4E">
      <w:pPr>
        <w:suppressAutoHyphens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  <w:t xml:space="preserve"> </w:t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</w:r>
      <w:r w:rsidRPr="00467684">
        <w:rPr>
          <w:rFonts w:ascii="Arial" w:hAnsi="Arial" w:cs="Arial"/>
          <w:szCs w:val="24"/>
        </w:rPr>
        <w:tab/>
        <w:t>Secretary</w:t>
      </w:r>
    </w:p>
    <w:p w:rsidR="001B15EC" w:rsidRPr="001B15EC" w:rsidRDefault="001B15EC">
      <w:pPr>
        <w:pStyle w:val="EndnoteText"/>
        <w:tabs>
          <w:tab w:val="left" w:pos="1800"/>
        </w:tabs>
        <w:suppressAutoHyphens/>
        <w:rPr>
          <w:rFonts w:ascii="Arial" w:hAnsi="Arial" w:cs="Arial"/>
          <w:sz w:val="16"/>
          <w:szCs w:val="24"/>
        </w:rPr>
      </w:pPr>
    </w:p>
    <w:p w:rsidR="002A0F4E" w:rsidRPr="00467684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467684">
        <w:rPr>
          <w:rFonts w:ascii="Arial" w:hAnsi="Arial" w:cs="Arial"/>
          <w:szCs w:val="24"/>
        </w:rPr>
        <w:t>Co</w:t>
      </w:r>
      <w:r w:rsidR="00324A18" w:rsidRPr="00467684">
        <w:rPr>
          <w:rFonts w:ascii="Arial" w:hAnsi="Arial" w:cs="Arial"/>
          <w:szCs w:val="24"/>
        </w:rPr>
        <w:t>ntact Person:</w:t>
      </w:r>
      <w:r w:rsidR="00324A18" w:rsidRPr="00467684">
        <w:rPr>
          <w:rFonts w:ascii="Arial" w:hAnsi="Arial" w:cs="Arial"/>
          <w:szCs w:val="24"/>
        </w:rPr>
        <w:tab/>
      </w:r>
      <w:r w:rsidR="00923EAE" w:rsidRPr="00467684">
        <w:rPr>
          <w:rFonts w:ascii="Arial" w:hAnsi="Arial" w:cs="Arial"/>
          <w:szCs w:val="24"/>
        </w:rPr>
        <w:t>Keith Mather</w:t>
      </w:r>
    </w:p>
    <w:p w:rsidR="002A0F4E" w:rsidRPr="00467684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  <w:u w:val="single"/>
        </w:rPr>
      </w:pPr>
      <w:r w:rsidRPr="00467684">
        <w:rPr>
          <w:rFonts w:ascii="Arial" w:hAnsi="Arial" w:cs="Arial"/>
          <w:szCs w:val="24"/>
        </w:rPr>
        <w:tab/>
        <w:t>(717) 772-</w:t>
      </w:r>
      <w:r w:rsidR="001F3FD1" w:rsidRPr="00467684">
        <w:rPr>
          <w:rFonts w:ascii="Arial" w:hAnsi="Arial" w:cs="Arial"/>
          <w:szCs w:val="24"/>
        </w:rPr>
        <w:t>3440</w:t>
      </w:r>
    </w:p>
    <w:sectPr w:rsidR="002A0F4E" w:rsidRPr="00467684" w:rsidSect="00E7772E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C7" w:rsidRDefault="006B31C7">
      <w:r>
        <w:separator/>
      </w:r>
    </w:p>
  </w:endnote>
  <w:endnote w:type="continuationSeparator" w:id="0">
    <w:p w:rsidR="006B31C7" w:rsidRDefault="006B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C7" w:rsidRDefault="006B31C7">
      <w:r>
        <w:separator/>
      </w:r>
    </w:p>
  </w:footnote>
  <w:footnote w:type="continuationSeparator" w:id="0">
    <w:p w:rsidR="006B31C7" w:rsidRDefault="006B3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37821"/>
    <w:multiLevelType w:val="hybridMultilevel"/>
    <w:tmpl w:val="9F502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F4E"/>
    <w:rsid w:val="000259F2"/>
    <w:rsid w:val="00040568"/>
    <w:rsid w:val="000B768C"/>
    <w:rsid w:val="00100E77"/>
    <w:rsid w:val="001202C9"/>
    <w:rsid w:val="00127512"/>
    <w:rsid w:val="00136244"/>
    <w:rsid w:val="00155E7E"/>
    <w:rsid w:val="001A6CC9"/>
    <w:rsid w:val="001B15EC"/>
    <w:rsid w:val="001C191E"/>
    <w:rsid w:val="001E28CE"/>
    <w:rsid w:val="001F3FD1"/>
    <w:rsid w:val="001F44E8"/>
    <w:rsid w:val="00200FCD"/>
    <w:rsid w:val="00214F0A"/>
    <w:rsid w:val="00250E4B"/>
    <w:rsid w:val="002A0F4E"/>
    <w:rsid w:val="002C55F3"/>
    <w:rsid w:val="002C7A43"/>
    <w:rsid w:val="00317279"/>
    <w:rsid w:val="00324A18"/>
    <w:rsid w:val="0033194F"/>
    <w:rsid w:val="00374953"/>
    <w:rsid w:val="00402F60"/>
    <w:rsid w:val="004159D6"/>
    <w:rsid w:val="00437F20"/>
    <w:rsid w:val="004459C0"/>
    <w:rsid w:val="0045372A"/>
    <w:rsid w:val="00460F3F"/>
    <w:rsid w:val="00467684"/>
    <w:rsid w:val="00472D32"/>
    <w:rsid w:val="004F4B59"/>
    <w:rsid w:val="0052180B"/>
    <w:rsid w:val="00542532"/>
    <w:rsid w:val="00543891"/>
    <w:rsid w:val="00552244"/>
    <w:rsid w:val="00552573"/>
    <w:rsid w:val="005B39B5"/>
    <w:rsid w:val="006206A9"/>
    <w:rsid w:val="00633DD1"/>
    <w:rsid w:val="006B31C7"/>
    <w:rsid w:val="006D75BA"/>
    <w:rsid w:val="006E0F47"/>
    <w:rsid w:val="00703193"/>
    <w:rsid w:val="007037FC"/>
    <w:rsid w:val="00712BC4"/>
    <w:rsid w:val="0072700F"/>
    <w:rsid w:val="0079505C"/>
    <w:rsid w:val="007F3635"/>
    <w:rsid w:val="008173E9"/>
    <w:rsid w:val="00866CB2"/>
    <w:rsid w:val="008A444F"/>
    <w:rsid w:val="009108AA"/>
    <w:rsid w:val="00923EAE"/>
    <w:rsid w:val="009363AD"/>
    <w:rsid w:val="009423D6"/>
    <w:rsid w:val="009855A6"/>
    <w:rsid w:val="009A1FC4"/>
    <w:rsid w:val="009A32B1"/>
    <w:rsid w:val="009F1E30"/>
    <w:rsid w:val="009F4404"/>
    <w:rsid w:val="00A1651A"/>
    <w:rsid w:val="00A4213B"/>
    <w:rsid w:val="00A60327"/>
    <w:rsid w:val="00AE2703"/>
    <w:rsid w:val="00B00883"/>
    <w:rsid w:val="00B217A8"/>
    <w:rsid w:val="00BA38F9"/>
    <w:rsid w:val="00BB15FD"/>
    <w:rsid w:val="00BB50A8"/>
    <w:rsid w:val="00BE71E0"/>
    <w:rsid w:val="00C00470"/>
    <w:rsid w:val="00C04144"/>
    <w:rsid w:val="00C10F4F"/>
    <w:rsid w:val="00C85E26"/>
    <w:rsid w:val="00C94C80"/>
    <w:rsid w:val="00C94F67"/>
    <w:rsid w:val="00CA26D1"/>
    <w:rsid w:val="00CA79D9"/>
    <w:rsid w:val="00CC510D"/>
    <w:rsid w:val="00CD6D7E"/>
    <w:rsid w:val="00D23A73"/>
    <w:rsid w:val="00DC0454"/>
    <w:rsid w:val="00E56690"/>
    <w:rsid w:val="00E7772E"/>
    <w:rsid w:val="00E91611"/>
    <w:rsid w:val="00E96D12"/>
    <w:rsid w:val="00F166C1"/>
    <w:rsid w:val="00F87F31"/>
    <w:rsid w:val="00F9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0A8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BB50A8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B50A8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B50A8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BB50A8"/>
    <w:rPr>
      <w:rFonts w:ascii="Courier New" w:hAnsi="Courier New"/>
    </w:rPr>
  </w:style>
  <w:style w:type="paragraph" w:styleId="BodyText">
    <w:name w:val="Body Text"/>
    <w:basedOn w:val="Normal"/>
    <w:rsid w:val="00BB50A8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C7A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7A4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joyce marie farner</cp:lastModifiedBy>
  <cp:revision>8</cp:revision>
  <cp:lastPrinted>2009-12-17T17:51:00Z</cp:lastPrinted>
  <dcterms:created xsi:type="dcterms:W3CDTF">2009-12-09T19:15:00Z</dcterms:created>
  <dcterms:modified xsi:type="dcterms:W3CDTF">2009-12-17T17:51:00Z</dcterms:modified>
</cp:coreProperties>
</file>