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5E" w:rsidRPr="00FA6483" w:rsidRDefault="0096775E" w:rsidP="000E0912">
      <w:pPr>
        <w:jc w:val="center"/>
        <w:rPr>
          <w:b/>
          <w:sz w:val="24"/>
          <w:szCs w:val="24"/>
        </w:rPr>
      </w:pPr>
      <w:r w:rsidRPr="00FA6483">
        <w:rPr>
          <w:b/>
          <w:sz w:val="24"/>
          <w:szCs w:val="24"/>
        </w:rPr>
        <w:t>BEFORE THE</w:t>
      </w:r>
    </w:p>
    <w:p w:rsidR="0096775E" w:rsidRPr="00FA6483" w:rsidRDefault="0096775E" w:rsidP="000E0912">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96775E" w:rsidRPr="00FA6483" w:rsidRDefault="0096775E" w:rsidP="000E0912">
      <w:pPr>
        <w:jc w:val="center"/>
        <w:rPr>
          <w:b/>
          <w:sz w:val="24"/>
          <w:szCs w:val="24"/>
        </w:rPr>
      </w:pPr>
    </w:p>
    <w:p w:rsidR="0096775E" w:rsidRPr="00FA6483" w:rsidRDefault="0096775E" w:rsidP="000E0912">
      <w:pPr>
        <w:jc w:val="center"/>
        <w:rPr>
          <w:b/>
          <w:sz w:val="24"/>
          <w:szCs w:val="24"/>
        </w:rPr>
      </w:pPr>
    </w:p>
    <w:p w:rsidR="0096775E" w:rsidRDefault="0096775E" w:rsidP="000E0912">
      <w:pPr>
        <w:jc w:val="center"/>
        <w:rPr>
          <w:b/>
        </w:rPr>
      </w:pPr>
    </w:p>
    <w:p w:rsidR="0096775E" w:rsidRPr="00FA6483" w:rsidRDefault="0096775E" w:rsidP="000E0912">
      <w:pPr>
        <w:rPr>
          <w:sz w:val="24"/>
          <w:szCs w:val="24"/>
        </w:rPr>
      </w:pPr>
      <w:r>
        <w:rPr>
          <w:sz w:val="24"/>
          <w:szCs w:val="24"/>
        </w:rPr>
        <w:t>Lori Brickner and Peter Brickner</w:t>
      </w:r>
      <w:r>
        <w:rPr>
          <w:sz w:val="24"/>
          <w:szCs w:val="24"/>
        </w:rPr>
        <w:tab/>
      </w:r>
      <w:r>
        <w:rPr>
          <w:sz w:val="24"/>
          <w:szCs w:val="24"/>
        </w:rPr>
        <w:tab/>
      </w:r>
      <w:r>
        <w:rPr>
          <w:sz w:val="24"/>
          <w:szCs w:val="24"/>
        </w:rPr>
        <w:tab/>
        <w:t>:</w:t>
      </w:r>
    </w:p>
    <w:p w:rsidR="0096775E" w:rsidRPr="00FA6483" w:rsidRDefault="0096775E" w:rsidP="000E0912">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96775E" w:rsidRPr="00FA6483" w:rsidRDefault="0096775E" w:rsidP="000E0912">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BE3D71">
        <w:rPr>
          <w:sz w:val="24"/>
          <w:szCs w:val="24"/>
        </w:rPr>
        <w:tab/>
      </w:r>
      <w:r>
        <w:rPr>
          <w:sz w:val="24"/>
          <w:szCs w:val="24"/>
        </w:rPr>
        <w:t>C-2009-2105583</w:t>
      </w:r>
    </w:p>
    <w:p w:rsidR="0096775E" w:rsidRPr="00FA6483" w:rsidRDefault="0096775E" w:rsidP="000E0912">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96775E" w:rsidRPr="00FA6483" w:rsidRDefault="0096775E" w:rsidP="000E0912">
      <w:pPr>
        <w:rPr>
          <w:sz w:val="24"/>
          <w:szCs w:val="24"/>
        </w:rPr>
      </w:pPr>
      <w:r>
        <w:rPr>
          <w:sz w:val="24"/>
          <w:szCs w:val="24"/>
        </w:rPr>
        <w:t>PPL Electric Utilities Corporation</w:t>
      </w:r>
      <w:r>
        <w:rPr>
          <w:sz w:val="24"/>
          <w:szCs w:val="24"/>
        </w:rPr>
        <w:tab/>
      </w:r>
      <w:r>
        <w:rPr>
          <w:sz w:val="24"/>
          <w:szCs w:val="24"/>
        </w:rPr>
        <w:tab/>
      </w:r>
      <w:r w:rsidRPr="00FA6483">
        <w:rPr>
          <w:sz w:val="24"/>
          <w:szCs w:val="24"/>
        </w:rPr>
        <w:tab/>
        <w:t>:</w:t>
      </w:r>
    </w:p>
    <w:p w:rsidR="0096775E" w:rsidRPr="00FA6483" w:rsidRDefault="0096775E" w:rsidP="000E0912">
      <w:pPr>
        <w:rPr>
          <w:sz w:val="24"/>
          <w:szCs w:val="24"/>
        </w:rPr>
      </w:pPr>
    </w:p>
    <w:p w:rsidR="0096775E" w:rsidRDefault="0096775E" w:rsidP="000E0912"/>
    <w:p w:rsidR="0096775E" w:rsidRDefault="0096775E" w:rsidP="000E0912"/>
    <w:p w:rsidR="0096775E" w:rsidRPr="00C844DF" w:rsidRDefault="00BF6788" w:rsidP="000E0912">
      <w:pPr>
        <w:jc w:val="center"/>
        <w:rPr>
          <w:b/>
          <w:sz w:val="24"/>
          <w:szCs w:val="24"/>
          <w:u w:val="single"/>
        </w:rPr>
      </w:pPr>
      <w:r w:rsidRPr="00C844DF">
        <w:rPr>
          <w:b/>
          <w:sz w:val="24"/>
          <w:szCs w:val="24"/>
          <w:u w:val="single"/>
        </w:rPr>
        <w:t>INITIAL DECISION</w:t>
      </w:r>
    </w:p>
    <w:p w:rsidR="000E0912" w:rsidRDefault="000E0912" w:rsidP="000E0912">
      <w:pPr>
        <w:jc w:val="center"/>
        <w:rPr>
          <w:b/>
          <w:sz w:val="24"/>
          <w:szCs w:val="24"/>
        </w:rPr>
      </w:pPr>
    </w:p>
    <w:p w:rsidR="00BF6788" w:rsidRDefault="00BF6788" w:rsidP="000E0912">
      <w:pPr>
        <w:jc w:val="center"/>
        <w:rPr>
          <w:b/>
          <w:sz w:val="24"/>
          <w:szCs w:val="24"/>
        </w:rPr>
      </w:pPr>
    </w:p>
    <w:p w:rsidR="00BF6788" w:rsidRDefault="00BF6788" w:rsidP="000E0912">
      <w:pPr>
        <w:jc w:val="center"/>
        <w:rPr>
          <w:sz w:val="24"/>
          <w:szCs w:val="24"/>
        </w:rPr>
      </w:pPr>
      <w:r>
        <w:rPr>
          <w:sz w:val="24"/>
          <w:szCs w:val="24"/>
        </w:rPr>
        <w:t>Before</w:t>
      </w:r>
    </w:p>
    <w:p w:rsidR="00BF6788" w:rsidRDefault="00BF6788" w:rsidP="000E0912">
      <w:pPr>
        <w:jc w:val="center"/>
        <w:rPr>
          <w:sz w:val="24"/>
          <w:szCs w:val="24"/>
        </w:rPr>
      </w:pPr>
      <w:r>
        <w:rPr>
          <w:sz w:val="24"/>
          <w:szCs w:val="24"/>
        </w:rPr>
        <w:t>Susan D. Colwell</w:t>
      </w:r>
    </w:p>
    <w:p w:rsidR="00BF6788" w:rsidRDefault="00BF6788" w:rsidP="000E0912">
      <w:pPr>
        <w:jc w:val="center"/>
        <w:rPr>
          <w:sz w:val="24"/>
          <w:szCs w:val="24"/>
        </w:rPr>
      </w:pPr>
      <w:r>
        <w:rPr>
          <w:sz w:val="24"/>
          <w:szCs w:val="24"/>
        </w:rPr>
        <w:t>Administrative Law Judge</w:t>
      </w:r>
    </w:p>
    <w:p w:rsidR="00BF6788" w:rsidRDefault="00BF6788" w:rsidP="000E0912">
      <w:pPr>
        <w:jc w:val="center"/>
        <w:rPr>
          <w:sz w:val="24"/>
          <w:szCs w:val="24"/>
        </w:rPr>
      </w:pPr>
    </w:p>
    <w:p w:rsidR="00BF6788" w:rsidRDefault="00BF6788" w:rsidP="000E0912">
      <w:pPr>
        <w:jc w:val="center"/>
        <w:rPr>
          <w:sz w:val="24"/>
          <w:szCs w:val="24"/>
        </w:rPr>
      </w:pPr>
    </w:p>
    <w:p w:rsidR="00BF6788" w:rsidRDefault="00BF6788" w:rsidP="00B03EED">
      <w:pPr>
        <w:jc w:val="center"/>
        <w:rPr>
          <w:sz w:val="24"/>
          <w:szCs w:val="24"/>
          <w:u w:val="single"/>
        </w:rPr>
      </w:pPr>
      <w:r>
        <w:rPr>
          <w:sz w:val="24"/>
          <w:szCs w:val="24"/>
          <w:u w:val="single"/>
        </w:rPr>
        <w:t>HISTORY OF THE PROCEEDING</w:t>
      </w:r>
    </w:p>
    <w:p w:rsidR="00BF6788" w:rsidRDefault="00BF6788" w:rsidP="00B03EED">
      <w:pPr>
        <w:jc w:val="center"/>
        <w:rPr>
          <w:sz w:val="24"/>
          <w:szCs w:val="24"/>
          <w:u w:val="single"/>
        </w:rPr>
      </w:pPr>
    </w:p>
    <w:p w:rsidR="00BF6788" w:rsidRDefault="00BF6788" w:rsidP="00B03EED">
      <w:pPr>
        <w:contextualSpacing/>
        <w:rPr>
          <w:sz w:val="24"/>
          <w:szCs w:val="24"/>
        </w:rPr>
      </w:pPr>
    </w:p>
    <w:p w:rsidR="00E1782B" w:rsidRDefault="00E1782B" w:rsidP="000E0912">
      <w:pPr>
        <w:spacing w:line="360" w:lineRule="auto"/>
        <w:contextualSpacing/>
        <w:rPr>
          <w:sz w:val="24"/>
          <w:szCs w:val="24"/>
        </w:rPr>
      </w:pPr>
      <w:r>
        <w:rPr>
          <w:sz w:val="24"/>
          <w:szCs w:val="24"/>
        </w:rPr>
        <w:tab/>
      </w:r>
      <w:r>
        <w:rPr>
          <w:sz w:val="24"/>
          <w:szCs w:val="24"/>
        </w:rPr>
        <w:tab/>
        <w:t>On May 4, 2009, Lori and Peter Brickner (Complainants) filed a formal Complaint against PPL Electric Utilities Corporation (PPL or Respondent) alleging that PPL’s intent to terminate the RTS rate is a violation of the Public Utility Code.  Complainants ask the Commission to require PPL to continue the rate</w:t>
      </w:r>
      <w:r w:rsidR="00DD7677">
        <w:rPr>
          <w:sz w:val="24"/>
          <w:szCs w:val="24"/>
        </w:rPr>
        <w:t xml:space="preserve"> according to the contract they had with PPL.</w:t>
      </w:r>
    </w:p>
    <w:p w:rsidR="00436AE2" w:rsidRDefault="00436AE2" w:rsidP="000E0912">
      <w:pPr>
        <w:spacing w:line="360" w:lineRule="auto"/>
        <w:contextualSpacing/>
        <w:rPr>
          <w:sz w:val="24"/>
          <w:szCs w:val="24"/>
        </w:rPr>
      </w:pPr>
    </w:p>
    <w:p w:rsidR="00436AE2" w:rsidRDefault="00436AE2" w:rsidP="000E0912">
      <w:pPr>
        <w:spacing w:line="360" w:lineRule="auto"/>
        <w:contextualSpacing/>
        <w:rPr>
          <w:sz w:val="24"/>
          <w:szCs w:val="24"/>
        </w:rPr>
      </w:pPr>
      <w:r>
        <w:rPr>
          <w:sz w:val="24"/>
          <w:szCs w:val="24"/>
        </w:rPr>
        <w:tab/>
      </w:r>
      <w:r>
        <w:rPr>
          <w:sz w:val="24"/>
          <w:szCs w:val="24"/>
        </w:rPr>
        <w:tab/>
        <w:t xml:space="preserve">On May 26, 2009, PPL filed its Answer denying that it was discontinuing the RTS rate but qualified the denial by stating that litigation </w:t>
      </w:r>
      <w:r w:rsidR="002D17AA">
        <w:rPr>
          <w:sz w:val="24"/>
          <w:szCs w:val="24"/>
        </w:rPr>
        <w:t xml:space="preserve">in several cases before the Commission has resulted in a reduced benefit for 2010 and 2011.  </w:t>
      </w:r>
    </w:p>
    <w:p w:rsidR="002D17AA" w:rsidRDefault="002D17AA" w:rsidP="000E0912">
      <w:pPr>
        <w:spacing w:line="360" w:lineRule="auto"/>
        <w:contextualSpacing/>
        <w:rPr>
          <w:sz w:val="24"/>
          <w:szCs w:val="24"/>
        </w:rPr>
      </w:pPr>
    </w:p>
    <w:p w:rsidR="00E26E89" w:rsidRDefault="002D17AA" w:rsidP="000E0912">
      <w:pPr>
        <w:spacing w:line="360" w:lineRule="auto"/>
        <w:contextualSpacing/>
        <w:rPr>
          <w:sz w:val="24"/>
          <w:szCs w:val="24"/>
        </w:rPr>
      </w:pPr>
      <w:r>
        <w:rPr>
          <w:sz w:val="24"/>
          <w:szCs w:val="24"/>
        </w:rPr>
        <w:tab/>
      </w:r>
      <w:r>
        <w:rPr>
          <w:sz w:val="24"/>
          <w:szCs w:val="24"/>
        </w:rPr>
        <w:tab/>
        <w:t xml:space="preserve">On </w:t>
      </w:r>
      <w:r w:rsidR="006C17EA">
        <w:rPr>
          <w:sz w:val="24"/>
          <w:szCs w:val="24"/>
        </w:rPr>
        <w:t>June 13, 2009, a telephone hearing notice was issued which set the telephonic evidentiary hearing for July 21, 2009 and assigned the matter to me.  I issued a prehearing order on June 15, 2009, which set forth some of the procedural requirements for an evidentiary hearing before the Commission</w:t>
      </w:r>
      <w:r w:rsidR="00E26E89">
        <w:rPr>
          <w:sz w:val="24"/>
          <w:szCs w:val="24"/>
        </w:rPr>
        <w:t>.</w:t>
      </w:r>
      <w:r w:rsidR="006C17EA">
        <w:rPr>
          <w:sz w:val="24"/>
          <w:szCs w:val="24"/>
        </w:rPr>
        <w:t xml:space="preserve"> </w:t>
      </w:r>
    </w:p>
    <w:p w:rsidR="00E26E89" w:rsidRDefault="00E26E89" w:rsidP="000E0912">
      <w:pPr>
        <w:spacing w:line="360" w:lineRule="auto"/>
        <w:contextualSpacing/>
        <w:rPr>
          <w:sz w:val="24"/>
          <w:szCs w:val="24"/>
        </w:rPr>
      </w:pPr>
    </w:p>
    <w:p w:rsidR="002D17AA" w:rsidRDefault="00E26E89" w:rsidP="000E0912">
      <w:pPr>
        <w:spacing w:line="360" w:lineRule="auto"/>
        <w:contextualSpacing/>
        <w:rPr>
          <w:sz w:val="24"/>
          <w:szCs w:val="24"/>
        </w:rPr>
      </w:pPr>
      <w:r>
        <w:rPr>
          <w:sz w:val="24"/>
          <w:szCs w:val="24"/>
        </w:rPr>
        <w:lastRenderedPageBreak/>
        <w:tab/>
      </w:r>
      <w:r>
        <w:rPr>
          <w:sz w:val="24"/>
          <w:szCs w:val="24"/>
        </w:rPr>
        <w:tab/>
      </w:r>
      <w:r w:rsidR="006C17EA">
        <w:rPr>
          <w:sz w:val="24"/>
          <w:szCs w:val="24"/>
        </w:rPr>
        <w:t xml:space="preserve">Due to scheduling conflicts for counsel for PPL, the hearing was rescheduled to July 29, 2009, canceled again and rescheduled for November 16, 2009. </w:t>
      </w:r>
    </w:p>
    <w:p w:rsidR="00F91B69" w:rsidRDefault="00F91B69" w:rsidP="000E0912">
      <w:pPr>
        <w:spacing w:line="360" w:lineRule="auto"/>
        <w:contextualSpacing/>
        <w:rPr>
          <w:sz w:val="24"/>
          <w:szCs w:val="24"/>
        </w:rPr>
      </w:pPr>
    </w:p>
    <w:p w:rsidR="00E26E89" w:rsidRDefault="00E26E89" w:rsidP="000E0912">
      <w:pPr>
        <w:spacing w:line="360" w:lineRule="auto"/>
        <w:contextualSpacing/>
        <w:rPr>
          <w:sz w:val="24"/>
          <w:szCs w:val="24"/>
        </w:rPr>
      </w:pPr>
      <w:r>
        <w:rPr>
          <w:sz w:val="24"/>
          <w:szCs w:val="24"/>
        </w:rPr>
        <w:tab/>
      </w:r>
      <w:r>
        <w:rPr>
          <w:sz w:val="24"/>
          <w:szCs w:val="24"/>
        </w:rPr>
        <w:tab/>
        <w:t xml:space="preserve">On November 16, 2009, the evidentiary hearing was held as scheduled, with PPL represented by Andrew H. Ralston, Jr., Esq., who presented one witness and one exhibit, and Complainants appearing on their own behalf and sponsoring six exhibits.  The hearing resulted in a transcript of </w:t>
      </w:r>
      <w:r w:rsidR="00190A2D">
        <w:rPr>
          <w:sz w:val="24"/>
          <w:szCs w:val="24"/>
        </w:rPr>
        <w:t>43 pages.  The record closed upon its receipt on November 24, 2009.</w:t>
      </w:r>
    </w:p>
    <w:p w:rsidR="00190A2D" w:rsidRDefault="00190A2D" w:rsidP="000E0912">
      <w:pPr>
        <w:spacing w:line="360" w:lineRule="auto"/>
        <w:contextualSpacing/>
        <w:rPr>
          <w:sz w:val="24"/>
          <w:szCs w:val="24"/>
        </w:rPr>
      </w:pPr>
    </w:p>
    <w:p w:rsidR="00190A2D" w:rsidRDefault="00190A2D" w:rsidP="000E0912">
      <w:pPr>
        <w:spacing w:line="360" w:lineRule="auto"/>
        <w:contextualSpacing/>
        <w:rPr>
          <w:sz w:val="24"/>
          <w:szCs w:val="24"/>
        </w:rPr>
      </w:pPr>
      <w:r>
        <w:rPr>
          <w:sz w:val="24"/>
          <w:szCs w:val="24"/>
        </w:rPr>
        <w:tab/>
      </w:r>
      <w:r>
        <w:rPr>
          <w:sz w:val="24"/>
          <w:szCs w:val="24"/>
        </w:rPr>
        <w:tab/>
        <w:t>The matter is now ready for disposition.</w:t>
      </w:r>
    </w:p>
    <w:p w:rsidR="00190A2D" w:rsidRDefault="00190A2D" w:rsidP="000E0912">
      <w:pPr>
        <w:spacing w:line="360" w:lineRule="auto"/>
        <w:contextualSpacing/>
        <w:rPr>
          <w:sz w:val="24"/>
          <w:szCs w:val="24"/>
        </w:rPr>
      </w:pPr>
    </w:p>
    <w:p w:rsidR="00190A2D" w:rsidRPr="00C844DF" w:rsidRDefault="00190A2D" w:rsidP="000E0912">
      <w:pPr>
        <w:spacing w:line="360" w:lineRule="auto"/>
        <w:contextualSpacing/>
        <w:jc w:val="center"/>
        <w:rPr>
          <w:sz w:val="24"/>
          <w:szCs w:val="24"/>
          <w:u w:val="single"/>
        </w:rPr>
      </w:pPr>
      <w:r w:rsidRPr="00C844DF">
        <w:rPr>
          <w:sz w:val="24"/>
          <w:szCs w:val="24"/>
          <w:u w:val="single"/>
        </w:rPr>
        <w:t>FINDINGS OF FACT</w:t>
      </w:r>
    </w:p>
    <w:p w:rsidR="00190A2D" w:rsidRDefault="00190A2D" w:rsidP="000E0912">
      <w:pPr>
        <w:spacing w:line="360" w:lineRule="auto"/>
        <w:contextualSpacing/>
        <w:jc w:val="center"/>
        <w:rPr>
          <w:sz w:val="24"/>
          <w:szCs w:val="24"/>
        </w:rPr>
      </w:pPr>
    </w:p>
    <w:p w:rsidR="00190A2D" w:rsidRDefault="00102242" w:rsidP="000E0912">
      <w:pPr>
        <w:spacing w:line="360" w:lineRule="auto"/>
        <w:contextualSpacing/>
        <w:rPr>
          <w:sz w:val="24"/>
          <w:szCs w:val="24"/>
        </w:rPr>
      </w:pPr>
      <w:r>
        <w:rPr>
          <w:sz w:val="24"/>
          <w:szCs w:val="24"/>
        </w:rPr>
        <w:tab/>
      </w:r>
      <w:r>
        <w:rPr>
          <w:sz w:val="24"/>
          <w:szCs w:val="24"/>
        </w:rPr>
        <w:tab/>
        <w:t>1.</w:t>
      </w:r>
      <w:r>
        <w:rPr>
          <w:sz w:val="24"/>
          <w:szCs w:val="24"/>
        </w:rPr>
        <w:tab/>
      </w:r>
      <w:r w:rsidR="00190A2D">
        <w:rPr>
          <w:sz w:val="24"/>
          <w:szCs w:val="24"/>
        </w:rPr>
        <w:t>Complainants are Lori and Peter Brickner, 45 Overlook Drive, Beach Lake Pennsylvania 18405.</w:t>
      </w:r>
    </w:p>
    <w:p w:rsidR="00190A2D" w:rsidRDefault="00190A2D" w:rsidP="000E0912">
      <w:pPr>
        <w:spacing w:line="360" w:lineRule="auto"/>
        <w:contextualSpacing/>
        <w:rPr>
          <w:sz w:val="24"/>
          <w:szCs w:val="24"/>
        </w:rPr>
      </w:pPr>
    </w:p>
    <w:p w:rsidR="00190A2D" w:rsidRDefault="00190A2D" w:rsidP="000E0912">
      <w:pPr>
        <w:spacing w:line="360" w:lineRule="auto"/>
        <w:contextualSpacing/>
        <w:rPr>
          <w:sz w:val="24"/>
          <w:szCs w:val="24"/>
        </w:rPr>
      </w:pPr>
      <w:r>
        <w:rPr>
          <w:sz w:val="24"/>
          <w:szCs w:val="24"/>
        </w:rPr>
        <w:tab/>
      </w:r>
      <w:r>
        <w:rPr>
          <w:sz w:val="24"/>
          <w:szCs w:val="24"/>
        </w:rPr>
        <w:tab/>
        <w:t>2.</w:t>
      </w:r>
      <w:r>
        <w:rPr>
          <w:sz w:val="24"/>
          <w:szCs w:val="24"/>
        </w:rPr>
        <w:tab/>
        <w:t>Respondent is PPL Electric Utilities Corporation, a jurisdictional public utility providing residential electric service in the Commonwealth.</w:t>
      </w:r>
    </w:p>
    <w:p w:rsidR="00190A2D" w:rsidRDefault="00190A2D" w:rsidP="000E0912">
      <w:pPr>
        <w:spacing w:line="360" w:lineRule="auto"/>
        <w:contextualSpacing/>
        <w:rPr>
          <w:sz w:val="24"/>
          <w:szCs w:val="24"/>
        </w:rPr>
      </w:pPr>
    </w:p>
    <w:p w:rsidR="00190A2D" w:rsidRDefault="00190A2D" w:rsidP="000E0912">
      <w:pPr>
        <w:spacing w:line="360" w:lineRule="auto"/>
        <w:contextualSpacing/>
        <w:rPr>
          <w:sz w:val="24"/>
          <w:szCs w:val="24"/>
        </w:rPr>
      </w:pPr>
      <w:r>
        <w:rPr>
          <w:sz w:val="24"/>
          <w:szCs w:val="24"/>
        </w:rPr>
        <w:tab/>
      </w:r>
      <w:r>
        <w:rPr>
          <w:sz w:val="24"/>
          <w:szCs w:val="24"/>
        </w:rPr>
        <w:tab/>
        <w:t>3.</w:t>
      </w:r>
      <w:r>
        <w:rPr>
          <w:sz w:val="24"/>
          <w:szCs w:val="24"/>
        </w:rPr>
        <w:tab/>
      </w:r>
      <w:r w:rsidR="00631B8A">
        <w:rPr>
          <w:sz w:val="24"/>
          <w:szCs w:val="24"/>
        </w:rPr>
        <w:t xml:space="preserve">Complainants purchased their home on June 23, 2008, with </w:t>
      </w:r>
      <w:r w:rsidR="00D96221">
        <w:rPr>
          <w:sz w:val="24"/>
          <w:szCs w:val="24"/>
        </w:rPr>
        <w:t>a special clause in their sales agreement providing that the electric heat program is transferable, and with the understanding that customers heating systems may remain on the RTS rate for as long as the electric thermal storage system is in use in the home.  Brickner Ex. 1</w:t>
      </w:r>
      <w:r w:rsidR="00B309B6">
        <w:rPr>
          <w:sz w:val="24"/>
          <w:szCs w:val="24"/>
        </w:rPr>
        <w:t>, 2</w:t>
      </w:r>
      <w:r w:rsidR="00FC6970">
        <w:rPr>
          <w:sz w:val="24"/>
          <w:szCs w:val="24"/>
        </w:rPr>
        <w:t>; Tr. 10.</w:t>
      </w:r>
    </w:p>
    <w:p w:rsidR="00D96221" w:rsidRDefault="00D96221" w:rsidP="000E0912">
      <w:pPr>
        <w:spacing w:line="360" w:lineRule="auto"/>
        <w:contextualSpacing/>
        <w:rPr>
          <w:sz w:val="24"/>
          <w:szCs w:val="24"/>
        </w:rPr>
      </w:pPr>
    </w:p>
    <w:p w:rsidR="00D96221" w:rsidRDefault="00D96221" w:rsidP="000E0912">
      <w:pPr>
        <w:spacing w:line="360" w:lineRule="auto"/>
        <w:contextualSpacing/>
        <w:rPr>
          <w:sz w:val="24"/>
          <w:szCs w:val="24"/>
        </w:rPr>
      </w:pPr>
      <w:r>
        <w:rPr>
          <w:sz w:val="24"/>
          <w:szCs w:val="24"/>
        </w:rPr>
        <w:tab/>
      </w:r>
      <w:r>
        <w:rPr>
          <w:sz w:val="24"/>
          <w:szCs w:val="24"/>
        </w:rPr>
        <w:tab/>
        <w:t>4.</w:t>
      </w:r>
      <w:r>
        <w:rPr>
          <w:sz w:val="24"/>
          <w:szCs w:val="24"/>
        </w:rPr>
        <w:tab/>
      </w:r>
      <w:r w:rsidR="00B309B6">
        <w:rPr>
          <w:sz w:val="24"/>
          <w:szCs w:val="24"/>
        </w:rPr>
        <w:t xml:space="preserve">Brickner Ex. 3 is the RTS tariff page effective January 1, 2009, from the PPL tariff.  </w:t>
      </w:r>
    </w:p>
    <w:p w:rsidR="00B309B6" w:rsidRDefault="00B309B6" w:rsidP="000E0912">
      <w:pPr>
        <w:spacing w:line="360" w:lineRule="auto"/>
        <w:contextualSpacing/>
        <w:rPr>
          <w:sz w:val="24"/>
          <w:szCs w:val="24"/>
        </w:rPr>
      </w:pPr>
    </w:p>
    <w:p w:rsidR="00B309B6" w:rsidRDefault="00B309B6" w:rsidP="000E0912">
      <w:pPr>
        <w:spacing w:line="360" w:lineRule="auto"/>
        <w:contextualSpacing/>
        <w:rPr>
          <w:sz w:val="24"/>
          <w:szCs w:val="24"/>
        </w:rPr>
      </w:pPr>
      <w:r>
        <w:rPr>
          <w:sz w:val="24"/>
          <w:szCs w:val="24"/>
        </w:rPr>
        <w:tab/>
      </w:r>
      <w:r>
        <w:rPr>
          <w:sz w:val="24"/>
          <w:szCs w:val="24"/>
        </w:rPr>
        <w:tab/>
        <w:t>5.</w:t>
      </w:r>
      <w:r>
        <w:rPr>
          <w:sz w:val="24"/>
          <w:szCs w:val="24"/>
        </w:rPr>
        <w:tab/>
        <w:t xml:space="preserve">Brickner Ex. 4 is a letter dated August 24, 2009 from </w:t>
      </w:r>
      <w:r w:rsidR="00691CE0">
        <w:rPr>
          <w:sz w:val="24"/>
          <w:szCs w:val="24"/>
        </w:rPr>
        <w:t>PPL to Complainants which informs RTS customers of their options for 2010 and beyond.  Tr. 11.</w:t>
      </w:r>
    </w:p>
    <w:p w:rsidR="00691CE0" w:rsidRDefault="00691CE0" w:rsidP="000E0912">
      <w:pPr>
        <w:spacing w:line="360" w:lineRule="auto"/>
        <w:contextualSpacing/>
        <w:rPr>
          <w:sz w:val="24"/>
          <w:szCs w:val="24"/>
        </w:rPr>
      </w:pPr>
    </w:p>
    <w:p w:rsidR="00691CE0" w:rsidRDefault="00691CE0" w:rsidP="000E0912">
      <w:pPr>
        <w:spacing w:line="360" w:lineRule="auto"/>
        <w:contextualSpacing/>
        <w:rPr>
          <w:sz w:val="24"/>
          <w:szCs w:val="24"/>
        </w:rPr>
      </w:pPr>
      <w:r>
        <w:rPr>
          <w:sz w:val="24"/>
          <w:szCs w:val="24"/>
        </w:rPr>
        <w:lastRenderedPageBreak/>
        <w:tab/>
      </w:r>
      <w:r>
        <w:rPr>
          <w:sz w:val="24"/>
          <w:szCs w:val="24"/>
        </w:rPr>
        <w:tab/>
        <w:t>6.</w:t>
      </w:r>
      <w:r>
        <w:rPr>
          <w:sz w:val="24"/>
          <w:szCs w:val="24"/>
        </w:rPr>
        <w:tab/>
        <w:t>Brickner Ex. 5 is a page printed from the PUC website for October 2009 showing a price of 4.64 cents per kilowatt hour, which would mean a 42 percent increase for RTS customers who now pay 3.275.  Tr. 12.</w:t>
      </w:r>
    </w:p>
    <w:p w:rsidR="00351E8D" w:rsidRDefault="00351E8D" w:rsidP="000E0912">
      <w:pPr>
        <w:spacing w:line="360" w:lineRule="auto"/>
        <w:contextualSpacing/>
        <w:rPr>
          <w:sz w:val="24"/>
          <w:szCs w:val="24"/>
        </w:rPr>
      </w:pPr>
    </w:p>
    <w:p w:rsidR="00351E8D" w:rsidRDefault="00351E8D" w:rsidP="000E0912">
      <w:pPr>
        <w:spacing w:line="360" w:lineRule="auto"/>
        <w:contextualSpacing/>
        <w:rPr>
          <w:sz w:val="24"/>
          <w:szCs w:val="24"/>
        </w:rPr>
      </w:pPr>
      <w:r>
        <w:rPr>
          <w:sz w:val="24"/>
          <w:szCs w:val="24"/>
        </w:rPr>
        <w:tab/>
      </w:r>
      <w:r>
        <w:rPr>
          <w:sz w:val="24"/>
          <w:szCs w:val="24"/>
        </w:rPr>
        <w:tab/>
        <w:t>7.</w:t>
      </w:r>
      <w:r>
        <w:rPr>
          <w:sz w:val="24"/>
          <w:szCs w:val="24"/>
        </w:rPr>
        <w:tab/>
        <w:t xml:space="preserve">Oliver Kasper, </w:t>
      </w:r>
      <w:r w:rsidR="00FE157A">
        <w:rPr>
          <w:sz w:val="24"/>
          <w:szCs w:val="24"/>
        </w:rPr>
        <w:t>Manager of Rates for PPL, appeared and testified on behalf of Respondent.  Tr. 16.</w:t>
      </w:r>
    </w:p>
    <w:p w:rsidR="00BE3D71" w:rsidRDefault="00BE3D71" w:rsidP="000E0912">
      <w:pPr>
        <w:spacing w:line="360" w:lineRule="auto"/>
        <w:contextualSpacing/>
        <w:rPr>
          <w:sz w:val="24"/>
          <w:szCs w:val="24"/>
        </w:rPr>
      </w:pPr>
    </w:p>
    <w:p w:rsidR="00FE157A" w:rsidRDefault="00FE157A" w:rsidP="000E0912">
      <w:pPr>
        <w:spacing w:line="360" w:lineRule="auto"/>
        <w:contextualSpacing/>
        <w:rPr>
          <w:sz w:val="24"/>
          <w:szCs w:val="24"/>
        </w:rPr>
      </w:pPr>
      <w:r>
        <w:rPr>
          <w:sz w:val="24"/>
          <w:szCs w:val="24"/>
        </w:rPr>
        <w:tab/>
      </w:r>
      <w:r>
        <w:rPr>
          <w:sz w:val="24"/>
          <w:szCs w:val="24"/>
        </w:rPr>
        <w:tab/>
        <w:t>8.</w:t>
      </w:r>
      <w:r>
        <w:rPr>
          <w:sz w:val="24"/>
          <w:szCs w:val="24"/>
        </w:rPr>
        <w:tab/>
        <w:t xml:space="preserve">The establishment of the Residential Thermal Storage Rate was to alleviate the peak load on PPL’s system in the morning hours by designing a system to store heat, which were installed in the 1980’s and early 1990’s.  Tr. 17-18.  </w:t>
      </w:r>
    </w:p>
    <w:p w:rsidR="00FE157A" w:rsidRDefault="00FE157A" w:rsidP="000E0912">
      <w:pPr>
        <w:spacing w:line="360" w:lineRule="auto"/>
        <w:contextualSpacing/>
        <w:rPr>
          <w:sz w:val="24"/>
          <w:szCs w:val="24"/>
        </w:rPr>
      </w:pPr>
    </w:p>
    <w:p w:rsidR="00FE157A" w:rsidRDefault="00FE157A" w:rsidP="000E0912">
      <w:pPr>
        <w:spacing w:line="360" w:lineRule="auto"/>
        <w:contextualSpacing/>
        <w:rPr>
          <w:sz w:val="24"/>
          <w:szCs w:val="24"/>
        </w:rPr>
      </w:pPr>
      <w:r>
        <w:rPr>
          <w:sz w:val="24"/>
          <w:szCs w:val="24"/>
        </w:rPr>
        <w:tab/>
      </w:r>
      <w:r>
        <w:rPr>
          <w:sz w:val="24"/>
          <w:szCs w:val="24"/>
        </w:rPr>
        <w:tab/>
        <w:t>9.</w:t>
      </w:r>
      <w:r>
        <w:rPr>
          <w:sz w:val="24"/>
          <w:szCs w:val="24"/>
        </w:rPr>
        <w:tab/>
        <w:t>There are approximately 13,000 RTS customers presently.  Tr. 18.</w:t>
      </w:r>
    </w:p>
    <w:p w:rsidR="00FE157A" w:rsidRDefault="00FE157A" w:rsidP="000E0912">
      <w:pPr>
        <w:spacing w:line="360" w:lineRule="auto"/>
        <w:contextualSpacing/>
        <w:rPr>
          <w:sz w:val="24"/>
          <w:szCs w:val="24"/>
        </w:rPr>
      </w:pPr>
    </w:p>
    <w:p w:rsidR="00FE157A" w:rsidRDefault="00FE157A" w:rsidP="000E0912">
      <w:pPr>
        <w:spacing w:line="360" w:lineRule="auto"/>
        <w:contextualSpacing/>
        <w:rPr>
          <w:sz w:val="24"/>
          <w:szCs w:val="24"/>
        </w:rPr>
      </w:pPr>
      <w:r>
        <w:rPr>
          <w:sz w:val="24"/>
          <w:szCs w:val="24"/>
        </w:rPr>
        <w:tab/>
      </w:r>
      <w:r>
        <w:rPr>
          <w:sz w:val="24"/>
          <w:szCs w:val="24"/>
        </w:rPr>
        <w:tab/>
        <w:t>10.</w:t>
      </w:r>
      <w:r>
        <w:rPr>
          <w:sz w:val="24"/>
          <w:szCs w:val="24"/>
        </w:rPr>
        <w:tab/>
        <w:t>PPL has approximately 1.3 million residential customers.  Tr. 18.</w:t>
      </w:r>
    </w:p>
    <w:p w:rsidR="00FE157A" w:rsidRDefault="00FE157A" w:rsidP="000E0912">
      <w:pPr>
        <w:spacing w:line="360" w:lineRule="auto"/>
        <w:contextualSpacing/>
        <w:rPr>
          <w:sz w:val="24"/>
          <w:szCs w:val="24"/>
        </w:rPr>
      </w:pPr>
    </w:p>
    <w:p w:rsidR="00FE157A" w:rsidRDefault="00FE157A" w:rsidP="000E0912">
      <w:pPr>
        <w:spacing w:line="360" w:lineRule="auto"/>
        <w:contextualSpacing/>
        <w:rPr>
          <w:sz w:val="24"/>
          <w:szCs w:val="24"/>
        </w:rPr>
      </w:pPr>
      <w:r>
        <w:rPr>
          <w:sz w:val="24"/>
          <w:szCs w:val="24"/>
        </w:rPr>
        <w:tab/>
      </w:r>
      <w:r>
        <w:rPr>
          <w:sz w:val="24"/>
          <w:szCs w:val="24"/>
        </w:rPr>
        <w:tab/>
        <w:t>11.</w:t>
      </w:r>
      <w:r>
        <w:rPr>
          <w:sz w:val="24"/>
          <w:szCs w:val="24"/>
        </w:rPr>
        <w:tab/>
      </w:r>
      <w:r w:rsidR="002C6F5E">
        <w:rPr>
          <w:sz w:val="24"/>
          <w:szCs w:val="24"/>
        </w:rPr>
        <w:t>PPL Exhibit 1 is a timeline listing cases and events affecting the rates starting in January 1, 1997.  Tr. 19.</w:t>
      </w:r>
    </w:p>
    <w:p w:rsidR="00190A2D" w:rsidRDefault="00190A2D" w:rsidP="000E0912">
      <w:pPr>
        <w:spacing w:line="360" w:lineRule="auto"/>
        <w:contextualSpacing/>
        <w:rPr>
          <w:sz w:val="24"/>
          <w:szCs w:val="24"/>
        </w:rPr>
      </w:pPr>
    </w:p>
    <w:p w:rsidR="00190A2D" w:rsidRPr="00C844DF" w:rsidRDefault="00190A2D" w:rsidP="000E0912">
      <w:pPr>
        <w:spacing w:line="360" w:lineRule="auto"/>
        <w:contextualSpacing/>
        <w:jc w:val="center"/>
        <w:rPr>
          <w:sz w:val="24"/>
          <w:szCs w:val="24"/>
          <w:u w:val="single"/>
        </w:rPr>
      </w:pPr>
      <w:r w:rsidRPr="00C844DF">
        <w:rPr>
          <w:sz w:val="24"/>
          <w:szCs w:val="24"/>
          <w:u w:val="single"/>
        </w:rPr>
        <w:t>DISCUSSION</w:t>
      </w:r>
    </w:p>
    <w:p w:rsidR="0096775E" w:rsidRDefault="0096775E" w:rsidP="000E0912">
      <w:pPr>
        <w:jc w:val="center"/>
        <w:rPr>
          <w:b/>
        </w:rPr>
      </w:pPr>
    </w:p>
    <w:p w:rsidR="00F10FFF" w:rsidRDefault="009A5B06" w:rsidP="000E0912">
      <w:pPr>
        <w:spacing w:line="360" w:lineRule="auto"/>
        <w:contextualSpacing/>
        <w:rPr>
          <w:sz w:val="24"/>
          <w:szCs w:val="24"/>
        </w:rPr>
      </w:pPr>
      <w:r>
        <w:rPr>
          <w:b/>
        </w:rPr>
        <w:tab/>
      </w:r>
      <w:r>
        <w:rPr>
          <w:b/>
        </w:rPr>
        <w:tab/>
      </w:r>
      <w:r w:rsidR="00F10FFF">
        <w:rPr>
          <w:sz w:val="24"/>
          <w:szCs w:val="24"/>
        </w:rPr>
        <w:t xml:space="preserve">The proponent of a rule or order in any Commission proceeding has the burden of proof, 66 Pa. C.S. § 332, and PPL Electric, as the </w:t>
      </w:r>
      <w:r w:rsidR="006B2A32">
        <w:rPr>
          <w:sz w:val="24"/>
          <w:szCs w:val="24"/>
        </w:rPr>
        <w:t>Respondent</w:t>
      </w:r>
      <w:r w:rsidR="00F10FFF">
        <w:rPr>
          <w:sz w:val="24"/>
          <w:szCs w:val="24"/>
        </w:rPr>
        <w:t xml:space="preserve">, has the burden of proving its case by a preponderance of the evidence, or evidence which is more convincing than the evidence presented by the other parties.  </w:t>
      </w:r>
      <w:r w:rsidR="00F10FFF">
        <w:rPr>
          <w:i/>
          <w:sz w:val="24"/>
          <w:szCs w:val="24"/>
        </w:rPr>
        <w:t>Se-Ling Hosiery v. Margulies</w:t>
      </w:r>
      <w:r w:rsidR="00F10FFF">
        <w:rPr>
          <w:sz w:val="24"/>
          <w:szCs w:val="24"/>
        </w:rPr>
        <w:t xml:space="preserve">, 364 Pa. 45, 70 A.3d 854 (1950); </w:t>
      </w:r>
      <w:r w:rsidR="00F10FFF">
        <w:rPr>
          <w:i/>
          <w:sz w:val="24"/>
          <w:szCs w:val="24"/>
        </w:rPr>
        <w:t>Samuel J. Lansberry, Inc. v. Pa. Publ. Util. Comm’n</w:t>
      </w:r>
      <w:r w:rsidR="00F10FFF">
        <w:rPr>
          <w:sz w:val="24"/>
          <w:szCs w:val="24"/>
        </w:rPr>
        <w:t xml:space="preserve">, 578 A.2d 600 (Pa. Cmwlth. 1990).  </w:t>
      </w:r>
    </w:p>
    <w:p w:rsidR="00F10FFF" w:rsidRDefault="00F10FFF" w:rsidP="000E0912">
      <w:pPr>
        <w:spacing w:line="360" w:lineRule="auto"/>
        <w:contextualSpacing/>
        <w:rPr>
          <w:sz w:val="24"/>
          <w:szCs w:val="24"/>
        </w:rPr>
      </w:pPr>
    </w:p>
    <w:p w:rsidR="00F10FFF" w:rsidRDefault="00F10FFF" w:rsidP="000E0912">
      <w:pPr>
        <w:spacing w:line="360" w:lineRule="auto"/>
        <w:rPr>
          <w:sz w:val="24"/>
          <w:szCs w:val="24"/>
        </w:rPr>
      </w:pPr>
      <w:r>
        <w:rPr>
          <w:sz w:val="24"/>
          <w:szCs w:val="24"/>
        </w:rPr>
        <w:tab/>
      </w:r>
      <w:r>
        <w:rPr>
          <w:sz w:val="24"/>
          <w:szCs w:val="24"/>
        </w:rPr>
        <w:tab/>
        <w:t>Additionally, any finding of fact necessary to support an adjudication of the Commission must be based upon substantial evidence, which is such relevant evidence as a reasonable mind might accept as adequate to support a conclusion</w:t>
      </w:r>
      <w:r w:rsidRPr="00556362">
        <w:rPr>
          <w:sz w:val="24"/>
          <w:szCs w:val="24"/>
        </w:rPr>
        <w:t xml:space="preserve">.  </w:t>
      </w:r>
      <w:r w:rsidRPr="00556362">
        <w:rPr>
          <w:i/>
          <w:sz w:val="24"/>
          <w:szCs w:val="24"/>
        </w:rPr>
        <w:t xml:space="preserve">Mill v. Comm., </w:t>
      </w:r>
      <w:smartTag w:uri="urn:schemas-microsoft-com:office:smarttags" w:element="State">
        <w:r w:rsidRPr="00556362">
          <w:rPr>
            <w:i/>
            <w:sz w:val="24"/>
            <w:szCs w:val="24"/>
          </w:rPr>
          <w:t>Pa.</w:t>
        </w:r>
      </w:smartTag>
      <w:r w:rsidRPr="00556362">
        <w:rPr>
          <w:i/>
          <w:sz w:val="24"/>
          <w:szCs w:val="24"/>
        </w:rPr>
        <w:t xml:space="preserve"> Publ. Util. Comm’n</w:t>
      </w:r>
      <w:r w:rsidRPr="00556362">
        <w:rPr>
          <w:sz w:val="24"/>
          <w:szCs w:val="24"/>
        </w:rPr>
        <w:t>, 447 A.2d 1100 (</w:t>
      </w:r>
      <w:smartTag w:uri="urn:schemas-microsoft-com:office:smarttags" w:element="State">
        <w:r w:rsidRPr="00556362">
          <w:rPr>
            <w:sz w:val="24"/>
            <w:szCs w:val="24"/>
          </w:rPr>
          <w:t>Pa.</w:t>
        </w:r>
      </w:smartTag>
      <w:r w:rsidRPr="00556362">
        <w:rPr>
          <w:sz w:val="24"/>
          <w:szCs w:val="24"/>
        </w:rPr>
        <w:t xml:space="preserve"> Cmwlth. Ct.1982); </w:t>
      </w:r>
      <w:r w:rsidRPr="00556362">
        <w:rPr>
          <w:i/>
          <w:sz w:val="24"/>
          <w:szCs w:val="24"/>
        </w:rPr>
        <w:t xml:space="preserve">Edan Transportation Corp. v. </w:t>
      </w:r>
      <w:smartTag w:uri="urn:schemas-microsoft-com:office:smarttags" w:element="State">
        <w:r w:rsidRPr="00556362">
          <w:rPr>
            <w:i/>
            <w:sz w:val="24"/>
            <w:szCs w:val="24"/>
          </w:rPr>
          <w:t>Pa.</w:t>
        </w:r>
      </w:smartTag>
      <w:r w:rsidRPr="00556362">
        <w:rPr>
          <w:i/>
          <w:sz w:val="24"/>
          <w:szCs w:val="24"/>
        </w:rPr>
        <w:t xml:space="preserve"> Publ. Util. Comm’n,</w:t>
      </w:r>
      <w:r w:rsidRPr="00556362">
        <w:rPr>
          <w:sz w:val="24"/>
          <w:szCs w:val="24"/>
        </w:rPr>
        <w:t xml:space="preserve"> 623 A.2d 6 (</w:t>
      </w:r>
      <w:smartTag w:uri="urn:schemas-microsoft-com:office:smarttags" w:element="State">
        <w:r w:rsidRPr="00556362">
          <w:rPr>
            <w:sz w:val="24"/>
            <w:szCs w:val="24"/>
          </w:rPr>
          <w:t>Pa.</w:t>
        </w:r>
      </w:smartTag>
      <w:r w:rsidRPr="00556362">
        <w:rPr>
          <w:sz w:val="24"/>
          <w:szCs w:val="24"/>
        </w:rPr>
        <w:t xml:space="preserve"> Cmwlth. Ct.1993), 2 </w:t>
      </w:r>
      <w:smartTag w:uri="urn:schemas-microsoft-com:office:smarttags" w:element="place">
        <w:smartTag w:uri="urn:schemas-microsoft-com:office:smarttags" w:element="State">
          <w:r w:rsidRPr="00556362">
            <w:rPr>
              <w:sz w:val="24"/>
              <w:szCs w:val="24"/>
            </w:rPr>
            <w:t>Pa.</w:t>
          </w:r>
        </w:smartTag>
      </w:smartTag>
      <w:r w:rsidRPr="00556362">
        <w:rPr>
          <w:sz w:val="24"/>
          <w:szCs w:val="24"/>
        </w:rPr>
        <w:t xml:space="preserve"> C.S. § 704.  More is required than a </w:t>
      </w:r>
      <w:r w:rsidRPr="00556362">
        <w:rPr>
          <w:sz w:val="24"/>
          <w:szCs w:val="24"/>
        </w:rPr>
        <w:lastRenderedPageBreak/>
        <w:t xml:space="preserve">mere trace of evidence or a suspicion of the existence of a fact sought to be established.  </w:t>
      </w:r>
      <w:smartTag w:uri="urn:schemas-microsoft-com:office:smarttags" w:element="City">
        <w:r w:rsidRPr="00556362">
          <w:rPr>
            <w:i/>
            <w:sz w:val="24"/>
            <w:szCs w:val="24"/>
          </w:rPr>
          <w:t>Norfolk</w:t>
        </w:r>
      </w:smartTag>
      <w:r w:rsidRPr="00556362">
        <w:rPr>
          <w:i/>
          <w:sz w:val="24"/>
          <w:szCs w:val="24"/>
        </w:rPr>
        <w:t xml:space="preserve"> &amp; Western Ry. V. Pa. Publ. Util. Comm’n, </w:t>
      </w:r>
      <w:r w:rsidRPr="00556362">
        <w:rPr>
          <w:sz w:val="24"/>
          <w:szCs w:val="24"/>
        </w:rPr>
        <w:t xml:space="preserve">489 </w:t>
      </w:r>
      <w:smartTag w:uri="urn:schemas-microsoft-com:office:smarttags" w:element="place">
        <w:smartTag w:uri="urn:schemas-microsoft-com:office:smarttags" w:element="State">
          <w:r w:rsidRPr="00556362">
            <w:rPr>
              <w:sz w:val="24"/>
              <w:szCs w:val="24"/>
            </w:rPr>
            <w:t>Pa.</w:t>
          </w:r>
        </w:smartTag>
      </w:smartTag>
      <w:r w:rsidRPr="00556362">
        <w:rPr>
          <w:sz w:val="24"/>
          <w:szCs w:val="24"/>
        </w:rPr>
        <w:t xml:space="preserve"> 109, 413 A.2d 1037 (1980); </w:t>
      </w:r>
      <w:r w:rsidRPr="00556362">
        <w:rPr>
          <w:i/>
          <w:sz w:val="24"/>
          <w:szCs w:val="24"/>
        </w:rPr>
        <w:t xml:space="preserve">Erie Resistor Corp. </w:t>
      </w:r>
      <w:r>
        <w:rPr>
          <w:i/>
          <w:sz w:val="24"/>
          <w:szCs w:val="24"/>
        </w:rPr>
        <w:t>v</w:t>
      </w:r>
      <w:r w:rsidRPr="00556362">
        <w:rPr>
          <w:i/>
          <w:sz w:val="24"/>
          <w:szCs w:val="24"/>
        </w:rPr>
        <w:t>. Unemployment Com. Bd. Of Review</w:t>
      </w:r>
      <w:r w:rsidRPr="00556362">
        <w:rPr>
          <w:sz w:val="24"/>
          <w:szCs w:val="24"/>
        </w:rPr>
        <w:t>, 166 A.2d 96 (</w:t>
      </w:r>
      <w:smartTag w:uri="urn:schemas-microsoft-com:office:smarttags" w:element="State">
        <w:smartTag w:uri="urn:schemas-microsoft-com:office:smarttags" w:element="place">
          <w:r w:rsidRPr="00556362">
            <w:rPr>
              <w:sz w:val="24"/>
              <w:szCs w:val="24"/>
            </w:rPr>
            <w:t>Pa.</w:t>
          </w:r>
        </w:smartTag>
      </w:smartTag>
      <w:r w:rsidRPr="00556362">
        <w:rPr>
          <w:sz w:val="24"/>
          <w:szCs w:val="24"/>
        </w:rPr>
        <w:t xml:space="preserve"> Super. Ct.1960); </w:t>
      </w:r>
      <w:r w:rsidRPr="00556362">
        <w:rPr>
          <w:i/>
          <w:sz w:val="24"/>
          <w:szCs w:val="24"/>
        </w:rPr>
        <w:t xml:space="preserve">Murphy v. Comm., Dept. of Public Welfare, </w:t>
      </w:r>
      <w:smartTag w:uri="urn:schemas-microsoft-com:office:smarttags" w:element="PlaceName">
        <w:r w:rsidRPr="00556362">
          <w:rPr>
            <w:i/>
            <w:sz w:val="24"/>
            <w:szCs w:val="24"/>
          </w:rPr>
          <w:t>White</w:t>
        </w:r>
      </w:smartTag>
      <w:r w:rsidRPr="00556362">
        <w:rPr>
          <w:i/>
          <w:sz w:val="24"/>
          <w:szCs w:val="24"/>
        </w:rPr>
        <w:t xml:space="preserve"> </w:t>
      </w:r>
      <w:smartTag w:uri="urn:schemas-microsoft-com:office:smarttags" w:element="PlaceName">
        <w:r w:rsidRPr="00556362">
          <w:rPr>
            <w:i/>
            <w:sz w:val="24"/>
            <w:szCs w:val="24"/>
          </w:rPr>
          <w:t>Haven</w:t>
        </w:r>
      </w:smartTag>
      <w:r w:rsidRPr="00556362">
        <w:rPr>
          <w:i/>
          <w:sz w:val="24"/>
          <w:szCs w:val="24"/>
        </w:rPr>
        <w:t xml:space="preserve"> </w:t>
      </w:r>
      <w:smartTag w:uri="urn:schemas-microsoft-com:office:smarttags" w:element="PlaceType">
        <w:r w:rsidRPr="00556362">
          <w:rPr>
            <w:i/>
            <w:sz w:val="24"/>
            <w:szCs w:val="24"/>
          </w:rPr>
          <w:t>Center</w:t>
        </w:r>
      </w:smartTag>
      <w:r w:rsidRPr="00556362">
        <w:rPr>
          <w:i/>
          <w:sz w:val="24"/>
          <w:szCs w:val="24"/>
        </w:rPr>
        <w:t xml:space="preserve">, </w:t>
      </w:r>
      <w:r w:rsidRPr="00556362">
        <w:rPr>
          <w:sz w:val="24"/>
          <w:szCs w:val="24"/>
        </w:rPr>
        <w:t>480 A.2d 382 (</w:t>
      </w:r>
      <w:smartTag w:uri="urn:schemas-microsoft-com:office:smarttags" w:element="place">
        <w:smartTag w:uri="urn:schemas-microsoft-com:office:smarttags" w:element="State">
          <w:r w:rsidRPr="00556362">
            <w:rPr>
              <w:sz w:val="24"/>
              <w:szCs w:val="24"/>
            </w:rPr>
            <w:t>Pa.</w:t>
          </w:r>
        </w:smartTag>
      </w:smartTag>
      <w:r w:rsidRPr="00556362">
        <w:rPr>
          <w:sz w:val="24"/>
          <w:szCs w:val="24"/>
        </w:rPr>
        <w:t xml:space="preserve"> Cmwlth. Ct.1984).</w:t>
      </w:r>
    </w:p>
    <w:p w:rsidR="00F10FFF" w:rsidRDefault="00F10FFF" w:rsidP="000E0912">
      <w:pPr>
        <w:spacing w:line="360" w:lineRule="auto"/>
        <w:contextualSpacing/>
        <w:rPr>
          <w:sz w:val="24"/>
          <w:szCs w:val="24"/>
        </w:rPr>
      </w:pPr>
    </w:p>
    <w:p w:rsidR="00F10FFF" w:rsidRPr="003935DD" w:rsidRDefault="00F10FFF" w:rsidP="000E0912">
      <w:pPr>
        <w:tabs>
          <w:tab w:val="left" w:pos="-1440"/>
          <w:tab w:val="left" w:pos="-720"/>
        </w:tabs>
        <w:suppressAutoHyphens/>
        <w:spacing w:line="360" w:lineRule="auto"/>
        <w:ind w:firstLine="1440"/>
        <w:rPr>
          <w:spacing w:val="-3"/>
          <w:sz w:val="24"/>
          <w:szCs w:val="24"/>
        </w:rPr>
      </w:pPr>
      <w:r w:rsidRPr="003935DD">
        <w:rPr>
          <w:spacing w:val="-3"/>
          <w:sz w:val="24"/>
          <w:szCs w:val="24"/>
        </w:rPr>
        <w:t xml:space="preserve">The “burden of proof” is composed of two distinct burdens: the burden of production and the burden of persuasion.  </w:t>
      </w:r>
      <w:r w:rsidRPr="003935DD">
        <w:rPr>
          <w:i/>
          <w:spacing w:val="-3"/>
          <w:sz w:val="24"/>
          <w:szCs w:val="24"/>
        </w:rPr>
        <w:t>Hurley v. Hurley</w:t>
      </w:r>
      <w:r w:rsidRPr="003935DD">
        <w:rPr>
          <w:spacing w:val="-3"/>
          <w:sz w:val="24"/>
          <w:szCs w:val="24"/>
        </w:rPr>
        <w:t>, 2000 Pa.Super. 178, 754 A.2d 1283 (2000).</w:t>
      </w:r>
      <w:r w:rsidR="00EA72D1">
        <w:rPr>
          <w:spacing w:val="-3"/>
          <w:sz w:val="24"/>
          <w:szCs w:val="24"/>
        </w:rPr>
        <w:t xml:space="preserve">  </w:t>
      </w:r>
      <w:r w:rsidRPr="003935DD">
        <w:rPr>
          <w:spacing w:val="-3"/>
          <w:sz w:val="24"/>
          <w:szCs w:val="24"/>
        </w:rPr>
        <w:t xml:space="preserve">The burden of production, also called the burden of producing evidence or the burden of coming forward with evidence, determines which party must come forward with evidence to support a particular proposition.  This burden may shift between the parties during the course of a trial.  If the party (initially, this will usually be the complainant, applicant, or petitioner, as the case may be) with the burden of production fails to introduce sufficient evidence the opposing party is entitled to receive a favorable ruling.  That is, the opposing party would be entitled to a compulsory nonsuit, a directed verdict, or a judgment </w:t>
      </w:r>
      <w:r w:rsidR="00337FA3" w:rsidRPr="003935DD">
        <w:rPr>
          <w:spacing w:val="-3"/>
          <w:sz w:val="24"/>
          <w:szCs w:val="24"/>
        </w:rPr>
        <w:t>notwithstanding</w:t>
      </w:r>
      <w:r w:rsidRPr="003935DD">
        <w:rPr>
          <w:spacing w:val="-3"/>
          <w:sz w:val="24"/>
          <w:szCs w:val="24"/>
        </w:rPr>
        <w:t xml:space="preserve"> the verdict.  Once the party with the initial burden of production introduces sufficient evidence to make out a prima facie case, the burden of production shifts to the opposing party.  If the opposing party introduces evidence sufficient to balance the evidence introduced by the party having the initial burden of production, the burden then shifts back to the party who had the initial burden to introduce more evidence favorable to his position.  The burden of production goes to the legal sufficiency of a party’s case.</w:t>
      </w:r>
    </w:p>
    <w:p w:rsidR="00F10FFF" w:rsidRPr="003935DD" w:rsidRDefault="00F10FFF" w:rsidP="000E0912">
      <w:pPr>
        <w:tabs>
          <w:tab w:val="left" w:pos="-1440"/>
          <w:tab w:val="left" w:pos="-720"/>
        </w:tabs>
        <w:suppressAutoHyphens/>
        <w:spacing w:line="360" w:lineRule="auto"/>
        <w:ind w:firstLine="1440"/>
        <w:rPr>
          <w:spacing w:val="-3"/>
          <w:sz w:val="24"/>
          <w:szCs w:val="24"/>
        </w:rPr>
      </w:pPr>
    </w:p>
    <w:p w:rsidR="00F10FFF" w:rsidRPr="003935DD" w:rsidRDefault="00F10FFF" w:rsidP="00337FA3">
      <w:pPr>
        <w:tabs>
          <w:tab w:val="left" w:pos="-1440"/>
          <w:tab w:val="left" w:pos="-720"/>
        </w:tabs>
        <w:suppressAutoHyphens/>
        <w:spacing w:line="360" w:lineRule="auto"/>
        <w:ind w:firstLine="1440"/>
        <w:rPr>
          <w:spacing w:val="-3"/>
          <w:sz w:val="24"/>
          <w:szCs w:val="24"/>
        </w:rPr>
      </w:pPr>
      <w:r w:rsidRPr="003935DD">
        <w:rPr>
          <w:spacing w:val="-3"/>
          <w:sz w:val="24"/>
          <w:szCs w:val="24"/>
        </w:rPr>
        <w:t xml:space="preserve">Having passed the test of legal sufficiency, the party with the burden of proof must then bear the burden of persuasion to be entitled to a verdict in his favor.  “[T]he burden of persuasion never leaves the party on whom it is originally cast, but the burden of production may shift during the course of the proceedings.”  </w:t>
      </w:r>
      <w:r w:rsidRPr="003935DD">
        <w:rPr>
          <w:i/>
          <w:spacing w:val="-3"/>
          <w:sz w:val="24"/>
          <w:szCs w:val="24"/>
        </w:rPr>
        <w:t>Riedel v. County of Allegheny</w:t>
      </w:r>
      <w:r w:rsidRPr="003935DD">
        <w:rPr>
          <w:spacing w:val="-3"/>
          <w:sz w:val="24"/>
          <w:szCs w:val="24"/>
        </w:rPr>
        <w:t>, 159 Pa.Cmwlth. 583; 591, 633 A.2d 1325; 1328 n. 11 (1993).  The burden of persuasion, usually placed on the complainant, applicant, or petitioner</w:t>
      </w:r>
      <w:r w:rsidRPr="003935DD">
        <w:rPr>
          <w:rStyle w:val="FootnoteReference"/>
          <w:spacing w:val="-3"/>
          <w:sz w:val="24"/>
          <w:szCs w:val="24"/>
        </w:rPr>
        <w:footnoteReference w:id="1"/>
      </w:r>
      <w:r w:rsidRPr="003935DD">
        <w:rPr>
          <w:spacing w:val="-3"/>
          <w:sz w:val="24"/>
          <w:szCs w:val="24"/>
        </w:rPr>
        <w:t xml:space="preserve">, determines which party must produce sufficient evidence to meet the applicable standard of proof.  </w:t>
      </w:r>
      <w:r w:rsidRPr="003935DD">
        <w:rPr>
          <w:i/>
          <w:spacing w:val="-3"/>
          <w:sz w:val="24"/>
          <w:szCs w:val="24"/>
        </w:rPr>
        <w:t>Hurley v. Hurley</w:t>
      </w:r>
      <w:r w:rsidRPr="003935DD">
        <w:rPr>
          <w:spacing w:val="-3"/>
          <w:sz w:val="24"/>
          <w:szCs w:val="24"/>
        </w:rPr>
        <w:t xml:space="preserve">, 2000 Pa.Super. 178, 754 A.2d 1283 (2000).  It is entirely possible for a party to successfully bear the burden of production but not be entitled to a verdict in his favor because the party did not bear the burden of persuasion.  Unlike the burden of production, the burden of persuasion includes determinations of credibility and </w:t>
      </w:r>
      <w:r w:rsidRPr="003935DD">
        <w:rPr>
          <w:spacing w:val="-3"/>
          <w:sz w:val="24"/>
          <w:szCs w:val="24"/>
        </w:rPr>
        <w:lastRenderedPageBreak/>
        <w:t xml:space="preserve">acceptance or rejection of inferences.  Even unrebutted evidence may be disbelieved.  </w:t>
      </w:r>
      <w:r w:rsidRPr="003935DD">
        <w:rPr>
          <w:i/>
          <w:spacing w:val="-3"/>
          <w:sz w:val="24"/>
          <w:szCs w:val="24"/>
        </w:rPr>
        <w:t>Suber v. Pa. Comm’n on Crime and Delinquency</w:t>
      </w:r>
      <w:r w:rsidRPr="003935DD">
        <w:rPr>
          <w:spacing w:val="-3"/>
          <w:sz w:val="24"/>
          <w:szCs w:val="24"/>
        </w:rPr>
        <w:t>, 885 A.2d 678 (Pa.Cmwlth. 2005), app. denied, 586 Pa. 776, 895 A.2d 1264 (2006).  In order to bear the burden of proof and be entitled to a decision in his favor, a party must bear both the burden of production and the burden of persuasion.</w:t>
      </w:r>
    </w:p>
    <w:p w:rsidR="00F10FFF" w:rsidRDefault="00F10FFF" w:rsidP="000E0912">
      <w:pPr>
        <w:spacing w:line="360" w:lineRule="auto"/>
        <w:contextualSpacing/>
        <w:rPr>
          <w:sz w:val="24"/>
          <w:szCs w:val="24"/>
        </w:rPr>
      </w:pPr>
    </w:p>
    <w:p w:rsidR="0096775E" w:rsidRDefault="00F10FFF" w:rsidP="000E0912">
      <w:pPr>
        <w:spacing w:line="360" w:lineRule="auto"/>
        <w:contextualSpacing/>
        <w:rPr>
          <w:sz w:val="24"/>
          <w:szCs w:val="24"/>
        </w:rPr>
      </w:pPr>
      <w:r>
        <w:rPr>
          <w:b/>
        </w:rPr>
        <w:tab/>
      </w:r>
      <w:r>
        <w:rPr>
          <w:b/>
        </w:rPr>
        <w:tab/>
      </w:r>
      <w:r w:rsidRPr="00F10FFF">
        <w:rPr>
          <w:sz w:val="24"/>
          <w:szCs w:val="24"/>
        </w:rPr>
        <w:t xml:space="preserve">Complainants have the burden of </w:t>
      </w:r>
      <w:r>
        <w:rPr>
          <w:sz w:val="24"/>
          <w:szCs w:val="24"/>
        </w:rPr>
        <w:t xml:space="preserve">proving that PPL has violated a statute, regulation, or order of the Commission.  </w:t>
      </w:r>
      <w:r w:rsidR="00631B8A">
        <w:rPr>
          <w:sz w:val="24"/>
          <w:szCs w:val="24"/>
        </w:rPr>
        <w:t>In support of their claim, Complainants testified that they purchased their home on June 23, 2008, and that the “electric heat program” is transferable</w:t>
      </w:r>
      <w:r w:rsidR="00FC6970">
        <w:rPr>
          <w:sz w:val="24"/>
          <w:szCs w:val="24"/>
        </w:rPr>
        <w:t xml:space="preserve"> and will be in effect for the life of the electric thermal storage system</w:t>
      </w:r>
      <w:r w:rsidR="00631B8A">
        <w:rPr>
          <w:sz w:val="24"/>
          <w:szCs w:val="24"/>
        </w:rPr>
        <w:t>.  Brickner Ex. 1</w:t>
      </w:r>
      <w:r w:rsidR="00B309B6">
        <w:rPr>
          <w:sz w:val="24"/>
          <w:szCs w:val="24"/>
        </w:rPr>
        <w:t>, 3</w:t>
      </w:r>
      <w:r w:rsidR="00631B8A">
        <w:rPr>
          <w:sz w:val="24"/>
          <w:szCs w:val="24"/>
        </w:rPr>
        <w:t>.</w:t>
      </w:r>
      <w:r w:rsidR="00FC6970">
        <w:rPr>
          <w:sz w:val="24"/>
          <w:szCs w:val="24"/>
        </w:rPr>
        <w:t xml:space="preserve">  Complainants claim that this constitutes a contract with the existing customers of thermal storage units for continuation of the RTS rate, which is separate and distinguishable from a regular residential rate.  Tr. 11.</w:t>
      </w:r>
      <w:r w:rsidR="00E86391">
        <w:rPr>
          <w:sz w:val="24"/>
          <w:szCs w:val="24"/>
        </w:rPr>
        <w:t xml:space="preserve">  In addition, Complainants allege that the elimination of the Rate RTS constitutes unlawful discrimination against these customers within the meaning of the Public Utility Code.  </w:t>
      </w:r>
      <w:r w:rsidR="00973958">
        <w:rPr>
          <w:sz w:val="24"/>
          <w:szCs w:val="24"/>
        </w:rPr>
        <w:t xml:space="preserve"> While they do not oppose a rate increase after a ten-year cap, they believe that the RTS rate should be increased by the same percentage as the residential rates.  A higher increase would be unjust and unreasonable.  </w:t>
      </w:r>
    </w:p>
    <w:p w:rsidR="00973958" w:rsidRDefault="00973958" w:rsidP="000E0912">
      <w:pPr>
        <w:spacing w:line="360" w:lineRule="auto"/>
        <w:contextualSpacing/>
        <w:rPr>
          <w:sz w:val="24"/>
          <w:szCs w:val="24"/>
        </w:rPr>
      </w:pPr>
    </w:p>
    <w:p w:rsidR="00973958" w:rsidRDefault="00973958" w:rsidP="000E0912">
      <w:pPr>
        <w:spacing w:line="360" w:lineRule="auto"/>
        <w:contextualSpacing/>
        <w:rPr>
          <w:sz w:val="24"/>
          <w:szCs w:val="24"/>
        </w:rPr>
      </w:pPr>
      <w:r>
        <w:rPr>
          <w:sz w:val="24"/>
          <w:szCs w:val="24"/>
        </w:rPr>
        <w:tab/>
      </w:r>
      <w:r>
        <w:rPr>
          <w:sz w:val="24"/>
          <w:szCs w:val="24"/>
        </w:rPr>
        <w:tab/>
        <w:t xml:space="preserve">The Complainants’ home was built in 1992 and the present thermal storage heating is the original unit which was designed for the home.  </w:t>
      </w:r>
      <w:r w:rsidR="00351E8D">
        <w:rPr>
          <w:sz w:val="24"/>
          <w:szCs w:val="24"/>
        </w:rPr>
        <w:t xml:space="preserve">Complainants paid a higher price than they would have because they were led to believe that the RTS Rate would be an available, discounted rate.  Tr. 13-14.  </w:t>
      </w:r>
      <w:r w:rsidR="00115381">
        <w:rPr>
          <w:sz w:val="24"/>
          <w:szCs w:val="24"/>
        </w:rPr>
        <w:t>Since the rate class was guaranteed to exist for the life of the facilities for which it was designed, Complainants allege that PPL’s failure to provide those benefits amounts to a breach of contract and/or inadequate service.</w:t>
      </w:r>
    </w:p>
    <w:p w:rsidR="00FC6970" w:rsidRDefault="00FC6970" w:rsidP="000E0912">
      <w:pPr>
        <w:spacing w:line="360" w:lineRule="auto"/>
        <w:contextualSpacing/>
        <w:rPr>
          <w:sz w:val="24"/>
          <w:szCs w:val="24"/>
        </w:rPr>
      </w:pPr>
    </w:p>
    <w:p w:rsidR="00FC6970" w:rsidRDefault="00400A8E" w:rsidP="000E0912">
      <w:pPr>
        <w:spacing w:line="360" w:lineRule="auto"/>
        <w:contextualSpacing/>
        <w:rPr>
          <w:sz w:val="24"/>
          <w:szCs w:val="24"/>
        </w:rPr>
      </w:pPr>
      <w:r>
        <w:rPr>
          <w:sz w:val="24"/>
          <w:szCs w:val="24"/>
        </w:rPr>
        <w:tab/>
      </w:r>
      <w:r>
        <w:rPr>
          <w:sz w:val="24"/>
          <w:szCs w:val="24"/>
        </w:rPr>
        <w:tab/>
        <w:t xml:space="preserve">The Company explained that the transition from </w:t>
      </w:r>
      <w:r w:rsidR="006866C0">
        <w:rPr>
          <w:sz w:val="24"/>
          <w:szCs w:val="24"/>
        </w:rPr>
        <w:t xml:space="preserve">a regulated to deregulated electric industry began in 1997 when existing rates were frozen.  </w:t>
      </w:r>
      <w:r w:rsidR="00E02AC9">
        <w:rPr>
          <w:sz w:val="24"/>
          <w:szCs w:val="24"/>
        </w:rPr>
        <w:t>Following a restructuring process, PPL filed a distribution rate case in anticipation of the transmission and distribution rate cap expiration o</w:t>
      </w:r>
      <w:r w:rsidR="00913D3C">
        <w:rPr>
          <w:sz w:val="24"/>
          <w:szCs w:val="24"/>
        </w:rPr>
        <w:t xml:space="preserve">n December 31, 2004.  The appellate review of the Commission’s decision resulted in the requirement that the rates be brought to the system average rate of return in the </w:t>
      </w:r>
      <w:r w:rsidR="00913D3C">
        <w:rPr>
          <w:sz w:val="24"/>
          <w:szCs w:val="24"/>
        </w:rPr>
        <w:lastRenderedPageBreak/>
        <w:t>next base rate case.</w:t>
      </w:r>
      <w:r w:rsidR="007B1DB8">
        <w:rPr>
          <w:rStyle w:val="FootnoteReference"/>
          <w:sz w:val="24"/>
          <w:szCs w:val="24"/>
        </w:rPr>
        <w:footnoteReference w:id="2"/>
      </w:r>
      <w:r w:rsidR="00913D3C">
        <w:rPr>
          <w:sz w:val="24"/>
          <w:szCs w:val="24"/>
        </w:rPr>
        <w:t xml:space="preserve">  </w:t>
      </w:r>
      <w:r w:rsidR="00F57B8B">
        <w:rPr>
          <w:sz w:val="24"/>
          <w:szCs w:val="24"/>
        </w:rPr>
        <w:t>In other words, the cost of serving each class of rates would be borne by that class of ratepayers without subsidization</w:t>
      </w:r>
      <w:r w:rsidR="00283EBF">
        <w:rPr>
          <w:sz w:val="24"/>
          <w:szCs w:val="24"/>
        </w:rPr>
        <w:t xml:space="preserve"> across rate</w:t>
      </w:r>
      <w:r w:rsidR="009A1862">
        <w:rPr>
          <w:sz w:val="24"/>
          <w:szCs w:val="24"/>
        </w:rPr>
        <w:t xml:space="preserve"> </w:t>
      </w:r>
      <w:r w:rsidR="00283EBF">
        <w:rPr>
          <w:sz w:val="24"/>
          <w:szCs w:val="24"/>
        </w:rPr>
        <w:t>classes</w:t>
      </w:r>
      <w:r w:rsidR="00F57B8B">
        <w:rPr>
          <w:sz w:val="24"/>
          <w:szCs w:val="24"/>
        </w:rPr>
        <w:t xml:space="preserve">. </w:t>
      </w:r>
    </w:p>
    <w:p w:rsidR="007B1DB8" w:rsidRDefault="007B1DB8" w:rsidP="000E0912">
      <w:pPr>
        <w:spacing w:line="360" w:lineRule="auto"/>
        <w:contextualSpacing/>
        <w:rPr>
          <w:sz w:val="24"/>
          <w:szCs w:val="24"/>
        </w:rPr>
      </w:pPr>
    </w:p>
    <w:p w:rsidR="00CF35C5" w:rsidRDefault="007B1DB8" w:rsidP="000E0912">
      <w:pPr>
        <w:spacing w:line="360" w:lineRule="auto"/>
        <w:contextualSpacing/>
        <w:rPr>
          <w:sz w:val="24"/>
          <w:szCs w:val="24"/>
        </w:rPr>
      </w:pPr>
      <w:r>
        <w:rPr>
          <w:sz w:val="24"/>
          <w:szCs w:val="24"/>
        </w:rPr>
        <w:tab/>
      </w:r>
      <w:r>
        <w:rPr>
          <w:sz w:val="24"/>
          <w:szCs w:val="24"/>
        </w:rPr>
        <w:tab/>
        <w:t xml:space="preserve">The point that became clear was that each class of ratepayers would be charged the cost of serving that class.  </w:t>
      </w:r>
      <w:r w:rsidR="00433B2C">
        <w:rPr>
          <w:sz w:val="24"/>
          <w:szCs w:val="24"/>
        </w:rPr>
        <w:t>The Company’s method for purchasing electricity would be to put the electric requirement of each rate class out for bid for a set period of time.  The Company, which no longer owns generation and must purchase all of its electricity, would pass through the actual cost of the commodity to the customer.  The Company is not permitted to make a profit on the cost of electricity itself</w:t>
      </w:r>
      <w:r w:rsidR="00616774">
        <w:rPr>
          <w:sz w:val="24"/>
          <w:szCs w:val="24"/>
        </w:rPr>
        <w:t xml:space="preserve"> and the process is audited</w:t>
      </w:r>
      <w:r w:rsidR="00433B2C">
        <w:rPr>
          <w:sz w:val="24"/>
          <w:szCs w:val="24"/>
        </w:rPr>
        <w:t>.</w:t>
      </w:r>
      <w:r w:rsidR="00616774">
        <w:rPr>
          <w:sz w:val="24"/>
          <w:szCs w:val="24"/>
        </w:rPr>
        <w:t xml:space="preserve">  </w:t>
      </w:r>
    </w:p>
    <w:p w:rsidR="00CF35C5" w:rsidRDefault="00CF35C5" w:rsidP="000E0912">
      <w:pPr>
        <w:spacing w:line="360" w:lineRule="auto"/>
        <w:contextualSpacing/>
        <w:rPr>
          <w:sz w:val="24"/>
          <w:szCs w:val="24"/>
        </w:rPr>
      </w:pPr>
    </w:p>
    <w:p w:rsidR="00D64E42" w:rsidRDefault="00CF35C5" w:rsidP="000E0912">
      <w:pPr>
        <w:spacing w:line="360" w:lineRule="auto"/>
        <w:contextualSpacing/>
        <w:rPr>
          <w:sz w:val="24"/>
          <w:szCs w:val="24"/>
        </w:rPr>
      </w:pPr>
      <w:r>
        <w:rPr>
          <w:sz w:val="24"/>
          <w:szCs w:val="24"/>
        </w:rPr>
        <w:tab/>
      </w:r>
      <w:r>
        <w:rPr>
          <w:sz w:val="24"/>
          <w:szCs w:val="24"/>
        </w:rPr>
        <w:tab/>
        <w:t xml:space="preserve">The result is that after full transition to competition, each customer will pay for the electricity used, at the price it was purchased.  </w:t>
      </w:r>
      <w:r w:rsidR="00115381">
        <w:rPr>
          <w:sz w:val="24"/>
          <w:szCs w:val="24"/>
        </w:rPr>
        <w:t>O</w:t>
      </w:r>
      <w:r>
        <w:rPr>
          <w:sz w:val="24"/>
          <w:szCs w:val="24"/>
        </w:rPr>
        <w:t>ffer</w:t>
      </w:r>
      <w:r w:rsidR="00115381">
        <w:rPr>
          <w:sz w:val="24"/>
          <w:szCs w:val="24"/>
        </w:rPr>
        <w:t>ing</w:t>
      </w:r>
      <w:r>
        <w:rPr>
          <w:sz w:val="24"/>
          <w:szCs w:val="24"/>
        </w:rPr>
        <w:t xml:space="preserve"> reduced rates for thermal storage customers </w:t>
      </w:r>
      <w:r w:rsidR="00115381">
        <w:rPr>
          <w:sz w:val="24"/>
          <w:szCs w:val="24"/>
        </w:rPr>
        <w:t>would</w:t>
      </w:r>
      <w:r>
        <w:rPr>
          <w:sz w:val="24"/>
          <w:szCs w:val="24"/>
        </w:rPr>
        <w:t xml:space="preserve"> require other cu</w:t>
      </w:r>
      <w:r w:rsidR="00CC7027">
        <w:rPr>
          <w:sz w:val="24"/>
          <w:szCs w:val="24"/>
        </w:rPr>
        <w:t xml:space="preserve">stomers to cover the difference, creating a situation that </w:t>
      </w:r>
      <w:r>
        <w:rPr>
          <w:sz w:val="24"/>
          <w:szCs w:val="24"/>
        </w:rPr>
        <w:t>discriminat</w:t>
      </w:r>
      <w:r w:rsidR="00CC7027">
        <w:rPr>
          <w:sz w:val="24"/>
          <w:szCs w:val="24"/>
        </w:rPr>
        <w:t>es</w:t>
      </w:r>
      <w:r>
        <w:rPr>
          <w:sz w:val="24"/>
          <w:szCs w:val="24"/>
        </w:rPr>
        <w:t xml:space="preserve"> against the customers subsidizing the RTS rate relief.  </w:t>
      </w:r>
    </w:p>
    <w:p w:rsidR="00D64E42" w:rsidRDefault="00D64E42" w:rsidP="000E0912">
      <w:pPr>
        <w:spacing w:line="360" w:lineRule="auto"/>
        <w:contextualSpacing/>
        <w:rPr>
          <w:sz w:val="24"/>
          <w:szCs w:val="24"/>
        </w:rPr>
      </w:pPr>
    </w:p>
    <w:p w:rsidR="006D6D41" w:rsidRDefault="00D64E42" w:rsidP="000E0912">
      <w:pPr>
        <w:spacing w:line="360" w:lineRule="auto"/>
        <w:contextualSpacing/>
        <w:rPr>
          <w:sz w:val="24"/>
          <w:szCs w:val="24"/>
        </w:rPr>
      </w:pPr>
      <w:r>
        <w:rPr>
          <w:sz w:val="24"/>
          <w:szCs w:val="24"/>
        </w:rPr>
        <w:tab/>
      </w:r>
      <w:r>
        <w:rPr>
          <w:sz w:val="24"/>
          <w:szCs w:val="24"/>
        </w:rPr>
        <w:tab/>
        <w:t xml:space="preserve">While the Complainants are understandably upset about the impending rate increase that they will face, the </w:t>
      </w:r>
      <w:r w:rsidR="00874CB5">
        <w:rPr>
          <w:sz w:val="24"/>
          <w:szCs w:val="24"/>
        </w:rPr>
        <w:t xml:space="preserve">electric deregulation </w:t>
      </w:r>
      <w:r>
        <w:rPr>
          <w:sz w:val="24"/>
          <w:szCs w:val="24"/>
        </w:rPr>
        <w:t>legislation requires the utility and the Commi</w:t>
      </w:r>
      <w:r w:rsidR="00CD40B9">
        <w:rPr>
          <w:sz w:val="24"/>
          <w:szCs w:val="24"/>
        </w:rPr>
        <w:t xml:space="preserve">ssion to </w:t>
      </w:r>
      <w:r w:rsidR="00B643ED">
        <w:rPr>
          <w:sz w:val="24"/>
          <w:szCs w:val="24"/>
        </w:rPr>
        <w:t xml:space="preserve">implement </w:t>
      </w:r>
      <w:r w:rsidR="00874CB5">
        <w:rPr>
          <w:sz w:val="24"/>
          <w:szCs w:val="24"/>
        </w:rPr>
        <w:t>its</w:t>
      </w:r>
      <w:r w:rsidR="00B643ED">
        <w:rPr>
          <w:sz w:val="24"/>
          <w:szCs w:val="24"/>
        </w:rPr>
        <w:t xml:space="preserve"> terms:  the utility must purchase the commodity and charge the ratepayers the price that the utility pays.  It cannot do this </w:t>
      </w:r>
      <w:r w:rsidR="00657331">
        <w:rPr>
          <w:sz w:val="24"/>
          <w:szCs w:val="24"/>
        </w:rPr>
        <w:t xml:space="preserve">and maintain </w:t>
      </w:r>
      <w:r w:rsidR="00CD40B9">
        <w:rPr>
          <w:sz w:val="24"/>
          <w:szCs w:val="24"/>
        </w:rPr>
        <w:t xml:space="preserve">the reduced rates afforded under the RTS </w:t>
      </w:r>
      <w:r w:rsidR="00B643ED">
        <w:rPr>
          <w:sz w:val="24"/>
          <w:szCs w:val="24"/>
        </w:rPr>
        <w:t>without the implementation of additional programs.</w:t>
      </w:r>
      <w:r w:rsidR="00657331">
        <w:rPr>
          <w:sz w:val="24"/>
          <w:szCs w:val="24"/>
        </w:rPr>
        <w:t xml:space="preserve"> </w:t>
      </w:r>
      <w:r w:rsidR="006D6D41">
        <w:rPr>
          <w:sz w:val="24"/>
          <w:szCs w:val="24"/>
        </w:rPr>
        <w:t xml:space="preserve"> T</w:t>
      </w:r>
      <w:r w:rsidR="00874CB5">
        <w:rPr>
          <w:sz w:val="24"/>
          <w:szCs w:val="24"/>
        </w:rPr>
        <w:t>herefore, t</w:t>
      </w:r>
      <w:r w:rsidR="006D6D41">
        <w:rPr>
          <w:sz w:val="24"/>
          <w:szCs w:val="24"/>
        </w:rPr>
        <w:t xml:space="preserve">he Commission cannot censure the utility for carrying out the terms of legislation which the Commission is charged with enforcing.  </w:t>
      </w:r>
    </w:p>
    <w:p w:rsidR="006D6D41" w:rsidRDefault="006D6D41" w:rsidP="000E0912">
      <w:pPr>
        <w:spacing w:line="360" w:lineRule="auto"/>
        <w:contextualSpacing/>
        <w:rPr>
          <w:sz w:val="24"/>
          <w:szCs w:val="24"/>
        </w:rPr>
      </w:pPr>
    </w:p>
    <w:p w:rsidR="00892C46" w:rsidRDefault="006D6D41" w:rsidP="000E0912">
      <w:pPr>
        <w:spacing w:line="360" w:lineRule="auto"/>
        <w:contextualSpacing/>
        <w:rPr>
          <w:sz w:val="24"/>
          <w:szCs w:val="24"/>
        </w:rPr>
      </w:pPr>
      <w:r>
        <w:rPr>
          <w:sz w:val="24"/>
          <w:szCs w:val="24"/>
        </w:rPr>
        <w:tab/>
      </w:r>
      <w:r>
        <w:rPr>
          <w:sz w:val="24"/>
          <w:szCs w:val="24"/>
        </w:rPr>
        <w:tab/>
        <w:t xml:space="preserve">However, Complainants claim that before they purchased their home, for which closing occurred on June 23, 2008, they contacted PPL and asked whether the RTS Rate would </w:t>
      </w:r>
      <w:r w:rsidR="00892C46">
        <w:rPr>
          <w:sz w:val="24"/>
          <w:szCs w:val="24"/>
        </w:rPr>
        <w:t xml:space="preserve">continue to be effective.  </w:t>
      </w:r>
    </w:p>
    <w:p w:rsidR="00BE3D71" w:rsidRDefault="00BE3D71" w:rsidP="000E0912">
      <w:pPr>
        <w:spacing w:line="360" w:lineRule="auto"/>
        <w:contextualSpacing/>
        <w:rPr>
          <w:sz w:val="24"/>
          <w:szCs w:val="24"/>
        </w:rPr>
      </w:pPr>
    </w:p>
    <w:p w:rsidR="00E32FD2" w:rsidRDefault="00892C46" w:rsidP="000E0912">
      <w:pPr>
        <w:ind w:left="1440" w:right="1440"/>
        <w:contextualSpacing/>
        <w:rPr>
          <w:sz w:val="24"/>
          <w:szCs w:val="24"/>
        </w:rPr>
      </w:pPr>
      <w:r>
        <w:rPr>
          <w:sz w:val="24"/>
          <w:szCs w:val="24"/>
        </w:rPr>
        <w:t xml:space="preserve">Mrs. Brickner:  Ourselves, our attorney and the people that owned the house before, the Moores, that </w:t>
      </w:r>
      <w:r w:rsidRPr="00CC7027">
        <w:rPr>
          <w:b/>
          <w:sz w:val="24"/>
          <w:szCs w:val="24"/>
        </w:rPr>
        <w:t>three separate telephone calls</w:t>
      </w:r>
      <w:r>
        <w:rPr>
          <w:sz w:val="24"/>
          <w:szCs w:val="24"/>
        </w:rPr>
        <w:t xml:space="preserve"> were made to PP&amp;L where we had general conversations about rates and it would have been helpful if at any time – I don’t have </w:t>
      </w:r>
      <w:r>
        <w:rPr>
          <w:sz w:val="24"/>
          <w:szCs w:val="24"/>
        </w:rPr>
        <w:lastRenderedPageBreak/>
        <w:t xml:space="preserve">representative names.  I’m just making a general comment.  It would have been helpful, especially to us, coming from Florida, where we had no idea </w:t>
      </w:r>
      <w:r w:rsidR="00A6736B">
        <w:rPr>
          <w:sz w:val="24"/>
          <w:szCs w:val="24"/>
        </w:rPr>
        <w:t>a</w:t>
      </w:r>
      <w:r>
        <w:rPr>
          <w:sz w:val="24"/>
          <w:szCs w:val="24"/>
        </w:rPr>
        <w:t>bout – you know, what the history was, it would have been helpful if they could have said, this is the way it is now, but changes are projected in the future.  You should be aware of that.  That would have been very helpful because that would’ve, you know, made us aware – possibly try to negotiate a lower price or not even buy the house.  And I understand, there’s not much you can do about that, but perhaps the gentleman</w:t>
      </w:r>
      <w:r w:rsidR="00E32FD2">
        <w:rPr>
          <w:sz w:val="24"/>
          <w:szCs w:val="24"/>
        </w:rPr>
        <w:t xml:space="preserve"> that is listening, Mr. Kasper,</w:t>
      </w:r>
      <w:r w:rsidR="00657331">
        <w:rPr>
          <w:sz w:val="24"/>
          <w:szCs w:val="24"/>
        </w:rPr>
        <w:t xml:space="preserve"> </w:t>
      </w:r>
      <w:r w:rsidR="00E32FD2">
        <w:rPr>
          <w:sz w:val="24"/>
          <w:szCs w:val="24"/>
        </w:rPr>
        <w:t>that might be a piece of information that customer service reps could’ve been -- you know, just trained to just mention that to people, that they don’t know the details but just be aware there will be changes and increases are projected and that would have been very helpful.</w:t>
      </w:r>
      <w:r w:rsidR="00B643ED">
        <w:rPr>
          <w:sz w:val="24"/>
          <w:szCs w:val="24"/>
        </w:rPr>
        <w:t xml:space="preserve">  </w:t>
      </w:r>
    </w:p>
    <w:p w:rsidR="00874CB5" w:rsidRDefault="00874CB5" w:rsidP="000E0912">
      <w:pPr>
        <w:ind w:left="1440" w:right="1440"/>
        <w:contextualSpacing/>
        <w:rPr>
          <w:sz w:val="24"/>
          <w:szCs w:val="24"/>
        </w:rPr>
      </w:pPr>
    </w:p>
    <w:p w:rsidR="00E32FD2" w:rsidRDefault="00E32FD2" w:rsidP="00102242">
      <w:pPr>
        <w:ind w:left="1440" w:right="1440"/>
        <w:contextualSpacing/>
        <w:rPr>
          <w:sz w:val="24"/>
          <w:szCs w:val="24"/>
        </w:rPr>
      </w:pPr>
      <w:r>
        <w:rPr>
          <w:sz w:val="24"/>
          <w:szCs w:val="24"/>
        </w:rPr>
        <w:t>ALJ:  Ms. Brickner, you are absolutely right.  That’s something the company was – the company on some level was aware was going to happen and the fact that they didn’t get it to the people who were contacting, the outside people such as yourselves, that’s inexcusable.  That’s something the company should be very ashamed of.</w:t>
      </w:r>
      <w:r w:rsidR="00433B2C">
        <w:rPr>
          <w:sz w:val="24"/>
          <w:szCs w:val="24"/>
        </w:rPr>
        <w:t xml:space="preserve">  </w:t>
      </w:r>
      <w:r w:rsidR="00874CB5">
        <w:rPr>
          <w:sz w:val="24"/>
          <w:szCs w:val="24"/>
        </w:rPr>
        <w:t>Tr. 36-37.</w:t>
      </w:r>
    </w:p>
    <w:p w:rsidR="00102242" w:rsidRDefault="00102242" w:rsidP="00102242">
      <w:pPr>
        <w:ind w:left="1440" w:right="1440"/>
        <w:contextualSpacing/>
        <w:rPr>
          <w:sz w:val="24"/>
          <w:szCs w:val="24"/>
        </w:rPr>
      </w:pPr>
    </w:p>
    <w:p w:rsidR="00FC6970" w:rsidRDefault="00BA0244" w:rsidP="000E0912">
      <w:pPr>
        <w:spacing w:line="360" w:lineRule="auto"/>
        <w:contextualSpacing/>
        <w:rPr>
          <w:sz w:val="24"/>
          <w:szCs w:val="24"/>
        </w:rPr>
      </w:pPr>
      <w:r>
        <w:rPr>
          <w:sz w:val="24"/>
          <w:szCs w:val="24"/>
        </w:rPr>
        <w:tab/>
      </w:r>
      <w:r>
        <w:rPr>
          <w:sz w:val="24"/>
          <w:szCs w:val="24"/>
        </w:rPr>
        <w:tab/>
        <w:t xml:space="preserve">According to the Company’s own timeline, PPL Ex. 1, the Competitive Bridge Plan which provided that the RTS customer would receive a 1.35 cent per kwh discount in 2010 was settled May 22, 2007.  </w:t>
      </w:r>
      <w:r w:rsidR="001D47B0">
        <w:rPr>
          <w:sz w:val="24"/>
          <w:szCs w:val="24"/>
        </w:rPr>
        <w:t xml:space="preserve">This represents a substantial change from the expectations of RTS customers.  </w:t>
      </w:r>
      <w:r>
        <w:rPr>
          <w:sz w:val="24"/>
          <w:szCs w:val="24"/>
        </w:rPr>
        <w:t xml:space="preserve">Therefore, the Company knew </w:t>
      </w:r>
      <w:r w:rsidR="00AE79A1">
        <w:rPr>
          <w:sz w:val="24"/>
          <w:szCs w:val="24"/>
        </w:rPr>
        <w:t>upon the approval of the settlement</w:t>
      </w:r>
      <w:r>
        <w:rPr>
          <w:sz w:val="24"/>
          <w:szCs w:val="24"/>
        </w:rPr>
        <w:t xml:space="preserve"> that there would be a substantial change for the customers receiving the RTS rate.  Approximately a year later, Complainants called </w:t>
      </w:r>
      <w:r w:rsidR="001D47B0">
        <w:rPr>
          <w:sz w:val="24"/>
          <w:szCs w:val="24"/>
        </w:rPr>
        <w:t xml:space="preserve">the Company </w:t>
      </w:r>
      <w:r>
        <w:rPr>
          <w:sz w:val="24"/>
          <w:szCs w:val="24"/>
        </w:rPr>
        <w:t xml:space="preserve">to verify that the existence of the rate was reliable, and they were assured that it was.  </w:t>
      </w:r>
    </w:p>
    <w:p w:rsidR="00BA0244" w:rsidRDefault="00BA0244" w:rsidP="000E0912">
      <w:pPr>
        <w:spacing w:line="360" w:lineRule="auto"/>
        <w:contextualSpacing/>
        <w:rPr>
          <w:sz w:val="24"/>
          <w:szCs w:val="24"/>
        </w:rPr>
      </w:pPr>
    </w:p>
    <w:p w:rsidR="00B4552D" w:rsidRDefault="00B4552D" w:rsidP="00B4552D">
      <w:pPr>
        <w:spacing w:line="360" w:lineRule="auto"/>
        <w:rPr>
          <w:sz w:val="24"/>
          <w:szCs w:val="24"/>
        </w:rPr>
      </w:pPr>
      <w:r>
        <w:rPr>
          <w:sz w:val="24"/>
          <w:szCs w:val="24"/>
        </w:rPr>
        <w:tab/>
      </w:r>
      <w:r>
        <w:rPr>
          <w:sz w:val="24"/>
          <w:szCs w:val="24"/>
        </w:rPr>
        <w:tab/>
      </w:r>
      <w:r w:rsidR="00E8572C">
        <w:rPr>
          <w:sz w:val="24"/>
          <w:szCs w:val="24"/>
        </w:rPr>
        <w:t>R</w:t>
      </w:r>
      <w:r>
        <w:rPr>
          <w:sz w:val="24"/>
          <w:szCs w:val="24"/>
        </w:rPr>
        <w:t xml:space="preserve">atepayers have the right to adequate service under the Public Utility Code, 66 Pa. C.S. § 1501, which includes all aspects of a utility’s service, not only the distribution of electricity to their home.  </w:t>
      </w:r>
    </w:p>
    <w:p w:rsidR="00337FA3" w:rsidRDefault="00337FA3">
      <w:pPr>
        <w:rPr>
          <w:sz w:val="24"/>
          <w:szCs w:val="24"/>
        </w:rPr>
      </w:pPr>
    </w:p>
    <w:p w:rsidR="00F91B69" w:rsidRDefault="00F91B69">
      <w:pPr>
        <w:rPr>
          <w:sz w:val="24"/>
          <w:szCs w:val="24"/>
        </w:rPr>
      </w:pPr>
      <w:r>
        <w:rPr>
          <w:sz w:val="24"/>
          <w:szCs w:val="24"/>
        </w:rPr>
        <w:br w:type="page"/>
      </w:r>
    </w:p>
    <w:p w:rsidR="004A70EA" w:rsidRDefault="00B4552D" w:rsidP="00B03EED">
      <w:pPr>
        <w:spacing w:line="360" w:lineRule="auto"/>
        <w:ind w:firstLine="1440"/>
        <w:rPr>
          <w:sz w:val="24"/>
          <w:szCs w:val="24"/>
        </w:rPr>
      </w:pPr>
      <w:r>
        <w:rPr>
          <w:sz w:val="24"/>
          <w:szCs w:val="24"/>
        </w:rPr>
        <w:lastRenderedPageBreak/>
        <w:t>The statutory definition of “service” is to be broadly construed</w:t>
      </w:r>
      <w:r>
        <w:rPr>
          <w:rStyle w:val="FootnoteReference"/>
          <w:sz w:val="24"/>
          <w:szCs w:val="24"/>
        </w:rPr>
        <w:footnoteReference w:id="3"/>
      </w:r>
      <w:r>
        <w:rPr>
          <w:sz w:val="24"/>
          <w:szCs w:val="24"/>
        </w:rPr>
        <w:t xml:space="preserve">.  </w:t>
      </w:r>
      <w:r>
        <w:rPr>
          <w:i/>
          <w:sz w:val="24"/>
          <w:szCs w:val="24"/>
        </w:rPr>
        <w:t xml:space="preserve">Country Place Waste Treatment Co., Inc. v. Pa. Publ. Util. Comm’n, </w:t>
      </w:r>
      <w:r>
        <w:rPr>
          <w:sz w:val="24"/>
          <w:szCs w:val="24"/>
        </w:rPr>
        <w:t xml:space="preserve">654 A.2d 72 (Pa. Cmwlth. Ct. 1995).  </w:t>
      </w:r>
    </w:p>
    <w:p w:rsidR="00B4552D" w:rsidRPr="00BF230A" w:rsidRDefault="00B4552D" w:rsidP="00B4552D">
      <w:pPr>
        <w:spacing w:line="360" w:lineRule="auto"/>
        <w:rPr>
          <w:sz w:val="24"/>
          <w:szCs w:val="24"/>
        </w:rPr>
      </w:pPr>
      <w:r>
        <w:rPr>
          <w:sz w:val="24"/>
          <w:szCs w:val="24"/>
        </w:rPr>
        <w:t>In applying the facts to the law, the issue becomes whether the Company’s treatment of the Complainant rises to the level of inadequate service.</w:t>
      </w:r>
    </w:p>
    <w:p w:rsidR="00B4552D" w:rsidRDefault="00B4552D" w:rsidP="000E0912">
      <w:pPr>
        <w:spacing w:line="360" w:lineRule="auto"/>
        <w:contextualSpacing/>
        <w:rPr>
          <w:sz w:val="24"/>
          <w:szCs w:val="24"/>
        </w:rPr>
      </w:pPr>
    </w:p>
    <w:p w:rsidR="004A70EA" w:rsidRDefault="00BA0244" w:rsidP="000E0912">
      <w:pPr>
        <w:spacing w:line="360" w:lineRule="auto"/>
        <w:contextualSpacing/>
        <w:rPr>
          <w:sz w:val="24"/>
          <w:szCs w:val="24"/>
        </w:rPr>
      </w:pPr>
      <w:r>
        <w:rPr>
          <w:sz w:val="24"/>
          <w:szCs w:val="24"/>
        </w:rPr>
        <w:tab/>
      </w:r>
      <w:r>
        <w:rPr>
          <w:sz w:val="24"/>
          <w:szCs w:val="24"/>
        </w:rPr>
        <w:tab/>
        <w:t xml:space="preserve">A year is more than enough time for the Company to train its customer service representatives to provide some indication that the future of the RTS discount was in doubt.  </w:t>
      </w:r>
      <w:r w:rsidR="00AE79A1">
        <w:rPr>
          <w:sz w:val="24"/>
          <w:szCs w:val="24"/>
        </w:rPr>
        <w:t xml:space="preserve">Failure of the Company to </w:t>
      </w:r>
      <w:r w:rsidR="00AC42F9">
        <w:rPr>
          <w:sz w:val="24"/>
          <w:szCs w:val="24"/>
        </w:rPr>
        <w:t xml:space="preserve">provide accurate information regarding the future of a rate class which has 13,000 customers is inadequate service within the meaning of Section 1501.  </w:t>
      </w:r>
    </w:p>
    <w:p w:rsidR="00BA0244" w:rsidRDefault="00AC42F9" w:rsidP="000E0912">
      <w:pPr>
        <w:spacing w:line="360" w:lineRule="auto"/>
        <w:contextualSpacing/>
        <w:rPr>
          <w:sz w:val="24"/>
          <w:szCs w:val="24"/>
        </w:rPr>
      </w:pPr>
      <w:r>
        <w:rPr>
          <w:sz w:val="24"/>
          <w:szCs w:val="24"/>
        </w:rPr>
        <w:t xml:space="preserve">66 Pa. C.S. § 1501.  </w:t>
      </w:r>
    </w:p>
    <w:p w:rsidR="00BE3D71" w:rsidRDefault="00BE3D71" w:rsidP="00BE3D71">
      <w:pPr>
        <w:spacing w:line="360" w:lineRule="auto"/>
        <w:contextualSpacing/>
        <w:rPr>
          <w:sz w:val="24"/>
          <w:szCs w:val="24"/>
        </w:rPr>
      </w:pPr>
    </w:p>
    <w:p w:rsidR="00AC42F9" w:rsidRDefault="00CC7027" w:rsidP="00BE3D71">
      <w:pPr>
        <w:spacing w:line="360" w:lineRule="auto"/>
        <w:ind w:firstLine="1440"/>
        <w:contextualSpacing/>
        <w:rPr>
          <w:sz w:val="24"/>
          <w:szCs w:val="24"/>
        </w:rPr>
      </w:pPr>
      <w:r>
        <w:rPr>
          <w:sz w:val="24"/>
          <w:szCs w:val="24"/>
        </w:rPr>
        <w:t xml:space="preserve">Because the Company has not had the opportunity to establish that its handling of the RTS Rate’s diminution of benefits was </w:t>
      </w:r>
      <w:r w:rsidR="00CD401B">
        <w:rPr>
          <w:sz w:val="24"/>
          <w:szCs w:val="24"/>
        </w:rPr>
        <w:t xml:space="preserve">the subject of adequate notice to customers or that its own customer service representatives had proper training to address questions regarding the terms of the rate’s continuance, there will be no civil penalty assessed in this case.  </w:t>
      </w:r>
    </w:p>
    <w:p w:rsidR="00CD401B" w:rsidRDefault="00CD401B" w:rsidP="000E0912">
      <w:pPr>
        <w:spacing w:line="360" w:lineRule="auto"/>
        <w:contextualSpacing/>
        <w:rPr>
          <w:sz w:val="24"/>
          <w:szCs w:val="24"/>
        </w:rPr>
      </w:pPr>
    </w:p>
    <w:p w:rsidR="004F0B83" w:rsidRDefault="004F0B83" w:rsidP="000E0912">
      <w:pPr>
        <w:spacing w:line="360" w:lineRule="auto"/>
        <w:contextualSpacing/>
        <w:rPr>
          <w:sz w:val="24"/>
          <w:szCs w:val="24"/>
        </w:rPr>
      </w:pPr>
      <w:r>
        <w:rPr>
          <w:sz w:val="24"/>
          <w:szCs w:val="24"/>
        </w:rPr>
        <w:tab/>
      </w:r>
      <w:r>
        <w:rPr>
          <w:sz w:val="24"/>
          <w:szCs w:val="24"/>
        </w:rPr>
        <w:tab/>
        <w:t>There is, however, another basis for censure, and that is the Company’s failure to address the concerns of its ratepayers.</w:t>
      </w:r>
    </w:p>
    <w:p w:rsidR="004F0B83" w:rsidRDefault="004F0B83" w:rsidP="000E0912">
      <w:pPr>
        <w:spacing w:line="360" w:lineRule="auto"/>
        <w:contextualSpacing/>
        <w:rPr>
          <w:sz w:val="24"/>
          <w:szCs w:val="24"/>
        </w:rPr>
      </w:pPr>
    </w:p>
    <w:p w:rsidR="00AC42F9" w:rsidRDefault="00AC42F9" w:rsidP="000E0912">
      <w:pPr>
        <w:spacing w:line="360" w:lineRule="auto"/>
        <w:contextualSpacing/>
        <w:rPr>
          <w:sz w:val="24"/>
          <w:szCs w:val="24"/>
        </w:rPr>
      </w:pPr>
      <w:r>
        <w:rPr>
          <w:sz w:val="24"/>
          <w:szCs w:val="24"/>
        </w:rPr>
        <w:tab/>
      </w:r>
      <w:r>
        <w:rPr>
          <w:sz w:val="24"/>
          <w:szCs w:val="24"/>
        </w:rPr>
        <w:tab/>
      </w:r>
      <w:r w:rsidR="008203E4">
        <w:rPr>
          <w:sz w:val="24"/>
          <w:szCs w:val="24"/>
        </w:rPr>
        <w:t>A</w:t>
      </w:r>
      <w:r>
        <w:rPr>
          <w:sz w:val="24"/>
          <w:szCs w:val="24"/>
        </w:rPr>
        <w:t xml:space="preserve">fter the Complaint was filed May 4, 2009, the Company </w:t>
      </w:r>
      <w:r w:rsidR="00891BF5">
        <w:rPr>
          <w:sz w:val="24"/>
          <w:szCs w:val="24"/>
        </w:rPr>
        <w:t>filed an Answer which states:</w:t>
      </w:r>
    </w:p>
    <w:p w:rsidR="00BE3D71" w:rsidRDefault="00891BF5" w:rsidP="000E0912">
      <w:pPr>
        <w:ind w:left="1440" w:right="1440"/>
        <w:contextualSpacing/>
        <w:rPr>
          <w:sz w:val="24"/>
          <w:szCs w:val="24"/>
        </w:rPr>
      </w:pPr>
      <w:r>
        <w:rPr>
          <w:sz w:val="24"/>
          <w:szCs w:val="24"/>
        </w:rPr>
        <w:t xml:space="preserve">Further, PPL is not discontinuing the “RTS Rate”.  PPL would be required to present evidence in a base rate filing in order to eliminate the RTS Rate Schedule from the current effective Tariff 201.  Complainant can continue to take service under Rate Schedule RTS.  However, historic benefits of Rate Schedule RTS compared to the standard residential Rate Schedule RS will decline when generation rate caps, imposed by the Competition Act of 1996 and PPL’s Settlement of 1998, expire on January 1, 2010.  </w:t>
      </w:r>
    </w:p>
    <w:p w:rsidR="00BE3D71" w:rsidRDefault="00BE3D71">
      <w:pPr>
        <w:rPr>
          <w:sz w:val="24"/>
          <w:szCs w:val="24"/>
        </w:rPr>
      </w:pPr>
      <w:r>
        <w:rPr>
          <w:sz w:val="24"/>
          <w:szCs w:val="24"/>
        </w:rPr>
        <w:br w:type="page"/>
      </w:r>
    </w:p>
    <w:p w:rsidR="00891BF5" w:rsidRDefault="00891BF5" w:rsidP="000E0912">
      <w:pPr>
        <w:ind w:left="1440" w:right="1440"/>
        <w:contextualSpacing/>
        <w:rPr>
          <w:sz w:val="24"/>
          <w:szCs w:val="24"/>
        </w:rPr>
      </w:pPr>
      <w:r>
        <w:rPr>
          <w:sz w:val="24"/>
          <w:szCs w:val="24"/>
        </w:rPr>
        <w:lastRenderedPageBreak/>
        <w:t>The Competitive Bridge Plan Settlement submitted to and approve [sic] by</w:t>
      </w:r>
      <w:r w:rsidR="00E02DAD">
        <w:rPr>
          <w:sz w:val="24"/>
          <w:szCs w:val="24"/>
        </w:rPr>
        <w:t xml:space="preserve"> the PUC for PPL to purchase generation supply for 2010, has built-in savings of 1.35 cent per kWh for RTS customers.  The Provider of Last Resort II (POLR II) filing and pending settlement for PPL to purchase generation supply for 2011 through 2013, has a built in savings for 2011 of 0.675 cents per kWh for RTS customers.  Until the next base rate filing by PPL there remains a substantial Distribution discount for RTS customer when compared to the standard residential rate, RS.  For a 1,000 kWh/month customer, the estimated saving on Distribution in 2010 is $9.75 cents per month.  In total, a 1,000 kWh per month customer on RTS in 2010 will continue to have a signif</w:t>
      </w:r>
      <w:r w:rsidR="008203E4">
        <w:rPr>
          <w:sz w:val="24"/>
          <w:szCs w:val="24"/>
        </w:rPr>
        <w:t>icant savings, estimated to be $</w:t>
      </w:r>
      <w:r w:rsidR="00E02DAD">
        <w:rPr>
          <w:sz w:val="24"/>
          <w:szCs w:val="24"/>
        </w:rPr>
        <w:t>23.25/month, when compared with a standard residential customer served on Rate Schedule RS.</w:t>
      </w:r>
    </w:p>
    <w:p w:rsidR="00E02DAD" w:rsidRPr="00F10FFF" w:rsidRDefault="00E02DAD" w:rsidP="000E0912">
      <w:pPr>
        <w:ind w:left="1440" w:right="1440"/>
        <w:contextualSpacing/>
        <w:rPr>
          <w:sz w:val="24"/>
          <w:szCs w:val="24"/>
        </w:rPr>
      </w:pPr>
      <w:r>
        <w:rPr>
          <w:sz w:val="24"/>
          <w:szCs w:val="24"/>
        </w:rPr>
        <w:t>PPL Answer ¶</w:t>
      </w:r>
      <w:r w:rsidR="008203E4">
        <w:rPr>
          <w:sz w:val="24"/>
          <w:szCs w:val="24"/>
        </w:rPr>
        <w:t>4.</w:t>
      </w:r>
    </w:p>
    <w:p w:rsidR="003C4F6F" w:rsidRDefault="003C4F6F" w:rsidP="000E0912">
      <w:pPr>
        <w:jc w:val="center"/>
        <w:rPr>
          <w:b/>
        </w:rPr>
      </w:pPr>
    </w:p>
    <w:p w:rsidR="008203E4" w:rsidRDefault="008203E4" w:rsidP="000E0912">
      <w:pPr>
        <w:spacing w:line="360" w:lineRule="auto"/>
        <w:rPr>
          <w:sz w:val="24"/>
          <w:szCs w:val="24"/>
        </w:rPr>
      </w:pPr>
      <w:r>
        <w:tab/>
      </w:r>
      <w:r>
        <w:tab/>
      </w:r>
      <w:r w:rsidR="0025445B">
        <w:rPr>
          <w:sz w:val="24"/>
          <w:szCs w:val="24"/>
        </w:rPr>
        <w:t>While the actual rate classification is not being eliminated,</w:t>
      </w:r>
      <w:r w:rsidR="005D561D">
        <w:rPr>
          <w:rStyle w:val="FootnoteReference"/>
          <w:sz w:val="24"/>
          <w:szCs w:val="24"/>
        </w:rPr>
        <w:footnoteReference w:id="4"/>
      </w:r>
      <w:r w:rsidR="0025445B">
        <w:rPr>
          <w:sz w:val="24"/>
          <w:szCs w:val="24"/>
        </w:rPr>
        <w:t xml:space="preserve"> the </w:t>
      </w:r>
      <w:r w:rsidR="0025445B" w:rsidRPr="005D561D">
        <w:rPr>
          <w:i/>
          <w:sz w:val="24"/>
          <w:szCs w:val="24"/>
        </w:rPr>
        <w:t>benefits</w:t>
      </w:r>
      <w:r w:rsidR="0025445B">
        <w:rPr>
          <w:sz w:val="24"/>
          <w:szCs w:val="24"/>
        </w:rPr>
        <w:t xml:space="preserve"> are being systematically reduced over the course of the next few years</w:t>
      </w:r>
      <w:r w:rsidR="005D561D">
        <w:rPr>
          <w:sz w:val="24"/>
          <w:szCs w:val="24"/>
        </w:rPr>
        <w:t>.  This is the resul</w:t>
      </w:r>
      <w:r w:rsidR="0025445B">
        <w:rPr>
          <w:sz w:val="24"/>
          <w:szCs w:val="24"/>
        </w:rPr>
        <w:t xml:space="preserve">t of the Electric Competition Act and the case law interpreting </w:t>
      </w:r>
      <w:r w:rsidR="008905E4">
        <w:rPr>
          <w:sz w:val="24"/>
          <w:szCs w:val="24"/>
        </w:rPr>
        <w:t>the Act,</w:t>
      </w:r>
      <w:r w:rsidR="0025445B">
        <w:rPr>
          <w:sz w:val="24"/>
          <w:szCs w:val="24"/>
        </w:rPr>
        <w:t xml:space="preserve"> and </w:t>
      </w:r>
      <w:r w:rsidR="00FB2CB7">
        <w:rPr>
          <w:sz w:val="24"/>
          <w:szCs w:val="24"/>
        </w:rPr>
        <w:t>it</w:t>
      </w:r>
      <w:r w:rsidR="0025445B">
        <w:rPr>
          <w:sz w:val="24"/>
          <w:szCs w:val="24"/>
        </w:rPr>
        <w:t xml:space="preserve"> cannot be avoided.  To pretend otherwise is simply disingenuous.</w:t>
      </w:r>
    </w:p>
    <w:p w:rsidR="008905E4" w:rsidRDefault="008905E4" w:rsidP="000E0912">
      <w:pPr>
        <w:spacing w:line="360" w:lineRule="auto"/>
        <w:rPr>
          <w:sz w:val="24"/>
          <w:szCs w:val="24"/>
        </w:rPr>
      </w:pPr>
    </w:p>
    <w:p w:rsidR="008905E4" w:rsidRPr="008203E4" w:rsidRDefault="008905E4" w:rsidP="000E0912">
      <w:pPr>
        <w:spacing w:line="360" w:lineRule="auto"/>
        <w:rPr>
          <w:sz w:val="24"/>
          <w:szCs w:val="24"/>
        </w:rPr>
      </w:pPr>
      <w:r>
        <w:rPr>
          <w:sz w:val="24"/>
          <w:szCs w:val="24"/>
        </w:rPr>
        <w:tab/>
      </w:r>
      <w:r>
        <w:rPr>
          <w:sz w:val="24"/>
          <w:szCs w:val="24"/>
        </w:rPr>
        <w:tab/>
      </w:r>
      <w:r w:rsidR="00067170">
        <w:rPr>
          <w:sz w:val="24"/>
          <w:szCs w:val="24"/>
        </w:rPr>
        <w:t>A</w:t>
      </w:r>
      <w:r>
        <w:rPr>
          <w:sz w:val="24"/>
          <w:szCs w:val="24"/>
        </w:rPr>
        <w:t xml:space="preserve"> regulated utility has the duty to at least attempt to satisfy its ratepayers, and in this instance, that would entail opening a dialogue and offering to provide the information which would explain that the state of the law has changed considerably since the creation of the RTS rate class, resulting in consequences which could not have been anticipated when the class was created.  </w:t>
      </w:r>
    </w:p>
    <w:p w:rsidR="008203E4" w:rsidRDefault="008203E4" w:rsidP="000E0912"/>
    <w:p w:rsidR="003C4F6F" w:rsidRDefault="003C4F6F" w:rsidP="000E0912">
      <w:pPr>
        <w:rPr>
          <w:sz w:val="24"/>
          <w:szCs w:val="24"/>
        </w:rPr>
      </w:pPr>
      <w:r>
        <w:tab/>
      </w:r>
      <w:r>
        <w:tab/>
      </w:r>
      <w:r>
        <w:rPr>
          <w:sz w:val="24"/>
          <w:szCs w:val="24"/>
        </w:rPr>
        <w:t>The prehearing order issued June 15, 2009 contained the following paragraphs:</w:t>
      </w:r>
    </w:p>
    <w:p w:rsidR="003C4F6F" w:rsidRDefault="003C4F6F" w:rsidP="000E0912">
      <w:pPr>
        <w:rPr>
          <w:sz w:val="24"/>
          <w:szCs w:val="24"/>
        </w:rPr>
      </w:pPr>
    </w:p>
    <w:p w:rsidR="008203E4" w:rsidRDefault="008203E4" w:rsidP="000E0912">
      <w:pPr>
        <w:rPr>
          <w:sz w:val="24"/>
          <w:szCs w:val="24"/>
        </w:rPr>
      </w:pPr>
    </w:p>
    <w:p w:rsidR="003C4F6F" w:rsidRDefault="0096775E" w:rsidP="000E0912">
      <w:pPr>
        <w:ind w:left="1440" w:right="1440"/>
        <w:rPr>
          <w:b/>
          <w:sz w:val="24"/>
          <w:szCs w:val="24"/>
        </w:rPr>
      </w:pPr>
      <w:r>
        <w:rPr>
          <w:sz w:val="24"/>
          <w:szCs w:val="24"/>
        </w:rPr>
        <w:tab/>
        <w:t>7.</w:t>
      </w:r>
      <w:r>
        <w:rPr>
          <w:sz w:val="24"/>
          <w:szCs w:val="24"/>
        </w:rPr>
        <w:tab/>
      </w:r>
      <w:r w:rsidRPr="005663FA">
        <w:rPr>
          <w:b/>
          <w:sz w:val="24"/>
          <w:szCs w:val="24"/>
        </w:rPr>
        <w:t xml:space="preserve">Commission policy is to encourage settlements.  </w:t>
      </w:r>
    </w:p>
    <w:p w:rsidR="0096775E" w:rsidRPr="004159E9" w:rsidRDefault="0096775E" w:rsidP="000E0912">
      <w:pPr>
        <w:ind w:left="1440" w:right="1440"/>
        <w:rPr>
          <w:b/>
          <w:i/>
          <w:sz w:val="24"/>
          <w:szCs w:val="24"/>
        </w:rPr>
      </w:pPr>
      <w:r w:rsidRPr="005663FA">
        <w:rPr>
          <w:b/>
          <w:sz w:val="24"/>
          <w:szCs w:val="24"/>
        </w:rPr>
        <w:t xml:space="preserve">52 Pa. Code § 5.231(a).  </w:t>
      </w:r>
      <w:r>
        <w:rPr>
          <w:b/>
          <w:sz w:val="24"/>
          <w:szCs w:val="24"/>
        </w:rPr>
        <w:t>Y</w:t>
      </w:r>
      <w:r w:rsidRPr="005663FA">
        <w:rPr>
          <w:b/>
          <w:sz w:val="24"/>
          <w:szCs w:val="24"/>
        </w:rPr>
        <w:t xml:space="preserve">ou are </w:t>
      </w:r>
      <w:r>
        <w:rPr>
          <w:b/>
          <w:sz w:val="24"/>
          <w:szCs w:val="24"/>
        </w:rPr>
        <w:t>encouraged</w:t>
      </w:r>
      <w:r w:rsidRPr="005663FA">
        <w:rPr>
          <w:b/>
          <w:sz w:val="24"/>
          <w:szCs w:val="24"/>
        </w:rPr>
        <w:t xml:space="preserve"> to discuss informally between yourselves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r w:rsidRPr="004159E9">
        <w:rPr>
          <w:b/>
          <w:i/>
          <w:sz w:val="24"/>
          <w:szCs w:val="24"/>
          <w:u w:val="single"/>
        </w:rPr>
        <w:t>Copies of Commission Orders regarding the fate of the RTS Rate and a complete explanation may facilitate settlement of this matter prior to the hearing.</w:t>
      </w:r>
      <w:r>
        <w:rPr>
          <w:b/>
          <w:i/>
          <w:sz w:val="24"/>
          <w:szCs w:val="24"/>
        </w:rPr>
        <w:t xml:space="preserve">  </w:t>
      </w:r>
    </w:p>
    <w:p w:rsidR="0096775E" w:rsidRDefault="003C4F6F" w:rsidP="000E0912">
      <w:pPr>
        <w:ind w:left="1440" w:right="1440"/>
        <w:jc w:val="center"/>
        <w:rPr>
          <w:b/>
          <w:sz w:val="24"/>
          <w:szCs w:val="24"/>
        </w:rPr>
      </w:pPr>
      <w:r>
        <w:rPr>
          <w:b/>
          <w:sz w:val="24"/>
          <w:szCs w:val="24"/>
        </w:rPr>
        <w:lastRenderedPageBreak/>
        <w:t>* * *</w:t>
      </w:r>
    </w:p>
    <w:p w:rsidR="0096775E" w:rsidRDefault="0096775E" w:rsidP="000E0912">
      <w:pPr>
        <w:ind w:left="1440" w:right="1440"/>
        <w:rPr>
          <w:sz w:val="24"/>
          <w:szCs w:val="24"/>
        </w:rPr>
      </w:pPr>
      <w:r>
        <w:rPr>
          <w:b/>
          <w:sz w:val="24"/>
          <w:szCs w:val="24"/>
        </w:rPr>
        <w:tab/>
      </w:r>
      <w:r>
        <w:rPr>
          <w:sz w:val="24"/>
          <w:szCs w:val="24"/>
        </w:rPr>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 3301 or other provision of the Public Utility Code.</w:t>
      </w:r>
    </w:p>
    <w:p w:rsidR="0096775E" w:rsidRDefault="0096775E" w:rsidP="000E0912">
      <w:pPr>
        <w:ind w:left="1440" w:right="1440"/>
        <w:rPr>
          <w:sz w:val="24"/>
          <w:szCs w:val="24"/>
        </w:rPr>
      </w:pPr>
    </w:p>
    <w:p w:rsidR="0096775E" w:rsidRDefault="0096775E" w:rsidP="000E0912">
      <w:pPr>
        <w:ind w:left="1440" w:right="1440"/>
        <w:rPr>
          <w:b/>
          <w:sz w:val="24"/>
          <w:szCs w:val="24"/>
        </w:rPr>
      </w:pPr>
      <w:r>
        <w:rPr>
          <w:sz w:val="24"/>
          <w:szCs w:val="24"/>
        </w:rPr>
        <w:tab/>
        <w:t>11.</w:t>
      </w:r>
      <w:r>
        <w:rPr>
          <w:sz w:val="24"/>
          <w:szCs w:val="24"/>
        </w:rPr>
        <w:tab/>
      </w:r>
      <w:r w:rsidRPr="004159E9">
        <w:rPr>
          <w:b/>
          <w:sz w:val="24"/>
          <w:szCs w:val="24"/>
        </w:rPr>
        <w:t>Utility must be prepared to present an accurate description and explanation of the evolving rate structure for residential rates, including citations</w:t>
      </w:r>
      <w:r>
        <w:rPr>
          <w:b/>
          <w:sz w:val="24"/>
          <w:szCs w:val="24"/>
        </w:rPr>
        <w:t xml:space="preserve"> which describe the future of the Residential Thermal Storage Rate</w:t>
      </w:r>
      <w:r w:rsidRPr="004159E9">
        <w:rPr>
          <w:b/>
          <w:sz w:val="24"/>
          <w:szCs w:val="24"/>
        </w:rPr>
        <w:t>, in order to present a complete record.</w:t>
      </w:r>
      <w:r>
        <w:rPr>
          <w:b/>
          <w:sz w:val="24"/>
          <w:szCs w:val="24"/>
        </w:rPr>
        <w:t xml:space="preserve">  </w:t>
      </w:r>
    </w:p>
    <w:p w:rsidR="004A70EA" w:rsidRPr="004159E9" w:rsidRDefault="004A70EA" w:rsidP="000E0912">
      <w:pPr>
        <w:ind w:left="1440" w:right="1440"/>
        <w:rPr>
          <w:b/>
          <w:sz w:val="24"/>
          <w:szCs w:val="24"/>
        </w:rPr>
      </w:pPr>
    </w:p>
    <w:p w:rsidR="0096775E" w:rsidRDefault="003C4F6F" w:rsidP="000E0912">
      <w:pPr>
        <w:spacing w:line="360" w:lineRule="auto"/>
        <w:rPr>
          <w:sz w:val="24"/>
          <w:szCs w:val="24"/>
        </w:rPr>
      </w:pPr>
      <w:r>
        <w:rPr>
          <w:sz w:val="24"/>
          <w:szCs w:val="24"/>
        </w:rPr>
        <w:tab/>
      </w:r>
      <w:r>
        <w:rPr>
          <w:sz w:val="24"/>
          <w:szCs w:val="24"/>
        </w:rPr>
        <w:tab/>
        <w:t>Prehearing Order of June 15, 2009 (emphasis in original)</w:t>
      </w:r>
    </w:p>
    <w:p w:rsidR="0096775E" w:rsidRDefault="0096775E" w:rsidP="000E0912">
      <w:pPr>
        <w:spacing w:line="360" w:lineRule="auto"/>
        <w:rPr>
          <w:sz w:val="24"/>
          <w:szCs w:val="24"/>
        </w:rPr>
      </w:pPr>
    </w:p>
    <w:p w:rsidR="003C4F6F" w:rsidRDefault="003C4F6F" w:rsidP="000E0912">
      <w:pPr>
        <w:spacing w:line="360" w:lineRule="auto"/>
        <w:rPr>
          <w:sz w:val="24"/>
          <w:szCs w:val="24"/>
        </w:rPr>
      </w:pPr>
      <w:r>
        <w:rPr>
          <w:sz w:val="24"/>
          <w:szCs w:val="24"/>
        </w:rPr>
        <w:tab/>
      </w:r>
      <w:r>
        <w:rPr>
          <w:sz w:val="24"/>
          <w:szCs w:val="24"/>
        </w:rPr>
        <w:tab/>
      </w:r>
      <w:r w:rsidR="00572965">
        <w:rPr>
          <w:sz w:val="24"/>
          <w:szCs w:val="24"/>
        </w:rPr>
        <w:t xml:space="preserve">Counsel for the Company has received many prehearing orders from Commission administrative law judges, including me.  That is why something added which would be specific to this case was </w:t>
      </w:r>
      <w:r w:rsidR="00572965" w:rsidRPr="00374E10">
        <w:rPr>
          <w:b/>
          <w:sz w:val="24"/>
          <w:szCs w:val="24"/>
        </w:rPr>
        <w:t>bolded</w:t>
      </w:r>
      <w:r w:rsidR="00572965">
        <w:rPr>
          <w:sz w:val="24"/>
          <w:szCs w:val="24"/>
        </w:rPr>
        <w:t xml:space="preserve">, and in paragraph 7, </w:t>
      </w:r>
      <w:r w:rsidR="00572965" w:rsidRPr="00374E10">
        <w:rPr>
          <w:sz w:val="24"/>
          <w:szCs w:val="24"/>
          <w:u w:val="single"/>
        </w:rPr>
        <w:t>underlined</w:t>
      </w:r>
      <w:r w:rsidR="00572965">
        <w:rPr>
          <w:sz w:val="24"/>
          <w:szCs w:val="24"/>
        </w:rPr>
        <w:t xml:space="preserve"> AND </w:t>
      </w:r>
      <w:r w:rsidR="00572965" w:rsidRPr="00374E10">
        <w:rPr>
          <w:b/>
          <w:sz w:val="24"/>
          <w:szCs w:val="24"/>
        </w:rPr>
        <w:t>bolded</w:t>
      </w:r>
      <w:r w:rsidR="00572965">
        <w:rPr>
          <w:sz w:val="24"/>
          <w:szCs w:val="24"/>
        </w:rPr>
        <w:t xml:space="preserve">.  </w:t>
      </w:r>
      <w:r>
        <w:rPr>
          <w:sz w:val="24"/>
          <w:szCs w:val="24"/>
        </w:rPr>
        <w:t xml:space="preserve">In plain English, </w:t>
      </w:r>
      <w:r w:rsidR="00067170">
        <w:rPr>
          <w:sz w:val="24"/>
          <w:szCs w:val="24"/>
        </w:rPr>
        <w:t xml:space="preserve">there is a suggestion that he </w:t>
      </w:r>
      <w:r w:rsidR="00572965">
        <w:rPr>
          <w:sz w:val="24"/>
          <w:szCs w:val="24"/>
        </w:rPr>
        <w:t>contact the Complainants and explain the fate of the RTS Rate</w:t>
      </w:r>
      <w:r w:rsidR="00374E10">
        <w:rPr>
          <w:sz w:val="24"/>
          <w:szCs w:val="24"/>
        </w:rPr>
        <w:t>.  Thi</w:t>
      </w:r>
      <w:r w:rsidR="00FC2209">
        <w:rPr>
          <w:sz w:val="24"/>
          <w:szCs w:val="24"/>
        </w:rPr>
        <w:t>s was what would happen on the record anyway</w:t>
      </w:r>
      <w:r w:rsidR="00374E10">
        <w:rPr>
          <w:sz w:val="24"/>
          <w:szCs w:val="24"/>
        </w:rPr>
        <w:t>, as foretold by paragraph 11.  Yet the following exchange occurred on the record:</w:t>
      </w:r>
    </w:p>
    <w:p w:rsidR="004A70EA" w:rsidRDefault="004A70EA" w:rsidP="000E0912">
      <w:pPr>
        <w:spacing w:line="360" w:lineRule="auto"/>
        <w:rPr>
          <w:sz w:val="24"/>
          <w:szCs w:val="24"/>
        </w:rPr>
      </w:pPr>
    </w:p>
    <w:p w:rsidR="00374E10" w:rsidRDefault="00374E10" w:rsidP="000E0912">
      <w:pPr>
        <w:ind w:left="1440" w:right="1440"/>
        <w:rPr>
          <w:sz w:val="24"/>
          <w:szCs w:val="24"/>
        </w:rPr>
      </w:pPr>
      <w:r>
        <w:rPr>
          <w:sz w:val="24"/>
          <w:szCs w:val="24"/>
        </w:rPr>
        <w:t>ALJ:  It is the Commission’s policy to encourage settlements.  Mr. Ralston, have you attempted to settle this matter prior to today’s hearing?</w:t>
      </w:r>
    </w:p>
    <w:p w:rsidR="000769C6" w:rsidRDefault="000769C6" w:rsidP="000E0912">
      <w:pPr>
        <w:ind w:left="1440" w:right="1440"/>
        <w:rPr>
          <w:sz w:val="24"/>
          <w:szCs w:val="24"/>
        </w:rPr>
      </w:pPr>
    </w:p>
    <w:p w:rsidR="00374E10" w:rsidRDefault="00374E10" w:rsidP="000E0912">
      <w:pPr>
        <w:ind w:left="1440" w:right="1440"/>
        <w:rPr>
          <w:sz w:val="24"/>
          <w:szCs w:val="24"/>
        </w:rPr>
      </w:pPr>
      <w:r>
        <w:rPr>
          <w:sz w:val="24"/>
          <w:szCs w:val="24"/>
        </w:rPr>
        <w:t>Mr. Ralston:  Your Honor, there is really nothing that we can do to try to settle this case.</w:t>
      </w:r>
    </w:p>
    <w:p w:rsidR="000769C6" w:rsidRDefault="000769C6" w:rsidP="000E0912">
      <w:pPr>
        <w:ind w:left="1440" w:right="1440"/>
        <w:rPr>
          <w:sz w:val="24"/>
          <w:szCs w:val="24"/>
        </w:rPr>
      </w:pPr>
    </w:p>
    <w:p w:rsidR="00374E10" w:rsidRDefault="00374E10" w:rsidP="000E0912">
      <w:pPr>
        <w:ind w:left="1440" w:right="1440"/>
        <w:rPr>
          <w:sz w:val="24"/>
          <w:szCs w:val="24"/>
        </w:rPr>
      </w:pPr>
      <w:r>
        <w:rPr>
          <w:sz w:val="24"/>
          <w:szCs w:val="24"/>
        </w:rPr>
        <w:t>ALJ:  Was that a yes or a no, sir?</w:t>
      </w:r>
    </w:p>
    <w:p w:rsidR="000769C6" w:rsidRDefault="000769C6" w:rsidP="000E0912">
      <w:pPr>
        <w:ind w:left="1440" w:right="1440"/>
        <w:rPr>
          <w:sz w:val="24"/>
          <w:szCs w:val="24"/>
        </w:rPr>
      </w:pPr>
    </w:p>
    <w:p w:rsidR="00374E10" w:rsidRDefault="00374E10" w:rsidP="000E0912">
      <w:pPr>
        <w:ind w:left="1440" w:right="1440"/>
        <w:rPr>
          <w:sz w:val="24"/>
          <w:szCs w:val="24"/>
        </w:rPr>
      </w:pPr>
      <w:r>
        <w:rPr>
          <w:sz w:val="24"/>
          <w:szCs w:val="24"/>
        </w:rPr>
        <w:t>Mr. Ralston:  No, Your Honor.</w:t>
      </w:r>
    </w:p>
    <w:p w:rsidR="00374E10" w:rsidRDefault="00374E10" w:rsidP="000E0912">
      <w:pPr>
        <w:ind w:left="1440" w:right="1440"/>
        <w:rPr>
          <w:sz w:val="24"/>
          <w:szCs w:val="24"/>
        </w:rPr>
      </w:pPr>
      <w:r>
        <w:rPr>
          <w:sz w:val="24"/>
          <w:szCs w:val="24"/>
        </w:rPr>
        <w:t>Tr. 5-6.</w:t>
      </w:r>
    </w:p>
    <w:p w:rsidR="00374E10" w:rsidRDefault="00374E10" w:rsidP="000E0912">
      <w:pPr>
        <w:spacing w:line="360" w:lineRule="auto"/>
        <w:rPr>
          <w:sz w:val="24"/>
          <w:szCs w:val="24"/>
        </w:rPr>
      </w:pPr>
    </w:p>
    <w:p w:rsidR="000769C6" w:rsidRDefault="000769C6" w:rsidP="000E0912">
      <w:pPr>
        <w:spacing w:line="360" w:lineRule="auto"/>
        <w:rPr>
          <w:sz w:val="24"/>
          <w:szCs w:val="24"/>
        </w:rPr>
      </w:pPr>
      <w:r>
        <w:rPr>
          <w:sz w:val="24"/>
          <w:szCs w:val="24"/>
        </w:rPr>
        <w:tab/>
      </w:r>
      <w:r>
        <w:rPr>
          <w:sz w:val="24"/>
          <w:szCs w:val="24"/>
        </w:rPr>
        <w:tab/>
        <w:t xml:space="preserve">There are a </w:t>
      </w:r>
      <w:r w:rsidR="006D7CE3">
        <w:rPr>
          <w:sz w:val="24"/>
          <w:szCs w:val="24"/>
        </w:rPr>
        <w:t>number</w:t>
      </w:r>
      <w:r>
        <w:rPr>
          <w:sz w:val="24"/>
          <w:szCs w:val="24"/>
        </w:rPr>
        <w:t xml:space="preserve"> of consumer complaints which occur not because the company does something wrong, but because the ratepayers are unhappy with company </w:t>
      </w:r>
      <w:r w:rsidR="0081426E">
        <w:rPr>
          <w:sz w:val="24"/>
          <w:szCs w:val="24"/>
        </w:rPr>
        <w:t>actions</w:t>
      </w:r>
      <w:r>
        <w:rPr>
          <w:sz w:val="24"/>
          <w:szCs w:val="24"/>
        </w:rPr>
        <w:t xml:space="preserve"> </w:t>
      </w:r>
      <w:r w:rsidR="00815EAF">
        <w:rPr>
          <w:sz w:val="24"/>
          <w:szCs w:val="24"/>
        </w:rPr>
        <w:t>even though those actions are</w:t>
      </w:r>
      <w:r>
        <w:rPr>
          <w:sz w:val="24"/>
          <w:szCs w:val="24"/>
        </w:rPr>
        <w:t xml:space="preserve"> consistent with Commission regulations, statutes, policy or orders.  </w:t>
      </w:r>
      <w:r w:rsidR="00C37EBD">
        <w:rPr>
          <w:sz w:val="24"/>
          <w:szCs w:val="24"/>
        </w:rPr>
        <w:t xml:space="preserve">The utility is expected to view these cases as an opportunity to open a dialogue and explain the </w:t>
      </w:r>
      <w:r w:rsidR="0081426E">
        <w:rPr>
          <w:sz w:val="24"/>
          <w:szCs w:val="24"/>
        </w:rPr>
        <w:t>actions</w:t>
      </w:r>
      <w:r w:rsidR="00C37EBD">
        <w:rPr>
          <w:sz w:val="24"/>
          <w:szCs w:val="24"/>
        </w:rPr>
        <w:t xml:space="preserve"> to the ratepayers for no reason other than this:  </w:t>
      </w:r>
      <w:r w:rsidR="00815EAF">
        <w:rPr>
          <w:sz w:val="24"/>
          <w:szCs w:val="24"/>
        </w:rPr>
        <w:t>“A</w:t>
      </w:r>
      <w:r w:rsidR="00C37EBD">
        <w:rPr>
          <w:sz w:val="24"/>
          <w:szCs w:val="24"/>
        </w:rPr>
        <w:t>dequate service</w:t>
      </w:r>
      <w:r w:rsidR="00815EAF">
        <w:rPr>
          <w:sz w:val="24"/>
          <w:szCs w:val="24"/>
        </w:rPr>
        <w:t>”</w:t>
      </w:r>
      <w:r w:rsidR="00C37EBD">
        <w:rPr>
          <w:sz w:val="24"/>
          <w:szCs w:val="24"/>
        </w:rPr>
        <w:t xml:space="preserve"> requires that the concerns of unhappy ratepayers be addressed.  </w:t>
      </w:r>
    </w:p>
    <w:p w:rsidR="00BF230A" w:rsidRPr="00BF230A" w:rsidRDefault="00815EAF" w:rsidP="00B4552D">
      <w:pPr>
        <w:spacing w:line="360" w:lineRule="auto"/>
        <w:rPr>
          <w:sz w:val="24"/>
          <w:szCs w:val="24"/>
        </w:rPr>
      </w:pPr>
      <w:r>
        <w:rPr>
          <w:sz w:val="24"/>
          <w:szCs w:val="24"/>
        </w:rPr>
        <w:lastRenderedPageBreak/>
        <w:tab/>
      </w:r>
      <w:r>
        <w:rPr>
          <w:sz w:val="24"/>
          <w:szCs w:val="24"/>
        </w:rPr>
        <w:tab/>
        <w:t>From a legal standpoint, the Company knew as soon as it read the Complaint that it would win this case</w:t>
      </w:r>
      <w:r w:rsidR="006D7CE3">
        <w:rPr>
          <w:sz w:val="24"/>
          <w:szCs w:val="24"/>
        </w:rPr>
        <w:t xml:space="preserve"> because it could not continue the discount associated with the traditional RTS rate</w:t>
      </w:r>
      <w:r>
        <w:rPr>
          <w:sz w:val="24"/>
          <w:szCs w:val="24"/>
        </w:rPr>
        <w:t xml:space="preserve">.  Therefore, the Company chose not to contact the Complainants </w:t>
      </w:r>
      <w:r w:rsidR="0040314E">
        <w:rPr>
          <w:sz w:val="24"/>
          <w:szCs w:val="24"/>
        </w:rPr>
        <w:t>to</w:t>
      </w:r>
      <w:r>
        <w:rPr>
          <w:sz w:val="24"/>
          <w:szCs w:val="24"/>
        </w:rPr>
        <w:t xml:space="preserve"> attempt to discuss the subject matter.  This is unacceptable behavior for a regulated utility.  </w:t>
      </w:r>
    </w:p>
    <w:p w:rsidR="00A42978" w:rsidRDefault="00A42978" w:rsidP="000E0912">
      <w:pPr>
        <w:spacing w:line="360" w:lineRule="auto"/>
        <w:rPr>
          <w:sz w:val="24"/>
          <w:szCs w:val="24"/>
        </w:rPr>
      </w:pPr>
    </w:p>
    <w:p w:rsidR="00A42978" w:rsidRDefault="00CD401B" w:rsidP="000E0912">
      <w:pPr>
        <w:spacing w:line="360" w:lineRule="auto"/>
        <w:rPr>
          <w:sz w:val="24"/>
          <w:szCs w:val="24"/>
        </w:rPr>
      </w:pPr>
      <w:r>
        <w:rPr>
          <w:sz w:val="24"/>
          <w:szCs w:val="24"/>
        </w:rPr>
        <w:tab/>
      </w:r>
      <w:r>
        <w:rPr>
          <w:sz w:val="24"/>
          <w:szCs w:val="24"/>
        </w:rPr>
        <w:tab/>
      </w:r>
      <w:r w:rsidR="00A42978">
        <w:rPr>
          <w:sz w:val="24"/>
          <w:szCs w:val="24"/>
        </w:rPr>
        <w:t xml:space="preserve">When ratepayers are obviously unhappy with the utility, the Company has a duty to find out why and to try to satisfy the ratepayers.  The Company may not be able to give ratepayers what they want, but to completely ignore them is not acceptable.  In other words, for a regulated utility, winning a consumer complaint case may not be enough. </w:t>
      </w:r>
    </w:p>
    <w:p w:rsidR="00374E10" w:rsidRDefault="00374E10" w:rsidP="000E0912">
      <w:pPr>
        <w:spacing w:line="360" w:lineRule="auto"/>
        <w:rPr>
          <w:sz w:val="24"/>
          <w:szCs w:val="24"/>
        </w:rPr>
      </w:pPr>
    </w:p>
    <w:p w:rsidR="007D3747" w:rsidRDefault="007D3747" w:rsidP="000E0912">
      <w:pPr>
        <w:spacing w:line="360" w:lineRule="auto"/>
        <w:rPr>
          <w:sz w:val="24"/>
          <w:szCs w:val="24"/>
        </w:rPr>
      </w:pPr>
      <w:r>
        <w:rPr>
          <w:sz w:val="24"/>
          <w:szCs w:val="24"/>
        </w:rPr>
        <w:tab/>
      </w:r>
      <w:r>
        <w:rPr>
          <w:sz w:val="24"/>
          <w:szCs w:val="24"/>
        </w:rPr>
        <w:tab/>
      </w:r>
      <w:r w:rsidR="00333780">
        <w:rPr>
          <w:sz w:val="24"/>
          <w:szCs w:val="24"/>
        </w:rPr>
        <w:t>A</w:t>
      </w:r>
      <w:r>
        <w:rPr>
          <w:sz w:val="24"/>
          <w:szCs w:val="24"/>
        </w:rPr>
        <w:t xml:space="preserve"> courteous explanation</w:t>
      </w:r>
      <w:r w:rsidR="00333780">
        <w:rPr>
          <w:sz w:val="24"/>
          <w:szCs w:val="24"/>
        </w:rPr>
        <w:t xml:space="preserve"> may be sufficient to satisfy a disgruntled</w:t>
      </w:r>
      <w:r>
        <w:rPr>
          <w:sz w:val="24"/>
          <w:szCs w:val="24"/>
        </w:rPr>
        <w:t xml:space="preserve"> ratepayer</w:t>
      </w:r>
      <w:r w:rsidR="00333780">
        <w:rPr>
          <w:sz w:val="24"/>
          <w:szCs w:val="24"/>
        </w:rPr>
        <w:t>.  It may not be sufficient, but there is, after all, only one way to find out.</w:t>
      </w:r>
      <w:r>
        <w:rPr>
          <w:sz w:val="24"/>
          <w:szCs w:val="24"/>
        </w:rPr>
        <w:t xml:space="preserve"> </w:t>
      </w:r>
      <w:r w:rsidR="00333780">
        <w:rPr>
          <w:sz w:val="24"/>
          <w:szCs w:val="24"/>
        </w:rPr>
        <w:t xml:space="preserve"> </w:t>
      </w:r>
      <w:r w:rsidR="00F30F65">
        <w:rPr>
          <w:sz w:val="24"/>
          <w:szCs w:val="24"/>
        </w:rPr>
        <w:t>What is certain is that all ratepayers are entitled to the effort.</w:t>
      </w:r>
    </w:p>
    <w:p w:rsidR="00B01FBF" w:rsidRDefault="00B01FBF" w:rsidP="000E0912">
      <w:pPr>
        <w:spacing w:line="360" w:lineRule="auto"/>
        <w:rPr>
          <w:sz w:val="24"/>
          <w:szCs w:val="24"/>
        </w:rPr>
      </w:pPr>
    </w:p>
    <w:p w:rsidR="008C59D4" w:rsidRDefault="00B01FBF" w:rsidP="000E0912">
      <w:pPr>
        <w:spacing w:line="360" w:lineRule="auto"/>
        <w:rPr>
          <w:sz w:val="24"/>
          <w:szCs w:val="24"/>
        </w:rPr>
      </w:pPr>
      <w:r>
        <w:rPr>
          <w:sz w:val="24"/>
          <w:szCs w:val="24"/>
        </w:rPr>
        <w:tab/>
      </w:r>
      <w:r>
        <w:rPr>
          <w:sz w:val="24"/>
          <w:szCs w:val="24"/>
        </w:rPr>
        <w:tab/>
      </w:r>
      <w:r w:rsidR="008C59D4">
        <w:rPr>
          <w:sz w:val="24"/>
          <w:szCs w:val="24"/>
        </w:rPr>
        <w:t>To its credit, the Company</w:t>
      </w:r>
      <w:r w:rsidR="00102242">
        <w:rPr>
          <w:sz w:val="24"/>
          <w:szCs w:val="24"/>
        </w:rPr>
        <w:t xml:space="preserve">, </w:t>
      </w:r>
      <w:r w:rsidR="00BF6CAE">
        <w:rPr>
          <w:sz w:val="24"/>
          <w:szCs w:val="24"/>
        </w:rPr>
        <w:t>d</w:t>
      </w:r>
      <w:r w:rsidR="00E85627">
        <w:rPr>
          <w:sz w:val="24"/>
          <w:szCs w:val="24"/>
        </w:rPr>
        <w:t>uring the hearing,</w:t>
      </w:r>
      <w:r w:rsidR="008C59D4">
        <w:rPr>
          <w:sz w:val="24"/>
          <w:szCs w:val="24"/>
        </w:rPr>
        <w:t xml:space="preserve"> did agree to provide copies of relevant Commission orders to Complainants.  Tr. 39.  </w:t>
      </w:r>
    </w:p>
    <w:p w:rsidR="008C59D4" w:rsidRDefault="008C59D4" w:rsidP="000E0912">
      <w:pPr>
        <w:spacing w:line="360" w:lineRule="auto"/>
        <w:rPr>
          <w:sz w:val="24"/>
          <w:szCs w:val="24"/>
        </w:rPr>
      </w:pPr>
    </w:p>
    <w:p w:rsidR="00323CD2" w:rsidRDefault="008C59D4" w:rsidP="000E0912">
      <w:pPr>
        <w:spacing w:line="360" w:lineRule="auto"/>
        <w:rPr>
          <w:sz w:val="24"/>
          <w:szCs w:val="24"/>
        </w:rPr>
      </w:pPr>
      <w:r>
        <w:rPr>
          <w:sz w:val="24"/>
          <w:szCs w:val="24"/>
        </w:rPr>
        <w:tab/>
      </w:r>
      <w:r>
        <w:rPr>
          <w:sz w:val="24"/>
          <w:szCs w:val="24"/>
        </w:rPr>
        <w:tab/>
        <w:t>The Complaint is denied insofar as it seeks to continue rate discounts which are inconsistent with Commission orders regarding the Company’s approved rate structure and granted insofar as it was unreasonable for the Company to supply no information regarding the future of the RTS Rate upon inquiry in 2008</w:t>
      </w:r>
      <w:r w:rsidR="00323CD2">
        <w:rPr>
          <w:sz w:val="24"/>
          <w:szCs w:val="24"/>
        </w:rPr>
        <w:t>.</w:t>
      </w:r>
    </w:p>
    <w:p w:rsidR="00323CD2" w:rsidRDefault="00323CD2" w:rsidP="000E0912">
      <w:pPr>
        <w:spacing w:line="360" w:lineRule="auto"/>
        <w:rPr>
          <w:sz w:val="24"/>
          <w:szCs w:val="24"/>
        </w:rPr>
      </w:pPr>
    </w:p>
    <w:p w:rsidR="00B01FBF" w:rsidRDefault="00323CD2" w:rsidP="000E0912">
      <w:pPr>
        <w:spacing w:line="360" w:lineRule="auto"/>
        <w:jc w:val="center"/>
        <w:rPr>
          <w:sz w:val="24"/>
          <w:szCs w:val="24"/>
          <w:u w:val="single"/>
        </w:rPr>
      </w:pPr>
      <w:r>
        <w:rPr>
          <w:sz w:val="24"/>
          <w:szCs w:val="24"/>
          <w:u w:val="single"/>
        </w:rPr>
        <w:t>CONCLUSIONS OF LAW</w:t>
      </w:r>
    </w:p>
    <w:p w:rsidR="00323CD2" w:rsidRDefault="00323CD2" w:rsidP="000E0912">
      <w:pPr>
        <w:spacing w:line="360" w:lineRule="auto"/>
        <w:jc w:val="center"/>
        <w:rPr>
          <w:sz w:val="24"/>
          <w:szCs w:val="24"/>
          <w:u w:val="single"/>
        </w:rPr>
      </w:pPr>
    </w:p>
    <w:p w:rsidR="00323CD2" w:rsidRDefault="00323CD2" w:rsidP="000E0912">
      <w:pPr>
        <w:spacing w:line="360" w:lineRule="auto"/>
        <w:contextualSpacing/>
        <w:rPr>
          <w:sz w:val="24"/>
          <w:szCs w:val="24"/>
        </w:rPr>
      </w:pPr>
      <w:r>
        <w:rPr>
          <w:sz w:val="24"/>
          <w:szCs w:val="24"/>
        </w:rPr>
        <w:tab/>
      </w:r>
      <w:r>
        <w:rPr>
          <w:sz w:val="24"/>
          <w:szCs w:val="24"/>
        </w:rPr>
        <w:tab/>
        <w:t>1.</w:t>
      </w:r>
      <w:r>
        <w:rPr>
          <w:sz w:val="24"/>
          <w:szCs w:val="24"/>
        </w:rPr>
        <w:tab/>
        <w:t>The proponent of a rule or order in any Commission proceeding has the burden of proof, 66 Pa. C.S. § 332, and PPL Electric, as the</w:t>
      </w:r>
      <w:r w:rsidR="009C7A2A">
        <w:rPr>
          <w:sz w:val="24"/>
          <w:szCs w:val="24"/>
        </w:rPr>
        <w:t xml:space="preserve"> Respondent</w:t>
      </w:r>
      <w:r>
        <w:rPr>
          <w:sz w:val="24"/>
          <w:szCs w:val="24"/>
        </w:rPr>
        <w:t xml:space="preserve">, has the burden of proving its case by a preponderance of the evidence, or evidence which is more convincing than the evidence presented by the other parties.  </w:t>
      </w:r>
      <w:r>
        <w:rPr>
          <w:i/>
          <w:sz w:val="24"/>
          <w:szCs w:val="24"/>
        </w:rPr>
        <w:t>Se-Ling Hosiery v. Margulies</w:t>
      </w:r>
      <w:r>
        <w:rPr>
          <w:sz w:val="24"/>
          <w:szCs w:val="24"/>
        </w:rPr>
        <w:t xml:space="preserve">, 364 Pa. 45, 70 A.3d 854 (1950); </w:t>
      </w:r>
      <w:r>
        <w:rPr>
          <w:i/>
          <w:sz w:val="24"/>
          <w:szCs w:val="24"/>
        </w:rPr>
        <w:t>Samuel J. Lansberry, Inc. v. Pa. Publ. Util. Comm’n</w:t>
      </w:r>
      <w:r>
        <w:rPr>
          <w:sz w:val="24"/>
          <w:szCs w:val="24"/>
        </w:rPr>
        <w:t xml:space="preserve">, 578 A.2d 600 (Pa. Cmwlth. 1990).  </w:t>
      </w:r>
    </w:p>
    <w:p w:rsidR="00323CD2" w:rsidRDefault="00323CD2" w:rsidP="000E0912">
      <w:pPr>
        <w:spacing w:line="360" w:lineRule="auto"/>
        <w:contextualSpacing/>
        <w:rPr>
          <w:sz w:val="24"/>
          <w:szCs w:val="24"/>
        </w:rPr>
      </w:pPr>
    </w:p>
    <w:p w:rsidR="00323CD2" w:rsidRDefault="00323CD2" w:rsidP="000E0912">
      <w:pPr>
        <w:spacing w:line="360" w:lineRule="auto"/>
        <w:rPr>
          <w:sz w:val="24"/>
          <w:szCs w:val="24"/>
        </w:rPr>
      </w:pPr>
      <w:r>
        <w:rPr>
          <w:sz w:val="24"/>
          <w:szCs w:val="24"/>
        </w:rPr>
        <w:lastRenderedPageBreak/>
        <w:tab/>
      </w:r>
      <w:r>
        <w:rPr>
          <w:sz w:val="24"/>
          <w:szCs w:val="24"/>
        </w:rPr>
        <w:tab/>
      </w:r>
      <w:r w:rsidR="00C661C2">
        <w:rPr>
          <w:sz w:val="24"/>
          <w:szCs w:val="24"/>
        </w:rPr>
        <w:t>2.</w:t>
      </w:r>
      <w:r w:rsidR="00C661C2">
        <w:rPr>
          <w:sz w:val="24"/>
          <w:szCs w:val="24"/>
        </w:rPr>
        <w:tab/>
      </w:r>
      <w:r>
        <w:rPr>
          <w:sz w:val="24"/>
          <w:szCs w:val="24"/>
        </w:rPr>
        <w:t>Any finding of fact necessary to support an adjudication of the Commission must be based upon substantial evidence, which is such relevant evidence as a reasonable mind might accept as adequate to support a conclusion</w:t>
      </w:r>
      <w:r w:rsidRPr="00556362">
        <w:rPr>
          <w:sz w:val="24"/>
          <w:szCs w:val="24"/>
        </w:rPr>
        <w:t xml:space="preserve">.  </w:t>
      </w:r>
      <w:r w:rsidRPr="00556362">
        <w:rPr>
          <w:i/>
          <w:sz w:val="24"/>
          <w:szCs w:val="24"/>
        </w:rPr>
        <w:t xml:space="preserve">Mill v. Comm., </w:t>
      </w:r>
      <w:smartTag w:uri="urn:schemas-microsoft-com:office:smarttags" w:element="State">
        <w:r w:rsidRPr="00556362">
          <w:rPr>
            <w:i/>
            <w:sz w:val="24"/>
            <w:szCs w:val="24"/>
          </w:rPr>
          <w:t>Pa.</w:t>
        </w:r>
      </w:smartTag>
      <w:r w:rsidRPr="00556362">
        <w:rPr>
          <w:i/>
          <w:sz w:val="24"/>
          <w:szCs w:val="24"/>
        </w:rPr>
        <w:t xml:space="preserve"> Publ. Util. Comm’n</w:t>
      </w:r>
      <w:r w:rsidRPr="00556362">
        <w:rPr>
          <w:sz w:val="24"/>
          <w:szCs w:val="24"/>
        </w:rPr>
        <w:t>, 447 A.2d 1100 (</w:t>
      </w:r>
      <w:smartTag w:uri="urn:schemas-microsoft-com:office:smarttags" w:element="State">
        <w:r w:rsidRPr="00556362">
          <w:rPr>
            <w:sz w:val="24"/>
            <w:szCs w:val="24"/>
          </w:rPr>
          <w:t>Pa.</w:t>
        </w:r>
      </w:smartTag>
      <w:r w:rsidRPr="00556362">
        <w:rPr>
          <w:sz w:val="24"/>
          <w:szCs w:val="24"/>
        </w:rPr>
        <w:t xml:space="preserve"> Cmwlth. Ct.1982); </w:t>
      </w:r>
      <w:r w:rsidRPr="00556362">
        <w:rPr>
          <w:i/>
          <w:sz w:val="24"/>
          <w:szCs w:val="24"/>
        </w:rPr>
        <w:t xml:space="preserve">Edan Transportation Corp. v. </w:t>
      </w:r>
      <w:smartTag w:uri="urn:schemas-microsoft-com:office:smarttags" w:element="State">
        <w:r w:rsidRPr="00556362">
          <w:rPr>
            <w:i/>
            <w:sz w:val="24"/>
            <w:szCs w:val="24"/>
          </w:rPr>
          <w:t>Pa.</w:t>
        </w:r>
      </w:smartTag>
      <w:r w:rsidRPr="00556362">
        <w:rPr>
          <w:i/>
          <w:sz w:val="24"/>
          <w:szCs w:val="24"/>
        </w:rPr>
        <w:t xml:space="preserve"> Publ. Util. Comm’n,</w:t>
      </w:r>
      <w:r w:rsidRPr="00556362">
        <w:rPr>
          <w:sz w:val="24"/>
          <w:szCs w:val="24"/>
        </w:rPr>
        <w:t xml:space="preserve"> 623 A.2d 6 (</w:t>
      </w:r>
      <w:smartTag w:uri="urn:schemas-microsoft-com:office:smarttags" w:element="State">
        <w:r w:rsidRPr="00556362">
          <w:rPr>
            <w:sz w:val="24"/>
            <w:szCs w:val="24"/>
          </w:rPr>
          <w:t>Pa.</w:t>
        </w:r>
      </w:smartTag>
      <w:r w:rsidRPr="00556362">
        <w:rPr>
          <w:sz w:val="24"/>
          <w:szCs w:val="24"/>
        </w:rPr>
        <w:t xml:space="preserve"> Cmwlth. Ct.1993), 2 </w:t>
      </w:r>
      <w:smartTag w:uri="urn:schemas-microsoft-com:office:smarttags" w:element="place">
        <w:smartTag w:uri="urn:schemas-microsoft-com:office:smarttags" w:element="State">
          <w:r w:rsidRPr="00556362">
            <w:rPr>
              <w:sz w:val="24"/>
              <w:szCs w:val="24"/>
            </w:rPr>
            <w:t>Pa.</w:t>
          </w:r>
        </w:smartTag>
      </w:smartTag>
      <w:r w:rsidRPr="00556362">
        <w:rPr>
          <w:sz w:val="24"/>
          <w:szCs w:val="24"/>
        </w:rPr>
        <w:t xml:space="preserve"> C.S. § 704.  More is required than a mere trace of evidence or a suspicion of the existence of a fact sought to be established.  </w:t>
      </w:r>
      <w:smartTag w:uri="urn:schemas-microsoft-com:office:smarttags" w:element="City">
        <w:r w:rsidRPr="00556362">
          <w:rPr>
            <w:i/>
            <w:sz w:val="24"/>
            <w:szCs w:val="24"/>
          </w:rPr>
          <w:t>Norfolk</w:t>
        </w:r>
      </w:smartTag>
      <w:r w:rsidRPr="00556362">
        <w:rPr>
          <w:i/>
          <w:sz w:val="24"/>
          <w:szCs w:val="24"/>
        </w:rPr>
        <w:t xml:space="preserve"> &amp; Western Ry. V. Pa. Publ. Util. Comm’n, </w:t>
      </w:r>
      <w:r w:rsidRPr="00556362">
        <w:rPr>
          <w:sz w:val="24"/>
          <w:szCs w:val="24"/>
        </w:rPr>
        <w:t xml:space="preserve">489 </w:t>
      </w:r>
      <w:smartTag w:uri="urn:schemas-microsoft-com:office:smarttags" w:element="place">
        <w:smartTag w:uri="urn:schemas-microsoft-com:office:smarttags" w:element="State">
          <w:r w:rsidRPr="00556362">
            <w:rPr>
              <w:sz w:val="24"/>
              <w:szCs w:val="24"/>
            </w:rPr>
            <w:t>Pa.</w:t>
          </w:r>
        </w:smartTag>
      </w:smartTag>
      <w:r w:rsidRPr="00556362">
        <w:rPr>
          <w:sz w:val="24"/>
          <w:szCs w:val="24"/>
        </w:rPr>
        <w:t xml:space="preserve"> 109, 413 A.2d 1037 (1980); </w:t>
      </w:r>
      <w:r w:rsidRPr="00556362">
        <w:rPr>
          <w:i/>
          <w:sz w:val="24"/>
          <w:szCs w:val="24"/>
        </w:rPr>
        <w:t xml:space="preserve">Erie Resistor Corp. </w:t>
      </w:r>
      <w:r>
        <w:rPr>
          <w:i/>
          <w:sz w:val="24"/>
          <w:szCs w:val="24"/>
        </w:rPr>
        <w:t>v</w:t>
      </w:r>
      <w:r w:rsidRPr="00556362">
        <w:rPr>
          <w:i/>
          <w:sz w:val="24"/>
          <w:szCs w:val="24"/>
        </w:rPr>
        <w:t>. Unemployment Com. Bd. Of Review</w:t>
      </w:r>
      <w:r w:rsidRPr="00556362">
        <w:rPr>
          <w:sz w:val="24"/>
          <w:szCs w:val="24"/>
        </w:rPr>
        <w:t>, 166 A.2d 96 (</w:t>
      </w:r>
      <w:smartTag w:uri="urn:schemas-microsoft-com:office:smarttags" w:element="State">
        <w:smartTag w:uri="urn:schemas-microsoft-com:office:smarttags" w:element="place">
          <w:r w:rsidRPr="00556362">
            <w:rPr>
              <w:sz w:val="24"/>
              <w:szCs w:val="24"/>
            </w:rPr>
            <w:t>Pa.</w:t>
          </w:r>
        </w:smartTag>
      </w:smartTag>
      <w:r w:rsidRPr="00556362">
        <w:rPr>
          <w:sz w:val="24"/>
          <w:szCs w:val="24"/>
        </w:rPr>
        <w:t xml:space="preserve"> Super. Ct.1960); </w:t>
      </w:r>
      <w:r w:rsidRPr="00556362">
        <w:rPr>
          <w:i/>
          <w:sz w:val="24"/>
          <w:szCs w:val="24"/>
        </w:rPr>
        <w:t xml:space="preserve">Murphy v. Comm., Dept. of Public Welfare, </w:t>
      </w:r>
      <w:smartTag w:uri="urn:schemas-microsoft-com:office:smarttags" w:element="PlaceName">
        <w:r w:rsidRPr="00556362">
          <w:rPr>
            <w:i/>
            <w:sz w:val="24"/>
            <w:szCs w:val="24"/>
          </w:rPr>
          <w:t>White</w:t>
        </w:r>
      </w:smartTag>
      <w:r w:rsidRPr="00556362">
        <w:rPr>
          <w:i/>
          <w:sz w:val="24"/>
          <w:szCs w:val="24"/>
        </w:rPr>
        <w:t xml:space="preserve"> </w:t>
      </w:r>
      <w:smartTag w:uri="urn:schemas-microsoft-com:office:smarttags" w:element="PlaceName">
        <w:r w:rsidRPr="00556362">
          <w:rPr>
            <w:i/>
            <w:sz w:val="24"/>
            <w:szCs w:val="24"/>
          </w:rPr>
          <w:t>Haven</w:t>
        </w:r>
      </w:smartTag>
      <w:r w:rsidRPr="00556362">
        <w:rPr>
          <w:i/>
          <w:sz w:val="24"/>
          <w:szCs w:val="24"/>
        </w:rPr>
        <w:t xml:space="preserve"> </w:t>
      </w:r>
      <w:smartTag w:uri="urn:schemas-microsoft-com:office:smarttags" w:element="PlaceType">
        <w:r w:rsidRPr="00556362">
          <w:rPr>
            <w:i/>
            <w:sz w:val="24"/>
            <w:szCs w:val="24"/>
          </w:rPr>
          <w:t>Center</w:t>
        </w:r>
      </w:smartTag>
      <w:r w:rsidRPr="00556362">
        <w:rPr>
          <w:i/>
          <w:sz w:val="24"/>
          <w:szCs w:val="24"/>
        </w:rPr>
        <w:t xml:space="preserve">, </w:t>
      </w:r>
      <w:r w:rsidRPr="00556362">
        <w:rPr>
          <w:sz w:val="24"/>
          <w:szCs w:val="24"/>
        </w:rPr>
        <w:t>480 A.2d 382 (</w:t>
      </w:r>
      <w:smartTag w:uri="urn:schemas-microsoft-com:office:smarttags" w:element="place">
        <w:smartTag w:uri="urn:schemas-microsoft-com:office:smarttags" w:element="State">
          <w:r w:rsidRPr="00556362">
            <w:rPr>
              <w:sz w:val="24"/>
              <w:szCs w:val="24"/>
            </w:rPr>
            <w:t>Pa.</w:t>
          </w:r>
        </w:smartTag>
      </w:smartTag>
      <w:r w:rsidRPr="00556362">
        <w:rPr>
          <w:sz w:val="24"/>
          <w:szCs w:val="24"/>
        </w:rPr>
        <w:t xml:space="preserve"> Cmwlth. Ct.1984).</w:t>
      </w:r>
    </w:p>
    <w:p w:rsidR="004A70EA" w:rsidRDefault="004A70EA" w:rsidP="000E0912">
      <w:pPr>
        <w:spacing w:line="360" w:lineRule="auto"/>
        <w:rPr>
          <w:sz w:val="24"/>
          <w:szCs w:val="24"/>
        </w:rPr>
      </w:pPr>
    </w:p>
    <w:p w:rsidR="00323CD2" w:rsidRDefault="00C661C2" w:rsidP="000E0912">
      <w:pPr>
        <w:spacing w:line="360" w:lineRule="auto"/>
        <w:rPr>
          <w:spacing w:val="-3"/>
          <w:sz w:val="24"/>
          <w:szCs w:val="24"/>
        </w:rPr>
      </w:pPr>
      <w:r>
        <w:rPr>
          <w:spacing w:val="-3"/>
          <w:sz w:val="24"/>
          <w:szCs w:val="24"/>
        </w:rPr>
        <w:tab/>
      </w:r>
      <w:r>
        <w:rPr>
          <w:spacing w:val="-3"/>
          <w:sz w:val="24"/>
          <w:szCs w:val="24"/>
        </w:rPr>
        <w:tab/>
        <w:t>3.</w:t>
      </w:r>
      <w:r>
        <w:rPr>
          <w:spacing w:val="-3"/>
          <w:sz w:val="24"/>
          <w:szCs w:val="24"/>
        </w:rPr>
        <w:tab/>
      </w:r>
      <w:r w:rsidR="00323CD2" w:rsidRPr="003935DD">
        <w:rPr>
          <w:spacing w:val="-3"/>
          <w:sz w:val="24"/>
          <w:szCs w:val="24"/>
        </w:rPr>
        <w:t xml:space="preserve">The “burden of proof” is composed of two distinct burdens: the burden of production and the burden of persuasion.  </w:t>
      </w:r>
      <w:r w:rsidR="00323CD2" w:rsidRPr="003935DD">
        <w:rPr>
          <w:i/>
          <w:spacing w:val="-3"/>
          <w:sz w:val="24"/>
          <w:szCs w:val="24"/>
        </w:rPr>
        <w:t>Hurley v. Hurley</w:t>
      </w:r>
      <w:r w:rsidR="00323CD2" w:rsidRPr="003935DD">
        <w:rPr>
          <w:spacing w:val="-3"/>
          <w:sz w:val="24"/>
          <w:szCs w:val="24"/>
        </w:rPr>
        <w:t>, 2000 Pa.Super. 178, 754 A.2d 1283 (2000).</w:t>
      </w:r>
      <w:r w:rsidR="00323CD2">
        <w:rPr>
          <w:spacing w:val="-3"/>
          <w:sz w:val="24"/>
          <w:szCs w:val="24"/>
        </w:rPr>
        <w:t xml:space="preserve">  </w:t>
      </w:r>
    </w:p>
    <w:p w:rsidR="00323CD2" w:rsidRDefault="00323CD2" w:rsidP="000E0912">
      <w:pPr>
        <w:spacing w:line="360" w:lineRule="auto"/>
        <w:rPr>
          <w:spacing w:val="-3"/>
          <w:sz w:val="24"/>
          <w:szCs w:val="24"/>
        </w:rPr>
      </w:pPr>
    </w:p>
    <w:p w:rsidR="00323CD2" w:rsidRDefault="00C661C2" w:rsidP="000E0912">
      <w:pPr>
        <w:spacing w:line="360" w:lineRule="auto"/>
        <w:rPr>
          <w:spacing w:val="-3"/>
          <w:sz w:val="24"/>
          <w:szCs w:val="24"/>
        </w:rPr>
      </w:pPr>
      <w:r>
        <w:rPr>
          <w:spacing w:val="-3"/>
          <w:sz w:val="24"/>
          <w:szCs w:val="24"/>
        </w:rPr>
        <w:tab/>
      </w:r>
      <w:r>
        <w:rPr>
          <w:spacing w:val="-3"/>
          <w:sz w:val="24"/>
          <w:szCs w:val="24"/>
        </w:rPr>
        <w:tab/>
        <w:t>4.</w:t>
      </w:r>
      <w:r>
        <w:rPr>
          <w:spacing w:val="-3"/>
          <w:sz w:val="24"/>
          <w:szCs w:val="24"/>
        </w:rPr>
        <w:tab/>
      </w:r>
      <w:r w:rsidR="00323CD2">
        <w:rPr>
          <w:spacing w:val="-3"/>
          <w:sz w:val="24"/>
          <w:szCs w:val="24"/>
        </w:rPr>
        <w:t>A public utility is required to provide adequate, efficient, safe and reasonable service.  66 Pa. C.S. § 1501.</w:t>
      </w:r>
    </w:p>
    <w:p w:rsidR="00323CD2" w:rsidRDefault="00323CD2" w:rsidP="000E0912">
      <w:pPr>
        <w:spacing w:line="360" w:lineRule="auto"/>
        <w:rPr>
          <w:spacing w:val="-3"/>
          <w:sz w:val="24"/>
          <w:szCs w:val="24"/>
        </w:rPr>
      </w:pPr>
    </w:p>
    <w:p w:rsidR="00C661C2" w:rsidRPr="00C661C2" w:rsidRDefault="00C661C2" w:rsidP="000E0912">
      <w:pPr>
        <w:pStyle w:val="FootnoteText"/>
        <w:spacing w:line="360" w:lineRule="auto"/>
        <w:rPr>
          <w:sz w:val="24"/>
          <w:szCs w:val="24"/>
        </w:rPr>
      </w:pPr>
      <w:r>
        <w:rPr>
          <w:sz w:val="24"/>
          <w:szCs w:val="24"/>
        </w:rPr>
        <w:tab/>
      </w:r>
      <w:r>
        <w:rPr>
          <w:sz w:val="24"/>
          <w:szCs w:val="24"/>
        </w:rPr>
        <w:tab/>
        <w:t>5.</w:t>
      </w:r>
      <w:r>
        <w:rPr>
          <w:sz w:val="24"/>
          <w:szCs w:val="24"/>
        </w:rPr>
        <w:tab/>
      </w:r>
      <w:r w:rsidRPr="00C661C2">
        <w:rPr>
          <w:sz w:val="24"/>
          <w:szCs w:val="24"/>
        </w:rPr>
        <w:t>Service</w:t>
      </w:r>
      <w:r>
        <w:rPr>
          <w:sz w:val="24"/>
          <w:szCs w:val="24"/>
        </w:rPr>
        <w:t>, u</w:t>
      </w:r>
      <w:r w:rsidRPr="00C661C2">
        <w:rPr>
          <w:sz w:val="24"/>
          <w:szCs w:val="24"/>
        </w:rPr>
        <w:t>sed in its broadest and most inclusive sense, includes any and all acts done, rendered, or performed, and any and all things furnished or supplied, and any and all facilities used, furnished, or supplied by public utilities, in the performance of their duties under this part to their patrons, employees, other public uti</w:t>
      </w:r>
      <w:r w:rsidR="003161F9">
        <w:rPr>
          <w:sz w:val="24"/>
          <w:szCs w:val="24"/>
        </w:rPr>
        <w:t>lities, and the public</w:t>
      </w:r>
      <w:r w:rsidRPr="00C661C2">
        <w:rPr>
          <w:sz w:val="24"/>
          <w:szCs w:val="24"/>
        </w:rPr>
        <w:t>. 66 Pa. C.S. § 102.</w:t>
      </w:r>
    </w:p>
    <w:p w:rsidR="00C661C2" w:rsidRDefault="00C661C2" w:rsidP="000E0912">
      <w:pPr>
        <w:spacing w:line="360" w:lineRule="auto"/>
        <w:rPr>
          <w:spacing w:val="-3"/>
          <w:sz w:val="24"/>
          <w:szCs w:val="24"/>
        </w:rPr>
      </w:pPr>
    </w:p>
    <w:p w:rsidR="00323CD2" w:rsidRDefault="003161F9" w:rsidP="000E0912">
      <w:pPr>
        <w:spacing w:line="360" w:lineRule="auto"/>
        <w:rPr>
          <w:sz w:val="24"/>
          <w:szCs w:val="24"/>
        </w:rPr>
      </w:pPr>
      <w:r>
        <w:rPr>
          <w:spacing w:val="-3"/>
          <w:sz w:val="24"/>
          <w:szCs w:val="24"/>
        </w:rPr>
        <w:tab/>
      </w:r>
      <w:r>
        <w:rPr>
          <w:spacing w:val="-3"/>
          <w:sz w:val="24"/>
          <w:szCs w:val="24"/>
        </w:rPr>
        <w:tab/>
        <w:t>6.</w:t>
      </w:r>
      <w:r>
        <w:rPr>
          <w:spacing w:val="-3"/>
          <w:sz w:val="24"/>
          <w:szCs w:val="24"/>
        </w:rPr>
        <w:tab/>
      </w:r>
      <w:r w:rsidR="00323CD2">
        <w:rPr>
          <w:sz w:val="24"/>
          <w:szCs w:val="24"/>
        </w:rPr>
        <w:t xml:space="preserve">Failure of the Company to provide accurate information regarding the future of a rate class which has 13,000 customers </w:t>
      </w:r>
      <w:r w:rsidR="00E85627">
        <w:rPr>
          <w:sz w:val="24"/>
          <w:szCs w:val="24"/>
        </w:rPr>
        <w:t xml:space="preserve">pursuant to a specific inquiry </w:t>
      </w:r>
      <w:r w:rsidR="00323CD2">
        <w:rPr>
          <w:sz w:val="24"/>
          <w:szCs w:val="24"/>
        </w:rPr>
        <w:t xml:space="preserve">is inadequate service within the meaning of Section 1501.  66 Pa. C.S. § 1501.  </w:t>
      </w:r>
    </w:p>
    <w:p w:rsidR="003161F9" w:rsidRDefault="00F91B69" w:rsidP="00F91B69">
      <w:pPr>
        <w:rPr>
          <w:sz w:val="24"/>
          <w:szCs w:val="24"/>
        </w:rPr>
      </w:pPr>
      <w:r>
        <w:rPr>
          <w:sz w:val="24"/>
          <w:szCs w:val="24"/>
        </w:rPr>
        <w:br w:type="page"/>
      </w:r>
    </w:p>
    <w:p w:rsidR="003161F9" w:rsidRPr="006611CD" w:rsidRDefault="003161F9" w:rsidP="000E0912">
      <w:pPr>
        <w:spacing w:line="360" w:lineRule="auto"/>
        <w:jc w:val="center"/>
        <w:rPr>
          <w:b/>
          <w:sz w:val="24"/>
          <w:szCs w:val="24"/>
          <w:u w:val="single"/>
        </w:rPr>
      </w:pPr>
      <w:r w:rsidRPr="006611CD">
        <w:rPr>
          <w:b/>
          <w:sz w:val="24"/>
          <w:szCs w:val="24"/>
          <w:u w:val="single"/>
        </w:rPr>
        <w:lastRenderedPageBreak/>
        <w:t>ORDER</w:t>
      </w:r>
    </w:p>
    <w:p w:rsidR="003161F9" w:rsidRDefault="003161F9" w:rsidP="000E0912">
      <w:pPr>
        <w:spacing w:line="360" w:lineRule="auto"/>
        <w:jc w:val="center"/>
        <w:rPr>
          <w:b/>
          <w:sz w:val="24"/>
          <w:szCs w:val="24"/>
        </w:rPr>
      </w:pPr>
    </w:p>
    <w:p w:rsidR="003161F9" w:rsidRDefault="003161F9" w:rsidP="000E0912">
      <w:pPr>
        <w:spacing w:line="360" w:lineRule="auto"/>
        <w:rPr>
          <w:sz w:val="24"/>
          <w:szCs w:val="24"/>
        </w:rPr>
      </w:pPr>
      <w:r>
        <w:rPr>
          <w:b/>
          <w:sz w:val="24"/>
          <w:szCs w:val="24"/>
        </w:rPr>
        <w:tab/>
      </w:r>
      <w:r>
        <w:rPr>
          <w:b/>
          <w:sz w:val="24"/>
          <w:szCs w:val="24"/>
        </w:rPr>
        <w:tab/>
      </w:r>
      <w:r>
        <w:rPr>
          <w:sz w:val="24"/>
          <w:szCs w:val="24"/>
        </w:rPr>
        <w:t>THEREFORE,</w:t>
      </w:r>
    </w:p>
    <w:p w:rsidR="003161F9" w:rsidRDefault="003161F9" w:rsidP="000E0912">
      <w:pPr>
        <w:spacing w:line="360" w:lineRule="auto"/>
        <w:rPr>
          <w:sz w:val="24"/>
          <w:szCs w:val="24"/>
        </w:rPr>
      </w:pPr>
    </w:p>
    <w:p w:rsidR="003161F9" w:rsidRDefault="003161F9" w:rsidP="000E0912">
      <w:pPr>
        <w:spacing w:line="360" w:lineRule="auto"/>
        <w:rPr>
          <w:sz w:val="24"/>
          <w:szCs w:val="24"/>
        </w:rPr>
      </w:pPr>
      <w:r>
        <w:rPr>
          <w:sz w:val="24"/>
          <w:szCs w:val="24"/>
        </w:rPr>
        <w:tab/>
      </w:r>
      <w:r>
        <w:rPr>
          <w:sz w:val="24"/>
          <w:szCs w:val="24"/>
        </w:rPr>
        <w:tab/>
        <w:t>IT IS ORDERED:</w:t>
      </w:r>
    </w:p>
    <w:p w:rsidR="003161F9" w:rsidRDefault="003161F9" w:rsidP="000E0912">
      <w:pPr>
        <w:spacing w:line="360" w:lineRule="auto"/>
        <w:rPr>
          <w:sz w:val="24"/>
          <w:szCs w:val="24"/>
        </w:rPr>
      </w:pPr>
    </w:p>
    <w:p w:rsidR="000113C4" w:rsidRDefault="003161F9" w:rsidP="000E0912">
      <w:pPr>
        <w:spacing w:line="360" w:lineRule="auto"/>
        <w:rPr>
          <w:sz w:val="24"/>
          <w:szCs w:val="24"/>
        </w:rPr>
      </w:pPr>
      <w:r>
        <w:rPr>
          <w:sz w:val="24"/>
          <w:szCs w:val="24"/>
        </w:rPr>
        <w:tab/>
      </w:r>
      <w:r>
        <w:rPr>
          <w:sz w:val="24"/>
          <w:szCs w:val="24"/>
        </w:rPr>
        <w:tab/>
        <w:t>1.</w:t>
      </w:r>
      <w:r>
        <w:rPr>
          <w:sz w:val="24"/>
          <w:szCs w:val="24"/>
        </w:rPr>
        <w:tab/>
        <w:t xml:space="preserve">That the Complaint filed by Lori and Peter Brickner against PPL Electric Utilities Corporation at PUC Docket No. C-2009-2105583 is denied insofar as it seeks to continue the </w:t>
      </w:r>
      <w:r w:rsidR="000113C4">
        <w:rPr>
          <w:sz w:val="24"/>
          <w:szCs w:val="24"/>
        </w:rPr>
        <w:t>existing rate reductions of the Residential Thermal Storage Rate which are inconsistent with Commission Orders regarding rate structure.</w:t>
      </w:r>
    </w:p>
    <w:p w:rsidR="000113C4" w:rsidRDefault="000113C4" w:rsidP="000E0912">
      <w:pPr>
        <w:spacing w:line="360" w:lineRule="auto"/>
        <w:rPr>
          <w:sz w:val="24"/>
          <w:szCs w:val="24"/>
        </w:rPr>
      </w:pPr>
    </w:p>
    <w:p w:rsidR="003161F9" w:rsidRDefault="000113C4" w:rsidP="000E0912">
      <w:pPr>
        <w:spacing w:line="360" w:lineRule="auto"/>
        <w:rPr>
          <w:sz w:val="24"/>
          <w:szCs w:val="24"/>
        </w:rPr>
      </w:pPr>
      <w:r>
        <w:rPr>
          <w:sz w:val="24"/>
          <w:szCs w:val="24"/>
        </w:rPr>
        <w:tab/>
      </w:r>
      <w:r>
        <w:rPr>
          <w:sz w:val="24"/>
          <w:szCs w:val="24"/>
        </w:rPr>
        <w:tab/>
        <w:t>2.</w:t>
      </w:r>
      <w:r>
        <w:rPr>
          <w:sz w:val="24"/>
          <w:szCs w:val="24"/>
        </w:rPr>
        <w:tab/>
        <w:t xml:space="preserve">That the Complaint filed by Lori and Peter Brickner against PPL Electric Utilities Corporation at PUC Docket No. C-2009-2105583 is sustained insofar as it seeks a finding that the actions of PPL Electric Utilities Corporation constituted inadequate service by failing to provide accurate information </w:t>
      </w:r>
      <w:r w:rsidR="00F30F65">
        <w:rPr>
          <w:sz w:val="24"/>
          <w:szCs w:val="24"/>
        </w:rPr>
        <w:t xml:space="preserve">upon inquiry </w:t>
      </w:r>
      <w:r>
        <w:rPr>
          <w:sz w:val="24"/>
          <w:szCs w:val="24"/>
        </w:rPr>
        <w:t>regarding the future of the Residential Thermal Storage Rate prior to the purchase of the Brickner residence.</w:t>
      </w:r>
    </w:p>
    <w:p w:rsidR="000113C4" w:rsidRDefault="000113C4" w:rsidP="000E0912">
      <w:pPr>
        <w:spacing w:line="360" w:lineRule="auto"/>
        <w:rPr>
          <w:sz w:val="24"/>
          <w:szCs w:val="24"/>
        </w:rPr>
      </w:pPr>
    </w:p>
    <w:p w:rsidR="000113C4" w:rsidRDefault="000113C4" w:rsidP="000E0912">
      <w:pPr>
        <w:spacing w:line="360" w:lineRule="auto"/>
        <w:rPr>
          <w:sz w:val="24"/>
          <w:szCs w:val="24"/>
        </w:rPr>
      </w:pPr>
      <w:r>
        <w:rPr>
          <w:sz w:val="24"/>
          <w:szCs w:val="24"/>
        </w:rPr>
        <w:tab/>
      </w:r>
      <w:r>
        <w:rPr>
          <w:sz w:val="24"/>
          <w:szCs w:val="24"/>
        </w:rPr>
        <w:tab/>
        <w:t>3.</w:t>
      </w:r>
      <w:r>
        <w:rPr>
          <w:sz w:val="24"/>
          <w:szCs w:val="24"/>
        </w:rPr>
        <w:tab/>
        <w:t xml:space="preserve">That PPL Electric Utilities Corporation </w:t>
      </w:r>
      <w:r w:rsidR="00672DAF">
        <w:rPr>
          <w:sz w:val="24"/>
          <w:szCs w:val="24"/>
        </w:rPr>
        <w:t>shall</w:t>
      </w:r>
      <w:r>
        <w:rPr>
          <w:sz w:val="24"/>
          <w:szCs w:val="24"/>
        </w:rPr>
        <w:t xml:space="preserve"> cease and desist violating the Public Utility Code by providing inadequate service.</w:t>
      </w:r>
    </w:p>
    <w:p w:rsidR="000113C4" w:rsidRDefault="000113C4" w:rsidP="000E0912">
      <w:pPr>
        <w:spacing w:line="360" w:lineRule="auto"/>
        <w:rPr>
          <w:sz w:val="24"/>
          <w:szCs w:val="24"/>
        </w:rPr>
      </w:pPr>
    </w:p>
    <w:p w:rsidR="000113C4" w:rsidRDefault="000113C4" w:rsidP="000E0912">
      <w:pPr>
        <w:spacing w:line="360" w:lineRule="auto"/>
        <w:rPr>
          <w:sz w:val="24"/>
          <w:szCs w:val="24"/>
        </w:rPr>
      </w:pPr>
      <w:r>
        <w:rPr>
          <w:sz w:val="24"/>
          <w:szCs w:val="24"/>
        </w:rPr>
        <w:tab/>
      </w:r>
      <w:r>
        <w:rPr>
          <w:sz w:val="24"/>
          <w:szCs w:val="24"/>
        </w:rPr>
        <w:tab/>
        <w:t>4.</w:t>
      </w:r>
      <w:r>
        <w:rPr>
          <w:sz w:val="24"/>
          <w:szCs w:val="24"/>
        </w:rPr>
        <w:tab/>
        <w:t>That the Secretary mark this docket closed.</w:t>
      </w:r>
    </w:p>
    <w:p w:rsidR="000113C4" w:rsidRDefault="000113C4" w:rsidP="000E0912">
      <w:pPr>
        <w:spacing w:line="360" w:lineRule="auto"/>
        <w:rPr>
          <w:sz w:val="24"/>
          <w:szCs w:val="24"/>
        </w:rPr>
      </w:pPr>
    </w:p>
    <w:p w:rsidR="000113C4" w:rsidRDefault="000113C4" w:rsidP="000E0912">
      <w:pPr>
        <w:spacing w:line="360" w:lineRule="auto"/>
        <w:rPr>
          <w:sz w:val="24"/>
          <w:szCs w:val="24"/>
        </w:rPr>
      </w:pPr>
    </w:p>
    <w:p w:rsidR="000113C4" w:rsidRDefault="000113C4" w:rsidP="000E0912">
      <w:pPr>
        <w:rPr>
          <w:sz w:val="24"/>
          <w:szCs w:val="24"/>
        </w:rPr>
      </w:pPr>
      <w:r>
        <w:rPr>
          <w:sz w:val="24"/>
          <w:szCs w:val="24"/>
        </w:rPr>
        <w:t>Dated:</w:t>
      </w:r>
      <w:r>
        <w:rPr>
          <w:sz w:val="24"/>
          <w:szCs w:val="24"/>
        </w:rPr>
        <w:tab/>
      </w:r>
      <w:r w:rsidR="00672DAF">
        <w:rPr>
          <w:sz w:val="24"/>
          <w:szCs w:val="24"/>
          <w:u w:val="single"/>
        </w:rPr>
        <w:t>December 7, 2009</w:t>
      </w:r>
      <w:r w:rsidR="00672DAF">
        <w:rPr>
          <w:sz w:val="24"/>
          <w:szCs w:val="24"/>
        </w:rPr>
        <w:tab/>
      </w:r>
      <w:r w:rsidR="00672DAF">
        <w:rPr>
          <w:sz w:val="24"/>
          <w:szCs w:val="24"/>
        </w:rPr>
        <w:tab/>
      </w:r>
      <w:r w:rsidR="00672DAF">
        <w:rPr>
          <w:sz w:val="24"/>
          <w:szCs w:val="24"/>
        </w:rPr>
        <w:tab/>
      </w:r>
      <w:r w:rsidR="00672DAF">
        <w:rPr>
          <w:sz w:val="24"/>
          <w:szCs w:val="24"/>
        </w:rPr>
        <w:tab/>
      </w:r>
      <w:r w:rsidR="00672DAF">
        <w:rPr>
          <w:sz w:val="24"/>
          <w:szCs w:val="24"/>
        </w:rPr>
        <w:tab/>
        <w:t>______________________________</w:t>
      </w:r>
    </w:p>
    <w:p w:rsidR="00672DAF" w:rsidRDefault="00672DAF" w:rsidP="000E091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672DAF" w:rsidRPr="00672DAF" w:rsidRDefault="00672DAF" w:rsidP="000E091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sectPr w:rsidR="00672DAF" w:rsidRPr="00672DAF" w:rsidSect="00D27D01">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43C" w:rsidRDefault="00E0143C" w:rsidP="00A672EB">
      <w:r>
        <w:separator/>
      </w:r>
    </w:p>
  </w:endnote>
  <w:endnote w:type="continuationSeparator" w:id="0">
    <w:p w:rsidR="00E0143C" w:rsidRDefault="00E0143C" w:rsidP="00A672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859" w:rsidRDefault="002615EA" w:rsidP="001B0859">
    <w:pPr>
      <w:pStyle w:val="Footer"/>
      <w:framePr w:wrap="around" w:vAnchor="text" w:hAnchor="margin" w:xAlign="center" w:y="1"/>
      <w:rPr>
        <w:rStyle w:val="PageNumber"/>
      </w:rPr>
    </w:pPr>
    <w:r>
      <w:rPr>
        <w:rStyle w:val="PageNumber"/>
      </w:rPr>
      <w:fldChar w:fldCharType="begin"/>
    </w:r>
    <w:r w:rsidR="001B0859">
      <w:rPr>
        <w:rStyle w:val="PageNumber"/>
      </w:rPr>
      <w:instrText xml:space="preserve">PAGE  </w:instrText>
    </w:r>
    <w:r>
      <w:rPr>
        <w:rStyle w:val="PageNumber"/>
      </w:rPr>
      <w:fldChar w:fldCharType="end"/>
    </w:r>
  </w:p>
  <w:p w:rsidR="001B0859" w:rsidRDefault="001B08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859" w:rsidRPr="00C844DF" w:rsidRDefault="002615EA" w:rsidP="001B0859">
    <w:pPr>
      <w:pStyle w:val="Footer"/>
      <w:framePr w:wrap="around" w:vAnchor="text" w:hAnchor="margin" w:xAlign="center" w:y="1"/>
      <w:rPr>
        <w:rStyle w:val="PageNumber"/>
        <w:sz w:val="20"/>
        <w:szCs w:val="20"/>
      </w:rPr>
    </w:pPr>
    <w:r w:rsidRPr="00C844DF">
      <w:rPr>
        <w:rStyle w:val="PageNumber"/>
        <w:sz w:val="20"/>
        <w:szCs w:val="20"/>
      </w:rPr>
      <w:fldChar w:fldCharType="begin"/>
    </w:r>
    <w:r w:rsidR="001B0859" w:rsidRPr="00C844DF">
      <w:rPr>
        <w:rStyle w:val="PageNumber"/>
        <w:sz w:val="20"/>
        <w:szCs w:val="20"/>
      </w:rPr>
      <w:instrText xml:space="preserve">PAGE  </w:instrText>
    </w:r>
    <w:r w:rsidRPr="00C844DF">
      <w:rPr>
        <w:rStyle w:val="PageNumber"/>
        <w:sz w:val="20"/>
        <w:szCs w:val="20"/>
      </w:rPr>
      <w:fldChar w:fldCharType="separate"/>
    </w:r>
    <w:r w:rsidR="00F91B69">
      <w:rPr>
        <w:rStyle w:val="PageNumber"/>
        <w:noProof/>
        <w:sz w:val="20"/>
        <w:szCs w:val="20"/>
      </w:rPr>
      <w:t>13</w:t>
    </w:r>
    <w:r w:rsidRPr="00C844DF">
      <w:rPr>
        <w:rStyle w:val="PageNumber"/>
        <w:sz w:val="20"/>
        <w:szCs w:val="20"/>
      </w:rPr>
      <w:fldChar w:fldCharType="end"/>
    </w:r>
  </w:p>
  <w:p w:rsidR="001B0859" w:rsidRDefault="001B08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43C" w:rsidRDefault="00E0143C" w:rsidP="00A672EB">
      <w:r>
        <w:separator/>
      </w:r>
    </w:p>
  </w:footnote>
  <w:footnote w:type="continuationSeparator" w:id="0">
    <w:p w:rsidR="00E0143C" w:rsidRDefault="00E0143C" w:rsidP="00A672EB">
      <w:r>
        <w:continuationSeparator/>
      </w:r>
    </w:p>
  </w:footnote>
  <w:footnote w:id="1">
    <w:p w:rsidR="00F10FFF" w:rsidRDefault="00F10FFF" w:rsidP="00F10FFF">
      <w:pPr>
        <w:pStyle w:val="FootnoteText"/>
      </w:pPr>
      <w:r>
        <w:rPr>
          <w:rStyle w:val="FootnoteReference"/>
        </w:rPr>
        <w:footnoteRef/>
      </w:r>
      <w:r>
        <w:tab/>
        <w:t>See, 66 Pa.C.S.A. §§ 332(a), 315.</w:t>
      </w:r>
    </w:p>
  </w:footnote>
  <w:footnote w:id="2">
    <w:p w:rsidR="007B1DB8" w:rsidRDefault="007B1DB8">
      <w:pPr>
        <w:pStyle w:val="FootnoteText"/>
      </w:pPr>
      <w:r>
        <w:rPr>
          <w:rStyle w:val="FootnoteReference"/>
        </w:rPr>
        <w:footnoteRef/>
      </w:r>
      <w:r>
        <w:t xml:space="preserve"> </w:t>
      </w:r>
      <w:r w:rsidRPr="009A1862">
        <w:rPr>
          <w:i/>
        </w:rPr>
        <w:t>Lloyd v. Pa. Publ. Util. Comm’n, 904 A.2d 1010 (2005).</w:t>
      </w:r>
    </w:p>
  </w:footnote>
  <w:footnote w:id="3">
    <w:p w:rsidR="00B4552D" w:rsidRDefault="00B4552D" w:rsidP="00B4552D">
      <w:pPr>
        <w:pStyle w:val="FootnoteText"/>
      </w:pPr>
      <w:r>
        <w:rPr>
          <w:rStyle w:val="FootnoteReference"/>
        </w:rPr>
        <w:footnoteRef/>
      </w:r>
      <w:r>
        <w:t xml:space="preserve"> “Service.”  Used in its broadest and most inclusive sense, includes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and the public, as well as the interchange of facilities between two or more of them . . . . 66 Pa. C.S. § 102.</w:t>
      </w:r>
    </w:p>
  </w:footnote>
  <w:footnote w:id="4">
    <w:p w:rsidR="005D561D" w:rsidRDefault="005D561D">
      <w:pPr>
        <w:pStyle w:val="FootnoteText"/>
      </w:pPr>
      <w:r>
        <w:rPr>
          <w:rStyle w:val="FootnoteReference"/>
        </w:rPr>
        <w:footnoteRef/>
      </w:r>
      <w:r>
        <w:t xml:space="preserve"> PPL Witness Kasper testified, “As long as there are customers on the RTS rate, that rate will exist.”  Tr. 26.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96775E"/>
    <w:rsid w:val="00001E3A"/>
    <w:rsid w:val="00001EF6"/>
    <w:rsid w:val="00003D11"/>
    <w:rsid w:val="00005558"/>
    <w:rsid w:val="000079FE"/>
    <w:rsid w:val="000113C4"/>
    <w:rsid w:val="00012104"/>
    <w:rsid w:val="0001305A"/>
    <w:rsid w:val="00016E55"/>
    <w:rsid w:val="0002105C"/>
    <w:rsid w:val="00035BB8"/>
    <w:rsid w:val="000541C0"/>
    <w:rsid w:val="000605B6"/>
    <w:rsid w:val="00061278"/>
    <w:rsid w:val="000634EB"/>
    <w:rsid w:val="00063801"/>
    <w:rsid w:val="00067170"/>
    <w:rsid w:val="00067CBC"/>
    <w:rsid w:val="000769C6"/>
    <w:rsid w:val="00077E18"/>
    <w:rsid w:val="000902E3"/>
    <w:rsid w:val="0009220F"/>
    <w:rsid w:val="00092E44"/>
    <w:rsid w:val="00093562"/>
    <w:rsid w:val="000A770B"/>
    <w:rsid w:val="000B0269"/>
    <w:rsid w:val="000B339A"/>
    <w:rsid w:val="000C2A2B"/>
    <w:rsid w:val="000C34F3"/>
    <w:rsid w:val="000C6EF0"/>
    <w:rsid w:val="000D29BA"/>
    <w:rsid w:val="000E0912"/>
    <w:rsid w:val="000E7EF5"/>
    <w:rsid w:val="000F2E5F"/>
    <w:rsid w:val="001021FB"/>
    <w:rsid w:val="00102242"/>
    <w:rsid w:val="00102A77"/>
    <w:rsid w:val="0010420D"/>
    <w:rsid w:val="001077F1"/>
    <w:rsid w:val="00115381"/>
    <w:rsid w:val="00115BB6"/>
    <w:rsid w:val="00116578"/>
    <w:rsid w:val="0012035F"/>
    <w:rsid w:val="00121291"/>
    <w:rsid w:val="00124101"/>
    <w:rsid w:val="00124873"/>
    <w:rsid w:val="00124D49"/>
    <w:rsid w:val="0014105E"/>
    <w:rsid w:val="00143142"/>
    <w:rsid w:val="00155E87"/>
    <w:rsid w:val="00157E46"/>
    <w:rsid w:val="00162D2F"/>
    <w:rsid w:val="001727DE"/>
    <w:rsid w:val="00172E8C"/>
    <w:rsid w:val="00174F7E"/>
    <w:rsid w:val="0017580D"/>
    <w:rsid w:val="00181AB1"/>
    <w:rsid w:val="001857EA"/>
    <w:rsid w:val="001902F4"/>
    <w:rsid w:val="00190A2D"/>
    <w:rsid w:val="00191522"/>
    <w:rsid w:val="00192EB5"/>
    <w:rsid w:val="001966CB"/>
    <w:rsid w:val="001A103D"/>
    <w:rsid w:val="001A216A"/>
    <w:rsid w:val="001B0859"/>
    <w:rsid w:val="001B1B1D"/>
    <w:rsid w:val="001B3D6F"/>
    <w:rsid w:val="001D1F1B"/>
    <w:rsid w:val="001D47B0"/>
    <w:rsid w:val="001E2642"/>
    <w:rsid w:val="001E3C9A"/>
    <w:rsid w:val="001E5447"/>
    <w:rsid w:val="001E79A7"/>
    <w:rsid w:val="001F0835"/>
    <w:rsid w:val="001F74FC"/>
    <w:rsid w:val="002004A8"/>
    <w:rsid w:val="0021162B"/>
    <w:rsid w:val="002125E4"/>
    <w:rsid w:val="00215381"/>
    <w:rsid w:val="00216F76"/>
    <w:rsid w:val="00230BCF"/>
    <w:rsid w:val="002337D7"/>
    <w:rsid w:val="00251E5A"/>
    <w:rsid w:val="00252DB6"/>
    <w:rsid w:val="0025445B"/>
    <w:rsid w:val="002546D8"/>
    <w:rsid w:val="00260459"/>
    <w:rsid w:val="002615EA"/>
    <w:rsid w:val="002704DD"/>
    <w:rsid w:val="00283EBF"/>
    <w:rsid w:val="0028473C"/>
    <w:rsid w:val="00284760"/>
    <w:rsid w:val="0029096F"/>
    <w:rsid w:val="0029353E"/>
    <w:rsid w:val="00297286"/>
    <w:rsid w:val="002A05C6"/>
    <w:rsid w:val="002A5F4D"/>
    <w:rsid w:val="002B754D"/>
    <w:rsid w:val="002C6F5E"/>
    <w:rsid w:val="002D17AA"/>
    <w:rsid w:val="002E5CAF"/>
    <w:rsid w:val="002E7DDB"/>
    <w:rsid w:val="00304AA1"/>
    <w:rsid w:val="00306C33"/>
    <w:rsid w:val="003161F9"/>
    <w:rsid w:val="00321DB1"/>
    <w:rsid w:val="00323CD2"/>
    <w:rsid w:val="00330A67"/>
    <w:rsid w:val="00333780"/>
    <w:rsid w:val="00334F62"/>
    <w:rsid w:val="003364EB"/>
    <w:rsid w:val="00337FA3"/>
    <w:rsid w:val="00344C34"/>
    <w:rsid w:val="00351E8D"/>
    <w:rsid w:val="00354574"/>
    <w:rsid w:val="00360F5F"/>
    <w:rsid w:val="0036124A"/>
    <w:rsid w:val="0036754C"/>
    <w:rsid w:val="00374E10"/>
    <w:rsid w:val="00381B05"/>
    <w:rsid w:val="00386626"/>
    <w:rsid w:val="00390929"/>
    <w:rsid w:val="003A0B9C"/>
    <w:rsid w:val="003A0E5A"/>
    <w:rsid w:val="003A7581"/>
    <w:rsid w:val="003B4D40"/>
    <w:rsid w:val="003B5D19"/>
    <w:rsid w:val="003B610B"/>
    <w:rsid w:val="003C4F6F"/>
    <w:rsid w:val="003E2B14"/>
    <w:rsid w:val="003F01A7"/>
    <w:rsid w:val="00400A8E"/>
    <w:rsid w:val="0040314E"/>
    <w:rsid w:val="004047B1"/>
    <w:rsid w:val="00411425"/>
    <w:rsid w:val="00413BA5"/>
    <w:rsid w:val="00426277"/>
    <w:rsid w:val="004262B3"/>
    <w:rsid w:val="00431130"/>
    <w:rsid w:val="00433B2C"/>
    <w:rsid w:val="00436AE2"/>
    <w:rsid w:val="00442254"/>
    <w:rsid w:val="00446B02"/>
    <w:rsid w:val="0045300F"/>
    <w:rsid w:val="00454158"/>
    <w:rsid w:val="00454723"/>
    <w:rsid w:val="00460140"/>
    <w:rsid w:val="0046238B"/>
    <w:rsid w:val="00491F39"/>
    <w:rsid w:val="0049575D"/>
    <w:rsid w:val="004A5318"/>
    <w:rsid w:val="004A70EA"/>
    <w:rsid w:val="004A741E"/>
    <w:rsid w:val="004B1ADE"/>
    <w:rsid w:val="004B570B"/>
    <w:rsid w:val="004B652A"/>
    <w:rsid w:val="004C30D2"/>
    <w:rsid w:val="004D0BE0"/>
    <w:rsid w:val="004D14F0"/>
    <w:rsid w:val="004D4A68"/>
    <w:rsid w:val="004E429F"/>
    <w:rsid w:val="004F0B83"/>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2965"/>
    <w:rsid w:val="00575D4F"/>
    <w:rsid w:val="00575F27"/>
    <w:rsid w:val="0058036C"/>
    <w:rsid w:val="00585BD9"/>
    <w:rsid w:val="005969F0"/>
    <w:rsid w:val="005A1839"/>
    <w:rsid w:val="005A7783"/>
    <w:rsid w:val="005C373B"/>
    <w:rsid w:val="005C5EB7"/>
    <w:rsid w:val="005D1442"/>
    <w:rsid w:val="005D561D"/>
    <w:rsid w:val="005E68F2"/>
    <w:rsid w:val="005F064D"/>
    <w:rsid w:val="005F42E8"/>
    <w:rsid w:val="005F5A21"/>
    <w:rsid w:val="00603824"/>
    <w:rsid w:val="00616774"/>
    <w:rsid w:val="00620850"/>
    <w:rsid w:val="00624D32"/>
    <w:rsid w:val="006273ED"/>
    <w:rsid w:val="006279CA"/>
    <w:rsid w:val="00631B8A"/>
    <w:rsid w:val="0064750C"/>
    <w:rsid w:val="00657331"/>
    <w:rsid w:val="006611CD"/>
    <w:rsid w:val="006621E9"/>
    <w:rsid w:val="00672DAF"/>
    <w:rsid w:val="006856E2"/>
    <w:rsid w:val="006866C0"/>
    <w:rsid w:val="00691CE0"/>
    <w:rsid w:val="00695397"/>
    <w:rsid w:val="006B2A32"/>
    <w:rsid w:val="006B2FA8"/>
    <w:rsid w:val="006B3E08"/>
    <w:rsid w:val="006C17EA"/>
    <w:rsid w:val="006C4536"/>
    <w:rsid w:val="006C51E2"/>
    <w:rsid w:val="006C71BB"/>
    <w:rsid w:val="006D1276"/>
    <w:rsid w:val="006D6D41"/>
    <w:rsid w:val="006D7CE3"/>
    <w:rsid w:val="006E670A"/>
    <w:rsid w:val="006F27FC"/>
    <w:rsid w:val="006F3153"/>
    <w:rsid w:val="00705262"/>
    <w:rsid w:val="00705CA5"/>
    <w:rsid w:val="00716D0A"/>
    <w:rsid w:val="00721ECF"/>
    <w:rsid w:val="007306D1"/>
    <w:rsid w:val="00742CE1"/>
    <w:rsid w:val="00744C7C"/>
    <w:rsid w:val="00747C4D"/>
    <w:rsid w:val="0075585E"/>
    <w:rsid w:val="0078470A"/>
    <w:rsid w:val="00787AF1"/>
    <w:rsid w:val="007B1039"/>
    <w:rsid w:val="007B1DB8"/>
    <w:rsid w:val="007D3747"/>
    <w:rsid w:val="007D5B1C"/>
    <w:rsid w:val="007E0ADA"/>
    <w:rsid w:val="007E5866"/>
    <w:rsid w:val="00804065"/>
    <w:rsid w:val="0081426E"/>
    <w:rsid w:val="00815EAF"/>
    <w:rsid w:val="008203E4"/>
    <w:rsid w:val="00840A53"/>
    <w:rsid w:val="0085047D"/>
    <w:rsid w:val="008524EA"/>
    <w:rsid w:val="00857642"/>
    <w:rsid w:val="00857F8E"/>
    <w:rsid w:val="0086268A"/>
    <w:rsid w:val="00864B15"/>
    <w:rsid w:val="00865C18"/>
    <w:rsid w:val="0086621E"/>
    <w:rsid w:val="008716D3"/>
    <w:rsid w:val="00874CB5"/>
    <w:rsid w:val="0087789F"/>
    <w:rsid w:val="00882CB8"/>
    <w:rsid w:val="00884650"/>
    <w:rsid w:val="008905E4"/>
    <w:rsid w:val="00891BF5"/>
    <w:rsid w:val="00892C46"/>
    <w:rsid w:val="00893901"/>
    <w:rsid w:val="008B0B14"/>
    <w:rsid w:val="008B2982"/>
    <w:rsid w:val="008B6E9E"/>
    <w:rsid w:val="008C03AD"/>
    <w:rsid w:val="008C1485"/>
    <w:rsid w:val="008C59D4"/>
    <w:rsid w:val="008D2DBA"/>
    <w:rsid w:val="008D638B"/>
    <w:rsid w:val="008E6FB7"/>
    <w:rsid w:val="008E7FE5"/>
    <w:rsid w:val="008F63E4"/>
    <w:rsid w:val="00900008"/>
    <w:rsid w:val="00902EB1"/>
    <w:rsid w:val="009050BB"/>
    <w:rsid w:val="00905F7A"/>
    <w:rsid w:val="00906A31"/>
    <w:rsid w:val="0091039C"/>
    <w:rsid w:val="00912783"/>
    <w:rsid w:val="00913D3C"/>
    <w:rsid w:val="0091451C"/>
    <w:rsid w:val="00915D45"/>
    <w:rsid w:val="00923349"/>
    <w:rsid w:val="00926002"/>
    <w:rsid w:val="00930EBA"/>
    <w:rsid w:val="00935580"/>
    <w:rsid w:val="009412D9"/>
    <w:rsid w:val="00944730"/>
    <w:rsid w:val="009471B5"/>
    <w:rsid w:val="009669E3"/>
    <w:rsid w:val="009671DB"/>
    <w:rsid w:val="0096775E"/>
    <w:rsid w:val="00972738"/>
    <w:rsid w:val="00973958"/>
    <w:rsid w:val="00980958"/>
    <w:rsid w:val="00987014"/>
    <w:rsid w:val="00997443"/>
    <w:rsid w:val="009A1862"/>
    <w:rsid w:val="009A5B06"/>
    <w:rsid w:val="009A68E7"/>
    <w:rsid w:val="009B66C0"/>
    <w:rsid w:val="009C24F9"/>
    <w:rsid w:val="009C7A2A"/>
    <w:rsid w:val="009D3AAC"/>
    <w:rsid w:val="009D5B63"/>
    <w:rsid w:val="009E1679"/>
    <w:rsid w:val="009E239E"/>
    <w:rsid w:val="009E271D"/>
    <w:rsid w:val="009F768D"/>
    <w:rsid w:val="00A07D8F"/>
    <w:rsid w:val="00A13C95"/>
    <w:rsid w:val="00A1614C"/>
    <w:rsid w:val="00A249F6"/>
    <w:rsid w:val="00A35AFD"/>
    <w:rsid w:val="00A40731"/>
    <w:rsid w:val="00A42978"/>
    <w:rsid w:val="00A448EF"/>
    <w:rsid w:val="00A52A4E"/>
    <w:rsid w:val="00A672EB"/>
    <w:rsid w:val="00A6736B"/>
    <w:rsid w:val="00A7538D"/>
    <w:rsid w:val="00A8008F"/>
    <w:rsid w:val="00A80E74"/>
    <w:rsid w:val="00A851A4"/>
    <w:rsid w:val="00A86BD8"/>
    <w:rsid w:val="00A87EDF"/>
    <w:rsid w:val="00AA1496"/>
    <w:rsid w:val="00AA3D06"/>
    <w:rsid w:val="00AA4899"/>
    <w:rsid w:val="00AA639F"/>
    <w:rsid w:val="00AC0D42"/>
    <w:rsid w:val="00AC42F9"/>
    <w:rsid w:val="00AC7DAD"/>
    <w:rsid w:val="00AD344D"/>
    <w:rsid w:val="00AD5E7B"/>
    <w:rsid w:val="00AE79A1"/>
    <w:rsid w:val="00AE7E8A"/>
    <w:rsid w:val="00AF32D8"/>
    <w:rsid w:val="00AF4C64"/>
    <w:rsid w:val="00B01BE5"/>
    <w:rsid w:val="00B01FBF"/>
    <w:rsid w:val="00B03EED"/>
    <w:rsid w:val="00B06DDF"/>
    <w:rsid w:val="00B079A5"/>
    <w:rsid w:val="00B20FAA"/>
    <w:rsid w:val="00B21FBA"/>
    <w:rsid w:val="00B2793E"/>
    <w:rsid w:val="00B309B6"/>
    <w:rsid w:val="00B42826"/>
    <w:rsid w:val="00B4552D"/>
    <w:rsid w:val="00B55869"/>
    <w:rsid w:val="00B569FA"/>
    <w:rsid w:val="00B571D3"/>
    <w:rsid w:val="00B643ED"/>
    <w:rsid w:val="00B759EC"/>
    <w:rsid w:val="00B75F96"/>
    <w:rsid w:val="00B824F8"/>
    <w:rsid w:val="00B86F52"/>
    <w:rsid w:val="00B91639"/>
    <w:rsid w:val="00B91893"/>
    <w:rsid w:val="00B926BD"/>
    <w:rsid w:val="00BA0244"/>
    <w:rsid w:val="00BB1D36"/>
    <w:rsid w:val="00BB5630"/>
    <w:rsid w:val="00BD00D9"/>
    <w:rsid w:val="00BE3D71"/>
    <w:rsid w:val="00BE5D1C"/>
    <w:rsid w:val="00BE7640"/>
    <w:rsid w:val="00BF0242"/>
    <w:rsid w:val="00BF230A"/>
    <w:rsid w:val="00BF6788"/>
    <w:rsid w:val="00BF6CAE"/>
    <w:rsid w:val="00C02723"/>
    <w:rsid w:val="00C02A91"/>
    <w:rsid w:val="00C04960"/>
    <w:rsid w:val="00C138A5"/>
    <w:rsid w:val="00C211F9"/>
    <w:rsid w:val="00C25927"/>
    <w:rsid w:val="00C310B8"/>
    <w:rsid w:val="00C31DBD"/>
    <w:rsid w:val="00C3343C"/>
    <w:rsid w:val="00C362E2"/>
    <w:rsid w:val="00C37EBD"/>
    <w:rsid w:val="00C65047"/>
    <w:rsid w:val="00C661C2"/>
    <w:rsid w:val="00C7137C"/>
    <w:rsid w:val="00C844DF"/>
    <w:rsid w:val="00C95318"/>
    <w:rsid w:val="00C96F6B"/>
    <w:rsid w:val="00CA27F9"/>
    <w:rsid w:val="00CC30C3"/>
    <w:rsid w:val="00CC7027"/>
    <w:rsid w:val="00CD401B"/>
    <w:rsid w:val="00CD40B9"/>
    <w:rsid w:val="00CE047D"/>
    <w:rsid w:val="00CE7731"/>
    <w:rsid w:val="00CF35C5"/>
    <w:rsid w:val="00CF6A79"/>
    <w:rsid w:val="00D02D5A"/>
    <w:rsid w:val="00D06F2D"/>
    <w:rsid w:val="00D17731"/>
    <w:rsid w:val="00D21DFB"/>
    <w:rsid w:val="00D23DD0"/>
    <w:rsid w:val="00D27D01"/>
    <w:rsid w:val="00D33231"/>
    <w:rsid w:val="00D36240"/>
    <w:rsid w:val="00D36DB7"/>
    <w:rsid w:val="00D40E5E"/>
    <w:rsid w:val="00D4152F"/>
    <w:rsid w:val="00D62214"/>
    <w:rsid w:val="00D64E42"/>
    <w:rsid w:val="00D65E10"/>
    <w:rsid w:val="00D709A0"/>
    <w:rsid w:val="00D73BC0"/>
    <w:rsid w:val="00D76C93"/>
    <w:rsid w:val="00D96221"/>
    <w:rsid w:val="00DA0625"/>
    <w:rsid w:val="00DA671A"/>
    <w:rsid w:val="00DA7E6E"/>
    <w:rsid w:val="00DB07B8"/>
    <w:rsid w:val="00DB4F49"/>
    <w:rsid w:val="00DC4772"/>
    <w:rsid w:val="00DC6711"/>
    <w:rsid w:val="00DD5F86"/>
    <w:rsid w:val="00DD6047"/>
    <w:rsid w:val="00DD7677"/>
    <w:rsid w:val="00DE2759"/>
    <w:rsid w:val="00DE4037"/>
    <w:rsid w:val="00DF63EB"/>
    <w:rsid w:val="00E0143C"/>
    <w:rsid w:val="00E02AC9"/>
    <w:rsid w:val="00E02DAD"/>
    <w:rsid w:val="00E04EFF"/>
    <w:rsid w:val="00E101A9"/>
    <w:rsid w:val="00E13468"/>
    <w:rsid w:val="00E1782B"/>
    <w:rsid w:val="00E257AB"/>
    <w:rsid w:val="00E26E89"/>
    <w:rsid w:val="00E3212A"/>
    <w:rsid w:val="00E32FD2"/>
    <w:rsid w:val="00E333C7"/>
    <w:rsid w:val="00E41293"/>
    <w:rsid w:val="00E44479"/>
    <w:rsid w:val="00E475F0"/>
    <w:rsid w:val="00E50CA8"/>
    <w:rsid w:val="00E53579"/>
    <w:rsid w:val="00E553E9"/>
    <w:rsid w:val="00E62177"/>
    <w:rsid w:val="00E6494D"/>
    <w:rsid w:val="00E703C3"/>
    <w:rsid w:val="00E75109"/>
    <w:rsid w:val="00E80333"/>
    <w:rsid w:val="00E8107B"/>
    <w:rsid w:val="00E85627"/>
    <w:rsid w:val="00E8572C"/>
    <w:rsid w:val="00E86391"/>
    <w:rsid w:val="00E9310C"/>
    <w:rsid w:val="00E9501F"/>
    <w:rsid w:val="00E9676A"/>
    <w:rsid w:val="00EA72D1"/>
    <w:rsid w:val="00EB7A35"/>
    <w:rsid w:val="00EC05B4"/>
    <w:rsid w:val="00EC33EA"/>
    <w:rsid w:val="00ED2F8A"/>
    <w:rsid w:val="00ED5B61"/>
    <w:rsid w:val="00EE1EE5"/>
    <w:rsid w:val="00EF7235"/>
    <w:rsid w:val="00F054DA"/>
    <w:rsid w:val="00F07BCF"/>
    <w:rsid w:val="00F10FFF"/>
    <w:rsid w:val="00F16FAB"/>
    <w:rsid w:val="00F30F65"/>
    <w:rsid w:val="00F31625"/>
    <w:rsid w:val="00F36E39"/>
    <w:rsid w:val="00F5046F"/>
    <w:rsid w:val="00F5088C"/>
    <w:rsid w:val="00F510AC"/>
    <w:rsid w:val="00F57B8B"/>
    <w:rsid w:val="00F62D04"/>
    <w:rsid w:val="00F70887"/>
    <w:rsid w:val="00F86EF9"/>
    <w:rsid w:val="00F86FB1"/>
    <w:rsid w:val="00F87C43"/>
    <w:rsid w:val="00F908E0"/>
    <w:rsid w:val="00F91B69"/>
    <w:rsid w:val="00F9335A"/>
    <w:rsid w:val="00FB2CB7"/>
    <w:rsid w:val="00FB4C6F"/>
    <w:rsid w:val="00FC110D"/>
    <w:rsid w:val="00FC2209"/>
    <w:rsid w:val="00FC3800"/>
    <w:rsid w:val="00FC6970"/>
    <w:rsid w:val="00FD36CA"/>
    <w:rsid w:val="00FD3B41"/>
    <w:rsid w:val="00FD6C73"/>
    <w:rsid w:val="00FE157A"/>
    <w:rsid w:val="00FF0BE2"/>
    <w:rsid w:val="00FF50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75E"/>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75E"/>
    <w:pPr>
      <w:tabs>
        <w:tab w:val="center" w:pos="4320"/>
        <w:tab w:val="right" w:pos="8640"/>
      </w:tabs>
    </w:pPr>
  </w:style>
  <w:style w:type="character" w:customStyle="1" w:styleId="FooterChar">
    <w:name w:val="Footer Char"/>
    <w:basedOn w:val="DefaultParagraphFont"/>
    <w:link w:val="Footer"/>
    <w:rsid w:val="0096775E"/>
    <w:rPr>
      <w:rFonts w:eastAsia="Times New Roman"/>
      <w:sz w:val="26"/>
      <w:szCs w:val="26"/>
    </w:rPr>
  </w:style>
  <w:style w:type="character" w:styleId="PageNumber">
    <w:name w:val="page number"/>
    <w:basedOn w:val="DefaultParagraphFont"/>
    <w:rsid w:val="0096775E"/>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A672EB"/>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A672EB"/>
    <w:rPr>
      <w:rFonts w:eastAsia="Times New Roman"/>
    </w:rPr>
  </w:style>
  <w:style w:type="character" w:styleId="FootnoteReference">
    <w:name w:val="footnote reference"/>
    <w:aliases w:val="o,fr"/>
    <w:basedOn w:val="DefaultParagraphFont"/>
    <w:uiPriority w:val="99"/>
    <w:unhideWhenUsed/>
    <w:rsid w:val="00A672EB"/>
    <w:rPr>
      <w:vertAlign w:val="superscript"/>
    </w:rPr>
  </w:style>
  <w:style w:type="paragraph" w:styleId="Header">
    <w:name w:val="header"/>
    <w:basedOn w:val="Normal"/>
    <w:link w:val="HeaderChar"/>
    <w:uiPriority w:val="99"/>
    <w:semiHidden/>
    <w:unhideWhenUsed/>
    <w:rsid w:val="00C844DF"/>
    <w:pPr>
      <w:tabs>
        <w:tab w:val="center" w:pos="4680"/>
        <w:tab w:val="right" w:pos="9360"/>
      </w:tabs>
    </w:pPr>
  </w:style>
  <w:style w:type="character" w:customStyle="1" w:styleId="HeaderChar">
    <w:name w:val="Header Char"/>
    <w:basedOn w:val="DefaultParagraphFont"/>
    <w:link w:val="Header"/>
    <w:uiPriority w:val="99"/>
    <w:semiHidden/>
    <w:rsid w:val="00C844DF"/>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037FC-7C1D-4998-873E-710536207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3565</Words>
  <Characters>20326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shoffner</cp:lastModifiedBy>
  <cp:revision>5</cp:revision>
  <cp:lastPrinted>2009-12-18T15:42:00Z</cp:lastPrinted>
  <dcterms:created xsi:type="dcterms:W3CDTF">2009-12-18T14:38:00Z</dcterms:created>
  <dcterms:modified xsi:type="dcterms:W3CDTF">2009-12-18T15:47:00Z</dcterms:modified>
</cp:coreProperties>
</file>