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DE" w:rsidRPr="00693C8B" w:rsidRDefault="00D35BDE" w:rsidP="00D35BDE">
      <w:pPr>
        <w:jc w:val="center"/>
        <w:outlineLvl w:val="0"/>
        <w:rPr>
          <w:b/>
        </w:rPr>
      </w:pPr>
      <w:r w:rsidRPr="00693C8B">
        <w:rPr>
          <w:b/>
        </w:rPr>
        <w:t>BEFORE THE</w:t>
      </w:r>
    </w:p>
    <w:p w:rsidR="00D35BDE" w:rsidRPr="00693C8B" w:rsidRDefault="00D35BDE" w:rsidP="00D35BDE">
      <w:pPr>
        <w:jc w:val="center"/>
        <w:outlineLvl w:val="0"/>
        <w:rPr>
          <w:b/>
        </w:rPr>
      </w:pPr>
      <w:r w:rsidRPr="00693C8B">
        <w:rPr>
          <w:b/>
        </w:rPr>
        <w:t>PENNSYLVANIA PUBLIC UTILITY COMMISSION</w:t>
      </w:r>
    </w:p>
    <w:p w:rsidR="00D35BDE" w:rsidRPr="00693C8B" w:rsidRDefault="00D35BDE" w:rsidP="00D35BDE">
      <w:pPr>
        <w:jc w:val="center"/>
        <w:rPr>
          <w:b/>
        </w:rPr>
      </w:pPr>
    </w:p>
    <w:p w:rsidR="00D35BDE" w:rsidRPr="00693C8B" w:rsidRDefault="00D35BDE" w:rsidP="00D35BDE">
      <w:pPr>
        <w:jc w:val="center"/>
        <w:rPr>
          <w:b/>
        </w:rPr>
      </w:pPr>
    </w:p>
    <w:p w:rsidR="00D35BDE" w:rsidRPr="00693C8B" w:rsidRDefault="00D35BDE" w:rsidP="00D35BDE">
      <w:pPr>
        <w:jc w:val="center"/>
        <w:rPr>
          <w:b/>
        </w:rPr>
      </w:pPr>
    </w:p>
    <w:p w:rsidR="00D35BDE" w:rsidRPr="00693C8B" w:rsidRDefault="00D35BDE" w:rsidP="00D35BDE">
      <w:r w:rsidRPr="00693C8B">
        <w:t>PECO Energy Company</w:t>
      </w:r>
      <w:r w:rsidRPr="00693C8B">
        <w:tab/>
      </w:r>
      <w:r w:rsidR="00693C8B">
        <w:tab/>
      </w:r>
      <w:r w:rsidRPr="00693C8B">
        <w:tab/>
      </w:r>
      <w:r w:rsidRPr="00693C8B">
        <w:tab/>
        <w:t>:</w:t>
      </w:r>
    </w:p>
    <w:p w:rsidR="00D35BDE" w:rsidRPr="00693C8B" w:rsidRDefault="00D35BDE" w:rsidP="00D35BDE">
      <w:r w:rsidRPr="00693C8B">
        <w:t>Reconciliation</w:t>
      </w:r>
      <w:r w:rsidRPr="00693C8B">
        <w:tab/>
      </w:r>
      <w:r w:rsidR="0068625B" w:rsidRPr="00693C8B">
        <w:t xml:space="preserve"> o</w:t>
      </w:r>
      <w:r w:rsidRPr="00693C8B">
        <w:t xml:space="preserve">f the </w:t>
      </w:r>
      <w:r w:rsidR="0068625B" w:rsidRPr="00693C8B">
        <w:t>Electric</w:t>
      </w:r>
      <w:r w:rsidRPr="00693C8B">
        <w:tab/>
      </w:r>
      <w:r w:rsidRPr="00693C8B">
        <w:tab/>
      </w:r>
      <w:r w:rsidR="00693C8B">
        <w:tab/>
      </w:r>
      <w:r w:rsidRPr="00693C8B">
        <w:tab/>
        <w:t>:</w:t>
      </w:r>
      <w:r w:rsidRPr="00693C8B">
        <w:tab/>
      </w:r>
      <w:r w:rsidRPr="00693C8B">
        <w:tab/>
        <w:t>M-2009-</w:t>
      </w:r>
      <w:r w:rsidR="0068625B" w:rsidRPr="00693C8B">
        <w:t>2128293</w:t>
      </w:r>
    </w:p>
    <w:p w:rsidR="00D35BDE" w:rsidRPr="00693C8B" w:rsidRDefault="00D35BDE" w:rsidP="00D35BDE">
      <w:r w:rsidRPr="00693C8B">
        <w:t>Universal Service Fund Charge</w:t>
      </w:r>
      <w:r w:rsidRPr="00693C8B">
        <w:tab/>
      </w:r>
      <w:r w:rsidRPr="00693C8B">
        <w:tab/>
      </w:r>
      <w:r w:rsidR="00693C8B">
        <w:tab/>
      </w:r>
      <w:r w:rsidRPr="00693C8B">
        <w:t>:</w:t>
      </w:r>
    </w:p>
    <w:p w:rsidR="00D35BDE" w:rsidRPr="00693C8B" w:rsidRDefault="00D35BDE" w:rsidP="00D35BDE"/>
    <w:p w:rsidR="00D35BDE" w:rsidRPr="00693C8B" w:rsidRDefault="00D35BDE" w:rsidP="00D35BDE"/>
    <w:p w:rsidR="00D35BDE" w:rsidRPr="00693C8B" w:rsidRDefault="00D35BDE" w:rsidP="00D35BDE"/>
    <w:p w:rsidR="00D35BDE" w:rsidRPr="00693C8B" w:rsidRDefault="00D35BDE" w:rsidP="00D35BDE">
      <w:pPr>
        <w:jc w:val="center"/>
        <w:outlineLvl w:val="0"/>
        <w:rPr>
          <w:b/>
          <w:u w:val="single"/>
        </w:rPr>
      </w:pPr>
      <w:r w:rsidRPr="00693C8B">
        <w:rPr>
          <w:b/>
          <w:u w:val="single"/>
        </w:rPr>
        <w:t>RECOMMENDED DECISION</w:t>
      </w:r>
    </w:p>
    <w:p w:rsidR="00D35BDE" w:rsidRPr="00693C8B" w:rsidRDefault="00D35BDE" w:rsidP="00D35BDE">
      <w:pPr>
        <w:jc w:val="center"/>
        <w:rPr>
          <w:b/>
        </w:rPr>
      </w:pPr>
    </w:p>
    <w:p w:rsidR="00D35BDE" w:rsidRPr="00693C8B" w:rsidRDefault="00D35BDE" w:rsidP="00D35BDE">
      <w:pPr>
        <w:jc w:val="center"/>
        <w:rPr>
          <w:b/>
        </w:rPr>
      </w:pPr>
    </w:p>
    <w:p w:rsidR="00D35BDE" w:rsidRPr="00693C8B" w:rsidRDefault="00D35BDE" w:rsidP="00D35BDE">
      <w:pPr>
        <w:jc w:val="center"/>
        <w:outlineLvl w:val="0"/>
      </w:pPr>
      <w:r w:rsidRPr="00693C8B">
        <w:t xml:space="preserve">Before </w:t>
      </w:r>
    </w:p>
    <w:p w:rsidR="00D35BDE" w:rsidRPr="00693C8B" w:rsidRDefault="00D35BDE" w:rsidP="00D35BDE">
      <w:pPr>
        <w:jc w:val="center"/>
      </w:pPr>
      <w:r w:rsidRPr="00693C8B">
        <w:t>Marlane R. Chestnut</w:t>
      </w:r>
    </w:p>
    <w:p w:rsidR="00D35BDE" w:rsidRPr="00693C8B" w:rsidRDefault="00D35BDE" w:rsidP="00D35BDE">
      <w:pPr>
        <w:jc w:val="center"/>
      </w:pPr>
      <w:r w:rsidRPr="00693C8B">
        <w:t>Administrative Law Judge</w:t>
      </w:r>
    </w:p>
    <w:p w:rsidR="00D35BDE" w:rsidRPr="00693C8B" w:rsidRDefault="00D35BDE" w:rsidP="00D35BDE">
      <w:pPr>
        <w:jc w:val="center"/>
      </w:pPr>
    </w:p>
    <w:p w:rsidR="00D35BDE" w:rsidRPr="00693C8B" w:rsidRDefault="00D35BDE" w:rsidP="00D35BDE">
      <w:pPr>
        <w:jc w:val="center"/>
      </w:pPr>
    </w:p>
    <w:p w:rsidR="00D35BDE" w:rsidRPr="00693C8B" w:rsidRDefault="00D35BDE" w:rsidP="00D35BDE">
      <w:pPr>
        <w:jc w:val="center"/>
        <w:outlineLvl w:val="0"/>
        <w:rPr>
          <w:u w:val="single"/>
        </w:rPr>
      </w:pPr>
      <w:r w:rsidRPr="00693C8B">
        <w:rPr>
          <w:u w:val="single"/>
        </w:rPr>
        <w:t>HISTORY OF THE PROCEEDING</w:t>
      </w:r>
    </w:p>
    <w:p w:rsidR="00D35BDE" w:rsidRPr="00693C8B" w:rsidRDefault="00D35BDE" w:rsidP="00D35BDE">
      <w:pPr>
        <w:jc w:val="center"/>
        <w:rPr>
          <w:u w:val="single"/>
        </w:rPr>
      </w:pPr>
    </w:p>
    <w:p w:rsidR="00D35BDE" w:rsidRPr="00693C8B" w:rsidRDefault="00D35BDE" w:rsidP="00D35BDE">
      <w:pPr>
        <w:jc w:val="center"/>
        <w:rPr>
          <w:u w:val="single"/>
        </w:rPr>
      </w:pPr>
    </w:p>
    <w:p w:rsidR="00D35BDE" w:rsidRPr="00693C8B" w:rsidRDefault="00D35BDE" w:rsidP="00D35BDE">
      <w:pPr>
        <w:spacing w:line="360" w:lineRule="auto"/>
      </w:pPr>
      <w:r w:rsidRPr="00693C8B">
        <w:tab/>
      </w:r>
      <w:r w:rsidRPr="00693C8B">
        <w:tab/>
        <w:t xml:space="preserve">On </w:t>
      </w:r>
      <w:r w:rsidR="000A2D59" w:rsidRPr="00693C8B">
        <w:t>December 8, 2009</w:t>
      </w:r>
      <w:r w:rsidRPr="00693C8B">
        <w:t xml:space="preserve">, a public hearing was held in </w:t>
      </w:r>
      <w:r w:rsidR="00C43EDD" w:rsidRPr="00693C8B">
        <w:t xml:space="preserve">Philadelphia </w:t>
      </w:r>
      <w:r w:rsidRPr="00693C8B">
        <w:t xml:space="preserve">to review the calculation of Universal Service Fund Charge (USFC) reported by PECO Energy Company (PECO).  The </w:t>
      </w:r>
      <w:r w:rsidR="00814113" w:rsidRPr="00693C8B">
        <w:t xml:space="preserve">preliminary filing was made on </w:t>
      </w:r>
      <w:r w:rsidR="001D6095" w:rsidRPr="00693C8B">
        <w:t>August 31</w:t>
      </w:r>
      <w:r w:rsidR="00814113" w:rsidRPr="00693C8B">
        <w:t xml:space="preserve">, 2009 and the final filing was made on </w:t>
      </w:r>
      <w:r w:rsidR="0012388A" w:rsidRPr="00693C8B">
        <w:t xml:space="preserve">October </w:t>
      </w:r>
      <w:r w:rsidR="001D6095" w:rsidRPr="00693C8B">
        <w:t>14</w:t>
      </w:r>
      <w:r w:rsidR="0012388A" w:rsidRPr="00693C8B">
        <w:t xml:space="preserve">, 2009 </w:t>
      </w:r>
      <w:r w:rsidRPr="00693C8B">
        <w:t xml:space="preserve">pursuant to the provisions of 66 Pa. C.S. § 1307(e)(1), which requires a utility using an automatic adjustment clause to file with the Commission a statement specifying the total revenues and expenses realized under the adjustment clause.  The hearing was held pursuant to 66 Pa. C.S. § 1307(e)(2). </w:t>
      </w:r>
    </w:p>
    <w:p w:rsidR="00D35BDE" w:rsidRPr="00693C8B" w:rsidRDefault="00D35BDE" w:rsidP="00D35BDE">
      <w:pPr>
        <w:spacing w:line="360" w:lineRule="auto"/>
      </w:pPr>
    </w:p>
    <w:p w:rsidR="00906E38" w:rsidRPr="00693C8B" w:rsidRDefault="00D35BDE" w:rsidP="00D35BDE">
      <w:pPr>
        <w:spacing w:line="360" w:lineRule="auto"/>
      </w:pPr>
      <w:r w:rsidRPr="00693C8B">
        <w:tab/>
      </w:r>
      <w:r w:rsidRPr="00693C8B">
        <w:tab/>
        <w:t xml:space="preserve">At the hearing, PECO was represented by </w:t>
      </w:r>
      <w:r w:rsidR="00450F96" w:rsidRPr="00693C8B">
        <w:t xml:space="preserve">Michael </w:t>
      </w:r>
      <w:r w:rsidR="00906E38" w:rsidRPr="00693C8B">
        <w:t xml:space="preserve">S. </w:t>
      </w:r>
      <w:r w:rsidR="00450F96" w:rsidRPr="00693C8B">
        <w:t>Swerling</w:t>
      </w:r>
      <w:r w:rsidRPr="00693C8B">
        <w:t xml:space="preserve">, Esq., and the Commission’s Office of Trial Staff (OTS) was represented by </w:t>
      </w:r>
      <w:r w:rsidR="000A2D59" w:rsidRPr="00693C8B">
        <w:t>Richard A. Kanaski</w:t>
      </w:r>
      <w:r w:rsidR="00691EF6">
        <w:t>e</w:t>
      </w:r>
      <w:r w:rsidRPr="00693C8B">
        <w:t xml:space="preserve">, Esq.  </w:t>
      </w:r>
    </w:p>
    <w:p w:rsidR="00906E38" w:rsidRPr="00693C8B" w:rsidRDefault="00906E38" w:rsidP="00D35BDE">
      <w:pPr>
        <w:spacing w:line="360" w:lineRule="auto"/>
      </w:pPr>
    </w:p>
    <w:p w:rsidR="00516CDB" w:rsidRPr="00693C8B" w:rsidRDefault="00906E38" w:rsidP="00516CDB">
      <w:pPr>
        <w:spacing w:line="360" w:lineRule="auto"/>
      </w:pPr>
      <w:r w:rsidRPr="00693C8B">
        <w:tab/>
      </w:r>
      <w:r w:rsidRPr="00693C8B">
        <w:tab/>
      </w:r>
      <w:r w:rsidR="00D35BDE" w:rsidRPr="00693C8B">
        <w:t xml:space="preserve">PECO presented </w:t>
      </w:r>
      <w:r w:rsidR="000B0355" w:rsidRPr="00693C8B">
        <w:t>five exhibits</w:t>
      </w:r>
      <w:r w:rsidR="00D35BDE" w:rsidRPr="00693C8B">
        <w:t xml:space="preserve"> and an affidavit of Scott A. Neumann, PECO Engineer of Rates.  OTS offered a</w:t>
      </w:r>
      <w:r w:rsidR="003B7344" w:rsidRPr="00693C8B">
        <w:t>n oral</w:t>
      </w:r>
      <w:r w:rsidR="00D35BDE" w:rsidRPr="00693C8B">
        <w:t xml:space="preserve"> position statement</w:t>
      </w:r>
      <w:r w:rsidR="00516CDB" w:rsidRPr="00693C8B">
        <w:t xml:space="preserve">, two exhibits and </w:t>
      </w:r>
      <w:r w:rsidR="001B3DC9">
        <w:t>an</w:t>
      </w:r>
      <w:r w:rsidR="00516CDB" w:rsidRPr="00693C8B">
        <w:t xml:space="preserve"> affidavit of</w:t>
      </w:r>
      <w:r w:rsidR="006331E2" w:rsidRPr="00693C8B">
        <w:t xml:space="preserve"> Keith Mather</w:t>
      </w:r>
      <w:r w:rsidR="00516CDB" w:rsidRPr="00693C8B">
        <w:t>, Bureau of Audits.  Those exhibits, attached as Appendix A, summarize the automatic adjustment clause results.</w:t>
      </w:r>
    </w:p>
    <w:p w:rsidR="00516CDB" w:rsidRPr="00693C8B" w:rsidRDefault="00516CDB" w:rsidP="00D35BDE">
      <w:pPr>
        <w:spacing w:line="360" w:lineRule="auto"/>
      </w:pPr>
    </w:p>
    <w:p w:rsidR="00516CDB" w:rsidRPr="00693C8B" w:rsidRDefault="00516CDB" w:rsidP="00D35BDE">
      <w:pPr>
        <w:spacing w:line="360" w:lineRule="auto"/>
      </w:pPr>
    </w:p>
    <w:p w:rsidR="00D35BDE" w:rsidRPr="00693C8B" w:rsidRDefault="00D35BDE" w:rsidP="00D35BDE">
      <w:pPr>
        <w:spacing w:line="360" w:lineRule="auto"/>
      </w:pPr>
      <w:r w:rsidRPr="00693C8B">
        <w:tab/>
      </w:r>
      <w:r w:rsidRPr="00693C8B">
        <w:tab/>
        <w:t xml:space="preserve">The hearing was transcribed but the transcript was not received at the time of the preparation of this Recommended Decision.  The record closed at the </w:t>
      </w:r>
      <w:r w:rsidR="001B3DC9">
        <w:t xml:space="preserve">conclusion of the </w:t>
      </w:r>
      <w:r w:rsidRPr="00693C8B">
        <w:t xml:space="preserve">hearing of </w:t>
      </w:r>
      <w:r w:rsidR="000A2D59" w:rsidRPr="00693C8B">
        <w:t>December 8, 2009</w:t>
      </w:r>
      <w:r w:rsidRPr="00693C8B">
        <w:t>.</w:t>
      </w:r>
    </w:p>
    <w:p w:rsidR="00D35BDE" w:rsidRPr="00693C8B" w:rsidRDefault="00D35BDE" w:rsidP="00D35BDE">
      <w:pPr>
        <w:spacing w:line="360" w:lineRule="auto"/>
      </w:pPr>
    </w:p>
    <w:p w:rsidR="00D35BDE" w:rsidRPr="00693C8B" w:rsidRDefault="00D35BDE" w:rsidP="00D35BDE">
      <w:pPr>
        <w:spacing w:line="360" w:lineRule="auto"/>
        <w:jc w:val="center"/>
        <w:outlineLvl w:val="0"/>
        <w:rPr>
          <w:u w:val="single"/>
        </w:rPr>
      </w:pPr>
      <w:r w:rsidRPr="00693C8B">
        <w:rPr>
          <w:u w:val="single"/>
        </w:rPr>
        <w:t>FINDINGS OF FACT</w:t>
      </w:r>
    </w:p>
    <w:p w:rsidR="00D35BDE" w:rsidRPr="00693C8B" w:rsidRDefault="00D35BDE" w:rsidP="00D35BDE">
      <w:pPr>
        <w:spacing w:line="360" w:lineRule="auto"/>
        <w:jc w:val="center"/>
        <w:rPr>
          <w:u w:val="single"/>
        </w:rPr>
      </w:pPr>
    </w:p>
    <w:p w:rsidR="00D35BDE" w:rsidRPr="00693C8B" w:rsidRDefault="00D35BDE" w:rsidP="00D35BDE">
      <w:pPr>
        <w:spacing w:line="360" w:lineRule="auto"/>
      </w:pPr>
      <w:r w:rsidRPr="00693C8B">
        <w:tab/>
      </w:r>
      <w:r w:rsidRPr="00693C8B">
        <w:tab/>
        <w:t>1.</w:t>
      </w:r>
      <w:r w:rsidRPr="00693C8B">
        <w:tab/>
        <w:t>A public hearing to review the statement of automatic adjustment clause for the twelve-month period ended November 30, 200</w:t>
      </w:r>
      <w:r w:rsidR="000A2D59" w:rsidRPr="00693C8B">
        <w:t>9</w:t>
      </w:r>
      <w:r w:rsidRPr="00693C8B">
        <w:t xml:space="preserve"> filed by </w:t>
      </w:r>
      <w:r w:rsidR="00880852" w:rsidRPr="00693C8B">
        <w:t>PECO was</w:t>
      </w:r>
      <w:r w:rsidRPr="00693C8B">
        <w:t xml:space="preserve"> held on </w:t>
      </w:r>
      <w:r w:rsidR="000A2D59" w:rsidRPr="00693C8B">
        <w:t>December 8, 2009</w:t>
      </w:r>
      <w:r w:rsidRPr="00693C8B">
        <w:t xml:space="preserve">.  </w:t>
      </w:r>
    </w:p>
    <w:p w:rsidR="004978BB" w:rsidRPr="00693C8B" w:rsidRDefault="004978BB" w:rsidP="00D35BDE">
      <w:pPr>
        <w:spacing w:line="360" w:lineRule="auto"/>
      </w:pPr>
    </w:p>
    <w:p w:rsidR="004978BB" w:rsidRPr="00693C8B" w:rsidRDefault="004978BB" w:rsidP="00D35BDE">
      <w:pPr>
        <w:spacing w:line="360" w:lineRule="auto"/>
      </w:pPr>
      <w:r w:rsidRPr="00693C8B">
        <w:tab/>
      </w:r>
      <w:r w:rsidRPr="00693C8B">
        <w:tab/>
      </w:r>
      <w:r w:rsidR="00CF0E5C" w:rsidRPr="00693C8B">
        <w:t>2.</w:t>
      </w:r>
      <w:r w:rsidR="00CF0E5C" w:rsidRPr="00693C8B">
        <w:tab/>
        <w:t>PECO presented five exhibits, adopted by Mr. Neumann, to support its filing:</w:t>
      </w:r>
    </w:p>
    <w:p w:rsidR="00D35BDE" w:rsidRPr="00693C8B" w:rsidRDefault="00D35BDE" w:rsidP="00D35BDE">
      <w:pPr>
        <w:spacing w:line="360" w:lineRule="auto"/>
      </w:pPr>
    </w:p>
    <w:p w:rsidR="00D35BDE" w:rsidRPr="00693C8B" w:rsidRDefault="00CF0E5C" w:rsidP="00693C8B">
      <w:pPr>
        <w:spacing w:line="360" w:lineRule="auto"/>
        <w:ind w:left="2880" w:hanging="720"/>
      </w:pPr>
      <w:r w:rsidRPr="00693C8B">
        <w:t>(a)</w:t>
      </w:r>
      <w:r w:rsidR="00D35BDE" w:rsidRPr="00693C8B">
        <w:tab/>
        <w:t xml:space="preserve">PECO </w:t>
      </w:r>
      <w:r w:rsidR="000B0355" w:rsidRPr="00693C8B">
        <w:t>Exh.</w:t>
      </w:r>
      <w:r w:rsidR="00D35BDE" w:rsidRPr="00693C8B">
        <w:t xml:space="preserve"> 1 is the calculation of USFC rate effective </w:t>
      </w:r>
      <w:r w:rsidR="001D6095" w:rsidRPr="00693C8B">
        <w:t xml:space="preserve">January </w:t>
      </w:r>
      <w:r w:rsidR="00D35BDE" w:rsidRPr="00693C8B">
        <w:t>1, 20</w:t>
      </w:r>
      <w:r w:rsidR="001D6095" w:rsidRPr="00693C8B">
        <w:t>10</w:t>
      </w:r>
      <w:r w:rsidR="003B7344" w:rsidRPr="00693C8B">
        <w:t>;</w:t>
      </w:r>
    </w:p>
    <w:p w:rsidR="001D6095" w:rsidRPr="00693C8B" w:rsidRDefault="001D6095" w:rsidP="00D35BDE">
      <w:pPr>
        <w:spacing w:line="360" w:lineRule="auto"/>
      </w:pPr>
    </w:p>
    <w:p w:rsidR="001D6095" w:rsidRPr="00693C8B" w:rsidRDefault="00CF0E5C" w:rsidP="00B45F22">
      <w:pPr>
        <w:spacing w:line="360" w:lineRule="auto"/>
        <w:ind w:left="2160"/>
      </w:pPr>
      <w:r w:rsidRPr="00693C8B">
        <w:t>(b)</w:t>
      </w:r>
      <w:r w:rsidR="001D6095" w:rsidRPr="00693C8B">
        <w:tab/>
      </w:r>
      <w:r w:rsidR="00880852" w:rsidRPr="00693C8B">
        <w:t>PEO Exh. 2 is the supplemental USFC calculation</w:t>
      </w:r>
      <w:r w:rsidR="003B7344" w:rsidRPr="00693C8B">
        <w:t>;</w:t>
      </w:r>
    </w:p>
    <w:p w:rsidR="00D35BDE" w:rsidRPr="00693C8B" w:rsidRDefault="00D35BDE" w:rsidP="00D35BDE">
      <w:pPr>
        <w:spacing w:line="360" w:lineRule="auto"/>
      </w:pPr>
    </w:p>
    <w:p w:rsidR="00D35BDE" w:rsidRPr="00693C8B" w:rsidRDefault="00CF0E5C" w:rsidP="00D35BDE">
      <w:pPr>
        <w:spacing w:line="360" w:lineRule="auto"/>
        <w:ind w:left="720" w:firstLine="720"/>
      </w:pPr>
      <w:r w:rsidRPr="00693C8B">
        <w:tab/>
        <w:t>(c)</w:t>
      </w:r>
      <w:r w:rsidR="00D35BDE" w:rsidRPr="00693C8B">
        <w:tab/>
        <w:t xml:space="preserve">PECO </w:t>
      </w:r>
      <w:r w:rsidR="000B0355" w:rsidRPr="00693C8B">
        <w:t>Exh.</w:t>
      </w:r>
      <w:r w:rsidR="00D35BDE" w:rsidRPr="00693C8B">
        <w:t xml:space="preserve"> </w:t>
      </w:r>
      <w:r w:rsidR="00880852" w:rsidRPr="00693C8B">
        <w:t>3</w:t>
      </w:r>
      <w:r w:rsidR="00D35BDE" w:rsidRPr="00693C8B">
        <w:t xml:space="preserve"> is the </w:t>
      </w:r>
      <w:r w:rsidR="00906E38" w:rsidRPr="00693C8B">
        <w:t>proposed</w:t>
      </w:r>
      <w:r w:rsidR="004B7AA3" w:rsidRPr="00693C8B">
        <w:t xml:space="preserve"> </w:t>
      </w:r>
      <w:r w:rsidRPr="00693C8B">
        <w:t>tariff</w:t>
      </w:r>
      <w:r w:rsidR="003B7344" w:rsidRPr="00693C8B">
        <w:t>;</w:t>
      </w:r>
    </w:p>
    <w:p w:rsidR="00D35BDE" w:rsidRPr="00693C8B" w:rsidRDefault="00D35BDE" w:rsidP="00D35BDE">
      <w:pPr>
        <w:spacing w:line="360" w:lineRule="auto"/>
        <w:ind w:left="720" w:firstLine="720"/>
      </w:pPr>
    </w:p>
    <w:p w:rsidR="00D35BDE" w:rsidRPr="00693C8B" w:rsidRDefault="00CF0E5C" w:rsidP="00D35BDE">
      <w:pPr>
        <w:spacing w:line="360" w:lineRule="auto"/>
        <w:ind w:firstLine="1440"/>
      </w:pPr>
      <w:r w:rsidRPr="00693C8B">
        <w:tab/>
        <w:t>(d)</w:t>
      </w:r>
      <w:r w:rsidR="00D35BDE" w:rsidRPr="00693C8B">
        <w:tab/>
        <w:t xml:space="preserve">PECO </w:t>
      </w:r>
      <w:r w:rsidR="000B0355" w:rsidRPr="00693C8B">
        <w:t>Exh.</w:t>
      </w:r>
      <w:r w:rsidR="00D35BDE" w:rsidRPr="00693C8B">
        <w:t xml:space="preserve"> </w:t>
      </w:r>
      <w:r w:rsidR="00880852" w:rsidRPr="00693C8B">
        <w:t>4</w:t>
      </w:r>
      <w:r w:rsidR="00D35BDE" w:rsidRPr="00693C8B">
        <w:t xml:space="preserve"> </w:t>
      </w:r>
      <w:r w:rsidR="008F02D8" w:rsidRPr="00693C8B">
        <w:t>is</w:t>
      </w:r>
      <w:r w:rsidR="00D35BDE" w:rsidRPr="00693C8B">
        <w:t xml:space="preserve"> </w:t>
      </w:r>
      <w:r w:rsidR="008F02D8" w:rsidRPr="00693C8B">
        <w:t>the Rates</w:t>
      </w:r>
      <w:r w:rsidR="004B7AA3" w:rsidRPr="00693C8B">
        <w:t xml:space="preserve"> R, RT and RH pr</w:t>
      </w:r>
      <w:r w:rsidR="00880852" w:rsidRPr="00693C8B">
        <w:t>oof</w:t>
      </w:r>
      <w:r w:rsidR="004B7AA3" w:rsidRPr="00693C8B">
        <w:t>s</w:t>
      </w:r>
      <w:r w:rsidRPr="00693C8B">
        <w:t xml:space="preserve"> of revenue</w:t>
      </w:r>
      <w:r w:rsidR="003B7344" w:rsidRPr="00693C8B">
        <w:t>;</w:t>
      </w:r>
      <w:r w:rsidRPr="00693C8B">
        <w:t xml:space="preserve"> and</w:t>
      </w:r>
    </w:p>
    <w:p w:rsidR="00880852" w:rsidRPr="00693C8B" w:rsidRDefault="00880852" w:rsidP="00D35BDE">
      <w:pPr>
        <w:spacing w:line="360" w:lineRule="auto"/>
        <w:ind w:firstLine="1440"/>
      </w:pPr>
    </w:p>
    <w:p w:rsidR="00880852" w:rsidRPr="00693C8B" w:rsidRDefault="00CF0E5C" w:rsidP="00D35BDE">
      <w:pPr>
        <w:spacing w:line="360" w:lineRule="auto"/>
        <w:ind w:firstLine="1440"/>
      </w:pPr>
      <w:r w:rsidRPr="00693C8B">
        <w:tab/>
        <w:t>(e)</w:t>
      </w:r>
      <w:r w:rsidR="00880852" w:rsidRPr="00693C8B">
        <w:tab/>
        <w:t>PECO Exh. 5 is the bill comparison.</w:t>
      </w:r>
    </w:p>
    <w:p w:rsidR="00D35BDE" w:rsidRPr="00693C8B" w:rsidRDefault="00D35BDE" w:rsidP="00D35BDE">
      <w:pPr>
        <w:spacing w:line="360" w:lineRule="auto"/>
      </w:pPr>
    </w:p>
    <w:p w:rsidR="00CF0E5C" w:rsidRPr="00693C8B" w:rsidRDefault="00D35BDE" w:rsidP="00D35BDE">
      <w:pPr>
        <w:spacing w:line="360" w:lineRule="auto"/>
      </w:pPr>
      <w:r w:rsidRPr="00693C8B">
        <w:tab/>
      </w:r>
      <w:r w:rsidRPr="00693C8B">
        <w:tab/>
      </w:r>
      <w:r w:rsidR="003B7344" w:rsidRPr="00693C8B">
        <w:t>3</w:t>
      </w:r>
      <w:r w:rsidRPr="00693C8B">
        <w:t>.</w:t>
      </w:r>
      <w:r w:rsidRPr="00693C8B">
        <w:tab/>
      </w:r>
      <w:r w:rsidR="008F02D8" w:rsidRPr="00693C8B">
        <w:t>OTS presented t</w:t>
      </w:r>
      <w:r w:rsidR="004B7AA3" w:rsidRPr="00693C8B">
        <w:t>wo</w:t>
      </w:r>
      <w:r w:rsidRPr="00693C8B">
        <w:t xml:space="preserve"> </w:t>
      </w:r>
      <w:r w:rsidR="00880852" w:rsidRPr="00693C8B">
        <w:t>exhibit</w:t>
      </w:r>
      <w:r w:rsidR="004B7AA3" w:rsidRPr="00693C8B">
        <w:t>s</w:t>
      </w:r>
      <w:r w:rsidR="00CF0E5C" w:rsidRPr="00693C8B">
        <w:t xml:space="preserve">, adopted by Mr. </w:t>
      </w:r>
      <w:r w:rsidR="008F3E12" w:rsidRPr="00693C8B">
        <w:t>Mather</w:t>
      </w:r>
      <w:r w:rsidR="003B7344" w:rsidRPr="00693C8B">
        <w:t>, which</w:t>
      </w:r>
      <w:r w:rsidRPr="00693C8B">
        <w:t xml:space="preserve"> summariz</w:t>
      </w:r>
      <w:r w:rsidR="00CF0E5C" w:rsidRPr="00693C8B">
        <w:t>ed</w:t>
      </w:r>
      <w:r w:rsidRPr="00693C8B">
        <w:t xml:space="preserve"> PECO</w:t>
      </w:r>
      <w:r w:rsidR="00CF0E5C" w:rsidRPr="00693C8B">
        <w:t>’s filing:</w:t>
      </w:r>
    </w:p>
    <w:p w:rsidR="00CF0E5C" w:rsidRPr="00693C8B" w:rsidRDefault="00CF0E5C" w:rsidP="00D35BDE">
      <w:pPr>
        <w:spacing w:line="360" w:lineRule="auto"/>
      </w:pPr>
    </w:p>
    <w:p w:rsidR="003B7344" w:rsidRPr="00693C8B" w:rsidRDefault="00CF0E5C" w:rsidP="00B45F22">
      <w:pPr>
        <w:spacing w:line="360" w:lineRule="auto"/>
        <w:ind w:left="2880" w:hanging="720"/>
      </w:pPr>
      <w:r w:rsidRPr="00693C8B">
        <w:t>(a)</w:t>
      </w:r>
      <w:r w:rsidRPr="00693C8B">
        <w:tab/>
      </w:r>
      <w:r w:rsidR="008F02D8" w:rsidRPr="00693C8B">
        <w:t>OTS Exh. No. 1, Summary of PECO Energy Company’s Universal Service Fund Charge Reconciliation for the T</w:t>
      </w:r>
      <w:r w:rsidR="003B7344" w:rsidRPr="00693C8B">
        <w:t xml:space="preserve">welve Months Ended November 30, </w:t>
      </w:r>
      <w:r w:rsidR="008F02D8" w:rsidRPr="00693C8B">
        <w:t>2009</w:t>
      </w:r>
      <w:r w:rsidR="003B7344" w:rsidRPr="00693C8B">
        <w:t>;</w:t>
      </w:r>
      <w:r w:rsidR="008F02D8" w:rsidRPr="00693C8B">
        <w:t xml:space="preserve"> and </w:t>
      </w:r>
    </w:p>
    <w:p w:rsidR="00D35BDE" w:rsidRPr="00693C8B" w:rsidRDefault="003B7344" w:rsidP="00B45F22">
      <w:pPr>
        <w:spacing w:line="360" w:lineRule="auto"/>
        <w:ind w:left="2880" w:hanging="720"/>
      </w:pPr>
      <w:r w:rsidRPr="00693C8B">
        <w:lastRenderedPageBreak/>
        <w:t>(b</w:t>
      </w:r>
      <w:r w:rsidR="00B45F22">
        <w:t>)</w:t>
      </w:r>
      <w:r w:rsidR="00B45F22">
        <w:tab/>
        <w:t xml:space="preserve">OTS Exh. No. 2, </w:t>
      </w:r>
      <w:r w:rsidR="008F02D8" w:rsidRPr="00693C8B">
        <w:t>Summary of PECO Energy Company’s Supplemental Universal Service Fund Charge Reconciliation for the Twelve Months Ended November 30, 2009.</w:t>
      </w:r>
    </w:p>
    <w:p w:rsidR="008F02D8" w:rsidRPr="00693C8B" w:rsidRDefault="008F02D8" w:rsidP="00D35BDE">
      <w:pPr>
        <w:spacing w:line="360" w:lineRule="auto"/>
      </w:pPr>
    </w:p>
    <w:p w:rsidR="00D35BDE" w:rsidRPr="00693C8B" w:rsidRDefault="00D35BDE" w:rsidP="00D35BDE">
      <w:pPr>
        <w:spacing w:line="360" w:lineRule="auto"/>
      </w:pPr>
      <w:r w:rsidRPr="00693C8B">
        <w:tab/>
      </w:r>
      <w:r w:rsidRPr="00693C8B">
        <w:tab/>
      </w:r>
      <w:r w:rsidR="003B7344" w:rsidRPr="00693C8B">
        <w:t>4</w:t>
      </w:r>
      <w:r w:rsidRPr="00693C8B">
        <w:t>.</w:t>
      </w:r>
      <w:r w:rsidRPr="00693C8B">
        <w:tab/>
        <w:t>PECO</w:t>
      </w:r>
      <w:r w:rsidR="004978BB" w:rsidRPr="00693C8B">
        <w:t>’s USF</w:t>
      </w:r>
      <w:r w:rsidRPr="00693C8B">
        <w:t xml:space="preserve"> experienced an undercollection for the period ended November 30, 200</w:t>
      </w:r>
      <w:r w:rsidR="000A2D59" w:rsidRPr="00693C8B">
        <w:t>9</w:t>
      </w:r>
      <w:r w:rsidRPr="00693C8B">
        <w:t>.  OTS Ex</w:t>
      </w:r>
      <w:r w:rsidR="003B7344" w:rsidRPr="00693C8B">
        <w:t>h</w:t>
      </w:r>
      <w:r w:rsidRPr="00693C8B">
        <w:t xml:space="preserve">. 1.  </w:t>
      </w:r>
      <w:r w:rsidR="004978BB" w:rsidRPr="00693C8B">
        <w:t xml:space="preserve">The supplemental USF experienced an overcollection for the period </w:t>
      </w:r>
      <w:r w:rsidR="003B7344" w:rsidRPr="00693C8B">
        <w:t xml:space="preserve">ended </w:t>
      </w:r>
      <w:r w:rsidR="004978BB" w:rsidRPr="00693C8B">
        <w:t>November 30, 3009.</w:t>
      </w:r>
      <w:r w:rsidR="003B7344" w:rsidRPr="00693C8B">
        <w:t xml:space="preserve">  OTS Exh. 2.</w:t>
      </w:r>
    </w:p>
    <w:p w:rsidR="00D35BDE" w:rsidRPr="00693C8B" w:rsidRDefault="00D35BDE" w:rsidP="00D35BDE">
      <w:pPr>
        <w:spacing w:line="360" w:lineRule="auto"/>
      </w:pPr>
    </w:p>
    <w:p w:rsidR="003B7344" w:rsidRPr="00693C8B" w:rsidRDefault="00D35BDE" w:rsidP="003B7344">
      <w:pPr>
        <w:spacing w:line="360" w:lineRule="auto"/>
      </w:pPr>
      <w:r w:rsidRPr="00693C8B">
        <w:tab/>
      </w:r>
      <w:r w:rsidRPr="00693C8B">
        <w:tab/>
      </w:r>
      <w:r w:rsidR="003B7344" w:rsidRPr="00693C8B">
        <w:t>5</w:t>
      </w:r>
      <w:r w:rsidRPr="00693C8B">
        <w:t>.</w:t>
      </w:r>
      <w:r w:rsidRPr="00693C8B">
        <w:tab/>
        <w:t xml:space="preserve">The PECO </w:t>
      </w:r>
      <w:r w:rsidR="003B7344" w:rsidRPr="00693C8B">
        <w:t>filing</w:t>
      </w:r>
      <w:r w:rsidRPr="00693C8B">
        <w:t>, as summarized on Appendix A, was reviewed by Commission staff for arithmetic accuracy, and no inaccuracy was found.</w:t>
      </w:r>
    </w:p>
    <w:p w:rsidR="003B7344" w:rsidRPr="00693C8B" w:rsidRDefault="003B7344" w:rsidP="003B7344">
      <w:pPr>
        <w:spacing w:line="360" w:lineRule="auto"/>
      </w:pPr>
    </w:p>
    <w:p w:rsidR="00D35BDE" w:rsidRPr="00693C8B" w:rsidRDefault="00D35BDE" w:rsidP="003E4713">
      <w:pPr>
        <w:spacing w:line="360" w:lineRule="auto"/>
        <w:jc w:val="center"/>
        <w:rPr>
          <w:u w:val="single"/>
        </w:rPr>
      </w:pPr>
      <w:r w:rsidRPr="00693C8B">
        <w:rPr>
          <w:u w:val="single"/>
        </w:rPr>
        <w:t>DISCUSSION</w:t>
      </w:r>
    </w:p>
    <w:p w:rsidR="00D35BDE" w:rsidRPr="00693C8B" w:rsidRDefault="00D35BDE" w:rsidP="00D35BDE">
      <w:pPr>
        <w:spacing w:line="360" w:lineRule="auto"/>
        <w:jc w:val="center"/>
        <w:rPr>
          <w:u w:val="single"/>
        </w:rPr>
      </w:pPr>
    </w:p>
    <w:p w:rsidR="00D35BDE" w:rsidRPr="00693C8B" w:rsidRDefault="00D35BDE" w:rsidP="00D35BDE">
      <w:pPr>
        <w:spacing w:line="360" w:lineRule="auto"/>
      </w:pPr>
      <w:r w:rsidRPr="00693C8B">
        <w:tab/>
      </w:r>
      <w:r w:rsidRPr="00693C8B">
        <w:tab/>
        <w:t xml:space="preserve">No objections were made to any of the affidavits or </w:t>
      </w:r>
      <w:r w:rsidR="00880852" w:rsidRPr="00693C8B">
        <w:t xml:space="preserve">exhibits </w:t>
      </w:r>
      <w:r w:rsidRPr="00693C8B">
        <w:t>received into evidence at the hearing.  No party raised additional matters.</w:t>
      </w:r>
    </w:p>
    <w:p w:rsidR="00D35BDE" w:rsidRPr="00693C8B" w:rsidRDefault="00D35BDE" w:rsidP="00D35BDE">
      <w:pPr>
        <w:spacing w:line="360" w:lineRule="auto"/>
      </w:pPr>
    </w:p>
    <w:p w:rsidR="00D35BDE" w:rsidRPr="00693C8B" w:rsidRDefault="00D35BDE" w:rsidP="00D35BDE">
      <w:pPr>
        <w:spacing w:line="360" w:lineRule="auto"/>
      </w:pPr>
      <w:r w:rsidRPr="00693C8B">
        <w:tab/>
      </w:r>
      <w:r w:rsidRPr="00693C8B">
        <w:tab/>
        <w:t xml:space="preserve">The OTS </w:t>
      </w:r>
      <w:r w:rsidR="003B7344" w:rsidRPr="00693C8B">
        <w:t>p</w:t>
      </w:r>
      <w:r w:rsidRPr="00693C8B">
        <w:t xml:space="preserve">osition </w:t>
      </w:r>
      <w:r w:rsidR="003B7344" w:rsidRPr="00693C8B">
        <w:t>s</w:t>
      </w:r>
      <w:r w:rsidRPr="00693C8B">
        <w:t xml:space="preserve">tatement is consistent with Commission practice regarding the significance of this proceeding, stating that the filing itself is subject to further review and revision as necessary, and does not constitute Commission approval of either the accuracy of the reported figures or the reasonableness of </w:t>
      </w:r>
      <w:r w:rsidR="001B3DC9">
        <w:t xml:space="preserve">the underlying transactions.  </w:t>
      </w:r>
      <w:r w:rsidRPr="00693C8B">
        <w:t xml:space="preserve"> </w:t>
      </w:r>
    </w:p>
    <w:p w:rsidR="00D35BDE" w:rsidRPr="00693C8B" w:rsidRDefault="00D35BDE" w:rsidP="00D35BDE">
      <w:pPr>
        <w:spacing w:line="360" w:lineRule="auto"/>
      </w:pPr>
    </w:p>
    <w:p w:rsidR="00D35BDE" w:rsidRPr="00693C8B" w:rsidRDefault="00D35BDE" w:rsidP="00D35BDE">
      <w:pPr>
        <w:spacing w:line="360" w:lineRule="auto"/>
        <w:jc w:val="center"/>
        <w:outlineLvl w:val="0"/>
        <w:rPr>
          <w:u w:val="single"/>
        </w:rPr>
      </w:pPr>
      <w:r w:rsidRPr="00693C8B">
        <w:rPr>
          <w:u w:val="single"/>
        </w:rPr>
        <w:t>CONCLUSIONS OF LAW</w:t>
      </w:r>
    </w:p>
    <w:p w:rsidR="00D35BDE" w:rsidRPr="00693C8B" w:rsidRDefault="00D35BDE" w:rsidP="00D35BDE">
      <w:pPr>
        <w:spacing w:line="360" w:lineRule="auto"/>
        <w:jc w:val="center"/>
        <w:rPr>
          <w:u w:val="single"/>
        </w:rPr>
      </w:pPr>
    </w:p>
    <w:p w:rsidR="00D35BDE" w:rsidRPr="00693C8B" w:rsidRDefault="00D35BDE" w:rsidP="00D35BDE">
      <w:pPr>
        <w:spacing w:line="360" w:lineRule="auto"/>
      </w:pPr>
      <w:r w:rsidRPr="00693C8B">
        <w:tab/>
      </w:r>
      <w:r w:rsidRPr="00693C8B">
        <w:tab/>
        <w:t>1.</w:t>
      </w:r>
      <w:r w:rsidRPr="00693C8B">
        <w:tab/>
        <w:t xml:space="preserve">The </w:t>
      </w:r>
      <w:r w:rsidR="00A4068D" w:rsidRPr="00693C8B">
        <w:t>filing</w:t>
      </w:r>
      <w:r w:rsidRPr="00693C8B">
        <w:t xml:space="preserve"> summarized in Appendix A shall be deemed an adequate filing within the meaning of Section 1307(e) of the Public Utility Code, 66 Pa. C.S. § 1307(e), subject to such further review and revision as may be found to be necessary by the Pennsylvania Public Utility Commission as a result of an audit under Section 1307(d) of the Public Utility Code, 66 Pa. C.S. § 1307(d), or of some other proceeding.</w:t>
      </w:r>
    </w:p>
    <w:p w:rsidR="00D35BDE" w:rsidRPr="00693C8B" w:rsidRDefault="00D35BDE" w:rsidP="00D35BDE">
      <w:pPr>
        <w:spacing w:line="360" w:lineRule="auto"/>
      </w:pPr>
    </w:p>
    <w:p w:rsidR="00D35BDE" w:rsidRPr="00693C8B" w:rsidRDefault="00D35BDE" w:rsidP="00D35BDE">
      <w:pPr>
        <w:spacing w:line="360" w:lineRule="auto"/>
      </w:pPr>
      <w:r w:rsidRPr="00693C8B">
        <w:lastRenderedPageBreak/>
        <w:tab/>
      </w:r>
      <w:r w:rsidRPr="00693C8B">
        <w:tab/>
        <w:t>2.</w:t>
      </w:r>
      <w:r w:rsidRPr="00693C8B">
        <w:tab/>
        <w:t xml:space="preserve">Acceptance of the </w:t>
      </w:r>
      <w:r w:rsidR="00A4068D" w:rsidRPr="00693C8B">
        <w:t>filing</w:t>
      </w:r>
      <w:r w:rsidRPr="00693C8B">
        <w:t xml:space="preserve"> is based on the unaudited data reported by PECO Energy Company and does not constitute a final approval of the accuracy of those figures or of the reasonableness of the underlying transactions. </w:t>
      </w:r>
    </w:p>
    <w:p w:rsidR="00D35BDE" w:rsidRPr="00693C8B" w:rsidRDefault="00D35BDE" w:rsidP="00D35BDE">
      <w:pPr>
        <w:spacing w:line="360" w:lineRule="auto"/>
      </w:pPr>
    </w:p>
    <w:p w:rsidR="003E4713" w:rsidRPr="00693C8B" w:rsidRDefault="00D35BDE" w:rsidP="003E4713">
      <w:pPr>
        <w:spacing w:line="360" w:lineRule="auto"/>
      </w:pPr>
      <w:r w:rsidRPr="00693C8B">
        <w:tab/>
      </w:r>
      <w:r w:rsidRPr="00693C8B">
        <w:tab/>
        <w:t>3.</w:t>
      </w:r>
      <w:r w:rsidRPr="00693C8B">
        <w:tab/>
        <w:t>The recovery of over/under collections for PECO Energy Company should be implemented based on the operation of its automatic adjustment clause as set forth in its tariff.</w:t>
      </w:r>
    </w:p>
    <w:p w:rsidR="003E4713" w:rsidRPr="00693C8B" w:rsidRDefault="003E4713" w:rsidP="003E4713">
      <w:pPr>
        <w:spacing w:line="360" w:lineRule="auto"/>
      </w:pPr>
    </w:p>
    <w:p w:rsidR="00D35BDE" w:rsidRPr="00693C8B" w:rsidRDefault="00D35BDE" w:rsidP="003E4713">
      <w:pPr>
        <w:spacing w:line="360" w:lineRule="auto"/>
        <w:jc w:val="center"/>
        <w:rPr>
          <w:u w:val="single"/>
        </w:rPr>
      </w:pPr>
      <w:r w:rsidRPr="00693C8B">
        <w:rPr>
          <w:u w:val="single"/>
        </w:rPr>
        <w:t>ORDER</w:t>
      </w:r>
    </w:p>
    <w:p w:rsidR="00D35BDE" w:rsidRPr="00693C8B" w:rsidRDefault="00D35BDE" w:rsidP="00D35BDE">
      <w:pPr>
        <w:spacing w:line="360" w:lineRule="auto"/>
        <w:jc w:val="center"/>
        <w:rPr>
          <w:u w:val="single"/>
        </w:rPr>
      </w:pPr>
    </w:p>
    <w:p w:rsidR="00D35BDE" w:rsidRPr="00693C8B" w:rsidRDefault="00D35BDE" w:rsidP="00D35BDE">
      <w:pPr>
        <w:spacing w:line="360" w:lineRule="auto"/>
      </w:pPr>
      <w:r w:rsidRPr="00693C8B">
        <w:tab/>
      </w:r>
      <w:r w:rsidRPr="00693C8B">
        <w:tab/>
        <w:t>THEREFORE,</w:t>
      </w:r>
    </w:p>
    <w:p w:rsidR="00D35BDE" w:rsidRPr="00693C8B" w:rsidRDefault="00D35BDE" w:rsidP="00D35BDE">
      <w:pPr>
        <w:spacing w:line="360" w:lineRule="auto"/>
      </w:pPr>
    </w:p>
    <w:p w:rsidR="00D35BDE" w:rsidRPr="00693C8B" w:rsidRDefault="00D35BDE" w:rsidP="00D35BDE">
      <w:pPr>
        <w:spacing w:line="360" w:lineRule="auto"/>
        <w:outlineLvl w:val="0"/>
      </w:pPr>
      <w:r w:rsidRPr="00693C8B">
        <w:tab/>
      </w:r>
      <w:r w:rsidRPr="00693C8B">
        <w:tab/>
        <w:t>IT IS ORDERED:</w:t>
      </w:r>
    </w:p>
    <w:p w:rsidR="00D35BDE" w:rsidRPr="00693C8B" w:rsidRDefault="00D35BDE" w:rsidP="00D35BDE">
      <w:pPr>
        <w:spacing w:line="360" w:lineRule="auto"/>
      </w:pPr>
    </w:p>
    <w:p w:rsidR="00D35BDE" w:rsidRPr="00693C8B" w:rsidRDefault="00D35BDE" w:rsidP="00D35BDE">
      <w:pPr>
        <w:spacing w:line="360" w:lineRule="auto"/>
      </w:pPr>
      <w:r w:rsidRPr="00693C8B">
        <w:tab/>
      </w:r>
      <w:r w:rsidRPr="00693C8B">
        <w:tab/>
        <w:t>1.</w:t>
      </w:r>
      <w:r w:rsidRPr="00693C8B">
        <w:tab/>
        <w:t>That the filing of PECO Energy Company summarized in Appendix A of this Recommended Decision, for the twelve-month period ended November 30, 200</w:t>
      </w:r>
      <w:r w:rsidR="000A2D59" w:rsidRPr="00693C8B">
        <w:t>9</w:t>
      </w:r>
      <w:r w:rsidRPr="00693C8B">
        <w:t xml:space="preserve"> is accepted insofar as the numbers are undisputed</w:t>
      </w:r>
      <w:r w:rsidR="00B45F22">
        <w:t>; and</w:t>
      </w:r>
    </w:p>
    <w:p w:rsidR="00D35BDE" w:rsidRPr="00693C8B" w:rsidRDefault="00D35BDE" w:rsidP="00D35BDE">
      <w:pPr>
        <w:spacing w:line="360" w:lineRule="auto"/>
      </w:pPr>
    </w:p>
    <w:p w:rsidR="00D35BDE" w:rsidRPr="00693C8B" w:rsidRDefault="00D35BDE" w:rsidP="00D35BDE">
      <w:pPr>
        <w:spacing w:line="360" w:lineRule="auto"/>
      </w:pPr>
      <w:r w:rsidRPr="00693C8B">
        <w:tab/>
      </w:r>
      <w:r w:rsidRPr="00693C8B">
        <w:tab/>
        <w:t>2.</w:t>
      </w:r>
      <w:r w:rsidRPr="00693C8B">
        <w:tab/>
        <w:t>That acceptance of the undisputed statement is expressly subject to such further review and revision as may be found necessary as a result of a subsequent Commission audit pursuant to Section 1307(d) of the Public Utility Code, 66 Pa. C.S. § 1307(d), or of some other proceeding.</w:t>
      </w:r>
    </w:p>
    <w:p w:rsidR="00D35BDE" w:rsidRPr="00693C8B" w:rsidRDefault="00D35BDE" w:rsidP="00D35BDE">
      <w:pPr>
        <w:spacing w:line="360" w:lineRule="auto"/>
      </w:pPr>
    </w:p>
    <w:p w:rsidR="003E4713" w:rsidRPr="00693C8B" w:rsidRDefault="003E4713" w:rsidP="00D35BDE">
      <w:pPr>
        <w:spacing w:line="360" w:lineRule="auto"/>
      </w:pPr>
    </w:p>
    <w:p w:rsidR="003E4713" w:rsidRPr="00693C8B" w:rsidRDefault="003E4713" w:rsidP="00D35BDE">
      <w:pPr>
        <w:spacing w:line="360" w:lineRule="auto"/>
      </w:pPr>
    </w:p>
    <w:p w:rsidR="00D35BDE" w:rsidRPr="00693C8B" w:rsidRDefault="00D35BDE" w:rsidP="00D35BDE">
      <w:r w:rsidRPr="00693C8B">
        <w:t>Dated:</w:t>
      </w:r>
      <w:r w:rsidRPr="00693C8B">
        <w:tab/>
      </w:r>
      <w:r w:rsidR="00E71245">
        <w:rPr>
          <w:u w:val="single"/>
        </w:rPr>
        <w:t>   </w:t>
      </w:r>
      <w:r w:rsidR="000A2D59" w:rsidRPr="00693C8B">
        <w:rPr>
          <w:u w:val="single"/>
        </w:rPr>
        <w:t>December 8, 2009</w:t>
      </w:r>
      <w:r w:rsidR="00E71245">
        <w:rPr>
          <w:u w:val="single"/>
        </w:rPr>
        <w:t>   </w:t>
      </w:r>
      <w:r w:rsidRPr="00693C8B">
        <w:tab/>
      </w:r>
      <w:r w:rsidRPr="00693C8B">
        <w:tab/>
      </w:r>
      <w:r w:rsidRPr="00693C8B">
        <w:tab/>
        <w:t>___________________________________</w:t>
      </w:r>
    </w:p>
    <w:p w:rsidR="00D35BDE" w:rsidRPr="00693C8B" w:rsidRDefault="00D35BDE" w:rsidP="00D35BDE">
      <w:r w:rsidRPr="00693C8B">
        <w:tab/>
      </w:r>
      <w:r w:rsidRPr="00693C8B">
        <w:tab/>
      </w:r>
      <w:r w:rsidRPr="00693C8B">
        <w:tab/>
      </w:r>
      <w:r w:rsidRPr="00693C8B">
        <w:tab/>
      </w:r>
      <w:r w:rsidRPr="00693C8B">
        <w:tab/>
      </w:r>
      <w:r w:rsidRPr="00693C8B">
        <w:tab/>
        <w:t>Marlane R. Chestnut</w:t>
      </w:r>
    </w:p>
    <w:p w:rsidR="00D35BDE" w:rsidRDefault="00D35BDE" w:rsidP="00D35BDE">
      <w:r w:rsidRPr="00693C8B">
        <w:tab/>
      </w:r>
      <w:r w:rsidRPr="00693C8B">
        <w:tab/>
      </w:r>
      <w:r w:rsidRPr="00693C8B">
        <w:tab/>
      </w:r>
      <w:r w:rsidRPr="00693C8B">
        <w:tab/>
      </w:r>
      <w:r w:rsidRPr="00693C8B">
        <w:tab/>
      </w:r>
      <w:r w:rsidRPr="00693C8B">
        <w:tab/>
        <w:t>Administrative Law Judge</w:t>
      </w:r>
    </w:p>
    <w:p w:rsidR="00E71245" w:rsidRDefault="00E71245" w:rsidP="00E71245"/>
    <w:p w:rsidR="00E71245" w:rsidRDefault="00E71245" w:rsidP="00E71245"/>
    <w:p w:rsidR="00E71245" w:rsidRDefault="00E71245" w:rsidP="00E71245">
      <w:pPr>
        <w:sectPr w:rsidR="00E71245" w:rsidSect="00EB325F">
          <w:footerReference w:type="even" r:id="rId6"/>
          <w:footerReference w:type="default" r:id="rId7"/>
          <w:pgSz w:w="12240" w:h="15840" w:code="1"/>
          <w:pgMar w:top="1440" w:right="1440" w:bottom="1440" w:left="1440" w:header="720" w:footer="720" w:gutter="0"/>
          <w:cols w:space="720"/>
          <w:titlePg/>
          <w:docGrid w:linePitch="360"/>
        </w:sectPr>
      </w:pPr>
    </w:p>
    <w:p w:rsidR="00E71245" w:rsidRPr="00CB2DFE" w:rsidRDefault="00E71245" w:rsidP="00E71245">
      <w:pPr>
        <w:spacing w:line="360" w:lineRule="auto"/>
        <w:jc w:val="center"/>
        <w:rPr>
          <w:b/>
          <w:spacing w:val="-3"/>
          <w:sz w:val="26"/>
          <w:szCs w:val="26"/>
          <w:u w:val="single"/>
        </w:rPr>
      </w:pPr>
      <w:r>
        <w:rPr>
          <w:b/>
          <w:spacing w:val="-3"/>
          <w:sz w:val="26"/>
          <w:szCs w:val="26"/>
          <w:u w:val="single"/>
        </w:rPr>
        <w:lastRenderedPageBreak/>
        <w:t>APPENDIX A</w:t>
      </w:r>
    </w:p>
    <w:p w:rsidR="00E71245" w:rsidRDefault="00E71245" w:rsidP="00E71245">
      <w:pPr>
        <w:spacing w:line="360" w:lineRule="auto"/>
        <w:jc w:val="center"/>
        <w:rPr>
          <w:spacing w:val="-3"/>
        </w:rPr>
        <w:sectPr w:rsidR="00E71245" w:rsidSect="00EB325F">
          <w:pgSz w:w="12240" w:h="15840" w:code="1"/>
          <w:pgMar w:top="1440" w:right="1440" w:bottom="1440" w:left="1440" w:header="720" w:footer="720" w:gutter="0"/>
          <w:pgNumType w:start="1"/>
          <w:cols w:space="720"/>
          <w:vAlign w:val="center"/>
          <w:titlePg/>
          <w:docGrid w:linePitch="360"/>
        </w:sectPr>
      </w:pPr>
    </w:p>
    <w:p w:rsidR="00E71245" w:rsidRDefault="00E71245" w:rsidP="00E71245">
      <w:pPr>
        <w:tabs>
          <w:tab w:val="left" w:pos="8280"/>
        </w:tabs>
      </w:pPr>
      <w:r>
        <w:lastRenderedPageBreak/>
        <w:tab/>
        <w:t>OTS Exhibit No. 1</w:t>
      </w:r>
    </w:p>
    <w:p w:rsidR="00E71245" w:rsidRDefault="00E71245" w:rsidP="00E71245">
      <w:pPr>
        <w:tabs>
          <w:tab w:val="left" w:pos="8280"/>
        </w:tabs>
      </w:pPr>
      <w:r>
        <w:tab/>
        <w:t>M-2009-2128293</w:t>
      </w:r>
    </w:p>
    <w:p w:rsidR="00E71245" w:rsidRDefault="00E71245" w:rsidP="00E71245">
      <w:pPr>
        <w:tabs>
          <w:tab w:val="left" w:pos="8280"/>
        </w:tabs>
      </w:pPr>
    </w:p>
    <w:p w:rsidR="00E71245" w:rsidRDefault="00E71245" w:rsidP="00E71245">
      <w:pPr>
        <w:tabs>
          <w:tab w:val="left" w:pos="8280"/>
        </w:tabs>
      </w:pPr>
    </w:p>
    <w:p w:rsidR="00E71245" w:rsidRDefault="00E71245" w:rsidP="00E71245">
      <w:pPr>
        <w:tabs>
          <w:tab w:val="left" w:pos="8280"/>
        </w:tabs>
      </w:pPr>
    </w:p>
    <w:p w:rsidR="00E71245" w:rsidRDefault="00E71245" w:rsidP="00E71245">
      <w:pPr>
        <w:tabs>
          <w:tab w:val="left" w:pos="8280"/>
        </w:tabs>
      </w:pPr>
    </w:p>
    <w:p w:rsidR="00E71245" w:rsidRDefault="00E71245" w:rsidP="00E71245">
      <w:pPr>
        <w:tabs>
          <w:tab w:val="left" w:pos="8280"/>
        </w:tabs>
        <w:jc w:val="center"/>
        <w:rPr>
          <w:b/>
        </w:rPr>
      </w:pPr>
      <w:r>
        <w:rPr>
          <w:b/>
        </w:rPr>
        <w:t>Summary of PECO Energy Company’s</w:t>
      </w:r>
    </w:p>
    <w:p w:rsidR="00E71245" w:rsidRDefault="00E71245" w:rsidP="00E71245">
      <w:pPr>
        <w:tabs>
          <w:tab w:val="left" w:pos="8280"/>
        </w:tabs>
        <w:jc w:val="center"/>
        <w:rPr>
          <w:b/>
        </w:rPr>
      </w:pPr>
      <w:r>
        <w:rPr>
          <w:b/>
        </w:rPr>
        <w:t>Universal Service Fund Charge Reconciliation</w:t>
      </w:r>
    </w:p>
    <w:p w:rsidR="00E71245" w:rsidRDefault="00E71245" w:rsidP="00E71245">
      <w:pPr>
        <w:tabs>
          <w:tab w:val="left" w:pos="8280"/>
        </w:tabs>
        <w:jc w:val="center"/>
        <w:rPr>
          <w:b/>
        </w:rPr>
      </w:pPr>
      <w:r>
        <w:rPr>
          <w:b/>
        </w:rPr>
        <w:t>For The Period Ended November 30, 2009</w:t>
      </w:r>
    </w:p>
    <w:p w:rsidR="00E71245" w:rsidRDefault="00E71245" w:rsidP="00E71245">
      <w:pPr>
        <w:tabs>
          <w:tab w:val="left" w:pos="8280"/>
        </w:tabs>
      </w:pPr>
    </w:p>
    <w:p w:rsidR="00E71245" w:rsidRDefault="00E71245" w:rsidP="00E71245">
      <w:pPr>
        <w:tabs>
          <w:tab w:val="left" w:pos="8280"/>
        </w:tabs>
      </w:pPr>
    </w:p>
    <w:tbl>
      <w:tblPr>
        <w:tblW w:w="9387" w:type="dxa"/>
        <w:jc w:val="center"/>
        <w:tblInd w:w="783" w:type="dxa"/>
        <w:tblBorders>
          <w:bottom w:val="single" w:sz="4" w:space="0" w:color="auto"/>
        </w:tblBorders>
        <w:tblLayout w:type="fixed"/>
        <w:tblLook w:val="01E0"/>
      </w:tblPr>
      <w:tblGrid>
        <w:gridCol w:w="1472"/>
        <w:gridCol w:w="270"/>
        <w:gridCol w:w="1800"/>
        <w:gridCol w:w="270"/>
        <w:gridCol w:w="1710"/>
        <w:gridCol w:w="270"/>
        <w:gridCol w:w="1435"/>
        <w:gridCol w:w="270"/>
        <w:gridCol w:w="1890"/>
      </w:tblGrid>
      <w:tr w:rsidR="00E71245" w:rsidRPr="00A43E76" w:rsidTr="00EB325F">
        <w:trPr>
          <w:jc w:val="center"/>
        </w:trPr>
        <w:tc>
          <w:tcPr>
            <w:tcW w:w="1472" w:type="dxa"/>
            <w:tcBorders>
              <w:bottom w:val="single" w:sz="4" w:space="0" w:color="auto"/>
            </w:tcBorders>
          </w:tcPr>
          <w:p w:rsidR="00E71245" w:rsidRDefault="00E71245" w:rsidP="00EB325F">
            <w:pPr>
              <w:tabs>
                <w:tab w:val="left" w:pos="8280"/>
              </w:tabs>
              <w:jc w:val="center"/>
              <w:rPr>
                <w:b/>
              </w:rPr>
            </w:pPr>
          </w:p>
          <w:p w:rsidR="00E71245" w:rsidRDefault="00E71245" w:rsidP="00EB325F">
            <w:pPr>
              <w:tabs>
                <w:tab w:val="left" w:pos="8280"/>
              </w:tabs>
              <w:jc w:val="center"/>
              <w:rPr>
                <w:b/>
              </w:rPr>
            </w:pPr>
            <w:r>
              <w:rPr>
                <w:b/>
              </w:rPr>
              <w:t>USFC</w:t>
            </w:r>
          </w:p>
          <w:p w:rsidR="00E71245" w:rsidRDefault="00E71245" w:rsidP="00EB325F">
            <w:pPr>
              <w:tabs>
                <w:tab w:val="left" w:pos="8280"/>
              </w:tabs>
              <w:jc w:val="center"/>
              <w:rPr>
                <w:b/>
              </w:rPr>
            </w:pPr>
            <w:r>
              <w:rPr>
                <w:b/>
              </w:rPr>
              <w:t>Revenue</w:t>
            </w:r>
          </w:p>
        </w:tc>
        <w:tc>
          <w:tcPr>
            <w:tcW w:w="270" w:type="dxa"/>
          </w:tcPr>
          <w:p w:rsidR="00E71245" w:rsidRDefault="00E71245" w:rsidP="00EB325F">
            <w:pPr>
              <w:tabs>
                <w:tab w:val="left" w:pos="8280"/>
              </w:tabs>
              <w:jc w:val="center"/>
              <w:rPr>
                <w:b/>
              </w:rPr>
            </w:pPr>
          </w:p>
        </w:tc>
        <w:tc>
          <w:tcPr>
            <w:tcW w:w="1800" w:type="dxa"/>
            <w:tcBorders>
              <w:bottom w:val="single" w:sz="4" w:space="0" w:color="auto"/>
            </w:tcBorders>
          </w:tcPr>
          <w:p w:rsidR="00E71245" w:rsidRDefault="00E71245" w:rsidP="00EB325F">
            <w:pPr>
              <w:tabs>
                <w:tab w:val="left" w:pos="8280"/>
              </w:tabs>
              <w:jc w:val="center"/>
              <w:rPr>
                <w:b/>
              </w:rPr>
            </w:pPr>
            <w:r>
              <w:rPr>
                <w:b/>
              </w:rPr>
              <w:t>Allowable</w:t>
            </w:r>
          </w:p>
          <w:p w:rsidR="00E71245" w:rsidRPr="00A43E76" w:rsidRDefault="00E71245" w:rsidP="00EB325F">
            <w:pPr>
              <w:tabs>
                <w:tab w:val="left" w:pos="8280"/>
              </w:tabs>
              <w:jc w:val="center"/>
              <w:rPr>
                <w:b/>
              </w:rPr>
            </w:pPr>
            <w:r>
              <w:rPr>
                <w:b/>
              </w:rPr>
              <w:t>Cost</w:t>
            </w:r>
          </w:p>
          <w:p w:rsidR="00E71245" w:rsidRPr="00A43E76" w:rsidRDefault="00E71245" w:rsidP="00EB325F">
            <w:pPr>
              <w:tabs>
                <w:tab w:val="left" w:pos="8280"/>
              </w:tabs>
              <w:jc w:val="center"/>
              <w:rPr>
                <w:b/>
              </w:rPr>
            </w:pPr>
            <w:r>
              <w:rPr>
                <w:b/>
              </w:rPr>
              <w:t>Recovery</w:t>
            </w:r>
          </w:p>
        </w:tc>
        <w:tc>
          <w:tcPr>
            <w:tcW w:w="270" w:type="dxa"/>
          </w:tcPr>
          <w:p w:rsidR="00E71245" w:rsidRPr="00A43E76" w:rsidRDefault="00E71245" w:rsidP="00EB325F">
            <w:pPr>
              <w:tabs>
                <w:tab w:val="left" w:pos="8280"/>
              </w:tabs>
              <w:jc w:val="center"/>
              <w:rPr>
                <w:b/>
              </w:rPr>
            </w:pPr>
          </w:p>
        </w:tc>
        <w:tc>
          <w:tcPr>
            <w:tcW w:w="1710" w:type="dxa"/>
            <w:tcBorders>
              <w:bottom w:val="single" w:sz="4" w:space="0" w:color="auto"/>
            </w:tcBorders>
          </w:tcPr>
          <w:p w:rsidR="00E71245" w:rsidRPr="00166E22" w:rsidRDefault="00E71245" w:rsidP="00EB325F">
            <w:pPr>
              <w:tabs>
                <w:tab w:val="left" w:pos="8280"/>
              </w:tabs>
              <w:jc w:val="center"/>
              <w:rPr>
                <w:b/>
              </w:rPr>
            </w:pPr>
            <w:r>
              <w:rPr>
                <w:b/>
              </w:rPr>
              <w:t>Over/</w:t>
            </w:r>
          </w:p>
          <w:p w:rsidR="00E71245" w:rsidRDefault="00E71245" w:rsidP="00EB325F">
            <w:pPr>
              <w:jc w:val="center"/>
              <w:rPr>
                <w:b/>
              </w:rPr>
            </w:pPr>
            <w:r>
              <w:rPr>
                <w:b/>
              </w:rPr>
              <w:t>(Under)</w:t>
            </w:r>
          </w:p>
          <w:p w:rsidR="00E71245" w:rsidRPr="00166E22" w:rsidRDefault="00E71245" w:rsidP="00EB325F">
            <w:pPr>
              <w:jc w:val="center"/>
              <w:rPr>
                <w:b/>
              </w:rPr>
            </w:pPr>
            <w:r>
              <w:rPr>
                <w:b/>
              </w:rPr>
              <w:t>Collection</w:t>
            </w:r>
          </w:p>
        </w:tc>
        <w:tc>
          <w:tcPr>
            <w:tcW w:w="270" w:type="dxa"/>
          </w:tcPr>
          <w:p w:rsidR="00E71245" w:rsidRPr="00A43E76" w:rsidRDefault="00E71245" w:rsidP="00EB325F">
            <w:pPr>
              <w:tabs>
                <w:tab w:val="left" w:pos="8280"/>
              </w:tabs>
              <w:jc w:val="center"/>
              <w:rPr>
                <w:b/>
              </w:rPr>
            </w:pPr>
          </w:p>
        </w:tc>
        <w:tc>
          <w:tcPr>
            <w:tcW w:w="1435" w:type="dxa"/>
            <w:tcBorders>
              <w:bottom w:val="single" w:sz="4" w:space="0" w:color="auto"/>
            </w:tcBorders>
          </w:tcPr>
          <w:p w:rsidR="00E71245" w:rsidRDefault="00E71245" w:rsidP="00EB325F">
            <w:pPr>
              <w:tabs>
                <w:tab w:val="left" w:pos="8280"/>
              </w:tabs>
              <w:jc w:val="center"/>
              <w:rPr>
                <w:b/>
              </w:rPr>
            </w:pPr>
          </w:p>
          <w:p w:rsidR="00E71245" w:rsidRDefault="00E71245" w:rsidP="00EB325F">
            <w:pPr>
              <w:tabs>
                <w:tab w:val="left" w:pos="8280"/>
              </w:tabs>
              <w:jc w:val="center"/>
              <w:rPr>
                <w:b/>
              </w:rPr>
            </w:pPr>
          </w:p>
          <w:p w:rsidR="00E71245" w:rsidRPr="00A43E76" w:rsidRDefault="00E71245" w:rsidP="00EB325F">
            <w:pPr>
              <w:tabs>
                <w:tab w:val="left" w:pos="8280"/>
              </w:tabs>
              <w:jc w:val="center"/>
              <w:rPr>
                <w:b/>
              </w:rPr>
            </w:pPr>
            <w:r>
              <w:rPr>
                <w:b/>
              </w:rPr>
              <w:t>Interest*</w:t>
            </w:r>
          </w:p>
        </w:tc>
        <w:tc>
          <w:tcPr>
            <w:tcW w:w="270" w:type="dxa"/>
          </w:tcPr>
          <w:p w:rsidR="00E71245" w:rsidRPr="00A43E76" w:rsidRDefault="00E71245" w:rsidP="00EB325F">
            <w:pPr>
              <w:tabs>
                <w:tab w:val="left" w:pos="8280"/>
              </w:tabs>
              <w:jc w:val="center"/>
              <w:rPr>
                <w:b/>
              </w:rPr>
            </w:pPr>
          </w:p>
        </w:tc>
        <w:tc>
          <w:tcPr>
            <w:tcW w:w="1890" w:type="dxa"/>
            <w:tcBorders>
              <w:bottom w:val="single" w:sz="4" w:space="0" w:color="auto"/>
            </w:tcBorders>
          </w:tcPr>
          <w:p w:rsidR="00E71245" w:rsidRDefault="00E71245" w:rsidP="00EB325F">
            <w:pPr>
              <w:tabs>
                <w:tab w:val="left" w:pos="8280"/>
              </w:tabs>
              <w:jc w:val="center"/>
              <w:rPr>
                <w:b/>
              </w:rPr>
            </w:pPr>
            <w:r>
              <w:rPr>
                <w:b/>
              </w:rPr>
              <w:t>Total to be</w:t>
            </w:r>
          </w:p>
          <w:p w:rsidR="00E71245" w:rsidRDefault="00E71245" w:rsidP="00EB325F">
            <w:pPr>
              <w:tabs>
                <w:tab w:val="left" w:pos="8280"/>
              </w:tabs>
              <w:jc w:val="center"/>
              <w:rPr>
                <w:b/>
              </w:rPr>
            </w:pPr>
            <w:r>
              <w:rPr>
                <w:b/>
              </w:rPr>
              <w:t>Refunded or</w:t>
            </w:r>
          </w:p>
          <w:p w:rsidR="00E71245" w:rsidRPr="00A43E76" w:rsidRDefault="00E71245" w:rsidP="00EB325F">
            <w:pPr>
              <w:tabs>
                <w:tab w:val="left" w:pos="8280"/>
              </w:tabs>
              <w:jc w:val="center"/>
              <w:rPr>
                <w:b/>
              </w:rPr>
            </w:pPr>
            <w:r>
              <w:rPr>
                <w:b/>
              </w:rPr>
              <w:t>(Recouped)</w:t>
            </w:r>
          </w:p>
        </w:tc>
      </w:tr>
      <w:tr w:rsidR="00E71245" w:rsidRPr="00A43E76" w:rsidTr="00EB325F">
        <w:trPr>
          <w:jc w:val="center"/>
        </w:trPr>
        <w:tc>
          <w:tcPr>
            <w:tcW w:w="1472" w:type="dxa"/>
            <w:tcBorders>
              <w:top w:val="single" w:sz="4" w:space="0" w:color="auto"/>
            </w:tcBorders>
          </w:tcPr>
          <w:p w:rsidR="00E71245" w:rsidRDefault="00E71245" w:rsidP="00EB325F">
            <w:pPr>
              <w:tabs>
                <w:tab w:val="left" w:pos="8280"/>
              </w:tabs>
              <w:jc w:val="center"/>
              <w:rPr>
                <w:b/>
              </w:rPr>
            </w:pPr>
            <w:r>
              <w:rPr>
                <w:b/>
              </w:rPr>
              <w:t>(a)</w:t>
            </w:r>
          </w:p>
        </w:tc>
        <w:tc>
          <w:tcPr>
            <w:tcW w:w="270" w:type="dxa"/>
          </w:tcPr>
          <w:p w:rsidR="00E71245" w:rsidRDefault="00E71245" w:rsidP="00EB325F">
            <w:pPr>
              <w:tabs>
                <w:tab w:val="left" w:pos="8280"/>
              </w:tabs>
              <w:jc w:val="center"/>
              <w:rPr>
                <w:b/>
              </w:rPr>
            </w:pPr>
          </w:p>
        </w:tc>
        <w:tc>
          <w:tcPr>
            <w:tcW w:w="1800" w:type="dxa"/>
            <w:tcBorders>
              <w:top w:val="single" w:sz="4" w:space="0" w:color="auto"/>
            </w:tcBorders>
          </w:tcPr>
          <w:p w:rsidR="00E71245" w:rsidRPr="00A43E76" w:rsidRDefault="00E71245" w:rsidP="00EB325F">
            <w:pPr>
              <w:tabs>
                <w:tab w:val="left" w:pos="8280"/>
              </w:tabs>
              <w:jc w:val="center"/>
              <w:rPr>
                <w:b/>
              </w:rPr>
            </w:pPr>
            <w:r>
              <w:rPr>
                <w:b/>
              </w:rPr>
              <w:t>(b)</w:t>
            </w:r>
          </w:p>
        </w:tc>
        <w:tc>
          <w:tcPr>
            <w:tcW w:w="270" w:type="dxa"/>
          </w:tcPr>
          <w:p w:rsidR="00E71245" w:rsidRPr="00A43E76" w:rsidRDefault="00E71245" w:rsidP="00EB325F">
            <w:pPr>
              <w:tabs>
                <w:tab w:val="left" w:pos="8280"/>
              </w:tabs>
              <w:jc w:val="center"/>
              <w:rPr>
                <w:b/>
              </w:rPr>
            </w:pPr>
          </w:p>
        </w:tc>
        <w:tc>
          <w:tcPr>
            <w:tcW w:w="1710" w:type="dxa"/>
            <w:tcBorders>
              <w:top w:val="single" w:sz="4" w:space="0" w:color="auto"/>
            </w:tcBorders>
          </w:tcPr>
          <w:p w:rsidR="00E71245" w:rsidRPr="00A43E76" w:rsidRDefault="00E71245" w:rsidP="00EB325F">
            <w:pPr>
              <w:tabs>
                <w:tab w:val="left" w:pos="8280"/>
              </w:tabs>
              <w:jc w:val="center"/>
              <w:rPr>
                <w:b/>
              </w:rPr>
            </w:pPr>
            <w:r>
              <w:rPr>
                <w:b/>
              </w:rPr>
              <w:t>(c) = (a) + (b)</w:t>
            </w:r>
          </w:p>
        </w:tc>
        <w:tc>
          <w:tcPr>
            <w:tcW w:w="270" w:type="dxa"/>
          </w:tcPr>
          <w:p w:rsidR="00E71245" w:rsidRPr="00A43E76" w:rsidRDefault="00E71245" w:rsidP="00EB325F">
            <w:pPr>
              <w:tabs>
                <w:tab w:val="left" w:pos="8280"/>
              </w:tabs>
              <w:jc w:val="center"/>
              <w:rPr>
                <w:b/>
              </w:rPr>
            </w:pPr>
          </w:p>
        </w:tc>
        <w:tc>
          <w:tcPr>
            <w:tcW w:w="1435" w:type="dxa"/>
            <w:tcBorders>
              <w:top w:val="single" w:sz="4" w:space="0" w:color="auto"/>
            </w:tcBorders>
          </w:tcPr>
          <w:p w:rsidR="00E71245" w:rsidRPr="00A43E76" w:rsidRDefault="00E71245" w:rsidP="00EB325F">
            <w:pPr>
              <w:tabs>
                <w:tab w:val="left" w:pos="8280"/>
              </w:tabs>
              <w:jc w:val="center"/>
              <w:rPr>
                <w:b/>
              </w:rPr>
            </w:pPr>
            <w:r>
              <w:rPr>
                <w:b/>
              </w:rPr>
              <w:t>(d)</w:t>
            </w:r>
          </w:p>
        </w:tc>
        <w:tc>
          <w:tcPr>
            <w:tcW w:w="270" w:type="dxa"/>
          </w:tcPr>
          <w:p w:rsidR="00E71245" w:rsidRPr="00A43E76" w:rsidRDefault="00E71245" w:rsidP="00EB325F">
            <w:pPr>
              <w:tabs>
                <w:tab w:val="left" w:pos="8280"/>
              </w:tabs>
              <w:jc w:val="center"/>
              <w:rPr>
                <w:b/>
              </w:rPr>
            </w:pPr>
          </w:p>
        </w:tc>
        <w:tc>
          <w:tcPr>
            <w:tcW w:w="1890" w:type="dxa"/>
            <w:tcBorders>
              <w:top w:val="single" w:sz="4" w:space="0" w:color="auto"/>
            </w:tcBorders>
          </w:tcPr>
          <w:p w:rsidR="00E71245" w:rsidRPr="00A43E76" w:rsidRDefault="00E71245" w:rsidP="00EB325F">
            <w:pPr>
              <w:tabs>
                <w:tab w:val="left" w:pos="8280"/>
              </w:tabs>
              <w:jc w:val="center"/>
              <w:rPr>
                <w:b/>
              </w:rPr>
            </w:pPr>
            <w:r>
              <w:rPr>
                <w:b/>
              </w:rPr>
              <w:t>(e) = (c) + (d)</w:t>
            </w:r>
          </w:p>
        </w:tc>
      </w:tr>
      <w:tr w:rsidR="00E71245" w:rsidTr="00EB325F">
        <w:trPr>
          <w:jc w:val="center"/>
        </w:trPr>
        <w:tc>
          <w:tcPr>
            <w:tcW w:w="1472" w:type="dxa"/>
          </w:tcPr>
          <w:p w:rsidR="00E71245" w:rsidRDefault="00E71245" w:rsidP="00EB325F">
            <w:pPr>
              <w:tabs>
                <w:tab w:val="left" w:pos="8280"/>
              </w:tabs>
              <w:jc w:val="center"/>
            </w:pPr>
          </w:p>
        </w:tc>
        <w:tc>
          <w:tcPr>
            <w:tcW w:w="270" w:type="dxa"/>
          </w:tcPr>
          <w:p w:rsidR="00E71245" w:rsidRDefault="00E71245" w:rsidP="00EB325F">
            <w:pPr>
              <w:tabs>
                <w:tab w:val="left" w:pos="8280"/>
              </w:tabs>
            </w:pPr>
          </w:p>
        </w:tc>
        <w:tc>
          <w:tcPr>
            <w:tcW w:w="1800" w:type="dxa"/>
          </w:tcPr>
          <w:p w:rsidR="00E71245" w:rsidRDefault="00E71245" w:rsidP="00EB325F">
            <w:pPr>
              <w:tabs>
                <w:tab w:val="left" w:pos="8280"/>
              </w:tabs>
              <w:jc w:val="center"/>
            </w:pPr>
          </w:p>
        </w:tc>
        <w:tc>
          <w:tcPr>
            <w:tcW w:w="270" w:type="dxa"/>
          </w:tcPr>
          <w:p w:rsidR="00E71245" w:rsidRDefault="00E71245" w:rsidP="00EB325F">
            <w:pPr>
              <w:tabs>
                <w:tab w:val="left" w:pos="8280"/>
              </w:tabs>
            </w:pPr>
          </w:p>
        </w:tc>
        <w:tc>
          <w:tcPr>
            <w:tcW w:w="1710" w:type="dxa"/>
          </w:tcPr>
          <w:p w:rsidR="00E71245" w:rsidRDefault="00E71245" w:rsidP="00EB325F">
            <w:pPr>
              <w:tabs>
                <w:tab w:val="left" w:pos="8280"/>
              </w:tabs>
              <w:jc w:val="center"/>
            </w:pPr>
          </w:p>
        </w:tc>
        <w:tc>
          <w:tcPr>
            <w:tcW w:w="270" w:type="dxa"/>
          </w:tcPr>
          <w:p w:rsidR="00E71245" w:rsidRDefault="00E71245" w:rsidP="00EB325F">
            <w:pPr>
              <w:tabs>
                <w:tab w:val="left" w:pos="8280"/>
              </w:tabs>
            </w:pPr>
          </w:p>
        </w:tc>
        <w:tc>
          <w:tcPr>
            <w:tcW w:w="1435" w:type="dxa"/>
          </w:tcPr>
          <w:p w:rsidR="00E71245" w:rsidRDefault="00E71245" w:rsidP="00EB325F">
            <w:pPr>
              <w:tabs>
                <w:tab w:val="left" w:pos="8280"/>
              </w:tabs>
              <w:jc w:val="center"/>
            </w:pPr>
          </w:p>
        </w:tc>
        <w:tc>
          <w:tcPr>
            <w:tcW w:w="270" w:type="dxa"/>
          </w:tcPr>
          <w:p w:rsidR="00E71245" w:rsidRDefault="00E71245" w:rsidP="00EB325F">
            <w:pPr>
              <w:tabs>
                <w:tab w:val="left" w:pos="8280"/>
              </w:tabs>
            </w:pPr>
          </w:p>
        </w:tc>
        <w:tc>
          <w:tcPr>
            <w:tcW w:w="1890" w:type="dxa"/>
          </w:tcPr>
          <w:p w:rsidR="00E71245" w:rsidRDefault="00E71245" w:rsidP="00EB325F">
            <w:pPr>
              <w:tabs>
                <w:tab w:val="left" w:pos="8280"/>
              </w:tabs>
              <w:jc w:val="center"/>
            </w:pPr>
          </w:p>
        </w:tc>
      </w:tr>
      <w:tr w:rsidR="00E71245" w:rsidTr="00EB325F">
        <w:trPr>
          <w:jc w:val="center"/>
        </w:trPr>
        <w:tc>
          <w:tcPr>
            <w:tcW w:w="1472" w:type="dxa"/>
            <w:tcBorders>
              <w:bottom w:val="nil"/>
            </w:tcBorders>
          </w:tcPr>
          <w:p w:rsidR="00E71245" w:rsidRDefault="00E71245" w:rsidP="00EB325F">
            <w:pPr>
              <w:tabs>
                <w:tab w:val="left" w:pos="177"/>
                <w:tab w:val="right" w:pos="1782"/>
                <w:tab w:val="left" w:pos="8280"/>
              </w:tabs>
              <w:jc w:val="center"/>
            </w:pPr>
            <w:r>
              <w:t>$14,313,502</w:t>
            </w:r>
          </w:p>
        </w:tc>
        <w:tc>
          <w:tcPr>
            <w:tcW w:w="270" w:type="dxa"/>
            <w:tcBorders>
              <w:bottom w:val="nil"/>
            </w:tcBorders>
          </w:tcPr>
          <w:p w:rsidR="00E71245" w:rsidRDefault="00E71245" w:rsidP="00EB325F">
            <w:pPr>
              <w:tabs>
                <w:tab w:val="left" w:pos="177"/>
                <w:tab w:val="right" w:pos="1782"/>
                <w:tab w:val="left" w:pos="8280"/>
              </w:tabs>
            </w:pPr>
          </w:p>
        </w:tc>
        <w:tc>
          <w:tcPr>
            <w:tcW w:w="1800" w:type="dxa"/>
            <w:tcBorders>
              <w:bottom w:val="nil"/>
            </w:tcBorders>
          </w:tcPr>
          <w:p w:rsidR="00E71245" w:rsidRDefault="00E71245" w:rsidP="00EB325F">
            <w:pPr>
              <w:tabs>
                <w:tab w:val="left" w:pos="177"/>
                <w:tab w:val="right" w:pos="1782"/>
                <w:tab w:val="left" w:pos="8280"/>
              </w:tabs>
              <w:jc w:val="center"/>
            </w:pPr>
            <w:r>
              <w:t>$16,474,072</w:t>
            </w:r>
          </w:p>
        </w:tc>
        <w:tc>
          <w:tcPr>
            <w:tcW w:w="270" w:type="dxa"/>
            <w:tcBorders>
              <w:bottom w:val="nil"/>
            </w:tcBorders>
          </w:tcPr>
          <w:p w:rsidR="00E71245" w:rsidRDefault="00E71245" w:rsidP="00EB325F">
            <w:pPr>
              <w:tabs>
                <w:tab w:val="left" w:pos="8280"/>
              </w:tabs>
            </w:pPr>
          </w:p>
        </w:tc>
        <w:tc>
          <w:tcPr>
            <w:tcW w:w="1710" w:type="dxa"/>
            <w:tcBorders>
              <w:bottom w:val="nil"/>
            </w:tcBorders>
          </w:tcPr>
          <w:p w:rsidR="00E71245" w:rsidRDefault="00E71245" w:rsidP="00EB325F">
            <w:pPr>
              <w:tabs>
                <w:tab w:val="left" w:pos="8280"/>
              </w:tabs>
              <w:jc w:val="center"/>
            </w:pPr>
            <w:r>
              <w:t>$(2,160,570)</w:t>
            </w:r>
          </w:p>
        </w:tc>
        <w:tc>
          <w:tcPr>
            <w:tcW w:w="270" w:type="dxa"/>
            <w:tcBorders>
              <w:bottom w:val="nil"/>
            </w:tcBorders>
          </w:tcPr>
          <w:p w:rsidR="00E71245" w:rsidRDefault="00E71245" w:rsidP="00EB325F">
            <w:pPr>
              <w:tabs>
                <w:tab w:val="left" w:pos="8280"/>
              </w:tabs>
            </w:pPr>
          </w:p>
        </w:tc>
        <w:tc>
          <w:tcPr>
            <w:tcW w:w="1435" w:type="dxa"/>
            <w:tcBorders>
              <w:bottom w:val="nil"/>
            </w:tcBorders>
          </w:tcPr>
          <w:p w:rsidR="00E71245" w:rsidRDefault="00E71245" w:rsidP="00EB325F">
            <w:pPr>
              <w:tabs>
                <w:tab w:val="left" w:pos="8280"/>
              </w:tabs>
              <w:jc w:val="center"/>
            </w:pPr>
            <w:r>
              <w:t>$(133,290)</w:t>
            </w:r>
          </w:p>
        </w:tc>
        <w:tc>
          <w:tcPr>
            <w:tcW w:w="270" w:type="dxa"/>
            <w:tcBorders>
              <w:bottom w:val="nil"/>
            </w:tcBorders>
          </w:tcPr>
          <w:p w:rsidR="00E71245" w:rsidRDefault="00E71245" w:rsidP="00EB325F">
            <w:pPr>
              <w:tabs>
                <w:tab w:val="left" w:pos="8280"/>
              </w:tabs>
            </w:pPr>
          </w:p>
        </w:tc>
        <w:tc>
          <w:tcPr>
            <w:tcW w:w="1890" w:type="dxa"/>
            <w:tcBorders>
              <w:bottom w:val="nil"/>
            </w:tcBorders>
          </w:tcPr>
          <w:p w:rsidR="00E71245" w:rsidRDefault="00E71245" w:rsidP="00EB325F">
            <w:pPr>
              <w:tabs>
                <w:tab w:val="left" w:pos="198"/>
                <w:tab w:val="right" w:pos="1833"/>
                <w:tab w:val="left" w:pos="8280"/>
              </w:tabs>
              <w:jc w:val="center"/>
            </w:pPr>
            <w:r>
              <w:t>$(2,160,570)</w:t>
            </w:r>
          </w:p>
        </w:tc>
      </w:tr>
      <w:tr w:rsidR="00E71245" w:rsidTr="00EB325F">
        <w:trPr>
          <w:jc w:val="center"/>
        </w:trPr>
        <w:tc>
          <w:tcPr>
            <w:tcW w:w="1472" w:type="dxa"/>
            <w:tcBorders>
              <w:bottom w:val="nil"/>
            </w:tcBorders>
          </w:tcPr>
          <w:p w:rsidR="00E71245" w:rsidRDefault="00E71245" w:rsidP="00EB325F">
            <w:pPr>
              <w:tabs>
                <w:tab w:val="left" w:pos="8280"/>
              </w:tabs>
              <w:jc w:val="center"/>
            </w:pPr>
          </w:p>
        </w:tc>
        <w:tc>
          <w:tcPr>
            <w:tcW w:w="270" w:type="dxa"/>
            <w:tcBorders>
              <w:bottom w:val="nil"/>
            </w:tcBorders>
          </w:tcPr>
          <w:p w:rsidR="00E71245" w:rsidRDefault="00E71245" w:rsidP="00EB325F">
            <w:pPr>
              <w:tabs>
                <w:tab w:val="left" w:pos="8280"/>
              </w:tabs>
            </w:pPr>
          </w:p>
        </w:tc>
        <w:tc>
          <w:tcPr>
            <w:tcW w:w="1800" w:type="dxa"/>
            <w:tcBorders>
              <w:bottom w:val="nil"/>
            </w:tcBorders>
          </w:tcPr>
          <w:p w:rsidR="00E71245" w:rsidRDefault="00E71245" w:rsidP="00EB325F">
            <w:pPr>
              <w:tabs>
                <w:tab w:val="left" w:pos="8280"/>
              </w:tabs>
              <w:jc w:val="center"/>
            </w:pPr>
          </w:p>
        </w:tc>
        <w:tc>
          <w:tcPr>
            <w:tcW w:w="270" w:type="dxa"/>
            <w:tcBorders>
              <w:bottom w:val="nil"/>
            </w:tcBorders>
          </w:tcPr>
          <w:p w:rsidR="00E71245" w:rsidRDefault="00E71245" w:rsidP="00EB325F">
            <w:pPr>
              <w:tabs>
                <w:tab w:val="left" w:pos="8280"/>
              </w:tabs>
            </w:pPr>
          </w:p>
        </w:tc>
        <w:tc>
          <w:tcPr>
            <w:tcW w:w="1710" w:type="dxa"/>
            <w:tcBorders>
              <w:bottom w:val="nil"/>
            </w:tcBorders>
          </w:tcPr>
          <w:p w:rsidR="00E71245" w:rsidRDefault="00E71245" w:rsidP="00EB325F">
            <w:pPr>
              <w:tabs>
                <w:tab w:val="left" w:pos="8280"/>
              </w:tabs>
              <w:jc w:val="center"/>
            </w:pPr>
          </w:p>
        </w:tc>
        <w:tc>
          <w:tcPr>
            <w:tcW w:w="270" w:type="dxa"/>
            <w:tcBorders>
              <w:bottom w:val="nil"/>
            </w:tcBorders>
          </w:tcPr>
          <w:p w:rsidR="00E71245" w:rsidRDefault="00E71245" w:rsidP="00EB325F">
            <w:pPr>
              <w:tabs>
                <w:tab w:val="left" w:pos="8280"/>
              </w:tabs>
            </w:pPr>
          </w:p>
        </w:tc>
        <w:tc>
          <w:tcPr>
            <w:tcW w:w="1435" w:type="dxa"/>
            <w:tcBorders>
              <w:bottom w:val="nil"/>
            </w:tcBorders>
          </w:tcPr>
          <w:p w:rsidR="00E71245" w:rsidRDefault="00E71245" w:rsidP="00EB325F">
            <w:pPr>
              <w:tabs>
                <w:tab w:val="left" w:pos="8280"/>
              </w:tabs>
              <w:jc w:val="center"/>
            </w:pPr>
          </w:p>
        </w:tc>
        <w:tc>
          <w:tcPr>
            <w:tcW w:w="270" w:type="dxa"/>
            <w:tcBorders>
              <w:bottom w:val="nil"/>
            </w:tcBorders>
          </w:tcPr>
          <w:p w:rsidR="00E71245" w:rsidRDefault="00E71245" w:rsidP="00EB325F">
            <w:pPr>
              <w:tabs>
                <w:tab w:val="left" w:pos="8280"/>
              </w:tabs>
            </w:pPr>
          </w:p>
        </w:tc>
        <w:tc>
          <w:tcPr>
            <w:tcW w:w="1890" w:type="dxa"/>
            <w:tcBorders>
              <w:bottom w:val="nil"/>
            </w:tcBorders>
          </w:tcPr>
          <w:p w:rsidR="00E71245" w:rsidRDefault="00E71245" w:rsidP="00EB325F">
            <w:pPr>
              <w:tabs>
                <w:tab w:val="left" w:pos="8280"/>
              </w:tabs>
              <w:jc w:val="center"/>
            </w:pPr>
          </w:p>
        </w:tc>
      </w:tr>
    </w:tbl>
    <w:p w:rsidR="00E71245" w:rsidRDefault="00E71245" w:rsidP="00E71245">
      <w:pPr>
        <w:tabs>
          <w:tab w:val="left" w:pos="8280"/>
        </w:tabs>
      </w:pPr>
    </w:p>
    <w:p w:rsidR="00E71245" w:rsidRDefault="00E71245" w:rsidP="00E71245">
      <w:pPr>
        <w:tabs>
          <w:tab w:val="left" w:pos="8280"/>
        </w:tabs>
      </w:pPr>
    </w:p>
    <w:p w:rsidR="00E71245" w:rsidRDefault="00E71245" w:rsidP="00E71245">
      <w:pPr>
        <w:tabs>
          <w:tab w:val="left" w:pos="8280"/>
        </w:tabs>
      </w:pPr>
    </w:p>
    <w:p w:rsidR="00E71245" w:rsidRDefault="00E71245" w:rsidP="00E71245">
      <w:pPr>
        <w:tabs>
          <w:tab w:val="left" w:pos="8280"/>
        </w:tabs>
      </w:pPr>
      <w:r w:rsidRPr="00AA7C3E">
        <w:rPr>
          <w:u w:val="single"/>
        </w:rPr>
        <w:t>Notes:</w:t>
      </w:r>
    </w:p>
    <w:p w:rsidR="00E71245" w:rsidRDefault="00E71245" w:rsidP="00E71245">
      <w:pPr>
        <w:tabs>
          <w:tab w:val="left" w:pos="8280"/>
        </w:tabs>
      </w:pPr>
      <w:r>
        <w:t xml:space="preserve"> </w:t>
      </w:r>
    </w:p>
    <w:p w:rsidR="00E71245" w:rsidRDefault="00E71245" w:rsidP="00E71245">
      <w:pPr>
        <w:tabs>
          <w:tab w:val="left" w:pos="8280"/>
        </w:tabs>
      </w:pPr>
      <w:r>
        <w:t xml:space="preserve">* Total does not include negative interest, as rate payers are NOT liable for interest </w:t>
      </w:r>
    </w:p>
    <w:p w:rsidR="00E71245" w:rsidRDefault="00E71245" w:rsidP="00E71245">
      <w:pPr>
        <w:tabs>
          <w:tab w:val="left" w:pos="8280"/>
        </w:tabs>
      </w:pPr>
    </w:p>
    <w:p w:rsidR="00E71245" w:rsidRDefault="00E71245" w:rsidP="00E71245">
      <w:pPr>
        <w:tabs>
          <w:tab w:val="left" w:pos="8280"/>
        </w:tabs>
        <w:sectPr w:rsidR="00E71245" w:rsidSect="00E71245">
          <w:pgSz w:w="12240" w:h="15840"/>
          <w:pgMar w:top="1152" w:right="1008" w:bottom="1152" w:left="1008" w:header="720" w:footer="720" w:gutter="0"/>
          <w:cols w:space="720"/>
          <w:titlePg/>
          <w:docGrid w:linePitch="360"/>
        </w:sectPr>
      </w:pPr>
    </w:p>
    <w:p w:rsidR="00E71245" w:rsidRDefault="00E71245" w:rsidP="00E71245">
      <w:pPr>
        <w:tabs>
          <w:tab w:val="left" w:pos="8280"/>
        </w:tabs>
        <w:jc w:val="right"/>
      </w:pPr>
      <w:r>
        <w:lastRenderedPageBreak/>
        <w:t>OTS Exhibit No. 2</w:t>
      </w:r>
    </w:p>
    <w:p w:rsidR="00E71245" w:rsidRDefault="00E71245" w:rsidP="00E71245">
      <w:pPr>
        <w:tabs>
          <w:tab w:val="left" w:pos="8280"/>
        </w:tabs>
        <w:jc w:val="right"/>
      </w:pPr>
      <w:r>
        <w:t>M-2009-2128293</w:t>
      </w:r>
    </w:p>
    <w:p w:rsidR="00E71245" w:rsidRDefault="00E71245" w:rsidP="00E71245">
      <w:pPr>
        <w:tabs>
          <w:tab w:val="left" w:pos="8280"/>
        </w:tabs>
      </w:pPr>
    </w:p>
    <w:p w:rsidR="00E71245" w:rsidRDefault="00E71245" w:rsidP="00E71245">
      <w:pPr>
        <w:tabs>
          <w:tab w:val="left" w:pos="8280"/>
        </w:tabs>
      </w:pPr>
    </w:p>
    <w:p w:rsidR="00E71245" w:rsidRDefault="00E71245" w:rsidP="00E71245">
      <w:pPr>
        <w:tabs>
          <w:tab w:val="left" w:pos="8280"/>
        </w:tabs>
      </w:pPr>
    </w:p>
    <w:p w:rsidR="00E71245" w:rsidRDefault="00E71245" w:rsidP="00E71245">
      <w:pPr>
        <w:tabs>
          <w:tab w:val="left" w:pos="8280"/>
        </w:tabs>
      </w:pPr>
    </w:p>
    <w:p w:rsidR="00E71245" w:rsidRDefault="00E71245" w:rsidP="00E71245">
      <w:pPr>
        <w:tabs>
          <w:tab w:val="left" w:pos="8280"/>
        </w:tabs>
        <w:jc w:val="center"/>
        <w:rPr>
          <w:b/>
        </w:rPr>
      </w:pPr>
      <w:r>
        <w:rPr>
          <w:b/>
        </w:rPr>
        <w:t>Summary of PECO Energy Company’s</w:t>
      </w:r>
    </w:p>
    <w:p w:rsidR="00E71245" w:rsidRDefault="00E71245" w:rsidP="00E71245">
      <w:pPr>
        <w:tabs>
          <w:tab w:val="left" w:pos="8280"/>
        </w:tabs>
        <w:jc w:val="center"/>
        <w:rPr>
          <w:b/>
        </w:rPr>
      </w:pPr>
      <w:r>
        <w:rPr>
          <w:b/>
        </w:rPr>
        <w:t>Supplemental Universal Service Fund Charge Reconciliation</w:t>
      </w:r>
    </w:p>
    <w:p w:rsidR="00E71245" w:rsidRDefault="00E71245" w:rsidP="00E71245">
      <w:pPr>
        <w:tabs>
          <w:tab w:val="left" w:pos="8280"/>
        </w:tabs>
        <w:jc w:val="center"/>
        <w:rPr>
          <w:b/>
        </w:rPr>
      </w:pPr>
      <w:r>
        <w:rPr>
          <w:b/>
        </w:rPr>
        <w:t>For The Period Ended November 30, 2009</w:t>
      </w:r>
    </w:p>
    <w:p w:rsidR="00E71245" w:rsidRDefault="00E71245" w:rsidP="00E71245">
      <w:pPr>
        <w:tabs>
          <w:tab w:val="left" w:pos="8280"/>
        </w:tabs>
      </w:pPr>
    </w:p>
    <w:p w:rsidR="00E71245" w:rsidRDefault="00E71245" w:rsidP="00E71245">
      <w:pPr>
        <w:tabs>
          <w:tab w:val="left" w:pos="8280"/>
        </w:tabs>
      </w:pPr>
    </w:p>
    <w:tbl>
      <w:tblPr>
        <w:tblW w:w="9387" w:type="dxa"/>
        <w:jc w:val="center"/>
        <w:tblInd w:w="783" w:type="dxa"/>
        <w:tblBorders>
          <w:bottom w:val="single" w:sz="4" w:space="0" w:color="auto"/>
        </w:tblBorders>
        <w:tblLayout w:type="fixed"/>
        <w:tblLook w:val="01E0"/>
      </w:tblPr>
      <w:tblGrid>
        <w:gridCol w:w="1472"/>
        <w:gridCol w:w="270"/>
        <w:gridCol w:w="1800"/>
        <w:gridCol w:w="270"/>
        <w:gridCol w:w="1710"/>
        <w:gridCol w:w="270"/>
        <w:gridCol w:w="1435"/>
        <w:gridCol w:w="270"/>
        <w:gridCol w:w="1890"/>
      </w:tblGrid>
      <w:tr w:rsidR="00E71245" w:rsidRPr="00A43E76" w:rsidTr="00EB325F">
        <w:trPr>
          <w:jc w:val="center"/>
        </w:trPr>
        <w:tc>
          <w:tcPr>
            <w:tcW w:w="1472" w:type="dxa"/>
            <w:tcBorders>
              <w:bottom w:val="single" w:sz="4" w:space="0" w:color="auto"/>
            </w:tcBorders>
          </w:tcPr>
          <w:p w:rsidR="00E71245" w:rsidRDefault="00E71245" w:rsidP="00EB325F">
            <w:pPr>
              <w:tabs>
                <w:tab w:val="left" w:pos="8280"/>
              </w:tabs>
              <w:jc w:val="center"/>
              <w:rPr>
                <w:b/>
              </w:rPr>
            </w:pPr>
          </w:p>
          <w:p w:rsidR="00E71245" w:rsidRDefault="00E71245" w:rsidP="00EB325F">
            <w:pPr>
              <w:tabs>
                <w:tab w:val="left" w:pos="8280"/>
              </w:tabs>
              <w:jc w:val="center"/>
              <w:rPr>
                <w:b/>
              </w:rPr>
            </w:pPr>
            <w:r>
              <w:rPr>
                <w:b/>
              </w:rPr>
              <w:t>USFC</w:t>
            </w:r>
          </w:p>
          <w:p w:rsidR="00E71245" w:rsidRDefault="00E71245" w:rsidP="00EB325F">
            <w:pPr>
              <w:tabs>
                <w:tab w:val="left" w:pos="8280"/>
              </w:tabs>
              <w:jc w:val="center"/>
              <w:rPr>
                <w:b/>
              </w:rPr>
            </w:pPr>
            <w:r>
              <w:rPr>
                <w:b/>
              </w:rPr>
              <w:t>Revenue</w:t>
            </w:r>
          </w:p>
        </w:tc>
        <w:tc>
          <w:tcPr>
            <w:tcW w:w="270" w:type="dxa"/>
          </w:tcPr>
          <w:p w:rsidR="00E71245" w:rsidRDefault="00E71245" w:rsidP="00EB325F">
            <w:pPr>
              <w:tabs>
                <w:tab w:val="left" w:pos="8280"/>
              </w:tabs>
              <w:jc w:val="center"/>
              <w:rPr>
                <w:b/>
              </w:rPr>
            </w:pPr>
          </w:p>
        </w:tc>
        <w:tc>
          <w:tcPr>
            <w:tcW w:w="1800" w:type="dxa"/>
            <w:tcBorders>
              <w:bottom w:val="single" w:sz="4" w:space="0" w:color="auto"/>
            </w:tcBorders>
          </w:tcPr>
          <w:p w:rsidR="00E71245" w:rsidRDefault="00E71245" w:rsidP="00EB325F">
            <w:pPr>
              <w:tabs>
                <w:tab w:val="left" w:pos="8280"/>
              </w:tabs>
              <w:jc w:val="center"/>
              <w:rPr>
                <w:b/>
              </w:rPr>
            </w:pPr>
            <w:r>
              <w:rPr>
                <w:b/>
              </w:rPr>
              <w:t>Allowable</w:t>
            </w:r>
          </w:p>
          <w:p w:rsidR="00E71245" w:rsidRPr="00A43E76" w:rsidRDefault="00E71245" w:rsidP="00EB325F">
            <w:pPr>
              <w:tabs>
                <w:tab w:val="left" w:pos="8280"/>
              </w:tabs>
              <w:jc w:val="center"/>
              <w:rPr>
                <w:b/>
              </w:rPr>
            </w:pPr>
            <w:r>
              <w:rPr>
                <w:b/>
              </w:rPr>
              <w:t>Cost</w:t>
            </w:r>
          </w:p>
          <w:p w:rsidR="00E71245" w:rsidRPr="00A43E76" w:rsidRDefault="00E71245" w:rsidP="00EB325F">
            <w:pPr>
              <w:tabs>
                <w:tab w:val="left" w:pos="8280"/>
              </w:tabs>
              <w:jc w:val="center"/>
              <w:rPr>
                <w:b/>
              </w:rPr>
            </w:pPr>
            <w:r>
              <w:rPr>
                <w:b/>
              </w:rPr>
              <w:t>Recovery</w:t>
            </w:r>
          </w:p>
        </w:tc>
        <w:tc>
          <w:tcPr>
            <w:tcW w:w="270" w:type="dxa"/>
          </w:tcPr>
          <w:p w:rsidR="00E71245" w:rsidRPr="00A43E76" w:rsidRDefault="00E71245" w:rsidP="00EB325F">
            <w:pPr>
              <w:tabs>
                <w:tab w:val="left" w:pos="8280"/>
              </w:tabs>
              <w:jc w:val="center"/>
              <w:rPr>
                <w:b/>
              </w:rPr>
            </w:pPr>
          </w:p>
        </w:tc>
        <w:tc>
          <w:tcPr>
            <w:tcW w:w="1710" w:type="dxa"/>
            <w:tcBorders>
              <w:bottom w:val="single" w:sz="4" w:space="0" w:color="auto"/>
            </w:tcBorders>
          </w:tcPr>
          <w:p w:rsidR="00E71245" w:rsidRPr="00166E22" w:rsidRDefault="00E71245" w:rsidP="00EB325F">
            <w:pPr>
              <w:tabs>
                <w:tab w:val="left" w:pos="8280"/>
              </w:tabs>
              <w:jc w:val="center"/>
              <w:rPr>
                <w:b/>
              </w:rPr>
            </w:pPr>
            <w:r>
              <w:rPr>
                <w:b/>
              </w:rPr>
              <w:t>Over/</w:t>
            </w:r>
          </w:p>
          <w:p w:rsidR="00E71245" w:rsidRDefault="00E71245" w:rsidP="00EB325F">
            <w:pPr>
              <w:jc w:val="center"/>
              <w:rPr>
                <w:b/>
              </w:rPr>
            </w:pPr>
            <w:r>
              <w:rPr>
                <w:b/>
              </w:rPr>
              <w:t>(Under)</w:t>
            </w:r>
          </w:p>
          <w:p w:rsidR="00E71245" w:rsidRPr="00166E22" w:rsidRDefault="00E71245" w:rsidP="00EB325F">
            <w:pPr>
              <w:jc w:val="center"/>
              <w:rPr>
                <w:b/>
              </w:rPr>
            </w:pPr>
            <w:r>
              <w:rPr>
                <w:b/>
              </w:rPr>
              <w:t>Collection</w:t>
            </w:r>
          </w:p>
        </w:tc>
        <w:tc>
          <w:tcPr>
            <w:tcW w:w="270" w:type="dxa"/>
          </w:tcPr>
          <w:p w:rsidR="00E71245" w:rsidRPr="00A43E76" w:rsidRDefault="00E71245" w:rsidP="00EB325F">
            <w:pPr>
              <w:tabs>
                <w:tab w:val="left" w:pos="8280"/>
              </w:tabs>
              <w:jc w:val="center"/>
              <w:rPr>
                <w:b/>
              </w:rPr>
            </w:pPr>
          </w:p>
        </w:tc>
        <w:tc>
          <w:tcPr>
            <w:tcW w:w="1435" w:type="dxa"/>
            <w:tcBorders>
              <w:bottom w:val="single" w:sz="4" w:space="0" w:color="auto"/>
            </w:tcBorders>
          </w:tcPr>
          <w:p w:rsidR="00E71245" w:rsidRDefault="00E71245" w:rsidP="00EB325F">
            <w:pPr>
              <w:tabs>
                <w:tab w:val="left" w:pos="8280"/>
              </w:tabs>
              <w:jc w:val="center"/>
              <w:rPr>
                <w:b/>
              </w:rPr>
            </w:pPr>
          </w:p>
          <w:p w:rsidR="00E71245" w:rsidRDefault="00E71245" w:rsidP="00EB325F">
            <w:pPr>
              <w:tabs>
                <w:tab w:val="left" w:pos="8280"/>
              </w:tabs>
              <w:jc w:val="center"/>
              <w:rPr>
                <w:b/>
              </w:rPr>
            </w:pPr>
          </w:p>
          <w:p w:rsidR="00E71245" w:rsidRPr="00A43E76" w:rsidRDefault="00E71245" w:rsidP="00EB325F">
            <w:pPr>
              <w:tabs>
                <w:tab w:val="left" w:pos="8280"/>
              </w:tabs>
              <w:jc w:val="center"/>
              <w:rPr>
                <w:b/>
              </w:rPr>
            </w:pPr>
            <w:r>
              <w:rPr>
                <w:b/>
              </w:rPr>
              <w:t>Interest*</w:t>
            </w:r>
          </w:p>
        </w:tc>
        <w:tc>
          <w:tcPr>
            <w:tcW w:w="270" w:type="dxa"/>
          </w:tcPr>
          <w:p w:rsidR="00E71245" w:rsidRPr="00A43E76" w:rsidRDefault="00E71245" w:rsidP="00EB325F">
            <w:pPr>
              <w:tabs>
                <w:tab w:val="left" w:pos="8280"/>
              </w:tabs>
              <w:jc w:val="center"/>
              <w:rPr>
                <w:b/>
              </w:rPr>
            </w:pPr>
          </w:p>
        </w:tc>
        <w:tc>
          <w:tcPr>
            <w:tcW w:w="1890" w:type="dxa"/>
            <w:tcBorders>
              <w:bottom w:val="single" w:sz="4" w:space="0" w:color="auto"/>
            </w:tcBorders>
          </w:tcPr>
          <w:p w:rsidR="00E71245" w:rsidRDefault="00E71245" w:rsidP="00EB325F">
            <w:pPr>
              <w:tabs>
                <w:tab w:val="left" w:pos="8280"/>
              </w:tabs>
              <w:jc w:val="center"/>
              <w:rPr>
                <w:b/>
              </w:rPr>
            </w:pPr>
            <w:r>
              <w:rPr>
                <w:b/>
              </w:rPr>
              <w:t>Total to be</w:t>
            </w:r>
          </w:p>
          <w:p w:rsidR="00E71245" w:rsidRDefault="00E71245" w:rsidP="00EB325F">
            <w:pPr>
              <w:tabs>
                <w:tab w:val="left" w:pos="8280"/>
              </w:tabs>
              <w:jc w:val="center"/>
              <w:rPr>
                <w:b/>
              </w:rPr>
            </w:pPr>
            <w:r>
              <w:rPr>
                <w:b/>
              </w:rPr>
              <w:t>Refunded or</w:t>
            </w:r>
          </w:p>
          <w:p w:rsidR="00E71245" w:rsidRPr="00A43E76" w:rsidRDefault="00E71245" w:rsidP="00EB325F">
            <w:pPr>
              <w:tabs>
                <w:tab w:val="left" w:pos="8280"/>
              </w:tabs>
              <w:jc w:val="center"/>
              <w:rPr>
                <w:b/>
              </w:rPr>
            </w:pPr>
            <w:r>
              <w:rPr>
                <w:b/>
              </w:rPr>
              <w:t>(Recouped)</w:t>
            </w:r>
          </w:p>
        </w:tc>
      </w:tr>
      <w:tr w:rsidR="00E71245" w:rsidRPr="00A43E76" w:rsidTr="00EB325F">
        <w:trPr>
          <w:jc w:val="center"/>
        </w:trPr>
        <w:tc>
          <w:tcPr>
            <w:tcW w:w="1472" w:type="dxa"/>
            <w:tcBorders>
              <w:top w:val="single" w:sz="4" w:space="0" w:color="auto"/>
            </w:tcBorders>
          </w:tcPr>
          <w:p w:rsidR="00E71245" w:rsidRDefault="00E71245" w:rsidP="00EB325F">
            <w:pPr>
              <w:tabs>
                <w:tab w:val="left" w:pos="8280"/>
              </w:tabs>
              <w:jc w:val="center"/>
              <w:rPr>
                <w:b/>
              </w:rPr>
            </w:pPr>
            <w:r>
              <w:rPr>
                <w:b/>
              </w:rPr>
              <w:t>(a)</w:t>
            </w:r>
          </w:p>
        </w:tc>
        <w:tc>
          <w:tcPr>
            <w:tcW w:w="270" w:type="dxa"/>
          </w:tcPr>
          <w:p w:rsidR="00E71245" w:rsidRDefault="00E71245" w:rsidP="00EB325F">
            <w:pPr>
              <w:tabs>
                <w:tab w:val="left" w:pos="8280"/>
              </w:tabs>
              <w:jc w:val="center"/>
              <w:rPr>
                <w:b/>
              </w:rPr>
            </w:pPr>
          </w:p>
        </w:tc>
        <w:tc>
          <w:tcPr>
            <w:tcW w:w="1800" w:type="dxa"/>
            <w:tcBorders>
              <w:top w:val="single" w:sz="4" w:space="0" w:color="auto"/>
            </w:tcBorders>
          </w:tcPr>
          <w:p w:rsidR="00E71245" w:rsidRPr="00A43E76" w:rsidRDefault="00E71245" w:rsidP="00EB325F">
            <w:pPr>
              <w:tabs>
                <w:tab w:val="left" w:pos="8280"/>
              </w:tabs>
              <w:jc w:val="center"/>
              <w:rPr>
                <w:b/>
              </w:rPr>
            </w:pPr>
            <w:r>
              <w:rPr>
                <w:b/>
              </w:rPr>
              <w:t>(b)</w:t>
            </w:r>
          </w:p>
        </w:tc>
        <w:tc>
          <w:tcPr>
            <w:tcW w:w="270" w:type="dxa"/>
          </w:tcPr>
          <w:p w:rsidR="00E71245" w:rsidRPr="00A43E76" w:rsidRDefault="00E71245" w:rsidP="00EB325F">
            <w:pPr>
              <w:tabs>
                <w:tab w:val="left" w:pos="8280"/>
              </w:tabs>
              <w:jc w:val="center"/>
              <w:rPr>
                <w:b/>
              </w:rPr>
            </w:pPr>
          </w:p>
        </w:tc>
        <w:tc>
          <w:tcPr>
            <w:tcW w:w="1710" w:type="dxa"/>
            <w:tcBorders>
              <w:top w:val="single" w:sz="4" w:space="0" w:color="auto"/>
            </w:tcBorders>
          </w:tcPr>
          <w:p w:rsidR="00E71245" w:rsidRPr="00A43E76" w:rsidRDefault="00E71245" w:rsidP="00EB325F">
            <w:pPr>
              <w:tabs>
                <w:tab w:val="left" w:pos="8280"/>
              </w:tabs>
              <w:jc w:val="center"/>
              <w:rPr>
                <w:b/>
              </w:rPr>
            </w:pPr>
            <w:r>
              <w:rPr>
                <w:b/>
              </w:rPr>
              <w:t>(c) = (a) + (b)</w:t>
            </w:r>
          </w:p>
        </w:tc>
        <w:tc>
          <w:tcPr>
            <w:tcW w:w="270" w:type="dxa"/>
          </w:tcPr>
          <w:p w:rsidR="00E71245" w:rsidRPr="00A43E76" w:rsidRDefault="00E71245" w:rsidP="00EB325F">
            <w:pPr>
              <w:tabs>
                <w:tab w:val="left" w:pos="8280"/>
              </w:tabs>
              <w:jc w:val="center"/>
              <w:rPr>
                <w:b/>
              </w:rPr>
            </w:pPr>
          </w:p>
        </w:tc>
        <w:tc>
          <w:tcPr>
            <w:tcW w:w="1435" w:type="dxa"/>
            <w:tcBorders>
              <w:top w:val="single" w:sz="4" w:space="0" w:color="auto"/>
            </w:tcBorders>
          </w:tcPr>
          <w:p w:rsidR="00E71245" w:rsidRPr="00A43E76" w:rsidRDefault="00E71245" w:rsidP="00EB325F">
            <w:pPr>
              <w:tabs>
                <w:tab w:val="left" w:pos="8280"/>
              </w:tabs>
              <w:jc w:val="center"/>
              <w:rPr>
                <w:b/>
              </w:rPr>
            </w:pPr>
            <w:r>
              <w:rPr>
                <w:b/>
              </w:rPr>
              <w:t>(d)</w:t>
            </w:r>
          </w:p>
        </w:tc>
        <w:tc>
          <w:tcPr>
            <w:tcW w:w="270" w:type="dxa"/>
          </w:tcPr>
          <w:p w:rsidR="00E71245" w:rsidRPr="00A43E76" w:rsidRDefault="00E71245" w:rsidP="00EB325F">
            <w:pPr>
              <w:tabs>
                <w:tab w:val="left" w:pos="8280"/>
              </w:tabs>
              <w:jc w:val="center"/>
              <w:rPr>
                <w:b/>
              </w:rPr>
            </w:pPr>
          </w:p>
        </w:tc>
        <w:tc>
          <w:tcPr>
            <w:tcW w:w="1890" w:type="dxa"/>
            <w:tcBorders>
              <w:top w:val="single" w:sz="4" w:space="0" w:color="auto"/>
            </w:tcBorders>
          </w:tcPr>
          <w:p w:rsidR="00E71245" w:rsidRPr="00A43E76" w:rsidRDefault="00E71245" w:rsidP="00EB325F">
            <w:pPr>
              <w:tabs>
                <w:tab w:val="left" w:pos="8280"/>
              </w:tabs>
              <w:jc w:val="center"/>
              <w:rPr>
                <w:b/>
              </w:rPr>
            </w:pPr>
            <w:r>
              <w:rPr>
                <w:b/>
              </w:rPr>
              <w:t>(e) = (c) + (d)</w:t>
            </w:r>
          </w:p>
        </w:tc>
      </w:tr>
      <w:tr w:rsidR="00E71245" w:rsidTr="00EB325F">
        <w:trPr>
          <w:jc w:val="center"/>
        </w:trPr>
        <w:tc>
          <w:tcPr>
            <w:tcW w:w="1472" w:type="dxa"/>
          </w:tcPr>
          <w:p w:rsidR="00E71245" w:rsidRDefault="00E71245" w:rsidP="00EB325F">
            <w:pPr>
              <w:tabs>
                <w:tab w:val="left" w:pos="8280"/>
              </w:tabs>
              <w:jc w:val="center"/>
            </w:pPr>
          </w:p>
        </w:tc>
        <w:tc>
          <w:tcPr>
            <w:tcW w:w="270" w:type="dxa"/>
          </w:tcPr>
          <w:p w:rsidR="00E71245" w:rsidRDefault="00E71245" w:rsidP="00EB325F">
            <w:pPr>
              <w:tabs>
                <w:tab w:val="left" w:pos="8280"/>
              </w:tabs>
            </w:pPr>
          </w:p>
        </w:tc>
        <w:tc>
          <w:tcPr>
            <w:tcW w:w="1800" w:type="dxa"/>
          </w:tcPr>
          <w:p w:rsidR="00E71245" w:rsidRDefault="00E71245" w:rsidP="00EB325F">
            <w:pPr>
              <w:tabs>
                <w:tab w:val="left" w:pos="8280"/>
              </w:tabs>
              <w:jc w:val="center"/>
            </w:pPr>
          </w:p>
        </w:tc>
        <w:tc>
          <w:tcPr>
            <w:tcW w:w="270" w:type="dxa"/>
          </w:tcPr>
          <w:p w:rsidR="00E71245" w:rsidRDefault="00E71245" w:rsidP="00EB325F">
            <w:pPr>
              <w:tabs>
                <w:tab w:val="left" w:pos="8280"/>
              </w:tabs>
            </w:pPr>
          </w:p>
        </w:tc>
        <w:tc>
          <w:tcPr>
            <w:tcW w:w="1710" w:type="dxa"/>
          </w:tcPr>
          <w:p w:rsidR="00E71245" w:rsidRDefault="00E71245" w:rsidP="00EB325F">
            <w:pPr>
              <w:tabs>
                <w:tab w:val="left" w:pos="8280"/>
              </w:tabs>
              <w:jc w:val="center"/>
            </w:pPr>
          </w:p>
        </w:tc>
        <w:tc>
          <w:tcPr>
            <w:tcW w:w="270" w:type="dxa"/>
          </w:tcPr>
          <w:p w:rsidR="00E71245" w:rsidRDefault="00E71245" w:rsidP="00EB325F">
            <w:pPr>
              <w:tabs>
                <w:tab w:val="left" w:pos="8280"/>
              </w:tabs>
            </w:pPr>
          </w:p>
        </w:tc>
        <w:tc>
          <w:tcPr>
            <w:tcW w:w="1435" w:type="dxa"/>
          </w:tcPr>
          <w:p w:rsidR="00E71245" w:rsidRDefault="00E71245" w:rsidP="00EB325F">
            <w:pPr>
              <w:tabs>
                <w:tab w:val="left" w:pos="8280"/>
              </w:tabs>
              <w:jc w:val="center"/>
            </w:pPr>
          </w:p>
        </w:tc>
        <w:tc>
          <w:tcPr>
            <w:tcW w:w="270" w:type="dxa"/>
          </w:tcPr>
          <w:p w:rsidR="00E71245" w:rsidRDefault="00E71245" w:rsidP="00EB325F">
            <w:pPr>
              <w:tabs>
                <w:tab w:val="left" w:pos="8280"/>
              </w:tabs>
            </w:pPr>
          </w:p>
        </w:tc>
        <w:tc>
          <w:tcPr>
            <w:tcW w:w="1890" w:type="dxa"/>
          </w:tcPr>
          <w:p w:rsidR="00E71245" w:rsidRDefault="00E71245" w:rsidP="00EB325F">
            <w:pPr>
              <w:tabs>
                <w:tab w:val="left" w:pos="8280"/>
              </w:tabs>
              <w:jc w:val="center"/>
            </w:pPr>
          </w:p>
        </w:tc>
      </w:tr>
      <w:tr w:rsidR="00E71245" w:rsidTr="00EB325F">
        <w:trPr>
          <w:jc w:val="center"/>
        </w:trPr>
        <w:tc>
          <w:tcPr>
            <w:tcW w:w="1472" w:type="dxa"/>
            <w:tcBorders>
              <w:bottom w:val="nil"/>
            </w:tcBorders>
          </w:tcPr>
          <w:p w:rsidR="00E71245" w:rsidRDefault="00E71245" w:rsidP="00EB325F">
            <w:pPr>
              <w:tabs>
                <w:tab w:val="left" w:pos="177"/>
                <w:tab w:val="right" w:pos="1782"/>
                <w:tab w:val="left" w:pos="8280"/>
              </w:tabs>
              <w:jc w:val="center"/>
            </w:pPr>
            <w:r>
              <w:t>$6,015,061</w:t>
            </w:r>
          </w:p>
        </w:tc>
        <w:tc>
          <w:tcPr>
            <w:tcW w:w="270" w:type="dxa"/>
            <w:tcBorders>
              <w:bottom w:val="nil"/>
            </w:tcBorders>
          </w:tcPr>
          <w:p w:rsidR="00E71245" w:rsidRDefault="00E71245" w:rsidP="00EB325F">
            <w:pPr>
              <w:tabs>
                <w:tab w:val="left" w:pos="177"/>
                <w:tab w:val="right" w:pos="1782"/>
                <w:tab w:val="left" w:pos="8280"/>
              </w:tabs>
            </w:pPr>
          </w:p>
        </w:tc>
        <w:tc>
          <w:tcPr>
            <w:tcW w:w="1800" w:type="dxa"/>
            <w:tcBorders>
              <w:bottom w:val="nil"/>
            </w:tcBorders>
          </w:tcPr>
          <w:p w:rsidR="00E71245" w:rsidRDefault="00E71245" w:rsidP="00EB325F">
            <w:pPr>
              <w:tabs>
                <w:tab w:val="left" w:pos="177"/>
                <w:tab w:val="right" w:pos="1782"/>
                <w:tab w:val="left" w:pos="8280"/>
              </w:tabs>
              <w:jc w:val="center"/>
            </w:pPr>
            <w:r>
              <w:t>$5,500,000</w:t>
            </w:r>
          </w:p>
        </w:tc>
        <w:tc>
          <w:tcPr>
            <w:tcW w:w="270" w:type="dxa"/>
            <w:tcBorders>
              <w:bottom w:val="nil"/>
            </w:tcBorders>
          </w:tcPr>
          <w:p w:rsidR="00E71245" w:rsidRDefault="00E71245" w:rsidP="00EB325F">
            <w:pPr>
              <w:tabs>
                <w:tab w:val="left" w:pos="8280"/>
              </w:tabs>
            </w:pPr>
          </w:p>
        </w:tc>
        <w:tc>
          <w:tcPr>
            <w:tcW w:w="1710" w:type="dxa"/>
            <w:tcBorders>
              <w:bottom w:val="nil"/>
            </w:tcBorders>
          </w:tcPr>
          <w:p w:rsidR="00E71245" w:rsidRDefault="00E71245" w:rsidP="00EB325F">
            <w:pPr>
              <w:tabs>
                <w:tab w:val="left" w:pos="8280"/>
              </w:tabs>
              <w:jc w:val="center"/>
            </w:pPr>
            <w:r>
              <w:t>$515,061</w:t>
            </w:r>
          </w:p>
        </w:tc>
        <w:tc>
          <w:tcPr>
            <w:tcW w:w="270" w:type="dxa"/>
            <w:tcBorders>
              <w:bottom w:val="nil"/>
            </w:tcBorders>
          </w:tcPr>
          <w:p w:rsidR="00E71245" w:rsidRDefault="00E71245" w:rsidP="00EB325F">
            <w:pPr>
              <w:tabs>
                <w:tab w:val="left" w:pos="8280"/>
              </w:tabs>
            </w:pPr>
          </w:p>
        </w:tc>
        <w:tc>
          <w:tcPr>
            <w:tcW w:w="1435" w:type="dxa"/>
            <w:tcBorders>
              <w:bottom w:val="nil"/>
            </w:tcBorders>
          </w:tcPr>
          <w:p w:rsidR="00E71245" w:rsidRDefault="00E71245" w:rsidP="00EB325F">
            <w:pPr>
              <w:tabs>
                <w:tab w:val="left" w:pos="8280"/>
              </w:tabs>
              <w:jc w:val="center"/>
            </w:pPr>
            <w:r>
              <w:t>$20,402</w:t>
            </w:r>
          </w:p>
        </w:tc>
        <w:tc>
          <w:tcPr>
            <w:tcW w:w="270" w:type="dxa"/>
            <w:tcBorders>
              <w:bottom w:val="nil"/>
            </w:tcBorders>
          </w:tcPr>
          <w:p w:rsidR="00E71245" w:rsidRDefault="00E71245" w:rsidP="00EB325F">
            <w:pPr>
              <w:tabs>
                <w:tab w:val="left" w:pos="8280"/>
              </w:tabs>
            </w:pPr>
          </w:p>
        </w:tc>
        <w:tc>
          <w:tcPr>
            <w:tcW w:w="1890" w:type="dxa"/>
            <w:tcBorders>
              <w:bottom w:val="nil"/>
            </w:tcBorders>
          </w:tcPr>
          <w:p w:rsidR="00E71245" w:rsidRDefault="00E71245" w:rsidP="00EB325F">
            <w:pPr>
              <w:tabs>
                <w:tab w:val="left" w:pos="198"/>
                <w:tab w:val="right" w:pos="1833"/>
                <w:tab w:val="left" w:pos="8280"/>
              </w:tabs>
              <w:jc w:val="center"/>
            </w:pPr>
            <w:r>
              <w:t>$535,463</w:t>
            </w:r>
          </w:p>
        </w:tc>
      </w:tr>
      <w:tr w:rsidR="00E71245" w:rsidTr="00EB325F">
        <w:trPr>
          <w:jc w:val="center"/>
        </w:trPr>
        <w:tc>
          <w:tcPr>
            <w:tcW w:w="1472" w:type="dxa"/>
            <w:tcBorders>
              <w:bottom w:val="nil"/>
            </w:tcBorders>
          </w:tcPr>
          <w:p w:rsidR="00E71245" w:rsidRDefault="00E71245" w:rsidP="00EB325F">
            <w:pPr>
              <w:tabs>
                <w:tab w:val="left" w:pos="8280"/>
              </w:tabs>
              <w:jc w:val="center"/>
            </w:pPr>
          </w:p>
        </w:tc>
        <w:tc>
          <w:tcPr>
            <w:tcW w:w="270" w:type="dxa"/>
            <w:tcBorders>
              <w:bottom w:val="nil"/>
            </w:tcBorders>
          </w:tcPr>
          <w:p w:rsidR="00E71245" w:rsidRDefault="00E71245" w:rsidP="00EB325F">
            <w:pPr>
              <w:tabs>
                <w:tab w:val="left" w:pos="8280"/>
              </w:tabs>
            </w:pPr>
          </w:p>
        </w:tc>
        <w:tc>
          <w:tcPr>
            <w:tcW w:w="1800" w:type="dxa"/>
            <w:tcBorders>
              <w:bottom w:val="nil"/>
            </w:tcBorders>
          </w:tcPr>
          <w:p w:rsidR="00E71245" w:rsidRDefault="00E71245" w:rsidP="00EB325F">
            <w:pPr>
              <w:tabs>
                <w:tab w:val="left" w:pos="8280"/>
              </w:tabs>
              <w:jc w:val="center"/>
            </w:pPr>
          </w:p>
        </w:tc>
        <w:tc>
          <w:tcPr>
            <w:tcW w:w="270" w:type="dxa"/>
            <w:tcBorders>
              <w:bottom w:val="nil"/>
            </w:tcBorders>
          </w:tcPr>
          <w:p w:rsidR="00E71245" w:rsidRDefault="00E71245" w:rsidP="00EB325F">
            <w:pPr>
              <w:tabs>
                <w:tab w:val="left" w:pos="8280"/>
              </w:tabs>
            </w:pPr>
          </w:p>
        </w:tc>
        <w:tc>
          <w:tcPr>
            <w:tcW w:w="1710" w:type="dxa"/>
            <w:tcBorders>
              <w:bottom w:val="nil"/>
            </w:tcBorders>
          </w:tcPr>
          <w:p w:rsidR="00E71245" w:rsidRDefault="00E71245" w:rsidP="00EB325F">
            <w:pPr>
              <w:tabs>
                <w:tab w:val="left" w:pos="8280"/>
              </w:tabs>
              <w:jc w:val="center"/>
            </w:pPr>
          </w:p>
        </w:tc>
        <w:tc>
          <w:tcPr>
            <w:tcW w:w="270" w:type="dxa"/>
            <w:tcBorders>
              <w:bottom w:val="nil"/>
            </w:tcBorders>
          </w:tcPr>
          <w:p w:rsidR="00E71245" w:rsidRDefault="00E71245" w:rsidP="00EB325F">
            <w:pPr>
              <w:tabs>
                <w:tab w:val="left" w:pos="8280"/>
              </w:tabs>
            </w:pPr>
          </w:p>
        </w:tc>
        <w:tc>
          <w:tcPr>
            <w:tcW w:w="1435" w:type="dxa"/>
            <w:tcBorders>
              <w:bottom w:val="nil"/>
            </w:tcBorders>
          </w:tcPr>
          <w:p w:rsidR="00E71245" w:rsidRDefault="00E71245" w:rsidP="00EB325F">
            <w:pPr>
              <w:tabs>
                <w:tab w:val="left" w:pos="8280"/>
              </w:tabs>
              <w:jc w:val="center"/>
            </w:pPr>
          </w:p>
        </w:tc>
        <w:tc>
          <w:tcPr>
            <w:tcW w:w="270" w:type="dxa"/>
            <w:tcBorders>
              <w:bottom w:val="nil"/>
            </w:tcBorders>
          </w:tcPr>
          <w:p w:rsidR="00E71245" w:rsidRDefault="00E71245" w:rsidP="00EB325F">
            <w:pPr>
              <w:tabs>
                <w:tab w:val="left" w:pos="8280"/>
              </w:tabs>
            </w:pPr>
          </w:p>
        </w:tc>
        <w:tc>
          <w:tcPr>
            <w:tcW w:w="1890" w:type="dxa"/>
            <w:tcBorders>
              <w:bottom w:val="nil"/>
            </w:tcBorders>
          </w:tcPr>
          <w:p w:rsidR="00E71245" w:rsidRDefault="00E71245" w:rsidP="00EB325F">
            <w:pPr>
              <w:tabs>
                <w:tab w:val="left" w:pos="8280"/>
              </w:tabs>
              <w:jc w:val="center"/>
            </w:pPr>
          </w:p>
        </w:tc>
      </w:tr>
    </w:tbl>
    <w:p w:rsidR="00E71245" w:rsidRPr="001810B0" w:rsidRDefault="00E71245" w:rsidP="00E71245">
      <w:pPr>
        <w:tabs>
          <w:tab w:val="left" w:pos="8280"/>
        </w:tabs>
      </w:pPr>
    </w:p>
    <w:p w:rsidR="00E71245" w:rsidRPr="00693C8B" w:rsidRDefault="00E71245" w:rsidP="00E71245"/>
    <w:sectPr w:rsidR="00E71245" w:rsidRPr="00693C8B" w:rsidSect="00E71245">
      <w:pgSz w:w="12240" w:h="15840"/>
      <w:pgMar w:top="1152" w:right="1008" w:bottom="1152"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BB5" w:rsidRDefault="00CC2BB5" w:rsidP="0036167D">
      <w:r>
        <w:separator/>
      </w:r>
    </w:p>
  </w:endnote>
  <w:endnote w:type="continuationSeparator" w:id="0">
    <w:p w:rsidR="00CC2BB5" w:rsidRDefault="00CC2BB5" w:rsidP="003616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245" w:rsidRDefault="00E71245" w:rsidP="00EB3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1245" w:rsidRDefault="00E712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245" w:rsidRDefault="00E71245">
    <w:pPr>
      <w:pStyle w:val="Footer"/>
      <w:jc w:val="center"/>
    </w:pPr>
    <w:fldSimple w:instr=" PAGE   \* MERGEFORMAT ">
      <w:r w:rsidR="00047106">
        <w:rPr>
          <w:noProof/>
        </w:rPr>
        <w:t>4</w:t>
      </w:r>
    </w:fldSimple>
  </w:p>
  <w:p w:rsidR="00E71245" w:rsidRDefault="00E712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BB5" w:rsidRDefault="00CC2BB5" w:rsidP="0036167D">
      <w:r>
        <w:separator/>
      </w:r>
    </w:p>
  </w:footnote>
  <w:footnote w:type="continuationSeparator" w:id="0">
    <w:p w:rsidR="00CC2BB5" w:rsidRDefault="00CC2BB5" w:rsidP="003616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35BDE"/>
    <w:rsid w:val="000360F8"/>
    <w:rsid w:val="00047106"/>
    <w:rsid w:val="00084E80"/>
    <w:rsid w:val="000A2D59"/>
    <w:rsid w:val="000B0355"/>
    <w:rsid w:val="000E4C72"/>
    <w:rsid w:val="000E5D75"/>
    <w:rsid w:val="0012388A"/>
    <w:rsid w:val="00125D0F"/>
    <w:rsid w:val="00166AAD"/>
    <w:rsid w:val="001869D0"/>
    <w:rsid w:val="001A0DF1"/>
    <w:rsid w:val="001B3DC9"/>
    <w:rsid w:val="001D2849"/>
    <w:rsid w:val="001D6095"/>
    <w:rsid w:val="00237531"/>
    <w:rsid w:val="002D598F"/>
    <w:rsid w:val="00332B8D"/>
    <w:rsid w:val="0036167D"/>
    <w:rsid w:val="003978D0"/>
    <w:rsid w:val="003B7344"/>
    <w:rsid w:val="003E4713"/>
    <w:rsid w:val="004027FC"/>
    <w:rsid w:val="00441244"/>
    <w:rsid w:val="00450F96"/>
    <w:rsid w:val="004978BB"/>
    <w:rsid w:val="004B7AA3"/>
    <w:rsid w:val="00516CDB"/>
    <w:rsid w:val="005B6438"/>
    <w:rsid w:val="006331E2"/>
    <w:rsid w:val="0068625B"/>
    <w:rsid w:val="00691EF6"/>
    <w:rsid w:val="00693C8B"/>
    <w:rsid w:val="006C754E"/>
    <w:rsid w:val="007348EE"/>
    <w:rsid w:val="00797212"/>
    <w:rsid w:val="00814113"/>
    <w:rsid w:val="00880852"/>
    <w:rsid w:val="008F02D8"/>
    <w:rsid w:val="008F3E12"/>
    <w:rsid w:val="009058FF"/>
    <w:rsid w:val="00906E38"/>
    <w:rsid w:val="00957296"/>
    <w:rsid w:val="00A30CDC"/>
    <w:rsid w:val="00A4068D"/>
    <w:rsid w:val="00B45F22"/>
    <w:rsid w:val="00B753D0"/>
    <w:rsid w:val="00BC0A1A"/>
    <w:rsid w:val="00BF0D00"/>
    <w:rsid w:val="00C43EDD"/>
    <w:rsid w:val="00CC2BB5"/>
    <w:rsid w:val="00CF0E5C"/>
    <w:rsid w:val="00D35BDE"/>
    <w:rsid w:val="00D57AD8"/>
    <w:rsid w:val="00E71245"/>
    <w:rsid w:val="00E74030"/>
    <w:rsid w:val="00EA2B24"/>
    <w:rsid w:val="00EB325F"/>
    <w:rsid w:val="00F05C38"/>
    <w:rsid w:val="00F21F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BD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5BDE"/>
    <w:pPr>
      <w:tabs>
        <w:tab w:val="center" w:pos="4320"/>
        <w:tab w:val="right" w:pos="8640"/>
      </w:tabs>
    </w:pPr>
  </w:style>
  <w:style w:type="character" w:customStyle="1" w:styleId="FooterChar">
    <w:name w:val="Footer Char"/>
    <w:basedOn w:val="DefaultParagraphFont"/>
    <w:link w:val="Footer"/>
    <w:uiPriority w:val="99"/>
    <w:rsid w:val="00D35BDE"/>
    <w:rPr>
      <w:rFonts w:ascii="Times New Roman" w:eastAsia="Times New Roman" w:hAnsi="Times New Roman" w:cs="Times New Roman"/>
      <w:sz w:val="24"/>
      <w:szCs w:val="24"/>
    </w:rPr>
  </w:style>
  <w:style w:type="character" w:styleId="PageNumber">
    <w:name w:val="page number"/>
    <w:basedOn w:val="DefaultParagraphFont"/>
    <w:rsid w:val="00D35BDE"/>
  </w:style>
  <w:style w:type="paragraph" w:styleId="Header">
    <w:name w:val="header"/>
    <w:basedOn w:val="Normal"/>
    <w:link w:val="HeaderChar"/>
    <w:uiPriority w:val="99"/>
    <w:semiHidden/>
    <w:unhideWhenUsed/>
    <w:rsid w:val="00E71245"/>
    <w:pPr>
      <w:tabs>
        <w:tab w:val="center" w:pos="4680"/>
        <w:tab w:val="right" w:pos="9360"/>
      </w:tabs>
    </w:pPr>
  </w:style>
  <w:style w:type="character" w:customStyle="1" w:styleId="HeaderChar">
    <w:name w:val="Header Char"/>
    <w:basedOn w:val="DefaultParagraphFont"/>
    <w:link w:val="Header"/>
    <w:uiPriority w:val="99"/>
    <w:semiHidden/>
    <w:rsid w:val="00E7124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machestnut</dc:creator>
  <cp:keywords/>
  <dc:description/>
  <cp:lastModifiedBy>shoffner</cp:lastModifiedBy>
  <cp:revision>2</cp:revision>
  <cp:lastPrinted>2009-12-08T18:47:00Z</cp:lastPrinted>
  <dcterms:created xsi:type="dcterms:W3CDTF">2009-12-17T19:33:00Z</dcterms:created>
  <dcterms:modified xsi:type="dcterms:W3CDTF">2009-12-17T19:33:00Z</dcterms:modified>
</cp:coreProperties>
</file>