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612B81" w:rsidRDefault="00367908" w:rsidP="009B57F6">
      <w:pPr>
        <w:jc w:val="center"/>
        <w:rPr>
          <w:b/>
          <w:sz w:val="26"/>
        </w:rPr>
      </w:pPr>
      <w:r w:rsidRPr="00612B81">
        <w:rPr>
          <w:b/>
          <w:sz w:val="26"/>
        </w:rPr>
        <w:t>PENNSYLVANIA</w:t>
      </w:r>
    </w:p>
    <w:p w:rsidR="00367908" w:rsidRPr="00612B81" w:rsidRDefault="00367908" w:rsidP="009B57F6">
      <w:pPr>
        <w:jc w:val="center"/>
        <w:rPr>
          <w:b/>
          <w:sz w:val="26"/>
        </w:rPr>
      </w:pPr>
      <w:r w:rsidRPr="00612B81">
        <w:rPr>
          <w:b/>
          <w:sz w:val="26"/>
        </w:rPr>
        <w:t>PUBLIC UTILITY COMMISSION</w:t>
      </w:r>
    </w:p>
    <w:p w:rsidR="00367908" w:rsidRPr="00612B81" w:rsidRDefault="00367908" w:rsidP="009B57F6">
      <w:pPr>
        <w:jc w:val="center"/>
        <w:rPr>
          <w:b/>
          <w:sz w:val="26"/>
        </w:rPr>
      </w:pPr>
      <w:r w:rsidRPr="00612B81">
        <w:rPr>
          <w:b/>
          <w:sz w:val="26"/>
        </w:rPr>
        <w:t>Harrisburg, PA 17105-3265</w:t>
      </w:r>
    </w:p>
    <w:p w:rsidR="00367908" w:rsidRPr="00612B81" w:rsidRDefault="00367908" w:rsidP="009B57F6">
      <w:pPr>
        <w:jc w:val="center"/>
        <w:rPr>
          <w:sz w:val="26"/>
        </w:rPr>
      </w:pPr>
    </w:p>
    <w:p w:rsidR="00367908" w:rsidRPr="00612B81" w:rsidRDefault="00367908" w:rsidP="009B57F6">
      <w:pPr>
        <w:jc w:val="center"/>
        <w:rPr>
          <w:sz w:val="26"/>
        </w:rPr>
      </w:pPr>
    </w:p>
    <w:p w:rsidR="00367908" w:rsidRPr="00612B81" w:rsidRDefault="00367908" w:rsidP="009B57F6">
      <w:pPr>
        <w:rPr>
          <w:sz w:val="26"/>
        </w:rPr>
      </w:pPr>
      <w:r w:rsidRPr="00612B81">
        <w:rPr>
          <w:sz w:val="26"/>
        </w:rPr>
        <w:tab/>
      </w:r>
      <w:r w:rsidRPr="00612B81">
        <w:rPr>
          <w:sz w:val="26"/>
        </w:rPr>
        <w:tab/>
      </w:r>
      <w:r w:rsidRPr="00612B81">
        <w:rPr>
          <w:sz w:val="26"/>
        </w:rPr>
        <w:tab/>
      </w:r>
      <w:r w:rsidRPr="00612B81">
        <w:rPr>
          <w:sz w:val="26"/>
        </w:rPr>
        <w:tab/>
      </w:r>
      <w:r w:rsidRPr="00612B81">
        <w:rPr>
          <w:sz w:val="26"/>
        </w:rPr>
        <w:tab/>
      </w:r>
      <w:r w:rsidRPr="00612B81">
        <w:rPr>
          <w:sz w:val="26"/>
        </w:rPr>
        <w:tab/>
      </w:r>
      <w:r w:rsidR="002B6580" w:rsidRPr="00612B81">
        <w:rPr>
          <w:sz w:val="26"/>
        </w:rPr>
        <w:tab/>
      </w:r>
      <w:r w:rsidRPr="00612B81">
        <w:rPr>
          <w:sz w:val="26"/>
        </w:rPr>
        <w:t xml:space="preserve">Public Meeting held </w:t>
      </w:r>
      <w:r w:rsidR="00CB295B" w:rsidRPr="00612B81">
        <w:rPr>
          <w:sz w:val="26"/>
        </w:rPr>
        <w:t>December 17</w:t>
      </w:r>
      <w:r w:rsidR="00D37789" w:rsidRPr="00612B81">
        <w:rPr>
          <w:sz w:val="26"/>
        </w:rPr>
        <w:t>, 2009</w:t>
      </w:r>
    </w:p>
    <w:p w:rsidR="00367908" w:rsidRPr="00612B81" w:rsidRDefault="00367908" w:rsidP="009B57F6">
      <w:pPr>
        <w:jc w:val="center"/>
        <w:rPr>
          <w:sz w:val="26"/>
        </w:rPr>
      </w:pPr>
    </w:p>
    <w:p w:rsidR="00367908" w:rsidRPr="00612B81" w:rsidRDefault="00367908" w:rsidP="009B57F6">
      <w:pPr>
        <w:jc w:val="center"/>
        <w:rPr>
          <w:sz w:val="26"/>
        </w:rPr>
      </w:pPr>
    </w:p>
    <w:p w:rsidR="00367908" w:rsidRPr="00612B81" w:rsidRDefault="00367908" w:rsidP="009B57F6">
      <w:pPr>
        <w:rPr>
          <w:sz w:val="26"/>
        </w:rPr>
      </w:pPr>
    </w:p>
    <w:p w:rsidR="00367908" w:rsidRPr="00612B81" w:rsidRDefault="00367908" w:rsidP="009B57F6">
      <w:pPr>
        <w:rPr>
          <w:sz w:val="26"/>
        </w:rPr>
      </w:pPr>
    </w:p>
    <w:p w:rsidR="00367908" w:rsidRPr="00612B81" w:rsidRDefault="00367908" w:rsidP="009B57F6">
      <w:pPr>
        <w:rPr>
          <w:sz w:val="26"/>
        </w:rPr>
      </w:pPr>
      <w:r w:rsidRPr="00612B81">
        <w:rPr>
          <w:sz w:val="26"/>
        </w:rPr>
        <w:t>Commissioners Present:</w:t>
      </w:r>
    </w:p>
    <w:p w:rsidR="00367908" w:rsidRPr="00612B81" w:rsidRDefault="00367908" w:rsidP="009B57F6">
      <w:pPr>
        <w:rPr>
          <w:sz w:val="26"/>
        </w:rPr>
      </w:pPr>
    </w:p>
    <w:p w:rsidR="00367908" w:rsidRPr="00612B81" w:rsidRDefault="00367908" w:rsidP="009B57F6">
      <w:pPr>
        <w:rPr>
          <w:sz w:val="26"/>
        </w:rPr>
      </w:pPr>
      <w:r w:rsidRPr="00612B81">
        <w:rPr>
          <w:sz w:val="26"/>
        </w:rPr>
        <w:tab/>
        <w:t>James H. Cawley, Chairman</w:t>
      </w:r>
    </w:p>
    <w:p w:rsidR="00367908" w:rsidRPr="00612B81" w:rsidRDefault="00367908" w:rsidP="009B57F6">
      <w:pPr>
        <w:rPr>
          <w:sz w:val="26"/>
        </w:rPr>
      </w:pPr>
      <w:r w:rsidRPr="00612B81">
        <w:rPr>
          <w:sz w:val="26"/>
        </w:rPr>
        <w:tab/>
        <w:t>Tyrone J. Christy, Vice Chairman</w:t>
      </w:r>
    </w:p>
    <w:p w:rsidR="00367908" w:rsidRPr="00612B81" w:rsidRDefault="00367908" w:rsidP="009B57F6">
      <w:pPr>
        <w:rPr>
          <w:sz w:val="26"/>
        </w:rPr>
      </w:pPr>
      <w:r w:rsidRPr="00612B81">
        <w:rPr>
          <w:sz w:val="26"/>
        </w:rPr>
        <w:tab/>
        <w:t>Kim Pizzingrilli</w:t>
      </w:r>
    </w:p>
    <w:p w:rsidR="00367908" w:rsidRPr="00612B81" w:rsidRDefault="00367908" w:rsidP="009B57F6">
      <w:pPr>
        <w:rPr>
          <w:sz w:val="26"/>
        </w:rPr>
      </w:pPr>
      <w:r w:rsidRPr="00612B81">
        <w:rPr>
          <w:sz w:val="26"/>
        </w:rPr>
        <w:tab/>
        <w:t>Wayne E. Gardner</w:t>
      </w:r>
    </w:p>
    <w:p w:rsidR="002963AB" w:rsidRPr="00612B81" w:rsidRDefault="002963AB" w:rsidP="009B57F6">
      <w:pPr>
        <w:rPr>
          <w:sz w:val="26"/>
        </w:rPr>
      </w:pPr>
      <w:r w:rsidRPr="00612B81">
        <w:rPr>
          <w:sz w:val="26"/>
        </w:rPr>
        <w:tab/>
        <w:t>Robert F. Powelson</w:t>
      </w:r>
    </w:p>
    <w:p w:rsidR="00367908" w:rsidRDefault="00367908" w:rsidP="009B57F6">
      <w:pPr>
        <w:rPr>
          <w:sz w:val="26"/>
        </w:rPr>
      </w:pPr>
    </w:p>
    <w:p w:rsidR="00706C5D" w:rsidRPr="00612B81" w:rsidRDefault="00706C5D" w:rsidP="009B57F6">
      <w:pP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708"/>
      </w:tblGrid>
      <w:tr w:rsidR="00706C5D" w:rsidTr="00706C5D">
        <w:tc>
          <w:tcPr>
            <w:tcW w:w="5868" w:type="dxa"/>
          </w:tcPr>
          <w:p w:rsidR="00706C5D" w:rsidRDefault="00706C5D" w:rsidP="009B57F6">
            <w:pPr>
              <w:rPr>
                <w:sz w:val="26"/>
              </w:rPr>
            </w:pPr>
            <w:r>
              <w:rPr>
                <w:kern w:val="24"/>
              </w:rPr>
              <w:t xml:space="preserve">Petition of PPL Electric Utilities Corporation (PPL) for Approval of a Default Service Program and Procurement Plan for the Period January 1, 2011 Through May 31, 2013 </w:t>
            </w:r>
            <w:r w:rsidR="00DC7F26" w:rsidRPr="00DC7F26">
              <w:rPr>
                <w:b/>
                <w:kern w:val="24"/>
              </w:rPr>
              <w:t>(</w:t>
            </w:r>
            <w:r w:rsidR="00DC7F26">
              <w:rPr>
                <w:b/>
                <w:kern w:val="24"/>
              </w:rPr>
              <w:t>P</w:t>
            </w:r>
            <w:r w:rsidRPr="00BF0E4E">
              <w:rPr>
                <w:b/>
                <w:kern w:val="24"/>
              </w:rPr>
              <w:t xml:space="preserve">etition </w:t>
            </w:r>
            <w:r>
              <w:rPr>
                <w:b/>
                <w:kern w:val="24"/>
              </w:rPr>
              <w:t xml:space="preserve">of PPL </w:t>
            </w:r>
            <w:r w:rsidRPr="00BF0E4E">
              <w:rPr>
                <w:b/>
                <w:kern w:val="24"/>
              </w:rPr>
              <w:t>for Expedited Approval to Amend its Request for Proposal for Alternative Energy Credits Under Default Service Plan</w:t>
            </w:r>
            <w:r w:rsidR="00DC7F26">
              <w:rPr>
                <w:b/>
                <w:kern w:val="24"/>
              </w:rPr>
              <w:t>)</w:t>
            </w:r>
          </w:p>
        </w:tc>
        <w:tc>
          <w:tcPr>
            <w:tcW w:w="3708" w:type="dxa"/>
          </w:tcPr>
          <w:p w:rsidR="00706C5D" w:rsidRDefault="00706C5D" w:rsidP="009B57F6">
            <w:pPr>
              <w:jc w:val="right"/>
              <w:rPr>
                <w:sz w:val="26"/>
              </w:rPr>
            </w:pPr>
            <w:r w:rsidRPr="00612B81">
              <w:rPr>
                <w:sz w:val="26"/>
              </w:rPr>
              <w:t>P-2008-2060309</w:t>
            </w:r>
          </w:p>
        </w:tc>
      </w:tr>
    </w:tbl>
    <w:p w:rsidR="00367908" w:rsidRPr="00612B81" w:rsidRDefault="00367908" w:rsidP="009B57F6">
      <w:pPr>
        <w:rPr>
          <w:sz w:val="26"/>
        </w:rPr>
      </w:pPr>
    </w:p>
    <w:p w:rsidR="00B52CA4" w:rsidRPr="00612B81" w:rsidRDefault="00B52CA4" w:rsidP="009B57F6">
      <w:pPr>
        <w:rPr>
          <w:sz w:val="26"/>
        </w:rPr>
      </w:pPr>
    </w:p>
    <w:p w:rsidR="00B52CA4" w:rsidRPr="00612B81" w:rsidRDefault="00B52CA4" w:rsidP="009B57F6">
      <w:pPr>
        <w:rPr>
          <w:sz w:val="26"/>
        </w:rPr>
      </w:pPr>
    </w:p>
    <w:p w:rsidR="00B52CA4" w:rsidRPr="00612B81" w:rsidRDefault="001B271C" w:rsidP="009B57F6">
      <w:pPr>
        <w:jc w:val="center"/>
        <w:rPr>
          <w:b/>
          <w:sz w:val="26"/>
        </w:rPr>
      </w:pPr>
      <w:r w:rsidRPr="00612B81">
        <w:rPr>
          <w:b/>
          <w:sz w:val="26"/>
        </w:rPr>
        <w:t xml:space="preserve">OPINION AND </w:t>
      </w:r>
      <w:r w:rsidR="00B52CA4" w:rsidRPr="00612B81">
        <w:rPr>
          <w:b/>
          <w:sz w:val="26"/>
        </w:rPr>
        <w:t>ORDER</w:t>
      </w:r>
    </w:p>
    <w:p w:rsidR="00367908" w:rsidRPr="00612B81" w:rsidRDefault="00367908" w:rsidP="009B57F6">
      <w:pPr>
        <w:rPr>
          <w:sz w:val="26"/>
        </w:rPr>
      </w:pPr>
    </w:p>
    <w:p w:rsidR="00B52CA4" w:rsidRPr="00612B81" w:rsidRDefault="00B52CA4" w:rsidP="009B57F6">
      <w:pPr>
        <w:rPr>
          <w:sz w:val="26"/>
        </w:rPr>
      </w:pPr>
    </w:p>
    <w:p w:rsidR="00B52CA4" w:rsidRPr="00612B81" w:rsidRDefault="00B52CA4" w:rsidP="009B57F6">
      <w:pPr>
        <w:rPr>
          <w:sz w:val="26"/>
        </w:rPr>
      </w:pPr>
      <w:r w:rsidRPr="00612B81">
        <w:rPr>
          <w:b/>
          <w:sz w:val="26"/>
        </w:rPr>
        <w:t>BY THE COMMISSION:</w:t>
      </w:r>
    </w:p>
    <w:p w:rsidR="00B52CA4" w:rsidRPr="00612B81" w:rsidRDefault="00B52CA4" w:rsidP="009B57F6">
      <w:pPr>
        <w:spacing w:line="360" w:lineRule="auto"/>
        <w:rPr>
          <w:sz w:val="26"/>
        </w:rPr>
      </w:pPr>
    </w:p>
    <w:p w:rsidR="00F755C0" w:rsidRPr="00612B81" w:rsidRDefault="00B52CA4" w:rsidP="009B57F6">
      <w:pPr>
        <w:spacing w:line="360" w:lineRule="auto"/>
        <w:rPr>
          <w:sz w:val="26"/>
        </w:rPr>
      </w:pPr>
      <w:r w:rsidRPr="00612B81">
        <w:rPr>
          <w:sz w:val="26"/>
        </w:rPr>
        <w:tab/>
      </w:r>
      <w:r w:rsidR="00FC3827" w:rsidRPr="00612B81">
        <w:rPr>
          <w:sz w:val="26"/>
        </w:rPr>
        <w:tab/>
      </w:r>
      <w:r w:rsidR="0047129C" w:rsidRPr="00612B81">
        <w:rPr>
          <w:sz w:val="26"/>
        </w:rPr>
        <w:t xml:space="preserve">Before the Pennsylvania Public Utility Commission (Commission) for consideration and disposition is the Petition for </w:t>
      </w:r>
      <w:r w:rsidR="0047129C">
        <w:rPr>
          <w:sz w:val="26"/>
        </w:rPr>
        <w:t>E</w:t>
      </w:r>
      <w:r w:rsidR="0047129C" w:rsidRPr="00612B81">
        <w:rPr>
          <w:sz w:val="26"/>
        </w:rPr>
        <w:t xml:space="preserve">xpedited </w:t>
      </w:r>
      <w:r w:rsidR="0047129C">
        <w:rPr>
          <w:sz w:val="26"/>
        </w:rPr>
        <w:t>A</w:t>
      </w:r>
      <w:r w:rsidR="0047129C" w:rsidRPr="00612B81">
        <w:rPr>
          <w:sz w:val="26"/>
        </w:rPr>
        <w:t>pproval</w:t>
      </w:r>
      <w:r w:rsidR="0047129C">
        <w:rPr>
          <w:sz w:val="26"/>
        </w:rPr>
        <w:t xml:space="preserve">, filed by PPL Electric Utilities Corporation (PPL) on November 16, 2009, </w:t>
      </w:r>
      <w:r w:rsidR="0047129C" w:rsidRPr="00612B81">
        <w:rPr>
          <w:sz w:val="26"/>
        </w:rPr>
        <w:t>pursuant to Section 703(g) of the Public Utility Code (</w:t>
      </w:r>
      <w:r w:rsidR="0047129C">
        <w:rPr>
          <w:sz w:val="26"/>
        </w:rPr>
        <w:t>“</w:t>
      </w:r>
      <w:r w:rsidR="0047129C" w:rsidRPr="00612B81">
        <w:rPr>
          <w:sz w:val="26"/>
        </w:rPr>
        <w:t>Code</w:t>
      </w:r>
      <w:r w:rsidR="0047129C">
        <w:rPr>
          <w:sz w:val="26"/>
        </w:rPr>
        <w:t>”</w:t>
      </w:r>
      <w:r w:rsidR="0047129C" w:rsidRPr="00612B81">
        <w:rPr>
          <w:sz w:val="26"/>
        </w:rPr>
        <w:t>), 66</w:t>
      </w:r>
      <w:r w:rsidR="0047129C">
        <w:rPr>
          <w:sz w:val="26"/>
        </w:rPr>
        <w:t> </w:t>
      </w:r>
      <w:r w:rsidR="0047129C" w:rsidRPr="00612B81">
        <w:rPr>
          <w:sz w:val="26"/>
        </w:rPr>
        <w:t>Pa. C.S. § 703(g), and Section 5.41 of the Commission’s Rules of Administrative Practice and Procedure</w:t>
      </w:r>
      <w:r w:rsidR="0047129C">
        <w:rPr>
          <w:sz w:val="26"/>
        </w:rPr>
        <w:t>,</w:t>
      </w:r>
      <w:r w:rsidR="0047129C" w:rsidRPr="00612B81">
        <w:rPr>
          <w:sz w:val="26"/>
        </w:rPr>
        <w:t xml:space="preserve"> 52 Pa. Code § 5.41</w:t>
      </w:r>
      <w:r w:rsidR="0047129C">
        <w:rPr>
          <w:sz w:val="26"/>
        </w:rPr>
        <w:t>,</w:t>
      </w:r>
      <w:r w:rsidR="0047129C" w:rsidRPr="00612B81">
        <w:rPr>
          <w:sz w:val="26"/>
        </w:rPr>
        <w:t xml:space="preserve"> to amend the Joint Petition for Settlement previously approved by </w:t>
      </w:r>
      <w:r w:rsidR="0047129C">
        <w:rPr>
          <w:sz w:val="26"/>
        </w:rPr>
        <w:t xml:space="preserve">Commission </w:t>
      </w:r>
      <w:r w:rsidR="0047129C" w:rsidRPr="00612B81">
        <w:rPr>
          <w:sz w:val="26"/>
        </w:rPr>
        <w:t>Order entered June 30, 2009, at the above</w:t>
      </w:r>
      <w:r w:rsidR="0047129C">
        <w:rPr>
          <w:sz w:val="26"/>
        </w:rPr>
        <w:t>-captioned</w:t>
      </w:r>
      <w:r w:rsidR="0047129C" w:rsidRPr="00612B81">
        <w:rPr>
          <w:sz w:val="26"/>
        </w:rPr>
        <w:t xml:space="preserve"> Docket Number.</w:t>
      </w:r>
      <w:r w:rsidR="0047129C">
        <w:rPr>
          <w:sz w:val="26"/>
        </w:rPr>
        <w:t xml:space="preserve">  </w:t>
      </w:r>
      <w:r w:rsidR="004F6669" w:rsidRPr="00612B81">
        <w:rPr>
          <w:sz w:val="26"/>
        </w:rPr>
        <w:t xml:space="preserve">The PP&amp;L Industrial </w:t>
      </w:r>
      <w:r w:rsidR="004F6669" w:rsidRPr="00612B81">
        <w:rPr>
          <w:sz w:val="26"/>
        </w:rPr>
        <w:lastRenderedPageBreak/>
        <w:t>Consumer Alliance (PPLICA) filed an Answer to the Petition</w:t>
      </w:r>
      <w:r w:rsidR="00EF19E4">
        <w:rPr>
          <w:sz w:val="26"/>
        </w:rPr>
        <w:t xml:space="preserve"> on November 23, 2009</w:t>
      </w:r>
      <w:r w:rsidR="00DC7F26">
        <w:rPr>
          <w:sz w:val="26"/>
        </w:rPr>
        <w:t>.</w:t>
      </w:r>
      <w:r w:rsidR="004F6669" w:rsidRPr="00612B81">
        <w:rPr>
          <w:sz w:val="26"/>
        </w:rPr>
        <w:t xml:space="preserve">  </w:t>
      </w:r>
      <w:r w:rsidR="00EC636B">
        <w:rPr>
          <w:sz w:val="26"/>
        </w:rPr>
        <w:t>On November 30, 2009, the Sustainable Energy Fund of Central Eastern Pennsylvania filed a letter in support of PPL’s Petition for Expedited Approval.</w:t>
      </w:r>
    </w:p>
    <w:p w:rsidR="00F755C0" w:rsidRPr="00612B81" w:rsidRDefault="00F755C0" w:rsidP="009B57F6">
      <w:pPr>
        <w:tabs>
          <w:tab w:val="left" w:pos="1440"/>
        </w:tabs>
        <w:suppressAutoHyphens/>
        <w:spacing w:line="360" w:lineRule="auto"/>
        <w:rPr>
          <w:sz w:val="26"/>
        </w:rPr>
      </w:pPr>
    </w:p>
    <w:p w:rsidR="005C0EE4" w:rsidRPr="00EF19E4" w:rsidRDefault="005C0EE4" w:rsidP="009B57F6">
      <w:pPr>
        <w:tabs>
          <w:tab w:val="left" w:pos="1440"/>
        </w:tabs>
        <w:suppressAutoHyphens/>
        <w:spacing w:line="360" w:lineRule="auto"/>
        <w:jc w:val="center"/>
        <w:rPr>
          <w:b/>
          <w:sz w:val="26"/>
          <w:u w:val="single"/>
        </w:rPr>
      </w:pPr>
      <w:r w:rsidRPr="00EF19E4">
        <w:rPr>
          <w:b/>
          <w:sz w:val="26"/>
          <w:u w:val="single"/>
        </w:rPr>
        <w:t>History</w:t>
      </w:r>
      <w:r w:rsidR="00EF19E4" w:rsidRPr="00EF19E4">
        <w:rPr>
          <w:b/>
          <w:sz w:val="26"/>
          <w:u w:val="single"/>
        </w:rPr>
        <w:t xml:space="preserve"> of the Proceeding</w:t>
      </w:r>
    </w:p>
    <w:p w:rsidR="003F21FA" w:rsidRPr="00612B81" w:rsidRDefault="003F21FA" w:rsidP="009B57F6">
      <w:pPr>
        <w:spacing w:line="360" w:lineRule="auto"/>
        <w:rPr>
          <w:sz w:val="26"/>
        </w:rPr>
      </w:pPr>
    </w:p>
    <w:p w:rsidR="00572634" w:rsidRPr="00612B81" w:rsidRDefault="00572634" w:rsidP="009B57F6">
      <w:pPr>
        <w:pStyle w:val="ParaTab1"/>
        <w:tabs>
          <w:tab w:val="clear" w:pos="-720"/>
        </w:tabs>
        <w:spacing w:line="360" w:lineRule="auto"/>
        <w:ind w:firstLine="0"/>
        <w:rPr>
          <w:sz w:val="26"/>
          <w:szCs w:val="26"/>
        </w:rPr>
      </w:pPr>
      <w:r w:rsidRPr="00612B81">
        <w:rPr>
          <w:rFonts w:ascii="Times New Roman" w:hAnsi="Times New Roman" w:cs="Times New Roman"/>
          <w:spacing w:val="-3"/>
          <w:sz w:val="26"/>
          <w:szCs w:val="26"/>
        </w:rPr>
        <w:tab/>
      </w:r>
      <w:r w:rsidRPr="00612B81">
        <w:rPr>
          <w:rFonts w:ascii="Times New Roman" w:hAnsi="Times New Roman" w:cs="Times New Roman"/>
          <w:spacing w:val="-3"/>
          <w:sz w:val="26"/>
          <w:szCs w:val="26"/>
        </w:rPr>
        <w:tab/>
      </w:r>
      <w:r w:rsidR="00893C46" w:rsidRPr="00612B81">
        <w:rPr>
          <w:sz w:val="26"/>
          <w:szCs w:val="26"/>
        </w:rPr>
        <w:t>By Order entered June 30</w:t>
      </w:r>
      <w:r w:rsidRPr="00612B81">
        <w:rPr>
          <w:sz w:val="26"/>
          <w:szCs w:val="26"/>
        </w:rPr>
        <w:t xml:space="preserve">, 2009, </w:t>
      </w:r>
      <w:r w:rsidR="004736D0" w:rsidRPr="00612B81">
        <w:rPr>
          <w:sz w:val="26"/>
          <w:szCs w:val="26"/>
        </w:rPr>
        <w:t xml:space="preserve">the Commission approved </w:t>
      </w:r>
      <w:r w:rsidR="00F2275A" w:rsidRPr="00612B81">
        <w:rPr>
          <w:sz w:val="26"/>
          <w:szCs w:val="26"/>
        </w:rPr>
        <w:t xml:space="preserve">a </w:t>
      </w:r>
      <w:r w:rsidR="004736D0" w:rsidRPr="00612B81">
        <w:rPr>
          <w:sz w:val="26"/>
          <w:szCs w:val="26"/>
        </w:rPr>
        <w:t xml:space="preserve">Joint Petition for Settlement </w:t>
      </w:r>
      <w:r w:rsidR="001B4714" w:rsidRPr="00612B81">
        <w:rPr>
          <w:sz w:val="26"/>
          <w:szCs w:val="26"/>
        </w:rPr>
        <w:t xml:space="preserve">(Settlement) </w:t>
      </w:r>
      <w:r w:rsidR="004736D0" w:rsidRPr="00612B81">
        <w:rPr>
          <w:sz w:val="26"/>
          <w:szCs w:val="26"/>
        </w:rPr>
        <w:t>regarding PPL’s Default Service Program and Procurement Plan for the Period January 1, 2011 through May 31, 2014</w:t>
      </w:r>
      <w:r w:rsidRPr="00612B81">
        <w:rPr>
          <w:sz w:val="26"/>
          <w:szCs w:val="26"/>
        </w:rPr>
        <w:t>.</w:t>
      </w:r>
      <w:r w:rsidR="004736D0" w:rsidRPr="00612B81">
        <w:rPr>
          <w:sz w:val="26"/>
          <w:szCs w:val="26"/>
        </w:rPr>
        <w:t xml:space="preserve">  </w:t>
      </w:r>
      <w:r w:rsidR="00101C13" w:rsidRPr="00612B81">
        <w:rPr>
          <w:sz w:val="26"/>
          <w:szCs w:val="26"/>
        </w:rPr>
        <w:t>PPL was directed to submit Revised Supply Master Agreements (SMAs), consistent with the terms of the June 30</w:t>
      </w:r>
      <w:r w:rsidR="002B677F" w:rsidRPr="00612B81">
        <w:rPr>
          <w:sz w:val="26"/>
          <w:szCs w:val="26"/>
        </w:rPr>
        <w:t>, 2009 Opinion and</w:t>
      </w:r>
      <w:r w:rsidR="00101C13" w:rsidRPr="00612B81">
        <w:rPr>
          <w:sz w:val="26"/>
          <w:szCs w:val="26"/>
        </w:rPr>
        <w:t xml:space="preserve"> Order as an integral part of its Compliance Filing.  </w:t>
      </w:r>
      <w:r w:rsidR="002F76C6" w:rsidRPr="00612B81">
        <w:rPr>
          <w:sz w:val="26"/>
          <w:szCs w:val="26"/>
        </w:rPr>
        <w:t xml:space="preserve">On July 1, 2009, PPL </w:t>
      </w:r>
      <w:r w:rsidR="001C2CDA" w:rsidRPr="00612B81">
        <w:rPr>
          <w:sz w:val="26"/>
          <w:szCs w:val="26"/>
        </w:rPr>
        <w:t>made a c</w:t>
      </w:r>
      <w:r w:rsidR="002F76C6" w:rsidRPr="00612B81">
        <w:rPr>
          <w:sz w:val="26"/>
          <w:szCs w:val="26"/>
        </w:rPr>
        <w:t xml:space="preserve">ompliance </w:t>
      </w:r>
      <w:r w:rsidR="001C2CDA" w:rsidRPr="00612B81">
        <w:rPr>
          <w:sz w:val="26"/>
          <w:szCs w:val="26"/>
        </w:rPr>
        <w:t xml:space="preserve">filing </w:t>
      </w:r>
      <w:r w:rsidR="002F76C6" w:rsidRPr="00612B81">
        <w:rPr>
          <w:sz w:val="26"/>
          <w:szCs w:val="26"/>
        </w:rPr>
        <w:t>to satisfy the directive in our June 30</w:t>
      </w:r>
      <w:r w:rsidR="002B677F" w:rsidRPr="00612B81">
        <w:rPr>
          <w:sz w:val="26"/>
          <w:szCs w:val="26"/>
        </w:rPr>
        <w:t>, 2009 Opinion and</w:t>
      </w:r>
      <w:r w:rsidR="001657C0">
        <w:rPr>
          <w:sz w:val="26"/>
          <w:szCs w:val="26"/>
        </w:rPr>
        <w:t xml:space="preserve"> Order.</w:t>
      </w:r>
    </w:p>
    <w:p w:rsidR="002F76C6" w:rsidRPr="00612B81" w:rsidRDefault="002F76C6" w:rsidP="009B57F6">
      <w:pPr>
        <w:spacing w:line="360" w:lineRule="auto"/>
        <w:rPr>
          <w:sz w:val="26"/>
          <w:szCs w:val="26"/>
        </w:rPr>
      </w:pPr>
    </w:p>
    <w:p w:rsidR="00806524" w:rsidRPr="00612B81" w:rsidRDefault="002F76C6" w:rsidP="009B57F6">
      <w:pPr>
        <w:spacing w:line="360" w:lineRule="auto"/>
        <w:rPr>
          <w:sz w:val="26"/>
          <w:szCs w:val="26"/>
        </w:rPr>
      </w:pPr>
      <w:r w:rsidRPr="00612B81">
        <w:rPr>
          <w:sz w:val="26"/>
          <w:szCs w:val="26"/>
        </w:rPr>
        <w:tab/>
      </w:r>
      <w:r w:rsidRPr="00612B81">
        <w:rPr>
          <w:sz w:val="26"/>
          <w:szCs w:val="26"/>
        </w:rPr>
        <w:tab/>
      </w:r>
      <w:r w:rsidR="00806524" w:rsidRPr="00612B81">
        <w:rPr>
          <w:sz w:val="26"/>
          <w:szCs w:val="26"/>
        </w:rPr>
        <w:t>On October 21, 2009, PPL</w:t>
      </w:r>
      <w:r w:rsidR="00DE1221" w:rsidRPr="00612B81">
        <w:rPr>
          <w:sz w:val="26"/>
          <w:szCs w:val="26"/>
        </w:rPr>
        <w:t xml:space="preserve"> </w:t>
      </w:r>
      <w:r w:rsidR="00806524" w:rsidRPr="00612B81">
        <w:rPr>
          <w:sz w:val="26"/>
          <w:szCs w:val="26"/>
        </w:rPr>
        <w:t xml:space="preserve">filed the results of its </w:t>
      </w:r>
      <w:r w:rsidR="00EC7874">
        <w:rPr>
          <w:sz w:val="26"/>
          <w:szCs w:val="26"/>
        </w:rPr>
        <w:t>Request for Proposal (</w:t>
      </w:r>
      <w:r w:rsidR="00806524" w:rsidRPr="00612B81">
        <w:rPr>
          <w:sz w:val="26"/>
          <w:szCs w:val="26"/>
        </w:rPr>
        <w:t>RFP</w:t>
      </w:r>
      <w:r w:rsidR="00EC7874">
        <w:rPr>
          <w:sz w:val="26"/>
          <w:szCs w:val="26"/>
        </w:rPr>
        <w:t>)</w:t>
      </w:r>
      <w:r w:rsidR="00806524" w:rsidRPr="00612B81">
        <w:rPr>
          <w:sz w:val="26"/>
          <w:szCs w:val="26"/>
        </w:rPr>
        <w:t xml:space="preserve"> Process and Rules (October Solicitation), including the proposed bid results for provider of last resort service for all Residential and Small Commercial and Industrial Customers electing to receive d</w:t>
      </w:r>
      <w:r w:rsidR="00DE1221" w:rsidRPr="00612B81">
        <w:rPr>
          <w:sz w:val="26"/>
          <w:szCs w:val="26"/>
        </w:rPr>
        <w:t>efault service from PPL</w:t>
      </w:r>
      <w:r w:rsidR="00806524" w:rsidRPr="00612B81">
        <w:rPr>
          <w:sz w:val="26"/>
          <w:szCs w:val="26"/>
        </w:rPr>
        <w:t xml:space="preserve"> beginning Januar</w:t>
      </w:r>
      <w:r w:rsidR="00DE1221" w:rsidRPr="00612B81">
        <w:rPr>
          <w:sz w:val="26"/>
          <w:szCs w:val="26"/>
        </w:rPr>
        <w:t xml:space="preserve">y 1, 2011.  </w:t>
      </w:r>
      <w:r w:rsidR="00806524" w:rsidRPr="00612B81">
        <w:rPr>
          <w:sz w:val="26"/>
          <w:szCs w:val="26"/>
        </w:rPr>
        <w:t>The October Solicitation</w:t>
      </w:r>
      <w:r w:rsidR="00DE1221" w:rsidRPr="00612B81">
        <w:rPr>
          <w:sz w:val="26"/>
          <w:szCs w:val="26"/>
        </w:rPr>
        <w:t xml:space="preserve"> included</w:t>
      </w:r>
      <w:r w:rsidR="00806524" w:rsidRPr="00612B81">
        <w:rPr>
          <w:sz w:val="26"/>
          <w:szCs w:val="26"/>
        </w:rPr>
        <w:t xml:space="preserve"> results for three RFPs: </w:t>
      </w:r>
      <w:r w:rsidR="00DE1221" w:rsidRPr="00612B81">
        <w:rPr>
          <w:sz w:val="26"/>
          <w:szCs w:val="26"/>
        </w:rPr>
        <w:t xml:space="preserve">(1) </w:t>
      </w:r>
      <w:r w:rsidR="00806524" w:rsidRPr="00612B81">
        <w:rPr>
          <w:sz w:val="26"/>
          <w:szCs w:val="26"/>
        </w:rPr>
        <w:t>a full</w:t>
      </w:r>
      <w:r w:rsidR="00DE1221" w:rsidRPr="00612B81">
        <w:rPr>
          <w:sz w:val="26"/>
          <w:szCs w:val="26"/>
        </w:rPr>
        <w:t>-requirements RFP; (2)</w:t>
      </w:r>
      <w:r w:rsidR="00806524" w:rsidRPr="00612B81">
        <w:rPr>
          <w:sz w:val="26"/>
          <w:szCs w:val="26"/>
        </w:rPr>
        <w:t xml:space="preserve"> a block energy RFP</w:t>
      </w:r>
      <w:r w:rsidR="00DE1221" w:rsidRPr="00612B81">
        <w:rPr>
          <w:sz w:val="26"/>
          <w:szCs w:val="26"/>
        </w:rPr>
        <w:t>;</w:t>
      </w:r>
      <w:r w:rsidR="00806524" w:rsidRPr="00612B81">
        <w:rPr>
          <w:sz w:val="26"/>
          <w:szCs w:val="26"/>
        </w:rPr>
        <w:t xml:space="preserve"> and</w:t>
      </w:r>
      <w:r w:rsidR="00DE1221" w:rsidRPr="00612B81">
        <w:rPr>
          <w:sz w:val="26"/>
          <w:szCs w:val="26"/>
        </w:rPr>
        <w:t>, (3)</w:t>
      </w:r>
      <w:r w:rsidR="00806524" w:rsidRPr="00612B81">
        <w:rPr>
          <w:sz w:val="26"/>
          <w:szCs w:val="26"/>
        </w:rPr>
        <w:t xml:space="preserve"> an </w:t>
      </w:r>
      <w:r w:rsidR="00DE1221" w:rsidRPr="00612B81">
        <w:rPr>
          <w:sz w:val="26"/>
          <w:szCs w:val="26"/>
        </w:rPr>
        <w:t>AEC</w:t>
      </w:r>
      <w:r w:rsidR="00806524" w:rsidRPr="00612B81">
        <w:rPr>
          <w:sz w:val="26"/>
          <w:szCs w:val="26"/>
        </w:rPr>
        <w:t xml:space="preserve"> RFP.  </w:t>
      </w:r>
      <w:r w:rsidR="004F13F9" w:rsidRPr="00612B81">
        <w:rPr>
          <w:sz w:val="26"/>
          <w:szCs w:val="26"/>
        </w:rPr>
        <w:t>Each of the three</w:t>
      </w:r>
      <w:r w:rsidR="00806524" w:rsidRPr="00612B81">
        <w:rPr>
          <w:sz w:val="26"/>
          <w:szCs w:val="26"/>
        </w:rPr>
        <w:t xml:space="preserve"> RFPs </w:t>
      </w:r>
      <w:r w:rsidR="009820EA" w:rsidRPr="00612B81">
        <w:rPr>
          <w:sz w:val="26"/>
          <w:szCs w:val="26"/>
        </w:rPr>
        <w:t>is</w:t>
      </w:r>
      <w:r w:rsidR="00D96486" w:rsidRPr="00612B81">
        <w:rPr>
          <w:sz w:val="26"/>
          <w:szCs w:val="26"/>
        </w:rPr>
        <w:t xml:space="preserve"> applicable </w:t>
      </w:r>
      <w:r w:rsidR="00806524" w:rsidRPr="00612B81">
        <w:rPr>
          <w:sz w:val="26"/>
          <w:szCs w:val="26"/>
        </w:rPr>
        <w:t xml:space="preserve">to the eight month supply period January 1, 2011 </w:t>
      </w:r>
      <w:r w:rsidR="004F13F9" w:rsidRPr="00612B81">
        <w:rPr>
          <w:sz w:val="26"/>
          <w:szCs w:val="26"/>
        </w:rPr>
        <w:t>through</w:t>
      </w:r>
      <w:r w:rsidR="00806524" w:rsidRPr="00612B81">
        <w:rPr>
          <w:sz w:val="26"/>
          <w:szCs w:val="26"/>
        </w:rPr>
        <w:t xml:space="preserve"> August 31, 2011.</w:t>
      </w:r>
    </w:p>
    <w:p w:rsidR="00806524" w:rsidRPr="00612B81" w:rsidRDefault="00806524" w:rsidP="009B57F6">
      <w:pPr>
        <w:spacing w:line="360" w:lineRule="auto"/>
        <w:rPr>
          <w:sz w:val="26"/>
          <w:szCs w:val="26"/>
        </w:rPr>
      </w:pPr>
    </w:p>
    <w:p w:rsidR="00806524" w:rsidRPr="00612B81" w:rsidRDefault="00806524" w:rsidP="009B57F6">
      <w:pPr>
        <w:spacing w:line="360" w:lineRule="auto"/>
        <w:rPr>
          <w:sz w:val="26"/>
          <w:szCs w:val="26"/>
        </w:rPr>
      </w:pPr>
      <w:r w:rsidRPr="00612B81">
        <w:tab/>
      </w:r>
      <w:r w:rsidRPr="00612B81">
        <w:tab/>
      </w:r>
      <w:r w:rsidR="00E824A5" w:rsidRPr="00612B81">
        <w:rPr>
          <w:sz w:val="26"/>
          <w:szCs w:val="26"/>
        </w:rPr>
        <w:t xml:space="preserve">The October </w:t>
      </w:r>
      <w:r w:rsidR="00C854BD" w:rsidRPr="00612B81">
        <w:rPr>
          <w:sz w:val="26"/>
          <w:szCs w:val="26"/>
        </w:rPr>
        <w:t>S</w:t>
      </w:r>
      <w:r w:rsidR="00E824A5" w:rsidRPr="00612B81">
        <w:rPr>
          <w:sz w:val="26"/>
          <w:szCs w:val="26"/>
        </w:rPr>
        <w:t>olicitation</w:t>
      </w:r>
      <w:r w:rsidRPr="00612B81">
        <w:rPr>
          <w:sz w:val="26"/>
          <w:szCs w:val="26"/>
        </w:rPr>
        <w:t xml:space="preserve"> </w:t>
      </w:r>
      <w:r w:rsidR="00E824A5" w:rsidRPr="00612B81">
        <w:rPr>
          <w:sz w:val="26"/>
          <w:szCs w:val="26"/>
        </w:rPr>
        <w:t xml:space="preserve">was performed pursuant to the Commission approved </w:t>
      </w:r>
      <w:r w:rsidRPr="00612B81">
        <w:rPr>
          <w:sz w:val="26"/>
          <w:szCs w:val="26"/>
        </w:rPr>
        <w:t xml:space="preserve">RFP Process and Rules </w:t>
      </w:r>
      <w:r w:rsidR="00E824A5" w:rsidRPr="00612B81">
        <w:rPr>
          <w:sz w:val="26"/>
          <w:szCs w:val="26"/>
        </w:rPr>
        <w:t xml:space="preserve">as </w:t>
      </w:r>
      <w:r w:rsidRPr="00612B81">
        <w:rPr>
          <w:sz w:val="26"/>
          <w:szCs w:val="26"/>
        </w:rPr>
        <w:t>filed by PPL Electric on July 1, 2009</w:t>
      </w:r>
      <w:r w:rsidR="00E824A5" w:rsidRPr="00612B81">
        <w:rPr>
          <w:sz w:val="26"/>
          <w:szCs w:val="26"/>
        </w:rPr>
        <w:t>, in compliance with our June 30</w:t>
      </w:r>
      <w:r w:rsidR="00CE7E21" w:rsidRPr="00612B81">
        <w:rPr>
          <w:sz w:val="26"/>
          <w:szCs w:val="26"/>
        </w:rPr>
        <w:t>, 2009</w:t>
      </w:r>
      <w:r w:rsidR="00E824A5" w:rsidRPr="00612B81">
        <w:rPr>
          <w:sz w:val="26"/>
          <w:szCs w:val="26"/>
        </w:rPr>
        <w:t xml:space="preserve"> </w:t>
      </w:r>
      <w:r w:rsidR="009851AE" w:rsidRPr="00612B81">
        <w:rPr>
          <w:sz w:val="26"/>
          <w:szCs w:val="26"/>
        </w:rPr>
        <w:t xml:space="preserve">Opinion and </w:t>
      </w:r>
      <w:r w:rsidR="00E824A5" w:rsidRPr="00612B81">
        <w:rPr>
          <w:sz w:val="26"/>
          <w:szCs w:val="26"/>
        </w:rPr>
        <w:t>Order</w:t>
      </w:r>
      <w:r w:rsidRPr="00612B81">
        <w:rPr>
          <w:sz w:val="26"/>
          <w:szCs w:val="26"/>
        </w:rPr>
        <w:t>.</w:t>
      </w:r>
    </w:p>
    <w:p w:rsidR="00806524" w:rsidRPr="00612B81" w:rsidRDefault="00806524" w:rsidP="009B57F6"/>
    <w:p w:rsidR="00806524" w:rsidRPr="00612B81" w:rsidRDefault="00806524" w:rsidP="009B57F6">
      <w:pPr>
        <w:spacing w:line="360" w:lineRule="auto"/>
        <w:rPr>
          <w:sz w:val="26"/>
          <w:szCs w:val="26"/>
        </w:rPr>
      </w:pPr>
      <w:r w:rsidRPr="00612B81">
        <w:tab/>
      </w:r>
      <w:r w:rsidRPr="00612B81">
        <w:tab/>
      </w:r>
      <w:r w:rsidR="00C854BD" w:rsidRPr="00612B81">
        <w:rPr>
          <w:sz w:val="26"/>
          <w:szCs w:val="26"/>
        </w:rPr>
        <w:t>By Secretarial Letter Issued October 22, 2009, the Commission found that further investigation was not</w:t>
      </w:r>
      <w:r w:rsidRPr="00612B81">
        <w:rPr>
          <w:sz w:val="26"/>
          <w:szCs w:val="26"/>
        </w:rPr>
        <w:t xml:space="preserve"> warranted</w:t>
      </w:r>
      <w:r w:rsidR="001657C0">
        <w:rPr>
          <w:sz w:val="26"/>
          <w:szCs w:val="26"/>
        </w:rPr>
        <w:t xml:space="preserve"> in light of the fact that t</w:t>
      </w:r>
      <w:r w:rsidRPr="00612B81">
        <w:rPr>
          <w:sz w:val="26"/>
          <w:szCs w:val="26"/>
        </w:rPr>
        <w:t>he bid results from the October Solicitation appear</w:t>
      </w:r>
      <w:r w:rsidR="006F468E" w:rsidRPr="00612B81">
        <w:rPr>
          <w:sz w:val="26"/>
          <w:szCs w:val="26"/>
        </w:rPr>
        <w:t>ed</w:t>
      </w:r>
      <w:r w:rsidRPr="00612B81">
        <w:rPr>
          <w:sz w:val="26"/>
          <w:szCs w:val="26"/>
        </w:rPr>
        <w:t xml:space="preserve"> to have been conducted in accordance with the RFP </w:t>
      </w:r>
      <w:r w:rsidRPr="00612B81">
        <w:rPr>
          <w:sz w:val="26"/>
          <w:szCs w:val="26"/>
        </w:rPr>
        <w:lastRenderedPageBreak/>
        <w:t xml:space="preserve">Process and Rules, filed pursuant to the Commission’s </w:t>
      </w:r>
      <w:r w:rsidR="006F468E" w:rsidRPr="00612B81">
        <w:rPr>
          <w:sz w:val="26"/>
          <w:szCs w:val="26"/>
        </w:rPr>
        <w:t>June 30</w:t>
      </w:r>
      <w:r w:rsidR="00CE7E21" w:rsidRPr="00612B81">
        <w:rPr>
          <w:sz w:val="26"/>
          <w:szCs w:val="26"/>
        </w:rPr>
        <w:t>, 2009</w:t>
      </w:r>
      <w:r w:rsidRPr="00612B81">
        <w:rPr>
          <w:sz w:val="26"/>
          <w:szCs w:val="26"/>
        </w:rPr>
        <w:t xml:space="preserve"> </w:t>
      </w:r>
      <w:r w:rsidR="009851AE" w:rsidRPr="00612B81">
        <w:rPr>
          <w:sz w:val="26"/>
          <w:szCs w:val="26"/>
        </w:rPr>
        <w:t xml:space="preserve">Opinion and </w:t>
      </w:r>
      <w:r w:rsidRPr="00612B81">
        <w:rPr>
          <w:sz w:val="26"/>
          <w:szCs w:val="26"/>
        </w:rPr>
        <w:t xml:space="preserve">Order.  However, </w:t>
      </w:r>
      <w:r w:rsidR="00500D9D" w:rsidRPr="00612B81">
        <w:rPr>
          <w:sz w:val="26"/>
          <w:szCs w:val="26"/>
        </w:rPr>
        <w:t xml:space="preserve">the Commission found that </w:t>
      </w:r>
      <w:r w:rsidRPr="00612B81">
        <w:rPr>
          <w:sz w:val="26"/>
          <w:szCs w:val="26"/>
        </w:rPr>
        <w:t>the Tier I Photo-Voltaic AEC RFP was non-competitive.</w:t>
      </w:r>
      <w:r w:rsidR="00153DCF" w:rsidRPr="00612B81">
        <w:rPr>
          <w:sz w:val="26"/>
          <w:szCs w:val="26"/>
        </w:rPr>
        <w:t xml:space="preserve">  Accordingly, the Commission rejected the bid results for the Tier I Photo-Voltaic AEC RFP.  </w:t>
      </w:r>
      <w:r w:rsidR="009C3727" w:rsidRPr="00612B81">
        <w:rPr>
          <w:sz w:val="26"/>
          <w:szCs w:val="26"/>
        </w:rPr>
        <w:t>The results of e</w:t>
      </w:r>
      <w:r w:rsidR="00153DCF" w:rsidRPr="00612B81">
        <w:rPr>
          <w:sz w:val="26"/>
          <w:szCs w:val="26"/>
        </w:rPr>
        <w:t>ach of the other RFP</w:t>
      </w:r>
      <w:r w:rsidR="009C3727" w:rsidRPr="00612B81">
        <w:rPr>
          <w:sz w:val="26"/>
          <w:szCs w:val="26"/>
        </w:rPr>
        <w:t>s</w:t>
      </w:r>
      <w:r w:rsidR="00153DCF" w:rsidRPr="00612B81">
        <w:rPr>
          <w:sz w:val="26"/>
          <w:szCs w:val="26"/>
        </w:rPr>
        <w:t xml:space="preserve"> were accepted by the Commission.</w:t>
      </w:r>
      <w:r w:rsidR="00014F24" w:rsidRPr="00612B81">
        <w:rPr>
          <w:sz w:val="26"/>
          <w:szCs w:val="26"/>
        </w:rPr>
        <w:t xml:space="preserve">  Pursuant to the terms of the RFP, the rejected bid quantities will be included in PPL’s third </w:t>
      </w:r>
      <w:r w:rsidR="004A33EE">
        <w:rPr>
          <w:sz w:val="26"/>
          <w:szCs w:val="26"/>
        </w:rPr>
        <w:t>Default Service Plan (</w:t>
      </w:r>
      <w:r w:rsidR="00014F24" w:rsidRPr="00612B81">
        <w:rPr>
          <w:sz w:val="26"/>
          <w:szCs w:val="26"/>
        </w:rPr>
        <w:t>DSP</w:t>
      </w:r>
      <w:r w:rsidR="004A33EE">
        <w:rPr>
          <w:sz w:val="26"/>
          <w:szCs w:val="26"/>
        </w:rPr>
        <w:t>)</w:t>
      </w:r>
      <w:r w:rsidR="00014F24" w:rsidRPr="00612B81">
        <w:rPr>
          <w:sz w:val="26"/>
          <w:szCs w:val="26"/>
        </w:rPr>
        <w:t xml:space="preserve"> solicitation scheduled for January 19, 2010.  Petition at ¶ 12.</w:t>
      </w:r>
    </w:p>
    <w:p w:rsidR="001B4714" w:rsidRPr="00612B81" w:rsidRDefault="001B4714" w:rsidP="009B57F6">
      <w:pPr>
        <w:spacing w:line="360" w:lineRule="auto"/>
        <w:rPr>
          <w:sz w:val="26"/>
          <w:szCs w:val="26"/>
        </w:rPr>
      </w:pPr>
    </w:p>
    <w:p w:rsidR="001B4714" w:rsidRPr="00612B81" w:rsidRDefault="001B4714" w:rsidP="009B57F6">
      <w:pPr>
        <w:spacing w:line="360" w:lineRule="auto"/>
        <w:rPr>
          <w:sz w:val="26"/>
          <w:szCs w:val="26"/>
        </w:rPr>
      </w:pPr>
      <w:r w:rsidRPr="00612B81">
        <w:rPr>
          <w:sz w:val="26"/>
          <w:szCs w:val="26"/>
        </w:rPr>
        <w:tab/>
      </w:r>
      <w:r w:rsidRPr="00612B81">
        <w:rPr>
          <w:sz w:val="26"/>
          <w:szCs w:val="26"/>
        </w:rPr>
        <w:tab/>
        <w:t xml:space="preserve">On November 16, 2009, PPL filed the </w:t>
      </w:r>
      <w:r w:rsidR="00B25F2B">
        <w:rPr>
          <w:sz w:val="26"/>
          <w:szCs w:val="26"/>
        </w:rPr>
        <w:t>instant</w:t>
      </w:r>
      <w:r w:rsidRPr="00612B81">
        <w:rPr>
          <w:sz w:val="26"/>
          <w:szCs w:val="26"/>
        </w:rPr>
        <w:t xml:space="preserve"> Petition requesting that the Commission amend the Settlement by eliminating the debt rating requirement in Article 4.1.1 in order to facilitate competitive bidding for the procurement of solar energy credits.  </w:t>
      </w:r>
      <w:r w:rsidR="004F6669" w:rsidRPr="00612B81">
        <w:rPr>
          <w:sz w:val="26"/>
          <w:szCs w:val="26"/>
        </w:rPr>
        <w:t xml:space="preserve">We note that copies of the Petition were served on the </w:t>
      </w:r>
      <w:r w:rsidR="00EC7874">
        <w:rPr>
          <w:sz w:val="26"/>
          <w:szCs w:val="26"/>
        </w:rPr>
        <w:t>P</w:t>
      </w:r>
      <w:r w:rsidR="004F6669" w:rsidRPr="00612B81">
        <w:rPr>
          <w:sz w:val="26"/>
          <w:szCs w:val="26"/>
        </w:rPr>
        <w:t>arties to the underlying proceeding.</w:t>
      </w:r>
    </w:p>
    <w:p w:rsidR="004F6669" w:rsidRPr="00612B81" w:rsidRDefault="004F6669" w:rsidP="009B57F6">
      <w:pPr>
        <w:spacing w:line="360" w:lineRule="auto"/>
        <w:rPr>
          <w:sz w:val="26"/>
          <w:szCs w:val="26"/>
        </w:rPr>
      </w:pPr>
    </w:p>
    <w:p w:rsidR="004F6669" w:rsidRDefault="004F6669" w:rsidP="009B57F6">
      <w:pPr>
        <w:spacing w:line="360" w:lineRule="auto"/>
        <w:rPr>
          <w:sz w:val="26"/>
          <w:szCs w:val="26"/>
        </w:rPr>
      </w:pPr>
      <w:r w:rsidRPr="00612B81">
        <w:rPr>
          <w:sz w:val="26"/>
          <w:szCs w:val="26"/>
        </w:rPr>
        <w:tab/>
      </w:r>
      <w:r w:rsidRPr="00612B81">
        <w:rPr>
          <w:sz w:val="26"/>
          <w:szCs w:val="26"/>
        </w:rPr>
        <w:tab/>
        <w:t xml:space="preserve">On November 23, 2009, PPLICA filed an Answer to the Petition, which, while not opposing the Petition, urged the Commission to explore methods to confirm that adequate Photo-Voltaic (PV) </w:t>
      </w:r>
      <w:r w:rsidR="00B10BC2" w:rsidRPr="00612B81">
        <w:rPr>
          <w:sz w:val="26"/>
          <w:szCs w:val="26"/>
        </w:rPr>
        <w:t>AECs exist for 2010 and beyond, and to ensure that the holders of those credits do not engage in inappropriate withholding or other market strategies to unreasonably increase the costs of those credits.</w:t>
      </w:r>
    </w:p>
    <w:p w:rsidR="00715404" w:rsidRDefault="00715404" w:rsidP="009B57F6">
      <w:pPr>
        <w:spacing w:line="360" w:lineRule="auto"/>
        <w:rPr>
          <w:sz w:val="26"/>
          <w:szCs w:val="26"/>
        </w:rPr>
      </w:pPr>
    </w:p>
    <w:p w:rsidR="00715404" w:rsidRPr="00612B81" w:rsidRDefault="00715404" w:rsidP="009B57F6">
      <w:pPr>
        <w:spacing w:line="360" w:lineRule="auto"/>
        <w:rPr>
          <w:sz w:val="26"/>
          <w:szCs w:val="26"/>
        </w:rPr>
      </w:pPr>
      <w:r>
        <w:rPr>
          <w:sz w:val="26"/>
          <w:szCs w:val="26"/>
        </w:rPr>
        <w:tab/>
      </w:r>
      <w:r>
        <w:rPr>
          <w:sz w:val="26"/>
          <w:szCs w:val="26"/>
        </w:rPr>
        <w:tab/>
        <w:t xml:space="preserve">On November 30, 2009, the Sustainable Energy Fund of Central Eastern Pennsylvania (SEF) filed a letter in support of PPL’s proposal to amend its AEC RFP.  SEF agrees with PPL that the proposed revision will serve to increase the number of bidders qualified to participate in the </w:t>
      </w:r>
      <w:r w:rsidR="00A0538F">
        <w:rPr>
          <w:sz w:val="26"/>
          <w:szCs w:val="26"/>
        </w:rPr>
        <w:t xml:space="preserve">solicitation </w:t>
      </w:r>
      <w:r w:rsidR="000A3AA1">
        <w:rPr>
          <w:sz w:val="26"/>
          <w:szCs w:val="26"/>
        </w:rPr>
        <w:t>for the procurement of PV AECs.</w:t>
      </w:r>
    </w:p>
    <w:p w:rsidR="00806524" w:rsidRPr="00612B81" w:rsidRDefault="00806524" w:rsidP="009B57F6">
      <w:pPr>
        <w:tabs>
          <w:tab w:val="left" w:pos="720"/>
        </w:tabs>
        <w:spacing w:line="360" w:lineRule="auto"/>
        <w:ind w:right="-720"/>
      </w:pPr>
    </w:p>
    <w:p w:rsidR="00BE0CA2" w:rsidRPr="00A0538F" w:rsidRDefault="00845600" w:rsidP="009B57F6">
      <w:pPr>
        <w:keepNext/>
        <w:spacing w:line="360" w:lineRule="auto"/>
        <w:jc w:val="center"/>
        <w:rPr>
          <w:b/>
          <w:sz w:val="26"/>
          <w:u w:val="single"/>
        </w:rPr>
      </w:pPr>
      <w:r w:rsidRPr="00A0538F">
        <w:rPr>
          <w:b/>
          <w:sz w:val="26"/>
          <w:u w:val="single"/>
        </w:rPr>
        <w:t>Discussion</w:t>
      </w:r>
    </w:p>
    <w:p w:rsidR="00433E73" w:rsidRPr="00612B81" w:rsidRDefault="00433E73" w:rsidP="009B57F6">
      <w:pPr>
        <w:spacing w:line="360" w:lineRule="auto"/>
        <w:rPr>
          <w:sz w:val="26"/>
        </w:rPr>
      </w:pPr>
    </w:p>
    <w:p w:rsidR="008E688C" w:rsidRPr="00612B81" w:rsidRDefault="004052C4" w:rsidP="009B57F6">
      <w:pPr>
        <w:spacing w:line="360" w:lineRule="auto"/>
        <w:ind w:firstLine="1440"/>
        <w:rPr>
          <w:sz w:val="26"/>
        </w:rPr>
      </w:pPr>
      <w:r w:rsidRPr="00612B81">
        <w:rPr>
          <w:sz w:val="26"/>
        </w:rPr>
        <w:t xml:space="preserve">The Settlement </w:t>
      </w:r>
      <w:r w:rsidR="002C208C" w:rsidRPr="00612B81">
        <w:rPr>
          <w:sz w:val="26"/>
        </w:rPr>
        <w:t>approved by the Commission’s June 30</w:t>
      </w:r>
      <w:r w:rsidR="00CE7E21" w:rsidRPr="00612B81">
        <w:rPr>
          <w:sz w:val="26"/>
        </w:rPr>
        <w:t>, 2009</w:t>
      </w:r>
      <w:r w:rsidR="002C208C" w:rsidRPr="00612B81">
        <w:rPr>
          <w:sz w:val="26"/>
        </w:rPr>
        <w:t xml:space="preserve"> </w:t>
      </w:r>
      <w:r w:rsidR="00B10BC2" w:rsidRPr="00612B81">
        <w:rPr>
          <w:sz w:val="26"/>
        </w:rPr>
        <w:t xml:space="preserve">Opinion and </w:t>
      </w:r>
      <w:r w:rsidR="002C208C" w:rsidRPr="00612B81">
        <w:rPr>
          <w:sz w:val="26"/>
        </w:rPr>
        <w:t xml:space="preserve">Order included a provision that PPL undertake a series of competitive bid processes to </w:t>
      </w:r>
      <w:r w:rsidR="002C208C" w:rsidRPr="00612B81">
        <w:rPr>
          <w:sz w:val="26"/>
        </w:rPr>
        <w:lastRenderedPageBreak/>
        <w:t>obtain</w:t>
      </w:r>
      <w:r w:rsidR="009B57F6">
        <w:rPr>
          <w:sz w:val="26"/>
        </w:rPr>
        <w:t>:</w:t>
      </w:r>
      <w:r w:rsidR="002C208C" w:rsidRPr="00612B81">
        <w:rPr>
          <w:sz w:val="26"/>
        </w:rPr>
        <w:t xml:space="preserve"> (1) full requirements default service supply; (2) spot market default service supply; (3) block energy default service supply; and , (4) AECs.  Under the </w:t>
      </w:r>
      <w:r w:rsidR="00F411C4" w:rsidRPr="00612B81">
        <w:rPr>
          <w:sz w:val="26"/>
        </w:rPr>
        <w:t>full requirements and spot market default service contracts, suppliers must provide a proportional share of AECs.  The block and AEC RFPs are conducted to acquire a portion of default supply solely for residential customers.  The block supplies, totaling 300 MW, do not include AECs as part of the supply provided, so AECs are purchase</w:t>
      </w:r>
      <w:r w:rsidR="00CE7E21" w:rsidRPr="00612B81">
        <w:rPr>
          <w:sz w:val="26"/>
        </w:rPr>
        <w:t>d</w:t>
      </w:r>
      <w:r w:rsidR="00F411C4" w:rsidRPr="00612B81">
        <w:rPr>
          <w:sz w:val="26"/>
        </w:rPr>
        <w:t xml:space="preserve"> for that portion of supply through a separate RFP.  Petition at </w:t>
      </w:r>
      <w:r w:rsidR="006E475B" w:rsidRPr="00612B81">
        <w:rPr>
          <w:sz w:val="26"/>
        </w:rPr>
        <w:t>¶ 7.</w:t>
      </w:r>
    </w:p>
    <w:p w:rsidR="00732C89" w:rsidRPr="00612B81" w:rsidRDefault="00732C89" w:rsidP="009B57F6">
      <w:pPr>
        <w:spacing w:line="360" w:lineRule="auto"/>
        <w:ind w:left="1440"/>
        <w:rPr>
          <w:sz w:val="26"/>
        </w:rPr>
      </w:pPr>
    </w:p>
    <w:p w:rsidR="00900DE8" w:rsidRPr="00612B81" w:rsidRDefault="001F58EC" w:rsidP="009B57F6">
      <w:pPr>
        <w:spacing w:line="360" w:lineRule="auto"/>
        <w:ind w:firstLine="1440"/>
        <w:rPr>
          <w:sz w:val="26"/>
        </w:rPr>
      </w:pPr>
      <w:r w:rsidRPr="00612B81">
        <w:rPr>
          <w:sz w:val="26"/>
        </w:rPr>
        <w:t>On July 1</w:t>
      </w:r>
      <w:r w:rsidR="00CE7E21" w:rsidRPr="00612B81">
        <w:rPr>
          <w:sz w:val="26"/>
        </w:rPr>
        <w:t>, 2009,</w:t>
      </w:r>
      <w:r w:rsidRPr="00612B81">
        <w:rPr>
          <w:sz w:val="26"/>
        </w:rPr>
        <w:t xml:space="preserve"> PPL submitted its RFP Process and Rules as directed </w:t>
      </w:r>
      <w:r w:rsidR="009B57F6">
        <w:rPr>
          <w:sz w:val="26"/>
        </w:rPr>
        <w:t>by</w:t>
      </w:r>
      <w:r w:rsidRPr="00612B81">
        <w:rPr>
          <w:sz w:val="26"/>
        </w:rPr>
        <w:t xml:space="preserve"> our June 30</w:t>
      </w:r>
      <w:r w:rsidR="007E426C" w:rsidRPr="00612B81">
        <w:rPr>
          <w:sz w:val="26"/>
        </w:rPr>
        <w:t>, 2009</w:t>
      </w:r>
      <w:r w:rsidRPr="00612B81">
        <w:rPr>
          <w:sz w:val="26"/>
        </w:rPr>
        <w:t xml:space="preserve"> </w:t>
      </w:r>
      <w:r w:rsidR="009B57F6">
        <w:rPr>
          <w:sz w:val="26"/>
        </w:rPr>
        <w:t xml:space="preserve">Opinion and </w:t>
      </w:r>
      <w:r w:rsidRPr="00612B81">
        <w:rPr>
          <w:sz w:val="26"/>
        </w:rPr>
        <w:t xml:space="preserve">Order.  Each of the RFPs, including the AEC RFP, established certain minimum basic pre-qualifying requirements for suppliers to bid into any solicitation.  Petition at ¶ 9.  </w:t>
      </w:r>
      <w:r w:rsidR="00900DE8" w:rsidRPr="00612B81">
        <w:rPr>
          <w:sz w:val="26"/>
        </w:rPr>
        <w:t xml:space="preserve">The subject of the instant Petition relates to certain financial requirements designed to provide reasonable assurance that potential </w:t>
      </w:r>
      <w:r w:rsidR="002360D0" w:rsidRPr="00612B81">
        <w:rPr>
          <w:sz w:val="26"/>
        </w:rPr>
        <w:t xml:space="preserve">AEC </w:t>
      </w:r>
      <w:r w:rsidR="00900DE8" w:rsidRPr="00612B81">
        <w:rPr>
          <w:sz w:val="26"/>
        </w:rPr>
        <w:t xml:space="preserve">bidders have sufficient financial capability to perform if they are successful bidders in the </w:t>
      </w:r>
      <w:r w:rsidR="002360D0" w:rsidRPr="00612B81">
        <w:rPr>
          <w:sz w:val="26"/>
        </w:rPr>
        <w:t xml:space="preserve">AEC </w:t>
      </w:r>
      <w:r w:rsidR="00900DE8" w:rsidRPr="00612B81">
        <w:rPr>
          <w:sz w:val="26"/>
        </w:rPr>
        <w:t>RFPs.  These requirements are:</w:t>
      </w:r>
    </w:p>
    <w:p w:rsidR="001702D4" w:rsidRPr="00612B81" w:rsidRDefault="001702D4" w:rsidP="009B57F6">
      <w:pPr>
        <w:spacing w:line="360" w:lineRule="auto"/>
        <w:ind w:firstLine="1440"/>
        <w:rPr>
          <w:sz w:val="26"/>
        </w:rPr>
      </w:pPr>
    </w:p>
    <w:p w:rsidR="00900DE8" w:rsidRPr="00612B81" w:rsidRDefault="006F3EEA" w:rsidP="009B57F6">
      <w:pPr>
        <w:spacing w:line="360" w:lineRule="auto"/>
        <w:ind w:firstLine="1440"/>
        <w:rPr>
          <w:sz w:val="26"/>
          <w:u w:val="single"/>
        </w:rPr>
      </w:pPr>
      <w:r w:rsidRPr="00612B81">
        <w:rPr>
          <w:sz w:val="26"/>
          <w:u w:val="single"/>
        </w:rPr>
        <w:t>Article 4 Section 4.1.1</w:t>
      </w:r>
    </w:p>
    <w:p w:rsidR="001F58EC" w:rsidRPr="00612B81" w:rsidRDefault="00900DE8" w:rsidP="009B57F6">
      <w:pPr>
        <w:ind w:left="1440" w:right="1440"/>
        <w:rPr>
          <w:sz w:val="26"/>
        </w:rPr>
      </w:pPr>
      <w:r w:rsidRPr="00612B81">
        <w:rPr>
          <w:sz w:val="26"/>
        </w:rPr>
        <w:t>(</w:t>
      </w:r>
      <w:r w:rsidR="006F3EEA" w:rsidRPr="00612B81">
        <w:rPr>
          <w:sz w:val="26"/>
        </w:rPr>
        <w:t>3</w:t>
      </w:r>
      <w:r w:rsidRPr="00612B81">
        <w:rPr>
          <w:sz w:val="26"/>
        </w:rPr>
        <w:t xml:space="preserve">)  </w:t>
      </w:r>
      <w:r w:rsidR="002E251A" w:rsidRPr="00612B81">
        <w:rPr>
          <w:sz w:val="26"/>
        </w:rPr>
        <w:t xml:space="preserve">A potential bidder is required to demonstrate, </w:t>
      </w:r>
      <w:r w:rsidR="002E251A" w:rsidRPr="00612B81">
        <w:rPr>
          <w:i/>
          <w:sz w:val="26"/>
        </w:rPr>
        <w:t>inter alia</w:t>
      </w:r>
      <w:r w:rsidR="002E251A" w:rsidRPr="00612B81">
        <w:rPr>
          <w:sz w:val="26"/>
        </w:rPr>
        <w:t>, that its, or its guarantor’s, unsecured senior long-term debt rating (or issuer rating, if the unsecured s</w:t>
      </w:r>
      <w:r w:rsidR="00840C8D" w:rsidRPr="00612B81">
        <w:rPr>
          <w:sz w:val="26"/>
        </w:rPr>
        <w:t>enior long-term debt rating is u</w:t>
      </w:r>
      <w:r w:rsidR="002E251A" w:rsidRPr="00612B81">
        <w:rPr>
          <w:sz w:val="26"/>
        </w:rPr>
        <w:t>navailable) is cur</w:t>
      </w:r>
      <w:r w:rsidR="00840C8D" w:rsidRPr="00612B81">
        <w:rPr>
          <w:sz w:val="26"/>
        </w:rPr>
        <w:t>rently available from Standard</w:t>
      </w:r>
      <w:r w:rsidR="002E251A" w:rsidRPr="00612B81">
        <w:rPr>
          <w:sz w:val="26"/>
        </w:rPr>
        <w:t xml:space="preserve"> &amp; Poor’s, Fitch Ratings, or Moody’</w:t>
      </w:r>
      <w:r w:rsidR="00792D57" w:rsidRPr="00612B81">
        <w:rPr>
          <w:sz w:val="26"/>
        </w:rPr>
        <w:t>s Investor Services, and;</w:t>
      </w:r>
    </w:p>
    <w:p w:rsidR="002F7C8F" w:rsidRPr="00612B81" w:rsidRDefault="002F7C8F" w:rsidP="009B57F6">
      <w:pPr>
        <w:ind w:left="1440" w:right="1440"/>
        <w:rPr>
          <w:sz w:val="26"/>
        </w:rPr>
      </w:pPr>
    </w:p>
    <w:p w:rsidR="00792D57" w:rsidRPr="00612B81" w:rsidRDefault="006F3EEA" w:rsidP="009B57F6">
      <w:pPr>
        <w:ind w:left="1440" w:right="1440"/>
        <w:rPr>
          <w:sz w:val="26"/>
        </w:rPr>
      </w:pPr>
      <w:r w:rsidRPr="00612B81">
        <w:rPr>
          <w:sz w:val="26"/>
        </w:rPr>
        <w:t>(4</w:t>
      </w:r>
      <w:r w:rsidR="00792D57" w:rsidRPr="00612B81">
        <w:rPr>
          <w:sz w:val="26"/>
        </w:rPr>
        <w:t>) A potential bidder must submit a credit application, together with certain financial information</w:t>
      </w:r>
      <w:r w:rsidR="00A21897" w:rsidRPr="00612B81">
        <w:rPr>
          <w:sz w:val="26"/>
        </w:rPr>
        <w:t>…</w:t>
      </w:r>
    </w:p>
    <w:p w:rsidR="007E426C" w:rsidRPr="00612B81" w:rsidRDefault="007E426C" w:rsidP="009B57F6">
      <w:pPr>
        <w:ind w:left="1440" w:right="1440"/>
        <w:rPr>
          <w:sz w:val="26"/>
        </w:rPr>
      </w:pPr>
    </w:p>
    <w:p w:rsidR="002F7C8F" w:rsidRPr="00612B81" w:rsidRDefault="00803618" w:rsidP="009B57F6">
      <w:pPr>
        <w:rPr>
          <w:sz w:val="26"/>
        </w:rPr>
      </w:pPr>
      <w:r w:rsidRPr="00612B81">
        <w:rPr>
          <w:sz w:val="26"/>
        </w:rPr>
        <w:t>Petition at ¶ 9.</w:t>
      </w:r>
    </w:p>
    <w:p w:rsidR="00803618" w:rsidRPr="00612B81" w:rsidRDefault="00803618" w:rsidP="009B57F6">
      <w:pPr>
        <w:spacing w:line="360" w:lineRule="auto"/>
        <w:rPr>
          <w:sz w:val="26"/>
        </w:rPr>
      </w:pPr>
    </w:p>
    <w:p w:rsidR="00803618" w:rsidRPr="00612B81" w:rsidRDefault="006029C1" w:rsidP="009B57F6">
      <w:pPr>
        <w:spacing w:line="360" w:lineRule="auto"/>
        <w:ind w:firstLine="1440"/>
        <w:rPr>
          <w:sz w:val="26"/>
        </w:rPr>
      </w:pPr>
      <w:r w:rsidRPr="00612B81">
        <w:rPr>
          <w:sz w:val="26"/>
        </w:rPr>
        <w:t xml:space="preserve">According to PPL’s independent, third-party RFP administrator, NERA Economic Consulting (NERA), a group of potential bidders in the AEC RFP for Tier 1 and Tier 1 PV and Tier </w:t>
      </w:r>
      <w:r w:rsidR="00241595" w:rsidRPr="00612B81">
        <w:rPr>
          <w:sz w:val="26"/>
        </w:rPr>
        <w:t>II AECs were disqualified because they are relatively small entities that do not have a debt rating as required under Article 4.1.1</w:t>
      </w:r>
      <w:r w:rsidR="008E75A1" w:rsidRPr="00612B81">
        <w:rPr>
          <w:sz w:val="26"/>
        </w:rPr>
        <w:t xml:space="preserve"> of the AEC RFP.  </w:t>
      </w:r>
      <w:r w:rsidR="00063975" w:rsidRPr="00612B81">
        <w:rPr>
          <w:sz w:val="26"/>
        </w:rPr>
        <w:t xml:space="preserve">To </w:t>
      </w:r>
      <w:r w:rsidR="00063975" w:rsidRPr="00612B81">
        <w:rPr>
          <w:sz w:val="26"/>
        </w:rPr>
        <w:lastRenderedPageBreak/>
        <w:t>address this issue</w:t>
      </w:r>
      <w:r w:rsidR="00176DDE">
        <w:rPr>
          <w:sz w:val="26"/>
        </w:rPr>
        <w:t>,</w:t>
      </w:r>
      <w:r w:rsidR="00063975" w:rsidRPr="00612B81">
        <w:rPr>
          <w:sz w:val="26"/>
        </w:rPr>
        <w:t xml:space="preserve"> PPL proposes to remove Section 4.1.1(3) from the </w:t>
      </w:r>
      <w:r w:rsidR="006F3EEA" w:rsidRPr="00612B81">
        <w:rPr>
          <w:sz w:val="26"/>
        </w:rPr>
        <w:t>AEC RF</w:t>
      </w:r>
      <w:r w:rsidR="00063975" w:rsidRPr="00612B81">
        <w:rPr>
          <w:sz w:val="26"/>
        </w:rPr>
        <w:t>P</w:t>
      </w:r>
      <w:r w:rsidR="00BC5BE2" w:rsidRPr="00612B81">
        <w:rPr>
          <w:sz w:val="26"/>
        </w:rPr>
        <w:t xml:space="preserve"> pursuant to our authority to rescind or to amend prior Orders at 66 Pa. C.S. § 703(g).</w:t>
      </w:r>
      <w:r w:rsidR="006F3EEA" w:rsidRPr="00612B81">
        <w:rPr>
          <w:sz w:val="26"/>
        </w:rPr>
        <w:t xml:space="preserve">  </w:t>
      </w:r>
      <w:r w:rsidR="00A21897" w:rsidRPr="00612B81">
        <w:rPr>
          <w:sz w:val="26"/>
        </w:rPr>
        <w:t>PPL believes that removal of the debt rating requirement of Article 4.1.1</w:t>
      </w:r>
      <w:r w:rsidR="007C2DBC" w:rsidRPr="00612B81">
        <w:rPr>
          <w:sz w:val="26"/>
        </w:rPr>
        <w:t>(3)</w:t>
      </w:r>
      <w:r w:rsidR="00A21897" w:rsidRPr="00612B81">
        <w:rPr>
          <w:sz w:val="26"/>
        </w:rPr>
        <w:t xml:space="preserve"> is likely to increase the number of competitive bids submitted by small, non-rated entities that would otherwise not qualify to bid.</w:t>
      </w:r>
      <w:r w:rsidR="0050086D" w:rsidRPr="00612B81">
        <w:rPr>
          <w:sz w:val="26"/>
        </w:rPr>
        <w:t xml:space="preserve">  PPL states that because of the relatively low total cost for AECs, it does not believe that elimination of the rated debt requirement for AEC bidders, as noted above, will present a substantial increased risk of nonperformance.  Petition at ¶ 14.  </w:t>
      </w:r>
      <w:r w:rsidR="00A85918" w:rsidRPr="00612B81">
        <w:rPr>
          <w:sz w:val="26"/>
        </w:rPr>
        <w:t>Applicants would continue to be required to submit a credit application, together with financial information as required by the RFP.  In addition, if any entity qualifies as non-rated, it would not qualify for any unsecured credit under Section 12.3 of the AEC SMA and</w:t>
      </w:r>
      <w:r w:rsidR="00176DDE">
        <w:rPr>
          <w:sz w:val="26"/>
        </w:rPr>
        <w:t>,</w:t>
      </w:r>
      <w:r w:rsidR="00A85918" w:rsidRPr="00612B81">
        <w:rPr>
          <w:sz w:val="26"/>
        </w:rPr>
        <w:t xml:space="preserve"> therefore</w:t>
      </w:r>
      <w:r w:rsidR="00176DDE">
        <w:rPr>
          <w:sz w:val="26"/>
        </w:rPr>
        <w:t>,</w:t>
      </w:r>
      <w:r w:rsidR="00A85918" w:rsidRPr="00612B81">
        <w:rPr>
          <w:sz w:val="26"/>
        </w:rPr>
        <w:t xml:space="preserve"> would be required to post the full performance assurance as required by Section 12.1 of the AEC SMA.  </w:t>
      </w:r>
      <w:r w:rsidR="00EF71BC" w:rsidRPr="00612B81">
        <w:rPr>
          <w:sz w:val="26"/>
        </w:rPr>
        <w:t>Petition at ¶ 14.</w:t>
      </w:r>
      <w:r w:rsidR="0050086D" w:rsidRPr="00612B81">
        <w:rPr>
          <w:sz w:val="26"/>
        </w:rPr>
        <w:t xml:space="preserve"> </w:t>
      </w:r>
    </w:p>
    <w:p w:rsidR="00316C8B" w:rsidRPr="00612B81" w:rsidRDefault="00316C8B" w:rsidP="009B57F6">
      <w:pPr>
        <w:spacing w:line="360" w:lineRule="auto"/>
        <w:ind w:firstLine="1440"/>
        <w:rPr>
          <w:sz w:val="26"/>
        </w:rPr>
      </w:pPr>
    </w:p>
    <w:p w:rsidR="00620995" w:rsidRPr="00612B81" w:rsidRDefault="00620995" w:rsidP="009B57F6">
      <w:pPr>
        <w:spacing w:line="360" w:lineRule="auto"/>
        <w:ind w:firstLine="1440"/>
        <w:rPr>
          <w:sz w:val="26"/>
        </w:rPr>
      </w:pPr>
    </w:p>
    <w:p w:rsidR="00316C8B" w:rsidRPr="00612B81" w:rsidRDefault="00316C8B" w:rsidP="009B57F6">
      <w:pPr>
        <w:spacing w:line="360" w:lineRule="auto"/>
        <w:ind w:firstLine="1440"/>
        <w:rPr>
          <w:sz w:val="26"/>
        </w:rPr>
      </w:pPr>
      <w:r w:rsidRPr="00612B81">
        <w:rPr>
          <w:sz w:val="26"/>
        </w:rPr>
        <w:t>Section 12.1 of the AEC SMA states:</w:t>
      </w:r>
    </w:p>
    <w:p w:rsidR="00316C8B" w:rsidRPr="00612B81" w:rsidRDefault="00316C8B" w:rsidP="009B57F6">
      <w:pPr>
        <w:spacing w:line="360" w:lineRule="auto"/>
        <w:ind w:firstLine="1440"/>
        <w:rPr>
          <w:sz w:val="26"/>
        </w:rPr>
      </w:pPr>
    </w:p>
    <w:p w:rsidR="00316C8B" w:rsidRPr="00612B81" w:rsidRDefault="00316C8B" w:rsidP="00500534">
      <w:pPr>
        <w:ind w:left="2016" w:right="1440" w:hanging="576"/>
        <w:rPr>
          <w:sz w:val="26"/>
        </w:rPr>
      </w:pPr>
      <w:r w:rsidRPr="00612B81">
        <w:rPr>
          <w:i/>
          <w:sz w:val="26"/>
        </w:rPr>
        <w:t>12.1</w:t>
      </w:r>
      <w:r w:rsidR="00500534">
        <w:rPr>
          <w:i/>
          <w:sz w:val="26"/>
        </w:rPr>
        <w:t xml:space="preserve"> </w:t>
      </w:r>
      <w:r w:rsidRPr="00612B81">
        <w:rPr>
          <w:i/>
          <w:sz w:val="26"/>
        </w:rPr>
        <w:t xml:space="preserve"> </w:t>
      </w:r>
      <w:r w:rsidRPr="00612B81">
        <w:rPr>
          <w:i/>
          <w:sz w:val="26"/>
          <w:u w:val="single"/>
        </w:rPr>
        <w:t>Requirement for Performance Assurance.</w:t>
      </w:r>
      <w:r w:rsidRPr="00612B81">
        <w:rPr>
          <w:sz w:val="26"/>
        </w:rPr>
        <w:t xml:space="preserve">  With respect to Aggregate Transactions, if at any time and from time to time during the term of this Agreement, Aggregate Buyer’s Exposure exceeds the Unsecured Credit on any Business Day, then Buyer shall request that Seller post Performance Assurance</w:t>
      </w:r>
      <w:r w:rsidR="00810CAB" w:rsidRPr="00612B81">
        <w:rPr>
          <w:sz w:val="26"/>
        </w:rPr>
        <w:t xml:space="preserve"> in an amount equal to the amount by which Aggregate Buyer’s Exposure exceeds the Unsecured Credit (rounding to the nearest $25,000), less any Performance Assurance already posted with Buyer.</w:t>
      </w:r>
      <w:r w:rsidR="00FA7A2F" w:rsidRPr="00612B81">
        <w:rPr>
          <w:sz w:val="26"/>
        </w:rPr>
        <w:t xml:space="preserve">  Notwithstanding the above, Seller shall only be required to post the required Performance Assurance to the extent the amount of required Performance Assurance is equal to or greater than $50,000.  Subsequent and incremental requests for Performance Assurance shall be in $25,000 increments.  Buyer’s request for Performance Assurance shall not be disputed by Seller.</w:t>
      </w:r>
    </w:p>
    <w:p w:rsidR="007E426C" w:rsidRPr="00612B81" w:rsidRDefault="007E426C" w:rsidP="009B57F6">
      <w:pPr>
        <w:ind w:left="1440" w:right="1440" w:hanging="360"/>
        <w:rPr>
          <w:sz w:val="26"/>
        </w:rPr>
      </w:pPr>
    </w:p>
    <w:p w:rsidR="00FA7A2F" w:rsidRPr="00612B81" w:rsidRDefault="00FA7A2F" w:rsidP="009B57F6">
      <w:pPr>
        <w:ind w:right="1440"/>
        <w:rPr>
          <w:sz w:val="26"/>
        </w:rPr>
      </w:pPr>
    </w:p>
    <w:p w:rsidR="008A0C89" w:rsidRPr="00612B81" w:rsidRDefault="0050539A" w:rsidP="009B57F6">
      <w:pPr>
        <w:spacing w:line="360" w:lineRule="auto"/>
        <w:ind w:firstLine="1440"/>
        <w:rPr>
          <w:sz w:val="26"/>
        </w:rPr>
      </w:pPr>
      <w:r w:rsidRPr="00612B81">
        <w:rPr>
          <w:sz w:val="26"/>
        </w:rPr>
        <w:lastRenderedPageBreak/>
        <w:t xml:space="preserve">PPL has also requested expedited treatment of the instant </w:t>
      </w:r>
      <w:r w:rsidR="00D522B5" w:rsidRPr="00612B81">
        <w:rPr>
          <w:sz w:val="26"/>
        </w:rPr>
        <w:t>Petition seeking Commission action at the Public Meeting of December 17, 2009.  This request is made because the next DSP solicitation is scheduled for January 19, 2010</w:t>
      </w:r>
      <w:r w:rsidR="007E426C" w:rsidRPr="00612B81">
        <w:rPr>
          <w:sz w:val="26"/>
        </w:rPr>
        <w:t>,</w:t>
      </w:r>
      <w:r w:rsidR="00D522B5" w:rsidRPr="00612B81">
        <w:rPr>
          <w:sz w:val="26"/>
        </w:rPr>
        <w:t xml:space="preserve"> and the bidder qualification due date is January 5, 2010.  PPL believes that it is in the public interest </w:t>
      </w:r>
      <w:r w:rsidR="004E196E" w:rsidRPr="00612B81">
        <w:rPr>
          <w:sz w:val="26"/>
        </w:rPr>
        <w:t xml:space="preserve">for the Commission </w:t>
      </w:r>
      <w:r w:rsidR="00D522B5" w:rsidRPr="00612B81">
        <w:rPr>
          <w:sz w:val="26"/>
        </w:rPr>
        <w:t>t</w:t>
      </w:r>
      <w:r w:rsidR="00B072F5" w:rsidRPr="00612B81">
        <w:rPr>
          <w:sz w:val="26"/>
        </w:rPr>
        <w:t xml:space="preserve">o grant its request to </w:t>
      </w:r>
      <w:r w:rsidR="009820EA" w:rsidRPr="00612B81">
        <w:rPr>
          <w:sz w:val="26"/>
        </w:rPr>
        <w:t>amend</w:t>
      </w:r>
      <w:r w:rsidR="00B072F5" w:rsidRPr="00612B81">
        <w:rPr>
          <w:sz w:val="26"/>
        </w:rPr>
        <w:t xml:space="preserve"> the</w:t>
      </w:r>
      <w:r w:rsidR="00D522B5" w:rsidRPr="00612B81">
        <w:rPr>
          <w:sz w:val="26"/>
        </w:rPr>
        <w:t xml:space="preserve"> current </w:t>
      </w:r>
      <w:r w:rsidR="004E196E" w:rsidRPr="00612B81">
        <w:rPr>
          <w:sz w:val="26"/>
        </w:rPr>
        <w:t xml:space="preserve">AEC </w:t>
      </w:r>
      <w:r w:rsidR="00D522B5" w:rsidRPr="00612B81">
        <w:rPr>
          <w:sz w:val="26"/>
        </w:rPr>
        <w:t>RFP</w:t>
      </w:r>
      <w:r w:rsidR="004E196E" w:rsidRPr="00612B81">
        <w:rPr>
          <w:sz w:val="26"/>
        </w:rPr>
        <w:t xml:space="preserve"> as described above to be effective for bidders wishing to qualify for the next DSP solicitation.</w:t>
      </w:r>
      <w:r w:rsidR="00B072F5" w:rsidRPr="00612B81">
        <w:rPr>
          <w:sz w:val="26"/>
        </w:rPr>
        <w:t xml:space="preserve">  Petition at ¶ 16.</w:t>
      </w:r>
      <w:r w:rsidR="004E196E" w:rsidRPr="00612B81">
        <w:rPr>
          <w:sz w:val="26"/>
        </w:rPr>
        <w:t xml:space="preserve"> </w:t>
      </w:r>
      <w:r w:rsidR="00500534">
        <w:rPr>
          <w:sz w:val="26"/>
        </w:rPr>
        <w:t xml:space="preserve"> </w:t>
      </w:r>
      <w:r w:rsidR="00881244" w:rsidRPr="00612B81">
        <w:rPr>
          <w:sz w:val="26"/>
        </w:rPr>
        <w:t xml:space="preserve">This modification could avoid rejection of additional AEC solicitation results as noncompetitive.  Petition at ¶ 16. </w:t>
      </w:r>
    </w:p>
    <w:p w:rsidR="007E426C" w:rsidRPr="00612B81" w:rsidRDefault="007E426C" w:rsidP="009B57F6">
      <w:pPr>
        <w:spacing w:line="360" w:lineRule="auto"/>
        <w:ind w:firstLine="1440"/>
        <w:rPr>
          <w:sz w:val="26"/>
        </w:rPr>
      </w:pPr>
    </w:p>
    <w:p w:rsidR="007E426C" w:rsidRPr="00612B81" w:rsidRDefault="001C2CDA" w:rsidP="009B57F6">
      <w:pPr>
        <w:spacing w:line="360" w:lineRule="auto"/>
        <w:ind w:firstLine="1440"/>
        <w:rPr>
          <w:sz w:val="26"/>
        </w:rPr>
      </w:pPr>
      <w:r w:rsidRPr="00612B81">
        <w:rPr>
          <w:sz w:val="26"/>
        </w:rPr>
        <w:t>PPLICA is the only Party that filed an Answer to the Petition.  While PPLICA does not oppose PPL’s request, PPLICA expresses the following concern:</w:t>
      </w:r>
    </w:p>
    <w:p w:rsidR="001C2CDA" w:rsidRPr="00612B81" w:rsidRDefault="001C2CDA" w:rsidP="009B57F6">
      <w:pPr>
        <w:spacing w:line="360" w:lineRule="auto"/>
        <w:ind w:firstLine="1440"/>
        <w:rPr>
          <w:sz w:val="26"/>
        </w:rPr>
      </w:pPr>
    </w:p>
    <w:p w:rsidR="001C2CDA" w:rsidRPr="00612B81" w:rsidRDefault="00121F26" w:rsidP="009B57F6">
      <w:pPr>
        <w:ind w:left="1440" w:right="1440"/>
        <w:rPr>
          <w:sz w:val="26"/>
        </w:rPr>
      </w:pPr>
      <w:r w:rsidRPr="00612B81">
        <w:rPr>
          <w:sz w:val="26"/>
        </w:rPr>
        <w:t>PPLICA is extremely concerned that the 2011 PV requirements may be difficult to achieve on a state-wide basis.  In addition, because there is no statutory dollar cap on the amount of the alternative compliance payment for PV credits, the potential shortage in supply in comparison to demand may enable larger entities to inappropriately increase the price for PV credits.  Although some transaction, such as the results of the PPL RFP’s for blocks of credits, will be reported to the Commission, other transactions will not.</w:t>
      </w:r>
    </w:p>
    <w:p w:rsidR="00121F26" w:rsidRPr="00612B81" w:rsidRDefault="00121F26" w:rsidP="009B57F6">
      <w:pPr>
        <w:ind w:left="1440" w:right="1440"/>
        <w:rPr>
          <w:sz w:val="26"/>
        </w:rPr>
      </w:pPr>
    </w:p>
    <w:p w:rsidR="00121F26" w:rsidRPr="00612B81" w:rsidRDefault="00121F26" w:rsidP="00500534">
      <w:pPr>
        <w:spacing w:line="360" w:lineRule="auto"/>
        <w:ind w:right="1440"/>
        <w:rPr>
          <w:sz w:val="26"/>
        </w:rPr>
      </w:pPr>
      <w:r w:rsidRPr="00612B81">
        <w:rPr>
          <w:sz w:val="26"/>
        </w:rPr>
        <w:t>PPLICA Answer at 2.</w:t>
      </w:r>
    </w:p>
    <w:p w:rsidR="005C2732" w:rsidRPr="00612B81" w:rsidRDefault="005C2732" w:rsidP="00500534">
      <w:pPr>
        <w:spacing w:line="360" w:lineRule="auto"/>
        <w:ind w:right="1440"/>
        <w:rPr>
          <w:sz w:val="26"/>
        </w:rPr>
      </w:pPr>
    </w:p>
    <w:p w:rsidR="005C2732" w:rsidRPr="00612B81" w:rsidRDefault="005C2732" w:rsidP="00500534">
      <w:pPr>
        <w:spacing w:line="360" w:lineRule="auto"/>
        <w:rPr>
          <w:sz w:val="26"/>
          <w:szCs w:val="26"/>
        </w:rPr>
      </w:pPr>
      <w:r w:rsidRPr="00612B81">
        <w:rPr>
          <w:sz w:val="26"/>
        </w:rPr>
        <w:tab/>
      </w:r>
      <w:r w:rsidRPr="00612B81">
        <w:rPr>
          <w:sz w:val="26"/>
        </w:rPr>
        <w:tab/>
        <w:t>PPLICA request</w:t>
      </w:r>
      <w:r w:rsidR="00500534">
        <w:rPr>
          <w:sz w:val="26"/>
        </w:rPr>
        <w:t>s</w:t>
      </w:r>
      <w:r w:rsidRPr="00612B81">
        <w:rPr>
          <w:sz w:val="26"/>
        </w:rPr>
        <w:t xml:space="preserve"> that we </w:t>
      </w:r>
      <w:r w:rsidRPr="00612B81">
        <w:rPr>
          <w:sz w:val="26"/>
          <w:szCs w:val="26"/>
        </w:rPr>
        <w:t xml:space="preserve">explore methods to confirm that adequate Photo-Voltaic (PV) AECs exist for 2010 and beyond, and to ensure that the holders of those credits do not engage in inappropriate withholding or other market strategies to unreasonably increase the costs of those credits and/or the costs of alternative compliance </w:t>
      </w:r>
      <w:r w:rsidR="00C30411" w:rsidRPr="00612B81">
        <w:rPr>
          <w:sz w:val="26"/>
          <w:szCs w:val="26"/>
        </w:rPr>
        <w:t>penalties</w:t>
      </w:r>
      <w:r w:rsidRPr="00612B81">
        <w:rPr>
          <w:sz w:val="26"/>
          <w:szCs w:val="26"/>
        </w:rPr>
        <w:t>.  PPLICA Answer at 2.</w:t>
      </w:r>
    </w:p>
    <w:p w:rsidR="00ED440C" w:rsidRPr="00612B81" w:rsidRDefault="00ED440C" w:rsidP="009B57F6">
      <w:pPr>
        <w:spacing w:line="360" w:lineRule="auto"/>
        <w:rPr>
          <w:sz w:val="26"/>
          <w:szCs w:val="26"/>
        </w:rPr>
      </w:pPr>
    </w:p>
    <w:p w:rsidR="0026089D" w:rsidRPr="00612B81" w:rsidRDefault="00ED440C" w:rsidP="009B57F6">
      <w:pPr>
        <w:spacing w:line="360" w:lineRule="auto"/>
        <w:rPr>
          <w:sz w:val="26"/>
          <w:szCs w:val="26"/>
        </w:rPr>
      </w:pPr>
      <w:r w:rsidRPr="00612B81">
        <w:rPr>
          <w:sz w:val="26"/>
          <w:szCs w:val="26"/>
        </w:rPr>
        <w:tab/>
      </w:r>
      <w:r w:rsidRPr="00612B81">
        <w:rPr>
          <w:sz w:val="26"/>
          <w:szCs w:val="26"/>
        </w:rPr>
        <w:tab/>
        <w:t xml:space="preserve">While we believe that PPLICA raises a valid concern, </w:t>
      </w:r>
      <w:r w:rsidR="0026089D" w:rsidRPr="00612B81">
        <w:rPr>
          <w:sz w:val="26"/>
          <w:szCs w:val="26"/>
        </w:rPr>
        <w:t>the consideration of such issues is beyond the lim</w:t>
      </w:r>
      <w:r w:rsidR="00A67E6E" w:rsidRPr="00612B81">
        <w:rPr>
          <w:sz w:val="26"/>
          <w:szCs w:val="26"/>
        </w:rPr>
        <w:t>ited scope of this Opinion and O</w:t>
      </w:r>
      <w:r w:rsidR="0026089D" w:rsidRPr="00612B81">
        <w:rPr>
          <w:sz w:val="26"/>
          <w:szCs w:val="26"/>
        </w:rPr>
        <w:t xml:space="preserve">rder.  </w:t>
      </w:r>
      <w:r w:rsidR="004E4582">
        <w:rPr>
          <w:sz w:val="26"/>
          <w:szCs w:val="26"/>
        </w:rPr>
        <w:t xml:space="preserve">We note however, </w:t>
      </w:r>
      <w:r w:rsidR="004E4582">
        <w:rPr>
          <w:sz w:val="26"/>
          <w:szCs w:val="26"/>
        </w:rPr>
        <w:lastRenderedPageBreak/>
        <w:t>that the 2009 Annual Report on the AEPS Act will address the adequacy of PV AECs for 2010 and beyond.</w:t>
      </w:r>
    </w:p>
    <w:p w:rsidR="00ED440C" w:rsidRPr="00612B81" w:rsidRDefault="00ED440C" w:rsidP="009B57F6">
      <w:pPr>
        <w:spacing w:line="360" w:lineRule="auto"/>
        <w:rPr>
          <w:sz w:val="26"/>
        </w:rPr>
      </w:pPr>
    </w:p>
    <w:p w:rsidR="007E426C" w:rsidRDefault="008C6910" w:rsidP="009B57F6">
      <w:pPr>
        <w:spacing w:line="360" w:lineRule="auto"/>
        <w:ind w:firstLine="1440"/>
        <w:rPr>
          <w:sz w:val="26"/>
          <w:szCs w:val="26"/>
        </w:rPr>
      </w:pPr>
      <w:r>
        <w:rPr>
          <w:sz w:val="26"/>
          <w:szCs w:val="26"/>
        </w:rPr>
        <w:t>Finally, a</w:t>
      </w:r>
      <w:r w:rsidR="005B53AF">
        <w:rPr>
          <w:sz w:val="26"/>
          <w:szCs w:val="26"/>
        </w:rPr>
        <w:t>s noted, SEF</w:t>
      </w:r>
      <w:r>
        <w:rPr>
          <w:sz w:val="26"/>
          <w:szCs w:val="26"/>
        </w:rPr>
        <w:t xml:space="preserve"> submitted a </w:t>
      </w:r>
      <w:r w:rsidR="005B53AF">
        <w:rPr>
          <w:sz w:val="26"/>
          <w:szCs w:val="26"/>
        </w:rPr>
        <w:t>letter i</w:t>
      </w:r>
      <w:r>
        <w:rPr>
          <w:sz w:val="26"/>
          <w:szCs w:val="26"/>
        </w:rPr>
        <w:t>n</w:t>
      </w:r>
      <w:r w:rsidR="005B53AF">
        <w:rPr>
          <w:sz w:val="26"/>
          <w:szCs w:val="26"/>
        </w:rPr>
        <w:t xml:space="preserve"> support </w:t>
      </w:r>
      <w:r w:rsidR="000A3AA1">
        <w:rPr>
          <w:sz w:val="26"/>
          <w:szCs w:val="26"/>
        </w:rPr>
        <w:t>of PPL’s proposal to amend its AEC RFP</w:t>
      </w:r>
      <w:r>
        <w:rPr>
          <w:sz w:val="26"/>
          <w:szCs w:val="26"/>
        </w:rPr>
        <w:t>.  SEF</w:t>
      </w:r>
      <w:r w:rsidR="000A3AA1">
        <w:rPr>
          <w:sz w:val="26"/>
          <w:szCs w:val="26"/>
        </w:rPr>
        <w:t xml:space="preserve"> </w:t>
      </w:r>
      <w:r w:rsidR="005B53AF">
        <w:rPr>
          <w:sz w:val="26"/>
          <w:szCs w:val="26"/>
        </w:rPr>
        <w:t>agrees with PPL that the proposed revision will serve to increase the number of bidders qualified to participate in the solicitation for the procurement of PV AECs.  It is also of the opinion that PPL’s proposal is in the public interest because it will remove barriers to the participation by smaller entities, which it avers will stimulate the distribution market as well as the utility scale market.</w:t>
      </w:r>
      <w:r w:rsidR="00A77178">
        <w:rPr>
          <w:sz w:val="26"/>
          <w:szCs w:val="26"/>
        </w:rPr>
        <w:t xml:space="preserve">  We agree with SEF’s opinions on this matter.</w:t>
      </w:r>
    </w:p>
    <w:p w:rsidR="005B53AF" w:rsidRPr="00612B81" w:rsidRDefault="005B53AF" w:rsidP="009B57F6">
      <w:pPr>
        <w:spacing w:line="360" w:lineRule="auto"/>
        <w:ind w:firstLine="1440"/>
        <w:rPr>
          <w:sz w:val="26"/>
        </w:rPr>
      </w:pPr>
    </w:p>
    <w:p w:rsidR="00CE1749" w:rsidRPr="005B53AF" w:rsidRDefault="00CE1749" w:rsidP="009B57F6">
      <w:pPr>
        <w:spacing w:line="360" w:lineRule="auto"/>
        <w:jc w:val="center"/>
        <w:rPr>
          <w:sz w:val="26"/>
          <w:u w:val="single"/>
        </w:rPr>
      </w:pPr>
      <w:r w:rsidRPr="005B53AF">
        <w:rPr>
          <w:b/>
          <w:sz w:val="26"/>
          <w:u w:val="single"/>
        </w:rPr>
        <w:t>Conclusion</w:t>
      </w:r>
    </w:p>
    <w:p w:rsidR="00CE1749" w:rsidRPr="00612B81" w:rsidRDefault="00CE1749" w:rsidP="009B57F6">
      <w:pPr>
        <w:spacing w:line="360" w:lineRule="auto"/>
        <w:jc w:val="center"/>
        <w:rPr>
          <w:sz w:val="26"/>
        </w:rPr>
      </w:pPr>
    </w:p>
    <w:p w:rsidR="007B6D3B" w:rsidRPr="00612B81" w:rsidRDefault="001F7A1A" w:rsidP="009B57F6">
      <w:pPr>
        <w:spacing w:line="360" w:lineRule="auto"/>
        <w:ind w:firstLine="720"/>
        <w:rPr>
          <w:sz w:val="26"/>
        </w:rPr>
      </w:pPr>
      <w:r w:rsidRPr="00612B81">
        <w:rPr>
          <w:sz w:val="26"/>
        </w:rPr>
        <w:tab/>
      </w:r>
      <w:r w:rsidR="00D447DE" w:rsidRPr="00612B81">
        <w:rPr>
          <w:sz w:val="26"/>
        </w:rPr>
        <w:t xml:space="preserve">We </w:t>
      </w:r>
      <w:r w:rsidR="001F6EA0">
        <w:rPr>
          <w:sz w:val="26"/>
        </w:rPr>
        <w:t>concur</w:t>
      </w:r>
      <w:r w:rsidR="00D447DE" w:rsidRPr="00612B81">
        <w:rPr>
          <w:sz w:val="26"/>
        </w:rPr>
        <w:t xml:space="preserve"> with PPL’s reasoning that by eliminating the </w:t>
      </w:r>
      <w:r w:rsidR="00725831" w:rsidRPr="00612B81">
        <w:rPr>
          <w:sz w:val="26"/>
        </w:rPr>
        <w:t>debt rating requirement of</w:t>
      </w:r>
      <w:r w:rsidR="00734F58" w:rsidRPr="00612B81">
        <w:rPr>
          <w:sz w:val="26"/>
        </w:rPr>
        <w:t xml:space="preserve"> its</w:t>
      </w:r>
      <w:r w:rsidR="00725831" w:rsidRPr="00612B81">
        <w:rPr>
          <w:sz w:val="26"/>
        </w:rPr>
        <w:t xml:space="preserve"> bidder qualifications</w:t>
      </w:r>
      <w:r w:rsidR="0018579B" w:rsidRPr="00612B81">
        <w:rPr>
          <w:sz w:val="26"/>
        </w:rPr>
        <w:t>,</w:t>
      </w:r>
      <w:r w:rsidR="00725831" w:rsidRPr="00612B81">
        <w:rPr>
          <w:sz w:val="26"/>
        </w:rPr>
        <w:t xml:space="preserve"> the market</w:t>
      </w:r>
      <w:r w:rsidR="00734F58" w:rsidRPr="00612B81">
        <w:rPr>
          <w:sz w:val="26"/>
        </w:rPr>
        <w:t xml:space="preserve"> for Tier 1, Tier 1 PV and Tier II AECs</w:t>
      </w:r>
      <w:r w:rsidR="00725831" w:rsidRPr="00612B81">
        <w:rPr>
          <w:sz w:val="26"/>
        </w:rPr>
        <w:t xml:space="preserve"> will be available to more prospective bidders.</w:t>
      </w:r>
      <w:r w:rsidR="0018579B" w:rsidRPr="00612B81">
        <w:rPr>
          <w:sz w:val="26"/>
        </w:rPr>
        <w:t xml:space="preserve"> </w:t>
      </w:r>
      <w:r w:rsidR="00FF6914" w:rsidRPr="00612B81">
        <w:rPr>
          <w:sz w:val="26"/>
        </w:rPr>
        <w:t xml:space="preserve"> We base our decision, in part, on PPLs’ assurance that by doing so there will not be a substantial</w:t>
      </w:r>
      <w:r w:rsidR="00ED068C" w:rsidRPr="00612B81">
        <w:rPr>
          <w:sz w:val="26"/>
        </w:rPr>
        <w:t>ly</w:t>
      </w:r>
      <w:r w:rsidR="00FF6914" w:rsidRPr="00612B81">
        <w:rPr>
          <w:sz w:val="26"/>
        </w:rPr>
        <w:t xml:space="preserve"> increased risk of nonperformance, particularly given the Performance Assurance provisions of </w:t>
      </w:r>
      <w:r w:rsidR="00ED068C" w:rsidRPr="00612B81">
        <w:rPr>
          <w:sz w:val="26"/>
        </w:rPr>
        <w:t xml:space="preserve">Section 12.1 of the AEC SMA.  </w:t>
      </w:r>
      <w:r w:rsidR="00734F58" w:rsidRPr="00612B81">
        <w:rPr>
          <w:sz w:val="26"/>
        </w:rPr>
        <w:t xml:space="preserve">Accordingly, </w:t>
      </w:r>
      <w:r w:rsidR="00D07F90" w:rsidRPr="00612B81">
        <w:rPr>
          <w:sz w:val="26"/>
        </w:rPr>
        <w:t>we</w:t>
      </w:r>
      <w:r w:rsidR="00780900" w:rsidRPr="00612B81">
        <w:rPr>
          <w:sz w:val="26"/>
        </w:rPr>
        <w:t xml:space="preserve"> will </w:t>
      </w:r>
      <w:r w:rsidR="004D1CBA" w:rsidRPr="00612B81">
        <w:rPr>
          <w:sz w:val="26"/>
        </w:rPr>
        <w:t>grant PPL’s</w:t>
      </w:r>
      <w:r w:rsidR="00780900" w:rsidRPr="00612B81">
        <w:rPr>
          <w:sz w:val="26"/>
        </w:rPr>
        <w:t xml:space="preserve"> </w:t>
      </w:r>
      <w:r w:rsidR="00622D50" w:rsidRPr="00612B81">
        <w:rPr>
          <w:sz w:val="26"/>
        </w:rPr>
        <w:t>Petition</w:t>
      </w:r>
      <w:r w:rsidR="00734F58" w:rsidRPr="00612B81">
        <w:rPr>
          <w:sz w:val="26"/>
        </w:rPr>
        <w:t xml:space="preserve"> to A</w:t>
      </w:r>
      <w:r w:rsidR="004D1CBA" w:rsidRPr="00612B81">
        <w:rPr>
          <w:sz w:val="26"/>
        </w:rPr>
        <w:t>mend its prior Settlement Agreement</w:t>
      </w:r>
      <w:r w:rsidR="00D447DE" w:rsidRPr="00612B81">
        <w:rPr>
          <w:sz w:val="26"/>
        </w:rPr>
        <w:t xml:space="preserve"> regarding its Default Service Plan and acquisition of Alternative Energy Credits</w:t>
      </w:r>
      <w:r w:rsidR="00780900" w:rsidRPr="00612B81">
        <w:rPr>
          <w:sz w:val="26"/>
        </w:rPr>
        <w:t>;</w:t>
      </w:r>
      <w:r w:rsidR="00853F51" w:rsidRPr="00612B81">
        <w:rPr>
          <w:sz w:val="26"/>
        </w:rPr>
        <w:t xml:space="preserve"> </w:t>
      </w:r>
      <w:r w:rsidR="00853F51" w:rsidRPr="00612B81">
        <w:rPr>
          <w:b/>
          <w:sz w:val="26"/>
        </w:rPr>
        <w:t>THEREFORE,</w:t>
      </w:r>
    </w:p>
    <w:p w:rsidR="00853F51" w:rsidRPr="00612B81" w:rsidRDefault="00853F51" w:rsidP="009B57F6">
      <w:pPr>
        <w:spacing w:line="360" w:lineRule="auto"/>
        <w:ind w:firstLine="720"/>
        <w:rPr>
          <w:sz w:val="26"/>
        </w:rPr>
      </w:pPr>
    </w:p>
    <w:p w:rsidR="00853F51" w:rsidRPr="00612B81" w:rsidRDefault="000A3AA1" w:rsidP="000A3AA1">
      <w:pPr>
        <w:keepNext/>
        <w:spacing w:line="360" w:lineRule="auto"/>
        <w:ind w:firstLine="720"/>
        <w:rPr>
          <w:sz w:val="26"/>
        </w:rPr>
      </w:pPr>
      <w:r>
        <w:rPr>
          <w:b/>
          <w:sz w:val="26"/>
        </w:rPr>
        <w:tab/>
      </w:r>
      <w:r w:rsidR="00853F51" w:rsidRPr="00612B81">
        <w:rPr>
          <w:b/>
          <w:sz w:val="26"/>
        </w:rPr>
        <w:t>IT IS ORDERED:</w:t>
      </w:r>
    </w:p>
    <w:p w:rsidR="00853F51" w:rsidRPr="00612B81" w:rsidRDefault="00853F51" w:rsidP="000A3AA1">
      <w:pPr>
        <w:keepNext/>
        <w:spacing w:line="360" w:lineRule="auto"/>
        <w:ind w:firstLine="720"/>
        <w:rPr>
          <w:sz w:val="26"/>
        </w:rPr>
      </w:pPr>
    </w:p>
    <w:p w:rsidR="008E2D0D" w:rsidRPr="00612B81" w:rsidRDefault="001F7A1A" w:rsidP="009B57F6">
      <w:pPr>
        <w:spacing w:line="360" w:lineRule="auto"/>
        <w:ind w:firstLine="720"/>
        <w:rPr>
          <w:sz w:val="26"/>
        </w:rPr>
      </w:pPr>
      <w:r w:rsidRPr="00612B81">
        <w:rPr>
          <w:sz w:val="26"/>
        </w:rPr>
        <w:tab/>
      </w:r>
      <w:r w:rsidR="001B6633" w:rsidRPr="00612B81">
        <w:rPr>
          <w:sz w:val="26"/>
        </w:rPr>
        <w:t>1.</w:t>
      </w:r>
      <w:r w:rsidR="008E2D0D" w:rsidRPr="00612B81">
        <w:rPr>
          <w:sz w:val="26"/>
        </w:rPr>
        <w:t xml:space="preserve">  That the Petition</w:t>
      </w:r>
      <w:r w:rsidR="00E8506B" w:rsidRPr="00612B81">
        <w:rPr>
          <w:sz w:val="26"/>
        </w:rPr>
        <w:t xml:space="preserve"> of PPL Electric Utilities Corporation for </w:t>
      </w:r>
      <w:r w:rsidR="000A3AA1">
        <w:rPr>
          <w:sz w:val="26"/>
        </w:rPr>
        <w:t>E</w:t>
      </w:r>
      <w:r w:rsidR="00E8506B" w:rsidRPr="00612B81">
        <w:rPr>
          <w:sz w:val="26"/>
        </w:rPr>
        <w:t xml:space="preserve">xpedited </w:t>
      </w:r>
      <w:r w:rsidR="000A3AA1">
        <w:rPr>
          <w:sz w:val="26"/>
        </w:rPr>
        <w:t>A</w:t>
      </w:r>
      <w:r w:rsidR="00E8506B" w:rsidRPr="00612B81">
        <w:rPr>
          <w:sz w:val="26"/>
        </w:rPr>
        <w:t xml:space="preserve">pproval to </w:t>
      </w:r>
      <w:r w:rsidR="000A3AA1">
        <w:rPr>
          <w:sz w:val="26"/>
        </w:rPr>
        <w:t>A</w:t>
      </w:r>
      <w:r w:rsidR="00E8506B" w:rsidRPr="00612B81">
        <w:rPr>
          <w:sz w:val="26"/>
        </w:rPr>
        <w:t xml:space="preserve">mend Request for Proposal for Alternative Energy Credits </w:t>
      </w:r>
      <w:r w:rsidR="000A3AA1">
        <w:rPr>
          <w:sz w:val="26"/>
        </w:rPr>
        <w:t>U</w:t>
      </w:r>
      <w:r w:rsidR="00E8506B" w:rsidRPr="00612B81">
        <w:rPr>
          <w:sz w:val="26"/>
        </w:rPr>
        <w:t>nder Default Service Pro</w:t>
      </w:r>
      <w:r w:rsidR="00C5597B">
        <w:rPr>
          <w:sz w:val="26"/>
        </w:rPr>
        <w:t>curement Plan</w:t>
      </w:r>
      <w:r w:rsidR="00E8506B" w:rsidRPr="00612B81">
        <w:rPr>
          <w:sz w:val="26"/>
        </w:rPr>
        <w:t>,</w:t>
      </w:r>
      <w:r w:rsidR="00916A15" w:rsidRPr="00612B81">
        <w:rPr>
          <w:sz w:val="26"/>
        </w:rPr>
        <w:t xml:space="preserve"> </w:t>
      </w:r>
      <w:r w:rsidR="008E2D0D" w:rsidRPr="00612B81">
        <w:rPr>
          <w:sz w:val="26"/>
        </w:rPr>
        <w:t xml:space="preserve">is </w:t>
      </w:r>
      <w:r w:rsidR="00DD0D92" w:rsidRPr="00612B81">
        <w:rPr>
          <w:sz w:val="26"/>
        </w:rPr>
        <w:t>granted</w:t>
      </w:r>
      <w:r w:rsidR="008E2D0D" w:rsidRPr="00612B81">
        <w:rPr>
          <w:sz w:val="26"/>
        </w:rPr>
        <w:t>.</w:t>
      </w:r>
    </w:p>
    <w:p w:rsidR="00734F58" w:rsidRPr="00612B81" w:rsidRDefault="00734F58" w:rsidP="009B57F6">
      <w:pPr>
        <w:spacing w:line="360" w:lineRule="auto"/>
        <w:ind w:firstLine="720"/>
        <w:rPr>
          <w:sz w:val="26"/>
        </w:rPr>
      </w:pPr>
    </w:p>
    <w:p w:rsidR="004E5CDF" w:rsidRPr="00612B81" w:rsidRDefault="00734F58" w:rsidP="009B57F6">
      <w:pPr>
        <w:spacing w:line="360" w:lineRule="auto"/>
        <w:ind w:firstLine="720"/>
        <w:rPr>
          <w:sz w:val="26"/>
        </w:rPr>
      </w:pPr>
      <w:r w:rsidRPr="00612B81">
        <w:rPr>
          <w:sz w:val="26"/>
        </w:rPr>
        <w:lastRenderedPageBreak/>
        <w:tab/>
        <w:t xml:space="preserve">2.  That the </w:t>
      </w:r>
      <w:r w:rsidR="004E5CDF" w:rsidRPr="00612B81">
        <w:rPr>
          <w:sz w:val="26"/>
        </w:rPr>
        <w:t xml:space="preserve">Request for Proposals Process and Rules regarding Alternative Energy Credits be amended as described within the body of this </w:t>
      </w:r>
      <w:r w:rsidR="00C5597B">
        <w:rPr>
          <w:sz w:val="26"/>
        </w:rPr>
        <w:t xml:space="preserve">Opinion and </w:t>
      </w:r>
      <w:r w:rsidR="004E5CDF" w:rsidRPr="00612B81">
        <w:rPr>
          <w:sz w:val="26"/>
        </w:rPr>
        <w:t>Order.</w:t>
      </w:r>
    </w:p>
    <w:p w:rsidR="00D8107B" w:rsidRPr="00612B81" w:rsidRDefault="004E5CDF" w:rsidP="009B57F6">
      <w:pPr>
        <w:spacing w:line="360" w:lineRule="auto"/>
        <w:ind w:firstLine="720"/>
        <w:rPr>
          <w:sz w:val="26"/>
        </w:rPr>
      </w:pPr>
      <w:r w:rsidRPr="00612B81">
        <w:rPr>
          <w:sz w:val="26"/>
        </w:rPr>
        <w:t xml:space="preserve"> </w:t>
      </w:r>
    </w:p>
    <w:p w:rsidR="00D8107B" w:rsidRPr="00612B81" w:rsidRDefault="00D8107B" w:rsidP="009B57F6">
      <w:pPr>
        <w:spacing w:line="360" w:lineRule="auto"/>
        <w:ind w:firstLine="720"/>
        <w:rPr>
          <w:sz w:val="26"/>
        </w:rPr>
      </w:pPr>
      <w:r w:rsidRPr="00612B81">
        <w:rPr>
          <w:sz w:val="26"/>
        </w:rPr>
        <w:tab/>
        <w:t xml:space="preserve">3.  That PPL Electric Utilities Corporation shall submit an Amended </w:t>
      </w:r>
      <w:r w:rsidR="004E5CDF" w:rsidRPr="00612B81">
        <w:rPr>
          <w:sz w:val="26"/>
        </w:rPr>
        <w:t xml:space="preserve">Request for Proposals Process and Rules regarding Alternative Energy Credits, Article 4, Bidder Qualifications, Section 4.1.1, within ten (10) days </w:t>
      </w:r>
      <w:r w:rsidR="00C5597B">
        <w:rPr>
          <w:sz w:val="26"/>
        </w:rPr>
        <w:t xml:space="preserve">of the date of entry of this Opinion and </w:t>
      </w:r>
      <w:r w:rsidR="004E5CDF" w:rsidRPr="00612B81">
        <w:rPr>
          <w:sz w:val="26"/>
        </w:rPr>
        <w:t>Order</w:t>
      </w:r>
      <w:r w:rsidR="00C5597B">
        <w:rPr>
          <w:sz w:val="26"/>
        </w:rPr>
        <w:t>.</w:t>
      </w:r>
    </w:p>
    <w:p w:rsidR="00035E73" w:rsidRPr="00612B81" w:rsidRDefault="00035E73" w:rsidP="009B57F6">
      <w:pPr>
        <w:spacing w:line="360" w:lineRule="auto"/>
        <w:ind w:firstLine="720"/>
        <w:rPr>
          <w:sz w:val="26"/>
        </w:rPr>
      </w:pPr>
    </w:p>
    <w:p w:rsidR="00035E73" w:rsidRPr="00612B81" w:rsidRDefault="00035E73" w:rsidP="009B57F6">
      <w:pPr>
        <w:spacing w:line="360" w:lineRule="auto"/>
        <w:ind w:firstLine="720"/>
        <w:rPr>
          <w:sz w:val="26"/>
        </w:rPr>
      </w:pPr>
      <w:r w:rsidRPr="00612B81">
        <w:rPr>
          <w:sz w:val="26"/>
        </w:rPr>
        <w:tab/>
        <w:t>4.  That PPL Electric Utilities Corporation shall cause notice of this Commission action to be served</w:t>
      </w:r>
      <w:r w:rsidR="00B20EC7" w:rsidRPr="00612B81">
        <w:rPr>
          <w:sz w:val="26"/>
        </w:rPr>
        <w:t>, in a timely manner,</w:t>
      </w:r>
      <w:r w:rsidRPr="00612B81">
        <w:rPr>
          <w:sz w:val="26"/>
        </w:rPr>
        <w:t xml:space="preserve"> upon the </w:t>
      </w:r>
      <w:r w:rsidR="00E37133" w:rsidRPr="00612B81">
        <w:rPr>
          <w:sz w:val="26"/>
        </w:rPr>
        <w:t xml:space="preserve">bidders whose </w:t>
      </w:r>
      <w:r w:rsidRPr="00612B81">
        <w:rPr>
          <w:sz w:val="26"/>
        </w:rPr>
        <w:t>solicited bids for</w:t>
      </w:r>
      <w:r w:rsidR="00E42967" w:rsidRPr="00612B81">
        <w:rPr>
          <w:sz w:val="26"/>
        </w:rPr>
        <w:t xml:space="preserve"> Tier I,</w:t>
      </w:r>
      <w:r w:rsidRPr="00612B81">
        <w:rPr>
          <w:sz w:val="26"/>
        </w:rPr>
        <w:t xml:space="preserve"> Tier I Photo</w:t>
      </w:r>
      <w:r w:rsidR="00E37133" w:rsidRPr="00612B81">
        <w:rPr>
          <w:sz w:val="26"/>
        </w:rPr>
        <w:t>-Voltaic</w:t>
      </w:r>
      <w:r w:rsidR="00E42967" w:rsidRPr="00612B81">
        <w:rPr>
          <w:sz w:val="26"/>
        </w:rPr>
        <w:t xml:space="preserve"> and Tier II</w:t>
      </w:r>
      <w:r w:rsidR="00E37133" w:rsidRPr="00612B81">
        <w:rPr>
          <w:sz w:val="26"/>
        </w:rPr>
        <w:t xml:space="preserve"> Alternative Energy Cred</w:t>
      </w:r>
      <w:r w:rsidRPr="00612B81">
        <w:rPr>
          <w:sz w:val="26"/>
        </w:rPr>
        <w:t>its</w:t>
      </w:r>
      <w:r w:rsidR="00E37133" w:rsidRPr="00612B81">
        <w:rPr>
          <w:sz w:val="26"/>
        </w:rPr>
        <w:t xml:space="preserve"> were rejected </w:t>
      </w:r>
      <w:r w:rsidR="00A75641" w:rsidRPr="00612B81">
        <w:rPr>
          <w:sz w:val="26"/>
        </w:rPr>
        <w:t>by Secretarial Letter issued on October 22, 2009</w:t>
      </w:r>
      <w:r w:rsidR="00E42967" w:rsidRPr="00612B81">
        <w:rPr>
          <w:sz w:val="26"/>
        </w:rPr>
        <w:t>,</w:t>
      </w:r>
      <w:r w:rsidR="00A75641" w:rsidRPr="00612B81">
        <w:rPr>
          <w:sz w:val="26"/>
        </w:rPr>
        <w:t xml:space="preserve"> </w:t>
      </w:r>
      <w:r w:rsidR="00E37133" w:rsidRPr="00612B81">
        <w:rPr>
          <w:sz w:val="26"/>
        </w:rPr>
        <w:t>as non-competitive.</w:t>
      </w:r>
    </w:p>
    <w:p w:rsidR="00C673EB" w:rsidRPr="00612B81" w:rsidRDefault="00C673EB" w:rsidP="009B57F6">
      <w:pPr>
        <w:spacing w:line="360" w:lineRule="auto"/>
        <w:ind w:firstLine="720"/>
        <w:rPr>
          <w:sz w:val="26"/>
        </w:rPr>
      </w:pPr>
    </w:p>
    <w:p w:rsidR="00DD0D92" w:rsidRPr="00612B81" w:rsidRDefault="00C673EB" w:rsidP="009B57F6">
      <w:pPr>
        <w:spacing w:line="360" w:lineRule="auto"/>
        <w:ind w:firstLine="720"/>
        <w:rPr>
          <w:sz w:val="26"/>
        </w:rPr>
      </w:pPr>
      <w:r w:rsidRPr="00612B81">
        <w:rPr>
          <w:sz w:val="26"/>
        </w:rPr>
        <w:tab/>
        <w:t xml:space="preserve">5.  That the request for relief set forth in the Answer of the PP&amp;L Industrial Consumer Alliance is </w:t>
      </w:r>
      <w:r w:rsidR="00652AF9">
        <w:rPr>
          <w:sz w:val="26"/>
        </w:rPr>
        <w:t>denied as being beyond the limited scope of this Opinion and Order.</w:t>
      </w:r>
      <w:r w:rsidR="00652AF9" w:rsidRPr="00612B81">
        <w:rPr>
          <w:sz w:val="26"/>
        </w:rPr>
        <w:t xml:space="preserve"> </w:t>
      </w:r>
    </w:p>
    <w:p w:rsidR="00C5597B" w:rsidRDefault="00C5597B">
      <w:pPr>
        <w:rPr>
          <w:sz w:val="26"/>
        </w:rPr>
      </w:pPr>
    </w:p>
    <w:p w:rsidR="006C130F" w:rsidRPr="00612B81" w:rsidRDefault="004E5CDF" w:rsidP="009B57F6">
      <w:pPr>
        <w:spacing w:line="360" w:lineRule="auto"/>
        <w:ind w:firstLine="720"/>
        <w:rPr>
          <w:sz w:val="26"/>
        </w:rPr>
      </w:pPr>
      <w:r w:rsidRPr="00612B81">
        <w:rPr>
          <w:sz w:val="26"/>
        </w:rPr>
        <w:tab/>
      </w:r>
      <w:r w:rsidR="00C673EB" w:rsidRPr="00612B81">
        <w:rPr>
          <w:sz w:val="26"/>
        </w:rPr>
        <w:t>6</w:t>
      </w:r>
      <w:r w:rsidR="008E2D0D" w:rsidRPr="00612B81">
        <w:rPr>
          <w:sz w:val="26"/>
        </w:rPr>
        <w:t xml:space="preserve">.  </w:t>
      </w:r>
      <w:r w:rsidR="006C130F" w:rsidRPr="00612B81">
        <w:rPr>
          <w:sz w:val="26"/>
        </w:rPr>
        <w:t xml:space="preserve">That </w:t>
      </w:r>
      <w:r w:rsidR="00916A15" w:rsidRPr="00612B81">
        <w:rPr>
          <w:sz w:val="26"/>
        </w:rPr>
        <w:t xml:space="preserve">this proceeding shall be </w:t>
      </w:r>
      <w:r w:rsidR="00F70911" w:rsidRPr="00612B81">
        <w:rPr>
          <w:sz w:val="26"/>
        </w:rPr>
        <w:t>marked closed.</w:t>
      </w:r>
    </w:p>
    <w:p w:rsidR="001B2A3C" w:rsidRPr="00612B81" w:rsidRDefault="005732A1" w:rsidP="009B57F6">
      <w:pPr>
        <w:spacing w:line="360" w:lineRule="auto"/>
        <w:ind w:firstLine="720"/>
        <w:rPr>
          <w:sz w:val="26"/>
        </w:rPr>
      </w:pPr>
      <w:r>
        <w:rPr>
          <w:noProof/>
          <w:sz w:val="26"/>
        </w:rPr>
        <w:drawing>
          <wp:anchor distT="0" distB="0" distL="114300" distR="114300" simplePos="0" relativeHeight="251658240" behindDoc="1" locked="0" layoutInCell="1" allowOverlap="1">
            <wp:simplePos x="0" y="0"/>
            <wp:positionH relativeFrom="column">
              <wp:posOffset>2762250</wp:posOffset>
            </wp:positionH>
            <wp:positionV relativeFrom="paragraph">
              <wp:posOffset>112395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610682" w:rsidRPr="00612B81" w:rsidRDefault="00610682" w:rsidP="009B57F6">
      <w:pPr>
        <w:spacing w:line="360" w:lineRule="auto"/>
        <w:ind w:firstLine="720"/>
        <w:rPr>
          <w:b/>
          <w:sz w:val="26"/>
        </w:rPr>
      </w:pPr>
      <w:r w:rsidRPr="00612B81">
        <w:rPr>
          <w:b/>
          <w:sz w:val="26"/>
        </w:rPr>
        <w:tab/>
      </w:r>
      <w:r w:rsidRPr="00612B81">
        <w:rPr>
          <w:b/>
          <w:sz w:val="26"/>
        </w:rPr>
        <w:tab/>
      </w:r>
      <w:r w:rsidRPr="00612B81">
        <w:rPr>
          <w:b/>
          <w:sz w:val="26"/>
        </w:rPr>
        <w:tab/>
      </w:r>
      <w:r w:rsidRPr="00612B81">
        <w:rPr>
          <w:b/>
          <w:sz w:val="26"/>
        </w:rPr>
        <w:tab/>
      </w:r>
      <w:r w:rsidRPr="00612B81">
        <w:rPr>
          <w:b/>
          <w:sz w:val="26"/>
        </w:rPr>
        <w:tab/>
      </w:r>
      <w:r w:rsidRPr="00612B81">
        <w:rPr>
          <w:b/>
          <w:sz w:val="26"/>
        </w:rPr>
        <w:tab/>
        <w:t>BY THE COMMISSION</w:t>
      </w:r>
      <w:r w:rsidR="00235E74" w:rsidRPr="00612B81">
        <w:rPr>
          <w:b/>
          <w:sz w:val="26"/>
        </w:rPr>
        <w:t>,</w:t>
      </w:r>
    </w:p>
    <w:p w:rsidR="00065A92" w:rsidRPr="00612B81" w:rsidRDefault="00065A92" w:rsidP="009B57F6">
      <w:pPr>
        <w:spacing w:line="360" w:lineRule="auto"/>
        <w:ind w:firstLine="720"/>
        <w:rPr>
          <w:b/>
          <w:sz w:val="26"/>
        </w:rPr>
      </w:pPr>
    </w:p>
    <w:p w:rsidR="00065A92" w:rsidRPr="00612B81" w:rsidRDefault="00065A92" w:rsidP="009B57F6">
      <w:pPr>
        <w:spacing w:line="360" w:lineRule="auto"/>
        <w:ind w:firstLine="720"/>
        <w:rPr>
          <w:b/>
          <w:sz w:val="26"/>
        </w:rPr>
      </w:pPr>
    </w:p>
    <w:p w:rsidR="00610682" w:rsidRPr="00612B81" w:rsidRDefault="00610682" w:rsidP="00C5597B">
      <w:pPr>
        <w:rPr>
          <w:sz w:val="26"/>
        </w:rPr>
      </w:pPr>
      <w:r w:rsidRPr="00612B81">
        <w:rPr>
          <w:sz w:val="26"/>
        </w:rPr>
        <w:tab/>
      </w:r>
      <w:r w:rsidRPr="00612B81">
        <w:rPr>
          <w:sz w:val="26"/>
        </w:rPr>
        <w:tab/>
      </w:r>
      <w:r w:rsidRPr="00612B81">
        <w:rPr>
          <w:sz w:val="26"/>
        </w:rPr>
        <w:tab/>
      </w:r>
      <w:r w:rsidRPr="00612B81">
        <w:rPr>
          <w:sz w:val="26"/>
        </w:rPr>
        <w:tab/>
      </w:r>
      <w:r w:rsidRPr="00612B81">
        <w:rPr>
          <w:sz w:val="26"/>
        </w:rPr>
        <w:tab/>
      </w:r>
      <w:r w:rsidRPr="00612B81">
        <w:rPr>
          <w:sz w:val="26"/>
        </w:rPr>
        <w:tab/>
      </w:r>
      <w:r w:rsidR="00C5597B">
        <w:rPr>
          <w:sz w:val="26"/>
        </w:rPr>
        <w:tab/>
      </w:r>
      <w:r w:rsidRPr="00612B81">
        <w:rPr>
          <w:sz w:val="26"/>
        </w:rPr>
        <w:t>James J. McNulty</w:t>
      </w:r>
    </w:p>
    <w:p w:rsidR="00610682" w:rsidRPr="00612B81" w:rsidRDefault="00610682" w:rsidP="00C5597B">
      <w:pPr>
        <w:rPr>
          <w:sz w:val="26"/>
        </w:rPr>
      </w:pPr>
      <w:r w:rsidRPr="00612B81">
        <w:rPr>
          <w:sz w:val="26"/>
        </w:rPr>
        <w:tab/>
      </w:r>
      <w:r w:rsidRPr="00612B81">
        <w:rPr>
          <w:sz w:val="26"/>
        </w:rPr>
        <w:tab/>
      </w:r>
      <w:r w:rsidRPr="00612B81">
        <w:rPr>
          <w:sz w:val="26"/>
        </w:rPr>
        <w:tab/>
      </w:r>
      <w:r w:rsidRPr="00612B81">
        <w:rPr>
          <w:sz w:val="26"/>
        </w:rPr>
        <w:tab/>
      </w:r>
      <w:r w:rsidRPr="00612B81">
        <w:rPr>
          <w:sz w:val="26"/>
        </w:rPr>
        <w:tab/>
      </w:r>
      <w:r w:rsidR="00C5597B">
        <w:rPr>
          <w:sz w:val="26"/>
        </w:rPr>
        <w:tab/>
      </w:r>
      <w:r w:rsidRPr="00612B81">
        <w:rPr>
          <w:sz w:val="26"/>
        </w:rPr>
        <w:tab/>
        <w:t>Secretary</w:t>
      </w:r>
    </w:p>
    <w:p w:rsidR="00610682" w:rsidRDefault="00610682" w:rsidP="009B57F6">
      <w:pPr>
        <w:spacing w:line="360" w:lineRule="auto"/>
        <w:ind w:firstLine="720"/>
        <w:rPr>
          <w:sz w:val="26"/>
        </w:rPr>
      </w:pPr>
    </w:p>
    <w:p w:rsidR="00C5597B" w:rsidRPr="00612B81" w:rsidRDefault="00C5597B" w:rsidP="009B57F6">
      <w:pPr>
        <w:spacing w:line="360" w:lineRule="auto"/>
        <w:ind w:firstLine="720"/>
        <w:rPr>
          <w:sz w:val="26"/>
        </w:rPr>
      </w:pPr>
    </w:p>
    <w:p w:rsidR="00610682" w:rsidRPr="00612B81" w:rsidRDefault="00610682" w:rsidP="009B57F6">
      <w:pPr>
        <w:spacing w:line="360" w:lineRule="auto"/>
        <w:rPr>
          <w:sz w:val="26"/>
        </w:rPr>
      </w:pPr>
      <w:r w:rsidRPr="00612B81">
        <w:rPr>
          <w:sz w:val="26"/>
        </w:rPr>
        <w:t>(SEAL)</w:t>
      </w:r>
    </w:p>
    <w:p w:rsidR="00610682" w:rsidRPr="00612B81" w:rsidRDefault="00610682" w:rsidP="009B57F6">
      <w:pPr>
        <w:spacing w:line="360" w:lineRule="auto"/>
        <w:rPr>
          <w:sz w:val="26"/>
        </w:rPr>
      </w:pPr>
      <w:r w:rsidRPr="00612B81">
        <w:rPr>
          <w:sz w:val="26"/>
        </w:rPr>
        <w:t>ORDER ADOPTED:</w:t>
      </w:r>
      <w:r w:rsidR="00B821BB" w:rsidRPr="00612B81">
        <w:rPr>
          <w:sz w:val="26"/>
        </w:rPr>
        <w:t xml:space="preserve">  </w:t>
      </w:r>
      <w:r w:rsidR="00065A92" w:rsidRPr="00612B81">
        <w:rPr>
          <w:sz w:val="26"/>
        </w:rPr>
        <w:t>December 17</w:t>
      </w:r>
      <w:r w:rsidR="00E042D6" w:rsidRPr="00612B81">
        <w:rPr>
          <w:sz w:val="26"/>
        </w:rPr>
        <w:t>, 2009</w:t>
      </w:r>
    </w:p>
    <w:p w:rsidR="00BD5C56" w:rsidRPr="005732A1" w:rsidRDefault="00610682" w:rsidP="009B57F6">
      <w:pPr>
        <w:spacing w:line="360" w:lineRule="auto"/>
        <w:rPr>
          <w:b/>
          <w:sz w:val="26"/>
        </w:rPr>
      </w:pPr>
      <w:r w:rsidRPr="00612B81">
        <w:rPr>
          <w:sz w:val="26"/>
        </w:rPr>
        <w:t>ORDER ENTERED:</w:t>
      </w:r>
      <w:r w:rsidR="005045C0" w:rsidRPr="00612B81">
        <w:rPr>
          <w:sz w:val="26"/>
        </w:rPr>
        <w:t xml:space="preserve">  </w:t>
      </w:r>
      <w:r w:rsidR="005732A1">
        <w:rPr>
          <w:b/>
          <w:sz w:val="26"/>
        </w:rPr>
        <w:t>December 28, 2009</w:t>
      </w:r>
    </w:p>
    <w:sectPr w:rsidR="00BD5C56" w:rsidRPr="005732A1" w:rsidSect="00AE062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66B" w:rsidRDefault="00BF066B">
      <w:r>
        <w:separator/>
      </w:r>
    </w:p>
  </w:endnote>
  <w:endnote w:type="continuationSeparator" w:id="0">
    <w:p w:rsidR="00BF066B" w:rsidRDefault="00BF0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D3" w:rsidRDefault="00641FF4" w:rsidP="00DA4DF0">
    <w:pPr>
      <w:pStyle w:val="Footer"/>
      <w:framePr w:wrap="around" w:vAnchor="text" w:hAnchor="margin" w:xAlign="center" w:y="1"/>
      <w:rPr>
        <w:rStyle w:val="PageNumber"/>
      </w:rPr>
    </w:pPr>
    <w:r>
      <w:rPr>
        <w:rStyle w:val="PageNumber"/>
      </w:rPr>
      <w:fldChar w:fldCharType="begin"/>
    </w:r>
    <w:r w:rsidR="00C045D3">
      <w:rPr>
        <w:rStyle w:val="PageNumber"/>
      </w:rPr>
      <w:instrText xml:space="preserve">PAGE  </w:instrText>
    </w:r>
    <w:r>
      <w:rPr>
        <w:rStyle w:val="PageNumber"/>
      </w:rPr>
      <w:fldChar w:fldCharType="end"/>
    </w:r>
  </w:p>
  <w:p w:rsidR="00C045D3" w:rsidRDefault="00C04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D3" w:rsidRDefault="00641FF4" w:rsidP="00DA4DF0">
    <w:pPr>
      <w:pStyle w:val="Footer"/>
      <w:framePr w:wrap="around" w:vAnchor="text" w:hAnchor="margin" w:xAlign="center" w:y="1"/>
      <w:rPr>
        <w:rStyle w:val="PageNumber"/>
      </w:rPr>
    </w:pPr>
    <w:r>
      <w:rPr>
        <w:rStyle w:val="PageNumber"/>
      </w:rPr>
      <w:fldChar w:fldCharType="begin"/>
    </w:r>
    <w:r w:rsidR="00C045D3">
      <w:rPr>
        <w:rStyle w:val="PageNumber"/>
      </w:rPr>
      <w:instrText xml:space="preserve">PAGE  </w:instrText>
    </w:r>
    <w:r>
      <w:rPr>
        <w:rStyle w:val="PageNumber"/>
      </w:rPr>
      <w:fldChar w:fldCharType="separate"/>
    </w:r>
    <w:r w:rsidR="005732A1">
      <w:rPr>
        <w:rStyle w:val="PageNumber"/>
        <w:noProof/>
      </w:rPr>
      <w:t>7</w:t>
    </w:r>
    <w:r>
      <w:rPr>
        <w:rStyle w:val="PageNumber"/>
      </w:rPr>
      <w:fldChar w:fldCharType="end"/>
    </w:r>
  </w:p>
  <w:p w:rsidR="00C045D3" w:rsidRDefault="00C0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66B" w:rsidRDefault="00BF066B">
      <w:r>
        <w:separator/>
      </w:r>
    </w:p>
  </w:footnote>
  <w:footnote w:type="continuationSeparator" w:id="0">
    <w:p w:rsidR="00BF066B" w:rsidRDefault="00BF0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823256"/>
    <w:multiLevelType w:val="hybridMultilevel"/>
    <w:tmpl w:val="8CBC6F6E"/>
    <w:lvl w:ilvl="0" w:tplc="6802934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06D4327"/>
    <w:multiLevelType w:val="hybridMultilevel"/>
    <w:tmpl w:val="00F05978"/>
    <w:lvl w:ilvl="0" w:tplc="70E22C90">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67908"/>
    <w:rsid w:val="00014F24"/>
    <w:rsid w:val="0002251C"/>
    <w:rsid w:val="00031E94"/>
    <w:rsid w:val="0003279B"/>
    <w:rsid w:val="0003408F"/>
    <w:rsid w:val="00035E73"/>
    <w:rsid w:val="00042184"/>
    <w:rsid w:val="00047743"/>
    <w:rsid w:val="00051D85"/>
    <w:rsid w:val="00054C90"/>
    <w:rsid w:val="00062B69"/>
    <w:rsid w:val="00063975"/>
    <w:rsid w:val="00065A92"/>
    <w:rsid w:val="00074A1A"/>
    <w:rsid w:val="0008168C"/>
    <w:rsid w:val="00085D9A"/>
    <w:rsid w:val="000876F7"/>
    <w:rsid w:val="00096358"/>
    <w:rsid w:val="000A2AF5"/>
    <w:rsid w:val="000A2B96"/>
    <w:rsid w:val="000A3AA1"/>
    <w:rsid w:val="000A5E0E"/>
    <w:rsid w:val="000B1C9A"/>
    <w:rsid w:val="000B1C9B"/>
    <w:rsid w:val="000B5EEB"/>
    <w:rsid w:val="000C04F4"/>
    <w:rsid w:val="000C4CD7"/>
    <w:rsid w:val="000C539B"/>
    <w:rsid w:val="000D3C93"/>
    <w:rsid w:val="000D4B47"/>
    <w:rsid w:val="000D4F3C"/>
    <w:rsid w:val="000D5F4A"/>
    <w:rsid w:val="000E01FB"/>
    <w:rsid w:val="000E1290"/>
    <w:rsid w:val="001009F7"/>
    <w:rsid w:val="00100B13"/>
    <w:rsid w:val="00101C13"/>
    <w:rsid w:val="00103A80"/>
    <w:rsid w:val="001078DE"/>
    <w:rsid w:val="0011434E"/>
    <w:rsid w:val="001159B7"/>
    <w:rsid w:val="001177D1"/>
    <w:rsid w:val="00121F26"/>
    <w:rsid w:val="0013090D"/>
    <w:rsid w:val="0013115D"/>
    <w:rsid w:val="00132790"/>
    <w:rsid w:val="00135B9A"/>
    <w:rsid w:val="00136A1A"/>
    <w:rsid w:val="00143622"/>
    <w:rsid w:val="00144077"/>
    <w:rsid w:val="00147593"/>
    <w:rsid w:val="00153DCF"/>
    <w:rsid w:val="00157929"/>
    <w:rsid w:val="001606AB"/>
    <w:rsid w:val="001657C0"/>
    <w:rsid w:val="001702D4"/>
    <w:rsid w:val="00171012"/>
    <w:rsid w:val="0017641D"/>
    <w:rsid w:val="00176DDE"/>
    <w:rsid w:val="00180AA6"/>
    <w:rsid w:val="001836CE"/>
    <w:rsid w:val="00185740"/>
    <w:rsid w:val="0018579B"/>
    <w:rsid w:val="00185E48"/>
    <w:rsid w:val="001870FA"/>
    <w:rsid w:val="00191AC0"/>
    <w:rsid w:val="001A740B"/>
    <w:rsid w:val="001B271C"/>
    <w:rsid w:val="001B2A3C"/>
    <w:rsid w:val="001B4714"/>
    <w:rsid w:val="001B6633"/>
    <w:rsid w:val="001C2CDA"/>
    <w:rsid w:val="001C36DD"/>
    <w:rsid w:val="001F288C"/>
    <w:rsid w:val="001F58EC"/>
    <w:rsid w:val="001F5936"/>
    <w:rsid w:val="001F6EA0"/>
    <w:rsid w:val="001F7A1A"/>
    <w:rsid w:val="002023E6"/>
    <w:rsid w:val="00213737"/>
    <w:rsid w:val="00221828"/>
    <w:rsid w:val="0022561D"/>
    <w:rsid w:val="00235E74"/>
    <w:rsid w:val="002360D0"/>
    <w:rsid w:val="00241595"/>
    <w:rsid w:val="002448EC"/>
    <w:rsid w:val="002540EE"/>
    <w:rsid w:val="00254600"/>
    <w:rsid w:val="0026089D"/>
    <w:rsid w:val="002937D9"/>
    <w:rsid w:val="00295DC9"/>
    <w:rsid w:val="002963AB"/>
    <w:rsid w:val="002A114B"/>
    <w:rsid w:val="002A2519"/>
    <w:rsid w:val="002A4434"/>
    <w:rsid w:val="002A4612"/>
    <w:rsid w:val="002A4A9D"/>
    <w:rsid w:val="002B28DF"/>
    <w:rsid w:val="002B6580"/>
    <w:rsid w:val="002B677F"/>
    <w:rsid w:val="002C0DD5"/>
    <w:rsid w:val="002C208C"/>
    <w:rsid w:val="002C29A8"/>
    <w:rsid w:val="002C4FD6"/>
    <w:rsid w:val="002D103A"/>
    <w:rsid w:val="002D46D8"/>
    <w:rsid w:val="002E0430"/>
    <w:rsid w:val="002E22E1"/>
    <w:rsid w:val="002E251A"/>
    <w:rsid w:val="002E50C4"/>
    <w:rsid w:val="002E6318"/>
    <w:rsid w:val="002F70BC"/>
    <w:rsid w:val="002F76C6"/>
    <w:rsid w:val="002F7C8F"/>
    <w:rsid w:val="003011AF"/>
    <w:rsid w:val="003074B0"/>
    <w:rsid w:val="0031283F"/>
    <w:rsid w:val="0031349C"/>
    <w:rsid w:val="00316C8B"/>
    <w:rsid w:val="00323265"/>
    <w:rsid w:val="00325829"/>
    <w:rsid w:val="00341266"/>
    <w:rsid w:val="00346A84"/>
    <w:rsid w:val="0035164A"/>
    <w:rsid w:val="00351D23"/>
    <w:rsid w:val="00355DF4"/>
    <w:rsid w:val="00357B8F"/>
    <w:rsid w:val="00366E47"/>
    <w:rsid w:val="00367908"/>
    <w:rsid w:val="003701DE"/>
    <w:rsid w:val="00374411"/>
    <w:rsid w:val="0038230E"/>
    <w:rsid w:val="003872C2"/>
    <w:rsid w:val="00387D7C"/>
    <w:rsid w:val="00391040"/>
    <w:rsid w:val="003A4A67"/>
    <w:rsid w:val="003B06E3"/>
    <w:rsid w:val="003B2072"/>
    <w:rsid w:val="003B4726"/>
    <w:rsid w:val="003B7429"/>
    <w:rsid w:val="003C2774"/>
    <w:rsid w:val="003C530B"/>
    <w:rsid w:val="003D3C96"/>
    <w:rsid w:val="003E23B8"/>
    <w:rsid w:val="003F17B5"/>
    <w:rsid w:val="003F21FA"/>
    <w:rsid w:val="003F738F"/>
    <w:rsid w:val="004014E7"/>
    <w:rsid w:val="004052C4"/>
    <w:rsid w:val="00406BF7"/>
    <w:rsid w:val="00407F2C"/>
    <w:rsid w:val="00410259"/>
    <w:rsid w:val="00415E9C"/>
    <w:rsid w:val="0042002B"/>
    <w:rsid w:val="004235E0"/>
    <w:rsid w:val="00433E73"/>
    <w:rsid w:val="00434DC6"/>
    <w:rsid w:val="00437EBD"/>
    <w:rsid w:val="004459EB"/>
    <w:rsid w:val="00446AAE"/>
    <w:rsid w:val="004524D3"/>
    <w:rsid w:val="0045616A"/>
    <w:rsid w:val="0047129C"/>
    <w:rsid w:val="004736D0"/>
    <w:rsid w:val="004746EF"/>
    <w:rsid w:val="00476B6F"/>
    <w:rsid w:val="00496CE5"/>
    <w:rsid w:val="00496DD3"/>
    <w:rsid w:val="004A110F"/>
    <w:rsid w:val="004A33EE"/>
    <w:rsid w:val="004A632E"/>
    <w:rsid w:val="004A74C6"/>
    <w:rsid w:val="004B2217"/>
    <w:rsid w:val="004B3DFB"/>
    <w:rsid w:val="004D1CBA"/>
    <w:rsid w:val="004D234D"/>
    <w:rsid w:val="004D3A70"/>
    <w:rsid w:val="004D52F8"/>
    <w:rsid w:val="004E0980"/>
    <w:rsid w:val="004E0B56"/>
    <w:rsid w:val="004E196E"/>
    <w:rsid w:val="004E34C6"/>
    <w:rsid w:val="004E4582"/>
    <w:rsid w:val="004E4F1D"/>
    <w:rsid w:val="004E5CDF"/>
    <w:rsid w:val="004F0EC6"/>
    <w:rsid w:val="004F13F9"/>
    <w:rsid w:val="004F29E5"/>
    <w:rsid w:val="004F6669"/>
    <w:rsid w:val="00500534"/>
    <w:rsid w:val="0050086D"/>
    <w:rsid w:val="00500D9D"/>
    <w:rsid w:val="005045C0"/>
    <w:rsid w:val="0050539A"/>
    <w:rsid w:val="00512674"/>
    <w:rsid w:val="00516F42"/>
    <w:rsid w:val="00517042"/>
    <w:rsid w:val="00517F9F"/>
    <w:rsid w:val="005208A3"/>
    <w:rsid w:val="005227D0"/>
    <w:rsid w:val="005371EB"/>
    <w:rsid w:val="0053786C"/>
    <w:rsid w:val="00541EAF"/>
    <w:rsid w:val="005455FC"/>
    <w:rsid w:val="00550789"/>
    <w:rsid w:val="00552084"/>
    <w:rsid w:val="00560099"/>
    <w:rsid w:val="00560882"/>
    <w:rsid w:val="00561E95"/>
    <w:rsid w:val="005631EA"/>
    <w:rsid w:val="00565A23"/>
    <w:rsid w:val="00567E6A"/>
    <w:rsid w:val="00572634"/>
    <w:rsid w:val="00572A52"/>
    <w:rsid w:val="005732A1"/>
    <w:rsid w:val="005813BE"/>
    <w:rsid w:val="00582B15"/>
    <w:rsid w:val="00584FF0"/>
    <w:rsid w:val="005860FC"/>
    <w:rsid w:val="00590DF7"/>
    <w:rsid w:val="005B1A11"/>
    <w:rsid w:val="005B2519"/>
    <w:rsid w:val="005B505F"/>
    <w:rsid w:val="005B53AF"/>
    <w:rsid w:val="005B6972"/>
    <w:rsid w:val="005C0EE4"/>
    <w:rsid w:val="005C2732"/>
    <w:rsid w:val="005C6B1A"/>
    <w:rsid w:val="005D266F"/>
    <w:rsid w:val="005D444E"/>
    <w:rsid w:val="005E4500"/>
    <w:rsid w:val="005E555C"/>
    <w:rsid w:val="005F2F5F"/>
    <w:rsid w:val="005F5AEB"/>
    <w:rsid w:val="006029C1"/>
    <w:rsid w:val="00610682"/>
    <w:rsid w:val="00612B81"/>
    <w:rsid w:val="00620995"/>
    <w:rsid w:val="00622D50"/>
    <w:rsid w:val="00626A14"/>
    <w:rsid w:val="00626B37"/>
    <w:rsid w:val="0062751A"/>
    <w:rsid w:val="00633197"/>
    <w:rsid w:val="00634674"/>
    <w:rsid w:val="00640668"/>
    <w:rsid w:val="00641FF4"/>
    <w:rsid w:val="00644B53"/>
    <w:rsid w:val="00652AF9"/>
    <w:rsid w:val="006872DA"/>
    <w:rsid w:val="0068749C"/>
    <w:rsid w:val="00692B51"/>
    <w:rsid w:val="00694337"/>
    <w:rsid w:val="006A21B3"/>
    <w:rsid w:val="006A5E3F"/>
    <w:rsid w:val="006A6030"/>
    <w:rsid w:val="006B324A"/>
    <w:rsid w:val="006C08DC"/>
    <w:rsid w:val="006C130F"/>
    <w:rsid w:val="006C2D53"/>
    <w:rsid w:val="006C5039"/>
    <w:rsid w:val="006C72B1"/>
    <w:rsid w:val="006D00DE"/>
    <w:rsid w:val="006D66BC"/>
    <w:rsid w:val="006E475B"/>
    <w:rsid w:val="006F2FA5"/>
    <w:rsid w:val="006F3EEA"/>
    <w:rsid w:val="006F3FF3"/>
    <w:rsid w:val="006F468E"/>
    <w:rsid w:val="007038DA"/>
    <w:rsid w:val="00705C9D"/>
    <w:rsid w:val="00706C5D"/>
    <w:rsid w:val="00715404"/>
    <w:rsid w:val="00715CFE"/>
    <w:rsid w:val="00723C7D"/>
    <w:rsid w:val="00725831"/>
    <w:rsid w:val="0072715C"/>
    <w:rsid w:val="00732C89"/>
    <w:rsid w:val="0073487A"/>
    <w:rsid w:val="00734F58"/>
    <w:rsid w:val="00737417"/>
    <w:rsid w:val="00761F66"/>
    <w:rsid w:val="00763834"/>
    <w:rsid w:val="00767CD5"/>
    <w:rsid w:val="00771011"/>
    <w:rsid w:val="00775655"/>
    <w:rsid w:val="00780900"/>
    <w:rsid w:val="00792D57"/>
    <w:rsid w:val="00797A5F"/>
    <w:rsid w:val="007A5A70"/>
    <w:rsid w:val="007B346A"/>
    <w:rsid w:val="007B421C"/>
    <w:rsid w:val="007B6D3B"/>
    <w:rsid w:val="007B79AE"/>
    <w:rsid w:val="007B7FF4"/>
    <w:rsid w:val="007C2DBC"/>
    <w:rsid w:val="007C6811"/>
    <w:rsid w:val="007D1FE6"/>
    <w:rsid w:val="007D6F71"/>
    <w:rsid w:val="007E1152"/>
    <w:rsid w:val="007E426C"/>
    <w:rsid w:val="007F6D13"/>
    <w:rsid w:val="00801054"/>
    <w:rsid w:val="00803618"/>
    <w:rsid w:val="00806524"/>
    <w:rsid w:val="00810CAB"/>
    <w:rsid w:val="00840C8D"/>
    <w:rsid w:val="00845600"/>
    <w:rsid w:val="00852739"/>
    <w:rsid w:val="0085319C"/>
    <w:rsid w:val="00853F46"/>
    <w:rsid w:val="00853F51"/>
    <w:rsid w:val="0086568D"/>
    <w:rsid w:val="0086620C"/>
    <w:rsid w:val="00867117"/>
    <w:rsid w:val="008779DC"/>
    <w:rsid w:val="00881196"/>
    <w:rsid w:val="00881244"/>
    <w:rsid w:val="00893C46"/>
    <w:rsid w:val="00894A2B"/>
    <w:rsid w:val="0089531C"/>
    <w:rsid w:val="008A0C89"/>
    <w:rsid w:val="008B24A5"/>
    <w:rsid w:val="008B6CB5"/>
    <w:rsid w:val="008C6910"/>
    <w:rsid w:val="008D042E"/>
    <w:rsid w:val="008D2CBC"/>
    <w:rsid w:val="008D3F8B"/>
    <w:rsid w:val="008D6221"/>
    <w:rsid w:val="008E0A59"/>
    <w:rsid w:val="008E2B6D"/>
    <w:rsid w:val="008E2D0D"/>
    <w:rsid w:val="008E688C"/>
    <w:rsid w:val="008E75A1"/>
    <w:rsid w:val="008F203D"/>
    <w:rsid w:val="008F355B"/>
    <w:rsid w:val="008F367C"/>
    <w:rsid w:val="008F6D20"/>
    <w:rsid w:val="00900DE8"/>
    <w:rsid w:val="0090368C"/>
    <w:rsid w:val="00904BFF"/>
    <w:rsid w:val="00907062"/>
    <w:rsid w:val="00907662"/>
    <w:rsid w:val="00910BDD"/>
    <w:rsid w:val="00912C0D"/>
    <w:rsid w:val="00916A15"/>
    <w:rsid w:val="00921DB7"/>
    <w:rsid w:val="009220D5"/>
    <w:rsid w:val="00924AF6"/>
    <w:rsid w:val="00925FDA"/>
    <w:rsid w:val="0092780A"/>
    <w:rsid w:val="00931A73"/>
    <w:rsid w:val="00936DD2"/>
    <w:rsid w:val="0093762C"/>
    <w:rsid w:val="009400AC"/>
    <w:rsid w:val="0095242E"/>
    <w:rsid w:val="0096637D"/>
    <w:rsid w:val="009820EA"/>
    <w:rsid w:val="009851AE"/>
    <w:rsid w:val="00992C18"/>
    <w:rsid w:val="0099362D"/>
    <w:rsid w:val="009975A3"/>
    <w:rsid w:val="009A282F"/>
    <w:rsid w:val="009A37DE"/>
    <w:rsid w:val="009A6424"/>
    <w:rsid w:val="009B0E51"/>
    <w:rsid w:val="009B1785"/>
    <w:rsid w:val="009B3222"/>
    <w:rsid w:val="009B57F6"/>
    <w:rsid w:val="009C3727"/>
    <w:rsid w:val="009C5A5C"/>
    <w:rsid w:val="009C63CF"/>
    <w:rsid w:val="009D1E01"/>
    <w:rsid w:val="009E2EB6"/>
    <w:rsid w:val="009E711A"/>
    <w:rsid w:val="009F1046"/>
    <w:rsid w:val="009F36E1"/>
    <w:rsid w:val="00A02B7F"/>
    <w:rsid w:val="00A0538F"/>
    <w:rsid w:val="00A14414"/>
    <w:rsid w:val="00A15E63"/>
    <w:rsid w:val="00A21897"/>
    <w:rsid w:val="00A309F1"/>
    <w:rsid w:val="00A32EBD"/>
    <w:rsid w:val="00A40401"/>
    <w:rsid w:val="00A57316"/>
    <w:rsid w:val="00A67E6E"/>
    <w:rsid w:val="00A75641"/>
    <w:rsid w:val="00A76B43"/>
    <w:rsid w:val="00A77178"/>
    <w:rsid w:val="00A809F2"/>
    <w:rsid w:val="00A82768"/>
    <w:rsid w:val="00A85918"/>
    <w:rsid w:val="00A8679B"/>
    <w:rsid w:val="00A87D05"/>
    <w:rsid w:val="00A9194E"/>
    <w:rsid w:val="00A96516"/>
    <w:rsid w:val="00AA2203"/>
    <w:rsid w:val="00AB17AF"/>
    <w:rsid w:val="00AC1729"/>
    <w:rsid w:val="00AC2497"/>
    <w:rsid w:val="00AC753F"/>
    <w:rsid w:val="00AE062C"/>
    <w:rsid w:val="00AF1188"/>
    <w:rsid w:val="00AF11FB"/>
    <w:rsid w:val="00B01AD0"/>
    <w:rsid w:val="00B0362F"/>
    <w:rsid w:val="00B072F5"/>
    <w:rsid w:val="00B10BC2"/>
    <w:rsid w:val="00B20EC7"/>
    <w:rsid w:val="00B25F2B"/>
    <w:rsid w:val="00B26C1D"/>
    <w:rsid w:val="00B45663"/>
    <w:rsid w:val="00B5036A"/>
    <w:rsid w:val="00B52CA4"/>
    <w:rsid w:val="00B56F83"/>
    <w:rsid w:val="00B75829"/>
    <w:rsid w:val="00B821BB"/>
    <w:rsid w:val="00B87080"/>
    <w:rsid w:val="00B91A75"/>
    <w:rsid w:val="00B952C6"/>
    <w:rsid w:val="00BA1656"/>
    <w:rsid w:val="00BA4044"/>
    <w:rsid w:val="00BA41C3"/>
    <w:rsid w:val="00BB2F6C"/>
    <w:rsid w:val="00BC1282"/>
    <w:rsid w:val="00BC2F4C"/>
    <w:rsid w:val="00BC5BE2"/>
    <w:rsid w:val="00BC6104"/>
    <w:rsid w:val="00BD5C56"/>
    <w:rsid w:val="00BE0CA2"/>
    <w:rsid w:val="00BF02CE"/>
    <w:rsid w:val="00BF066B"/>
    <w:rsid w:val="00C045D3"/>
    <w:rsid w:val="00C22ECF"/>
    <w:rsid w:val="00C23F89"/>
    <w:rsid w:val="00C25B3B"/>
    <w:rsid w:val="00C30411"/>
    <w:rsid w:val="00C30E9F"/>
    <w:rsid w:val="00C331E5"/>
    <w:rsid w:val="00C34EB5"/>
    <w:rsid w:val="00C4013F"/>
    <w:rsid w:val="00C45A62"/>
    <w:rsid w:val="00C5597B"/>
    <w:rsid w:val="00C673EB"/>
    <w:rsid w:val="00C7222D"/>
    <w:rsid w:val="00C731A1"/>
    <w:rsid w:val="00C7337A"/>
    <w:rsid w:val="00C76937"/>
    <w:rsid w:val="00C854BD"/>
    <w:rsid w:val="00C92716"/>
    <w:rsid w:val="00C94E18"/>
    <w:rsid w:val="00CA1D42"/>
    <w:rsid w:val="00CA22C1"/>
    <w:rsid w:val="00CA56FB"/>
    <w:rsid w:val="00CA663D"/>
    <w:rsid w:val="00CA75A5"/>
    <w:rsid w:val="00CA76E5"/>
    <w:rsid w:val="00CB295B"/>
    <w:rsid w:val="00CB2CB2"/>
    <w:rsid w:val="00CB4822"/>
    <w:rsid w:val="00CB6DFD"/>
    <w:rsid w:val="00CD1FE0"/>
    <w:rsid w:val="00CD4677"/>
    <w:rsid w:val="00CD6A04"/>
    <w:rsid w:val="00CE1749"/>
    <w:rsid w:val="00CE3745"/>
    <w:rsid w:val="00CE6BE4"/>
    <w:rsid w:val="00CE7E21"/>
    <w:rsid w:val="00CF1C64"/>
    <w:rsid w:val="00D0195B"/>
    <w:rsid w:val="00D04B39"/>
    <w:rsid w:val="00D05DA4"/>
    <w:rsid w:val="00D07F90"/>
    <w:rsid w:val="00D107EB"/>
    <w:rsid w:val="00D1627F"/>
    <w:rsid w:val="00D357BD"/>
    <w:rsid w:val="00D37789"/>
    <w:rsid w:val="00D41D5F"/>
    <w:rsid w:val="00D41F53"/>
    <w:rsid w:val="00D447DE"/>
    <w:rsid w:val="00D5157F"/>
    <w:rsid w:val="00D522B5"/>
    <w:rsid w:val="00D564A4"/>
    <w:rsid w:val="00D6271D"/>
    <w:rsid w:val="00D727B3"/>
    <w:rsid w:val="00D76607"/>
    <w:rsid w:val="00D8107B"/>
    <w:rsid w:val="00D8374E"/>
    <w:rsid w:val="00D85CA8"/>
    <w:rsid w:val="00D90EE1"/>
    <w:rsid w:val="00D92CFF"/>
    <w:rsid w:val="00D96486"/>
    <w:rsid w:val="00D97052"/>
    <w:rsid w:val="00DA189E"/>
    <w:rsid w:val="00DA205D"/>
    <w:rsid w:val="00DA4AA4"/>
    <w:rsid w:val="00DA4BC3"/>
    <w:rsid w:val="00DA4DF0"/>
    <w:rsid w:val="00DC67A1"/>
    <w:rsid w:val="00DC7F26"/>
    <w:rsid w:val="00DD0D92"/>
    <w:rsid w:val="00DD4207"/>
    <w:rsid w:val="00DE1221"/>
    <w:rsid w:val="00DE4199"/>
    <w:rsid w:val="00DF0C7C"/>
    <w:rsid w:val="00DF7B22"/>
    <w:rsid w:val="00E042D6"/>
    <w:rsid w:val="00E06E8C"/>
    <w:rsid w:val="00E26AA0"/>
    <w:rsid w:val="00E333F1"/>
    <w:rsid w:val="00E37133"/>
    <w:rsid w:val="00E42967"/>
    <w:rsid w:val="00E46C91"/>
    <w:rsid w:val="00E51BF1"/>
    <w:rsid w:val="00E5554C"/>
    <w:rsid w:val="00E57AE6"/>
    <w:rsid w:val="00E62560"/>
    <w:rsid w:val="00E67AF9"/>
    <w:rsid w:val="00E7625D"/>
    <w:rsid w:val="00E763AD"/>
    <w:rsid w:val="00E805E4"/>
    <w:rsid w:val="00E824A5"/>
    <w:rsid w:val="00E8506B"/>
    <w:rsid w:val="00E942F1"/>
    <w:rsid w:val="00EA010E"/>
    <w:rsid w:val="00EB022F"/>
    <w:rsid w:val="00EC636B"/>
    <w:rsid w:val="00EC7632"/>
    <w:rsid w:val="00EC7874"/>
    <w:rsid w:val="00EC7EA0"/>
    <w:rsid w:val="00ED068C"/>
    <w:rsid w:val="00ED440C"/>
    <w:rsid w:val="00ED51A9"/>
    <w:rsid w:val="00EF19E4"/>
    <w:rsid w:val="00EF36C7"/>
    <w:rsid w:val="00EF5689"/>
    <w:rsid w:val="00EF6851"/>
    <w:rsid w:val="00EF71BC"/>
    <w:rsid w:val="00F04408"/>
    <w:rsid w:val="00F1328F"/>
    <w:rsid w:val="00F1657E"/>
    <w:rsid w:val="00F17A48"/>
    <w:rsid w:val="00F2275A"/>
    <w:rsid w:val="00F30EAA"/>
    <w:rsid w:val="00F339FD"/>
    <w:rsid w:val="00F33B0D"/>
    <w:rsid w:val="00F3400A"/>
    <w:rsid w:val="00F4050E"/>
    <w:rsid w:val="00F411C4"/>
    <w:rsid w:val="00F41C01"/>
    <w:rsid w:val="00F47CE7"/>
    <w:rsid w:val="00F518D2"/>
    <w:rsid w:val="00F603BA"/>
    <w:rsid w:val="00F64DDD"/>
    <w:rsid w:val="00F70911"/>
    <w:rsid w:val="00F73B07"/>
    <w:rsid w:val="00F755C0"/>
    <w:rsid w:val="00F85A64"/>
    <w:rsid w:val="00F92970"/>
    <w:rsid w:val="00F94DC3"/>
    <w:rsid w:val="00FA7A2F"/>
    <w:rsid w:val="00FB20B8"/>
    <w:rsid w:val="00FB2C04"/>
    <w:rsid w:val="00FB5AFD"/>
    <w:rsid w:val="00FC3463"/>
    <w:rsid w:val="00FC3827"/>
    <w:rsid w:val="00FC7759"/>
    <w:rsid w:val="00FD215D"/>
    <w:rsid w:val="00FD2DDD"/>
    <w:rsid w:val="00FD343E"/>
    <w:rsid w:val="00FD4371"/>
    <w:rsid w:val="00FE1C2E"/>
    <w:rsid w:val="00FE495D"/>
    <w:rsid w:val="00FE776F"/>
    <w:rsid w:val="00FF505E"/>
    <w:rsid w:val="00FF6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2C0DD5"/>
    <w:rPr>
      <w:color w:val="0000FF"/>
      <w:u w:val="single"/>
    </w:rPr>
  </w:style>
  <w:style w:type="paragraph" w:styleId="BodyText">
    <w:name w:val="Body Text"/>
    <w:basedOn w:val="Normal"/>
    <w:link w:val="BodyTextChar"/>
    <w:rsid w:val="00572634"/>
    <w:pPr>
      <w:spacing w:after="120"/>
    </w:pPr>
  </w:style>
  <w:style w:type="character" w:customStyle="1" w:styleId="BodyTextChar">
    <w:name w:val="Body Text Char"/>
    <w:basedOn w:val="DefaultParagraphFont"/>
    <w:link w:val="BodyText"/>
    <w:rsid w:val="00572634"/>
    <w:rPr>
      <w:sz w:val="24"/>
      <w:szCs w:val="24"/>
    </w:rPr>
  </w:style>
  <w:style w:type="paragraph" w:styleId="Header">
    <w:name w:val="header"/>
    <w:basedOn w:val="Normal"/>
    <w:link w:val="HeaderChar"/>
    <w:rsid w:val="00572634"/>
    <w:pPr>
      <w:tabs>
        <w:tab w:val="center" w:pos="4320"/>
        <w:tab w:val="right" w:pos="8640"/>
      </w:tabs>
    </w:pPr>
  </w:style>
  <w:style w:type="character" w:customStyle="1" w:styleId="HeaderChar">
    <w:name w:val="Header Char"/>
    <w:basedOn w:val="DefaultParagraphFont"/>
    <w:link w:val="Header"/>
    <w:rsid w:val="00572634"/>
    <w:rPr>
      <w:sz w:val="24"/>
      <w:szCs w:val="24"/>
    </w:rPr>
  </w:style>
  <w:style w:type="paragraph" w:customStyle="1" w:styleId="ParaTab1">
    <w:name w:val="ParaTab 1"/>
    <w:rsid w:val="00572634"/>
    <w:pPr>
      <w:tabs>
        <w:tab w:val="left" w:pos="-720"/>
      </w:tabs>
      <w:suppressAutoHyphens/>
      <w:autoSpaceDE w:val="0"/>
      <w:autoSpaceDN w:val="0"/>
      <w:ind w:firstLine="1440"/>
    </w:pPr>
    <w:rPr>
      <w:rFonts w:ascii="CG Times" w:hAnsi="CG Times" w:cs="CG Times"/>
      <w:sz w:val="24"/>
      <w:szCs w:val="24"/>
    </w:rPr>
  </w:style>
  <w:style w:type="table" w:styleId="TableGrid">
    <w:name w:val="Table Grid"/>
    <w:basedOn w:val="TableNormal"/>
    <w:rsid w:val="00706C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706C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6C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6C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6C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6C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2290393">
      <w:bodyDiv w:val="1"/>
      <w:marLeft w:val="0"/>
      <w:marRight w:val="0"/>
      <w:marTop w:val="0"/>
      <w:marBottom w:val="0"/>
      <w:divBdr>
        <w:top w:val="none" w:sz="0" w:space="0" w:color="auto"/>
        <w:left w:val="none" w:sz="0" w:space="0" w:color="auto"/>
        <w:bottom w:val="none" w:sz="0" w:space="0" w:color="auto"/>
        <w:right w:val="none" w:sz="0" w:space="0" w:color="auto"/>
      </w:divBdr>
    </w:div>
    <w:div w:id="482157188">
      <w:bodyDiv w:val="1"/>
      <w:marLeft w:val="0"/>
      <w:marRight w:val="0"/>
      <w:marTop w:val="0"/>
      <w:marBottom w:val="0"/>
      <w:divBdr>
        <w:top w:val="none" w:sz="0" w:space="0" w:color="auto"/>
        <w:left w:val="none" w:sz="0" w:space="0" w:color="auto"/>
        <w:bottom w:val="none" w:sz="0" w:space="0" w:color="auto"/>
        <w:right w:val="none" w:sz="0" w:space="0" w:color="auto"/>
      </w:divBdr>
    </w:div>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020C-3603-4234-A592-C34E6FE5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7</cp:revision>
  <cp:lastPrinted>2009-12-28T13:28:00Z</cp:lastPrinted>
  <dcterms:created xsi:type="dcterms:W3CDTF">2009-12-03T16:12:00Z</dcterms:created>
  <dcterms:modified xsi:type="dcterms:W3CDTF">2009-12-28T13:28:00Z</dcterms:modified>
</cp:coreProperties>
</file>