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70E" w:rsidRPr="0017065A" w:rsidRDefault="0065570E" w:rsidP="009021C8">
      <w:pPr>
        <w:pStyle w:val="Title"/>
      </w:pPr>
      <w:r w:rsidRPr="0017065A">
        <w:t>PENNSYLVANIA</w:t>
      </w:r>
    </w:p>
    <w:p w:rsidR="0065570E" w:rsidRPr="0017065A" w:rsidRDefault="0065570E" w:rsidP="009021C8">
      <w:pPr>
        <w:widowControl/>
        <w:jc w:val="center"/>
        <w:rPr>
          <w:b/>
          <w:sz w:val="26"/>
        </w:rPr>
      </w:pPr>
      <w:r w:rsidRPr="0017065A">
        <w:rPr>
          <w:b/>
          <w:sz w:val="26"/>
        </w:rPr>
        <w:t>PUBLIC UTILITY COMMISSION</w:t>
      </w:r>
    </w:p>
    <w:p w:rsidR="0065570E" w:rsidRPr="0017065A" w:rsidRDefault="0065570E" w:rsidP="009021C8">
      <w:pPr>
        <w:widowControl/>
        <w:jc w:val="center"/>
        <w:rPr>
          <w:sz w:val="26"/>
        </w:rPr>
      </w:pPr>
      <w:r w:rsidRPr="0017065A">
        <w:rPr>
          <w:b/>
          <w:sz w:val="26"/>
        </w:rPr>
        <w:t>Harrisburg, PA 17105-3265</w:t>
      </w:r>
    </w:p>
    <w:p w:rsidR="0065570E" w:rsidRPr="0017065A" w:rsidRDefault="0065570E" w:rsidP="009021C8">
      <w:pPr>
        <w:widowControl/>
        <w:jc w:val="center"/>
        <w:rPr>
          <w:sz w:val="26"/>
        </w:rPr>
      </w:pPr>
    </w:p>
    <w:p w:rsidR="0065570E" w:rsidRPr="0017065A" w:rsidRDefault="0065570E" w:rsidP="009021C8">
      <w:pPr>
        <w:pStyle w:val="Heading5"/>
      </w:pPr>
      <w:r w:rsidRPr="0017065A">
        <w:t xml:space="preserve">Public Meeting held </w:t>
      </w:r>
      <w:r w:rsidR="00B84877">
        <w:t xml:space="preserve">December </w:t>
      </w:r>
      <w:r w:rsidR="00F91FE2">
        <w:t>17</w:t>
      </w:r>
      <w:r>
        <w:t>, 2009</w:t>
      </w:r>
    </w:p>
    <w:p w:rsidR="0065570E" w:rsidRPr="0017065A" w:rsidRDefault="0065570E" w:rsidP="009021C8">
      <w:pPr>
        <w:widowControl/>
        <w:rPr>
          <w:sz w:val="26"/>
        </w:rPr>
      </w:pPr>
    </w:p>
    <w:p w:rsidR="0065570E" w:rsidRPr="0017065A" w:rsidRDefault="0065570E" w:rsidP="009021C8">
      <w:pPr>
        <w:widowControl/>
        <w:rPr>
          <w:sz w:val="26"/>
        </w:rPr>
      </w:pPr>
      <w:r w:rsidRPr="0017065A">
        <w:rPr>
          <w:sz w:val="26"/>
        </w:rPr>
        <w:t>Commissioners Present:</w:t>
      </w:r>
    </w:p>
    <w:p w:rsidR="0065570E" w:rsidRPr="0017065A" w:rsidRDefault="0065570E" w:rsidP="009021C8">
      <w:pPr>
        <w:widowControl/>
        <w:tabs>
          <w:tab w:val="left" w:pos="-720"/>
        </w:tabs>
        <w:suppressAutoHyphens/>
        <w:rPr>
          <w:sz w:val="26"/>
        </w:rPr>
      </w:pPr>
    </w:p>
    <w:p w:rsidR="0065570E" w:rsidRPr="0017065A" w:rsidRDefault="0065570E" w:rsidP="009021C8">
      <w:pPr>
        <w:widowControl/>
        <w:tabs>
          <w:tab w:val="left" w:pos="-720"/>
        </w:tabs>
        <w:suppressAutoHyphens/>
        <w:rPr>
          <w:sz w:val="26"/>
        </w:rPr>
      </w:pPr>
    </w:p>
    <w:p w:rsidR="0065570E" w:rsidRPr="0017065A" w:rsidRDefault="0065570E" w:rsidP="009021C8">
      <w:pPr>
        <w:widowControl/>
        <w:tabs>
          <w:tab w:val="left" w:pos="-720"/>
        </w:tabs>
        <w:suppressAutoHyphens/>
        <w:rPr>
          <w:sz w:val="26"/>
          <w:szCs w:val="26"/>
        </w:rPr>
      </w:pPr>
      <w:r w:rsidRPr="0017065A">
        <w:rPr>
          <w:sz w:val="26"/>
          <w:szCs w:val="26"/>
        </w:rPr>
        <w:tab/>
        <w:t>James H. Cawley, Chairman</w:t>
      </w:r>
    </w:p>
    <w:p w:rsidR="0065570E" w:rsidRPr="0017065A" w:rsidRDefault="0065570E" w:rsidP="009021C8">
      <w:pPr>
        <w:widowControl/>
        <w:tabs>
          <w:tab w:val="left" w:pos="-720"/>
        </w:tabs>
        <w:suppressAutoHyphens/>
        <w:rPr>
          <w:sz w:val="26"/>
          <w:szCs w:val="26"/>
        </w:rPr>
      </w:pPr>
      <w:r w:rsidRPr="0017065A">
        <w:rPr>
          <w:sz w:val="26"/>
          <w:szCs w:val="26"/>
        </w:rPr>
        <w:tab/>
        <w:t>Tyrone J. Christy, Vice Chairman</w:t>
      </w:r>
    </w:p>
    <w:p w:rsidR="0065570E" w:rsidRPr="0017065A" w:rsidRDefault="00130A56" w:rsidP="009021C8">
      <w:pPr>
        <w:widowControl/>
        <w:tabs>
          <w:tab w:val="left" w:pos="-720"/>
        </w:tabs>
        <w:suppressAutoHyphens/>
        <w:rPr>
          <w:sz w:val="26"/>
          <w:szCs w:val="26"/>
        </w:rPr>
      </w:pPr>
      <w:r>
        <w:rPr>
          <w:sz w:val="26"/>
          <w:szCs w:val="26"/>
        </w:rPr>
        <w:tab/>
        <w:t>Kim Pizzingrilli</w:t>
      </w:r>
    </w:p>
    <w:p w:rsidR="0065570E" w:rsidRPr="0017065A" w:rsidRDefault="0065570E" w:rsidP="009021C8">
      <w:pPr>
        <w:widowControl/>
        <w:tabs>
          <w:tab w:val="left" w:pos="-720"/>
        </w:tabs>
        <w:suppressAutoHyphens/>
        <w:rPr>
          <w:sz w:val="26"/>
          <w:szCs w:val="26"/>
        </w:rPr>
      </w:pPr>
      <w:r w:rsidRPr="0017065A">
        <w:rPr>
          <w:sz w:val="26"/>
          <w:szCs w:val="26"/>
        </w:rPr>
        <w:tab/>
        <w:t>Wayne E. Gardner</w:t>
      </w:r>
    </w:p>
    <w:p w:rsidR="0065570E" w:rsidRPr="0017065A" w:rsidRDefault="0065570E" w:rsidP="009021C8">
      <w:pPr>
        <w:widowControl/>
        <w:tabs>
          <w:tab w:val="left" w:pos="-720"/>
        </w:tabs>
        <w:suppressAutoHyphens/>
        <w:ind w:firstLine="720"/>
        <w:rPr>
          <w:sz w:val="26"/>
          <w:szCs w:val="26"/>
        </w:rPr>
      </w:pPr>
      <w:r w:rsidRPr="0017065A">
        <w:rPr>
          <w:sz w:val="26"/>
          <w:szCs w:val="26"/>
        </w:rPr>
        <w:t>Robert F. Powelson</w:t>
      </w:r>
    </w:p>
    <w:p w:rsidR="0065570E" w:rsidRPr="0017065A" w:rsidRDefault="0065570E" w:rsidP="009021C8">
      <w:pPr>
        <w:widowControl/>
        <w:tabs>
          <w:tab w:val="left" w:pos="-720"/>
        </w:tabs>
        <w:suppressAutoHyphens/>
        <w:rPr>
          <w:sz w:val="26"/>
          <w:szCs w:val="26"/>
        </w:rPr>
      </w:pPr>
    </w:p>
    <w:p w:rsidR="0065570E" w:rsidRPr="0017065A" w:rsidRDefault="0065570E" w:rsidP="009021C8">
      <w:pPr>
        <w:widowControl/>
        <w:rPr>
          <w:sz w:val="26"/>
        </w:rPr>
      </w:pPr>
    </w:p>
    <w:tbl>
      <w:tblPr>
        <w:tblW w:w="0" w:type="auto"/>
        <w:tblLook w:val="01E0"/>
      </w:tblPr>
      <w:tblGrid>
        <w:gridCol w:w="5568"/>
        <w:gridCol w:w="4008"/>
      </w:tblGrid>
      <w:tr w:rsidR="0065570E" w:rsidRPr="0017065A" w:rsidTr="008725EA">
        <w:tc>
          <w:tcPr>
            <w:tcW w:w="5568" w:type="dxa"/>
          </w:tcPr>
          <w:p w:rsidR="0065570E" w:rsidRPr="0017065A" w:rsidRDefault="0065570E" w:rsidP="009021C8">
            <w:pPr>
              <w:widowControl/>
              <w:rPr>
                <w:sz w:val="26"/>
                <w:szCs w:val="26"/>
              </w:rPr>
            </w:pPr>
            <w:r>
              <w:rPr>
                <w:sz w:val="26"/>
                <w:szCs w:val="26"/>
              </w:rPr>
              <w:t xml:space="preserve">Holly Robbins </w:t>
            </w:r>
            <w:r w:rsidRPr="0017065A">
              <w:rPr>
                <w:sz w:val="26"/>
                <w:szCs w:val="26"/>
              </w:rPr>
              <w:t xml:space="preserve"> </w:t>
            </w:r>
          </w:p>
          <w:p w:rsidR="0065570E" w:rsidRPr="0017065A" w:rsidRDefault="0065570E" w:rsidP="009021C8">
            <w:pPr>
              <w:widowControl/>
              <w:rPr>
                <w:sz w:val="26"/>
                <w:szCs w:val="26"/>
              </w:rPr>
            </w:pPr>
          </w:p>
          <w:p w:rsidR="0065570E" w:rsidRPr="0017065A" w:rsidRDefault="0065570E" w:rsidP="009021C8">
            <w:pPr>
              <w:widowControl/>
              <w:rPr>
                <w:sz w:val="26"/>
                <w:szCs w:val="26"/>
              </w:rPr>
            </w:pPr>
            <w:r w:rsidRPr="0017065A">
              <w:rPr>
                <w:sz w:val="26"/>
                <w:szCs w:val="26"/>
              </w:rPr>
              <w:t xml:space="preserve">           v.</w:t>
            </w:r>
          </w:p>
          <w:p w:rsidR="0065570E" w:rsidRPr="0017065A" w:rsidRDefault="0065570E" w:rsidP="009021C8">
            <w:pPr>
              <w:widowControl/>
              <w:rPr>
                <w:i/>
                <w:sz w:val="26"/>
                <w:szCs w:val="26"/>
              </w:rPr>
            </w:pPr>
          </w:p>
          <w:p w:rsidR="0065570E" w:rsidRPr="0017065A" w:rsidRDefault="0065570E" w:rsidP="009021C8">
            <w:pPr>
              <w:widowControl/>
              <w:rPr>
                <w:sz w:val="26"/>
                <w:szCs w:val="26"/>
              </w:rPr>
            </w:pPr>
            <w:r>
              <w:rPr>
                <w:sz w:val="26"/>
                <w:szCs w:val="26"/>
              </w:rPr>
              <w:t>PECO Energy Company</w:t>
            </w:r>
          </w:p>
        </w:tc>
        <w:tc>
          <w:tcPr>
            <w:tcW w:w="4008" w:type="dxa"/>
          </w:tcPr>
          <w:p w:rsidR="0065570E" w:rsidRPr="0017065A" w:rsidRDefault="0065570E" w:rsidP="009021C8">
            <w:pPr>
              <w:widowControl/>
              <w:jc w:val="right"/>
              <w:rPr>
                <w:sz w:val="26"/>
                <w:szCs w:val="26"/>
              </w:rPr>
            </w:pPr>
            <w:r>
              <w:rPr>
                <w:sz w:val="26"/>
                <w:szCs w:val="26"/>
              </w:rPr>
              <w:t>C-2008-2078299</w:t>
            </w:r>
          </w:p>
        </w:tc>
      </w:tr>
    </w:tbl>
    <w:p w:rsidR="0065570E" w:rsidRPr="0017065A" w:rsidRDefault="0065570E" w:rsidP="009021C8">
      <w:pPr>
        <w:widowControl/>
        <w:rPr>
          <w:sz w:val="26"/>
        </w:rPr>
      </w:pPr>
    </w:p>
    <w:p w:rsidR="0065570E" w:rsidRPr="0017065A" w:rsidRDefault="0065570E" w:rsidP="009021C8">
      <w:pPr>
        <w:widowControl/>
        <w:rPr>
          <w:sz w:val="26"/>
        </w:rPr>
      </w:pPr>
    </w:p>
    <w:p w:rsidR="0065570E" w:rsidRPr="0017065A" w:rsidRDefault="0065570E" w:rsidP="009021C8">
      <w:pPr>
        <w:widowControl/>
        <w:jc w:val="center"/>
        <w:rPr>
          <w:b/>
          <w:sz w:val="26"/>
        </w:rPr>
      </w:pPr>
      <w:r w:rsidRPr="0017065A">
        <w:rPr>
          <w:b/>
          <w:sz w:val="26"/>
        </w:rPr>
        <w:t>OPINION AND ORDER</w:t>
      </w:r>
    </w:p>
    <w:p w:rsidR="0065570E" w:rsidRPr="0017065A" w:rsidRDefault="0065570E" w:rsidP="009021C8">
      <w:pPr>
        <w:widowControl/>
        <w:spacing w:line="360" w:lineRule="auto"/>
        <w:jc w:val="center"/>
        <w:rPr>
          <w:b/>
          <w:sz w:val="26"/>
        </w:rPr>
      </w:pPr>
    </w:p>
    <w:p w:rsidR="0065570E" w:rsidRPr="0017065A" w:rsidRDefault="0065570E" w:rsidP="009021C8">
      <w:pPr>
        <w:widowControl/>
        <w:spacing w:line="360" w:lineRule="auto"/>
        <w:rPr>
          <w:b/>
          <w:sz w:val="26"/>
        </w:rPr>
      </w:pPr>
      <w:r w:rsidRPr="0017065A">
        <w:rPr>
          <w:b/>
          <w:sz w:val="26"/>
        </w:rPr>
        <w:t>BY THE COMMISSION:</w:t>
      </w:r>
    </w:p>
    <w:p w:rsidR="0065570E" w:rsidRPr="0017065A" w:rsidRDefault="0065570E" w:rsidP="009021C8">
      <w:pPr>
        <w:widowControl/>
        <w:spacing w:line="360" w:lineRule="auto"/>
        <w:rPr>
          <w:b/>
          <w:sz w:val="26"/>
        </w:rPr>
      </w:pPr>
    </w:p>
    <w:p w:rsidR="0065570E" w:rsidRPr="0017065A" w:rsidRDefault="0065570E" w:rsidP="009021C8">
      <w:pPr>
        <w:widowControl/>
        <w:spacing w:line="360" w:lineRule="auto"/>
        <w:ind w:firstLine="1440"/>
        <w:rPr>
          <w:sz w:val="26"/>
          <w:szCs w:val="26"/>
        </w:rPr>
      </w:pPr>
      <w:r w:rsidRPr="0017065A">
        <w:rPr>
          <w:sz w:val="26"/>
          <w:szCs w:val="26"/>
        </w:rPr>
        <w:t xml:space="preserve">Before the Commission for consideration and disposition are the Exceptions filed by </w:t>
      </w:r>
      <w:r w:rsidR="00051D09">
        <w:rPr>
          <w:sz w:val="26"/>
          <w:szCs w:val="26"/>
        </w:rPr>
        <w:t xml:space="preserve">Michael and </w:t>
      </w:r>
      <w:r>
        <w:rPr>
          <w:sz w:val="26"/>
          <w:szCs w:val="26"/>
        </w:rPr>
        <w:t>Holly Robbins</w:t>
      </w:r>
      <w:r w:rsidR="00051D09">
        <w:rPr>
          <w:rStyle w:val="FootnoteReference"/>
          <w:sz w:val="26"/>
          <w:szCs w:val="26"/>
        </w:rPr>
        <w:footnoteReference w:id="1"/>
      </w:r>
      <w:r>
        <w:rPr>
          <w:sz w:val="26"/>
          <w:szCs w:val="26"/>
        </w:rPr>
        <w:t xml:space="preserve"> </w:t>
      </w:r>
      <w:r w:rsidRPr="0017065A">
        <w:rPr>
          <w:sz w:val="26"/>
          <w:szCs w:val="26"/>
        </w:rPr>
        <w:t>(Complainant</w:t>
      </w:r>
      <w:r w:rsidR="00051D09">
        <w:rPr>
          <w:sz w:val="26"/>
          <w:szCs w:val="26"/>
        </w:rPr>
        <w:t>s</w:t>
      </w:r>
      <w:r w:rsidRPr="0017065A">
        <w:rPr>
          <w:sz w:val="26"/>
          <w:szCs w:val="26"/>
        </w:rPr>
        <w:t xml:space="preserve">) on </w:t>
      </w:r>
      <w:r>
        <w:rPr>
          <w:sz w:val="26"/>
          <w:szCs w:val="26"/>
        </w:rPr>
        <w:t>September 8, 2009</w:t>
      </w:r>
      <w:r w:rsidRPr="0017065A">
        <w:rPr>
          <w:sz w:val="26"/>
          <w:szCs w:val="26"/>
        </w:rPr>
        <w:t xml:space="preserve">, to the Initial Decision (ID) of Administrative Law Judge (ALJ) </w:t>
      </w:r>
      <w:r w:rsidR="0017022D">
        <w:rPr>
          <w:sz w:val="26"/>
          <w:szCs w:val="26"/>
        </w:rPr>
        <w:t>Angela T. Jones</w:t>
      </w:r>
      <w:r w:rsidRPr="0017065A">
        <w:rPr>
          <w:sz w:val="26"/>
          <w:szCs w:val="26"/>
        </w:rPr>
        <w:t xml:space="preserve">, issued on </w:t>
      </w:r>
      <w:r w:rsidR="00D93EC1">
        <w:rPr>
          <w:sz w:val="26"/>
          <w:szCs w:val="26"/>
        </w:rPr>
        <w:t>August 21</w:t>
      </w:r>
      <w:r w:rsidRPr="0017065A">
        <w:rPr>
          <w:sz w:val="26"/>
          <w:szCs w:val="26"/>
        </w:rPr>
        <w:t>, 2009.</w:t>
      </w:r>
      <w:r w:rsidR="009C7076">
        <w:rPr>
          <w:sz w:val="26"/>
          <w:szCs w:val="26"/>
        </w:rPr>
        <w:t xml:space="preserve">  No Reply Exceptions were filed. </w:t>
      </w:r>
    </w:p>
    <w:p w:rsidR="0065570E" w:rsidRPr="0017065A" w:rsidRDefault="0065570E" w:rsidP="009021C8">
      <w:pPr>
        <w:widowControl/>
        <w:spacing w:line="360" w:lineRule="auto"/>
        <w:rPr>
          <w:sz w:val="26"/>
          <w:szCs w:val="26"/>
        </w:rPr>
      </w:pPr>
    </w:p>
    <w:p w:rsidR="0065570E" w:rsidRPr="0017065A" w:rsidRDefault="0065570E" w:rsidP="009021C8">
      <w:pPr>
        <w:keepNext/>
        <w:widowControl/>
        <w:spacing w:line="360" w:lineRule="auto"/>
        <w:jc w:val="center"/>
        <w:rPr>
          <w:b/>
          <w:sz w:val="26"/>
          <w:szCs w:val="26"/>
          <w:u w:val="single"/>
        </w:rPr>
      </w:pPr>
      <w:r w:rsidRPr="0017065A">
        <w:rPr>
          <w:b/>
          <w:sz w:val="26"/>
          <w:szCs w:val="26"/>
          <w:u w:val="single"/>
        </w:rPr>
        <w:lastRenderedPageBreak/>
        <w:t>History of the Proceeding</w:t>
      </w:r>
    </w:p>
    <w:p w:rsidR="005926AE" w:rsidRDefault="005926AE" w:rsidP="009021C8">
      <w:pPr>
        <w:keepNext/>
        <w:widowControl/>
        <w:spacing w:line="360" w:lineRule="auto"/>
      </w:pPr>
    </w:p>
    <w:p w:rsidR="00452673" w:rsidRDefault="00452673" w:rsidP="009021C8">
      <w:pPr>
        <w:keepNext/>
        <w:widowControl/>
        <w:spacing w:line="360" w:lineRule="auto"/>
        <w:ind w:firstLine="1440"/>
        <w:rPr>
          <w:sz w:val="26"/>
          <w:szCs w:val="26"/>
        </w:rPr>
      </w:pPr>
      <w:r w:rsidRPr="00452673">
        <w:rPr>
          <w:sz w:val="26"/>
          <w:szCs w:val="26"/>
        </w:rPr>
        <w:t xml:space="preserve">On December 3, 2008, </w:t>
      </w:r>
      <w:r w:rsidR="00C272E4">
        <w:rPr>
          <w:sz w:val="26"/>
          <w:szCs w:val="26"/>
        </w:rPr>
        <w:t xml:space="preserve">Michael and Holly </w:t>
      </w:r>
      <w:r w:rsidR="0087478B">
        <w:rPr>
          <w:sz w:val="26"/>
          <w:szCs w:val="26"/>
        </w:rPr>
        <w:t xml:space="preserve">Robbins </w:t>
      </w:r>
      <w:r w:rsidR="00896900">
        <w:rPr>
          <w:sz w:val="26"/>
          <w:szCs w:val="26"/>
        </w:rPr>
        <w:t xml:space="preserve">filed a </w:t>
      </w:r>
      <w:r w:rsidR="00130A56">
        <w:rPr>
          <w:sz w:val="26"/>
          <w:szCs w:val="26"/>
        </w:rPr>
        <w:t>F</w:t>
      </w:r>
      <w:r w:rsidR="00896900">
        <w:rPr>
          <w:sz w:val="26"/>
          <w:szCs w:val="26"/>
        </w:rPr>
        <w:t>ormal Complaint</w:t>
      </w:r>
      <w:r w:rsidR="00130A56">
        <w:rPr>
          <w:sz w:val="26"/>
          <w:szCs w:val="26"/>
        </w:rPr>
        <w:t xml:space="preserve"> (Complaint)</w:t>
      </w:r>
      <w:r w:rsidR="00896900">
        <w:rPr>
          <w:sz w:val="26"/>
          <w:szCs w:val="26"/>
        </w:rPr>
        <w:t xml:space="preserve"> against PECO Energy Company (PECO or Company) for billed electric service</w:t>
      </w:r>
      <w:r w:rsidR="0087478B">
        <w:rPr>
          <w:sz w:val="26"/>
          <w:szCs w:val="26"/>
        </w:rPr>
        <w:t>.</w:t>
      </w:r>
      <w:r w:rsidR="00DB258B">
        <w:rPr>
          <w:rStyle w:val="FootnoteReference"/>
          <w:sz w:val="26"/>
          <w:szCs w:val="26"/>
        </w:rPr>
        <w:footnoteReference w:id="2"/>
      </w:r>
      <w:r w:rsidRPr="00452673">
        <w:rPr>
          <w:sz w:val="26"/>
          <w:szCs w:val="26"/>
        </w:rPr>
        <w:t xml:space="preserve"> </w:t>
      </w:r>
      <w:r w:rsidR="00D94229">
        <w:rPr>
          <w:sz w:val="26"/>
          <w:szCs w:val="26"/>
        </w:rPr>
        <w:t xml:space="preserve"> </w:t>
      </w:r>
      <w:r w:rsidR="006B6E64">
        <w:rPr>
          <w:sz w:val="26"/>
          <w:szCs w:val="26"/>
        </w:rPr>
        <w:t xml:space="preserve">The </w:t>
      </w:r>
      <w:r w:rsidR="00DE2E23">
        <w:rPr>
          <w:sz w:val="26"/>
          <w:szCs w:val="26"/>
        </w:rPr>
        <w:t>Complainant</w:t>
      </w:r>
      <w:r w:rsidR="008E442E">
        <w:rPr>
          <w:sz w:val="26"/>
          <w:szCs w:val="26"/>
        </w:rPr>
        <w:t>s</w:t>
      </w:r>
      <w:r w:rsidR="006B6E64">
        <w:rPr>
          <w:sz w:val="26"/>
          <w:szCs w:val="26"/>
        </w:rPr>
        <w:t xml:space="preserve"> request</w:t>
      </w:r>
      <w:r w:rsidR="001E5C8C">
        <w:rPr>
          <w:sz w:val="26"/>
          <w:szCs w:val="26"/>
        </w:rPr>
        <w:t>ed</w:t>
      </w:r>
      <w:r w:rsidR="006B6E64">
        <w:rPr>
          <w:sz w:val="26"/>
          <w:szCs w:val="26"/>
        </w:rPr>
        <w:t xml:space="preserve"> </w:t>
      </w:r>
      <w:r w:rsidR="009303A1">
        <w:rPr>
          <w:sz w:val="26"/>
          <w:szCs w:val="26"/>
        </w:rPr>
        <w:t xml:space="preserve">that the Commission establish a payment arrangement </w:t>
      </w:r>
      <w:r w:rsidR="008725EA">
        <w:rPr>
          <w:sz w:val="26"/>
          <w:szCs w:val="26"/>
        </w:rPr>
        <w:t xml:space="preserve">of current bills plus $200 per month toward the outstanding arrearage.  The </w:t>
      </w:r>
      <w:r w:rsidR="002F30B8">
        <w:rPr>
          <w:sz w:val="26"/>
          <w:szCs w:val="26"/>
        </w:rPr>
        <w:t>Complainant</w:t>
      </w:r>
      <w:r w:rsidR="008E442E">
        <w:rPr>
          <w:sz w:val="26"/>
          <w:szCs w:val="26"/>
        </w:rPr>
        <w:t>s</w:t>
      </w:r>
      <w:r w:rsidR="008725EA">
        <w:rPr>
          <w:sz w:val="26"/>
          <w:szCs w:val="26"/>
        </w:rPr>
        <w:t xml:space="preserve"> also requested </w:t>
      </w:r>
      <w:r w:rsidR="009303A1">
        <w:rPr>
          <w:sz w:val="26"/>
          <w:szCs w:val="26"/>
        </w:rPr>
        <w:t xml:space="preserve">that PECO stop imposing a monthly late charge of $400 per month.  </w:t>
      </w:r>
      <w:r w:rsidR="007963E4">
        <w:rPr>
          <w:sz w:val="26"/>
          <w:szCs w:val="26"/>
        </w:rPr>
        <w:t xml:space="preserve">The </w:t>
      </w:r>
      <w:r w:rsidR="001E5C8C">
        <w:rPr>
          <w:sz w:val="26"/>
          <w:szCs w:val="26"/>
        </w:rPr>
        <w:t>Complainant</w:t>
      </w:r>
      <w:r w:rsidR="008E442E">
        <w:rPr>
          <w:sz w:val="26"/>
          <w:szCs w:val="26"/>
        </w:rPr>
        <w:t>s</w:t>
      </w:r>
      <w:r w:rsidR="001E5C8C">
        <w:rPr>
          <w:sz w:val="26"/>
          <w:szCs w:val="26"/>
        </w:rPr>
        <w:t xml:space="preserve"> </w:t>
      </w:r>
      <w:r w:rsidR="007963E4">
        <w:rPr>
          <w:sz w:val="26"/>
          <w:szCs w:val="26"/>
        </w:rPr>
        <w:t>report</w:t>
      </w:r>
      <w:r w:rsidR="003A641B">
        <w:rPr>
          <w:sz w:val="26"/>
          <w:szCs w:val="26"/>
        </w:rPr>
        <w:t>ed</w:t>
      </w:r>
      <w:r w:rsidR="007963E4">
        <w:rPr>
          <w:sz w:val="26"/>
          <w:szCs w:val="26"/>
        </w:rPr>
        <w:t xml:space="preserve"> that there are eight occupants in the home including </w:t>
      </w:r>
      <w:r w:rsidR="00526AB2">
        <w:rPr>
          <w:sz w:val="26"/>
          <w:szCs w:val="26"/>
        </w:rPr>
        <w:t>Mrs.</w:t>
      </w:r>
      <w:r w:rsidR="007963E4">
        <w:rPr>
          <w:sz w:val="26"/>
          <w:szCs w:val="26"/>
        </w:rPr>
        <w:t xml:space="preserve"> Robbins’ 85-year old mother</w:t>
      </w:r>
      <w:r w:rsidR="00851BDE">
        <w:rPr>
          <w:sz w:val="26"/>
          <w:szCs w:val="26"/>
        </w:rPr>
        <w:t xml:space="preserve">, Lillian Davis, </w:t>
      </w:r>
      <w:r w:rsidR="007963E4">
        <w:rPr>
          <w:sz w:val="26"/>
          <w:szCs w:val="26"/>
        </w:rPr>
        <w:t xml:space="preserve">who is a stroke victim.  Attached </w:t>
      </w:r>
      <w:r w:rsidR="006F6AF1">
        <w:rPr>
          <w:sz w:val="26"/>
          <w:szCs w:val="26"/>
        </w:rPr>
        <w:t xml:space="preserve">to the Complaint </w:t>
      </w:r>
      <w:r w:rsidR="00AF0FE2">
        <w:rPr>
          <w:sz w:val="26"/>
          <w:szCs w:val="26"/>
        </w:rPr>
        <w:t>was</w:t>
      </w:r>
      <w:r w:rsidR="007963E4">
        <w:rPr>
          <w:sz w:val="26"/>
          <w:szCs w:val="26"/>
        </w:rPr>
        <w:t xml:space="preserve"> a medical certificate from </w:t>
      </w:r>
      <w:r w:rsidR="00851BDE">
        <w:rPr>
          <w:sz w:val="26"/>
          <w:szCs w:val="26"/>
        </w:rPr>
        <w:t xml:space="preserve">a Doctor of Podiatric Medicine regarding </w:t>
      </w:r>
      <w:r w:rsidR="00526AB2">
        <w:rPr>
          <w:sz w:val="26"/>
          <w:szCs w:val="26"/>
        </w:rPr>
        <w:t>Mrs.</w:t>
      </w:r>
      <w:r w:rsidR="00210586">
        <w:rPr>
          <w:sz w:val="26"/>
          <w:szCs w:val="26"/>
        </w:rPr>
        <w:t> </w:t>
      </w:r>
      <w:r w:rsidR="00851BDE">
        <w:rPr>
          <w:sz w:val="26"/>
          <w:szCs w:val="26"/>
        </w:rPr>
        <w:t>Davis</w:t>
      </w:r>
      <w:r w:rsidR="00AF0FE2">
        <w:rPr>
          <w:sz w:val="26"/>
          <w:szCs w:val="26"/>
        </w:rPr>
        <w:t>’</w:t>
      </w:r>
      <w:r w:rsidR="00851BDE">
        <w:rPr>
          <w:sz w:val="26"/>
          <w:szCs w:val="26"/>
        </w:rPr>
        <w:t xml:space="preserve"> medical condition and her need for electricity. </w:t>
      </w:r>
      <w:r w:rsidR="008060EC">
        <w:rPr>
          <w:sz w:val="26"/>
          <w:szCs w:val="26"/>
        </w:rPr>
        <w:t xml:space="preserve"> The </w:t>
      </w:r>
      <w:r w:rsidR="00110BB4">
        <w:rPr>
          <w:sz w:val="26"/>
          <w:szCs w:val="26"/>
        </w:rPr>
        <w:t>Complainant</w:t>
      </w:r>
      <w:r w:rsidR="008E442E">
        <w:rPr>
          <w:sz w:val="26"/>
          <w:szCs w:val="26"/>
        </w:rPr>
        <w:t>s</w:t>
      </w:r>
      <w:r w:rsidR="008060EC">
        <w:rPr>
          <w:sz w:val="26"/>
          <w:szCs w:val="26"/>
        </w:rPr>
        <w:t xml:space="preserve"> acknowledge</w:t>
      </w:r>
      <w:r w:rsidR="001E5C8C">
        <w:rPr>
          <w:sz w:val="26"/>
          <w:szCs w:val="26"/>
        </w:rPr>
        <w:t>d</w:t>
      </w:r>
      <w:r w:rsidR="008060EC">
        <w:rPr>
          <w:sz w:val="26"/>
          <w:szCs w:val="26"/>
        </w:rPr>
        <w:t xml:space="preserve"> “a substantial balance” with PECO and alleged that the family income has decreased over </w:t>
      </w:r>
      <w:r w:rsidR="00130A56">
        <w:rPr>
          <w:sz w:val="26"/>
          <w:szCs w:val="26"/>
        </w:rPr>
        <w:t xml:space="preserve">twenty percent </w:t>
      </w:r>
      <w:r w:rsidR="008060EC">
        <w:rPr>
          <w:sz w:val="26"/>
          <w:szCs w:val="26"/>
        </w:rPr>
        <w:t xml:space="preserve">in the last year.  The </w:t>
      </w:r>
      <w:r w:rsidR="00110BB4">
        <w:rPr>
          <w:sz w:val="26"/>
          <w:szCs w:val="26"/>
        </w:rPr>
        <w:t>Complainant</w:t>
      </w:r>
      <w:r w:rsidR="008E442E">
        <w:rPr>
          <w:sz w:val="26"/>
          <w:szCs w:val="26"/>
        </w:rPr>
        <w:t>s</w:t>
      </w:r>
      <w:r w:rsidR="008060EC">
        <w:rPr>
          <w:sz w:val="26"/>
          <w:szCs w:val="26"/>
        </w:rPr>
        <w:t xml:space="preserve"> state</w:t>
      </w:r>
      <w:r w:rsidR="006371ED">
        <w:rPr>
          <w:sz w:val="26"/>
          <w:szCs w:val="26"/>
        </w:rPr>
        <w:t>d</w:t>
      </w:r>
      <w:r w:rsidR="008060EC">
        <w:rPr>
          <w:sz w:val="26"/>
          <w:szCs w:val="26"/>
        </w:rPr>
        <w:t xml:space="preserve"> that the family income </w:t>
      </w:r>
      <w:r w:rsidR="00E86F26">
        <w:rPr>
          <w:sz w:val="26"/>
          <w:szCs w:val="26"/>
        </w:rPr>
        <w:t xml:space="preserve">is expected to </w:t>
      </w:r>
      <w:r w:rsidR="008060EC">
        <w:rPr>
          <w:sz w:val="26"/>
          <w:szCs w:val="26"/>
        </w:rPr>
        <w:t xml:space="preserve">increase in the future. </w:t>
      </w:r>
    </w:p>
    <w:p w:rsidR="006371ED" w:rsidRDefault="006371ED" w:rsidP="009021C8">
      <w:pPr>
        <w:widowControl/>
        <w:spacing w:line="360" w:lineRule="auto"/>
        <w:ind w:firstLine="1440"/>
        <w:rPr>
          <w:sz w:val="26"/>
          <w:szCs w:val="26"/>
        </w:rPr>
      </w:pPr>
    </w:p>
    <w:p w:rsidR="00AF0FE2" w:rsidRDefault="00F31AAB" w:rsidP="009021C8">
      <w:pPr>
        <w:widowControl/>
        <w:tabs>
          <w:tab w:val="left" w:pos="-720"/>
        </w:tabs>
        <w:suppressAutoHyphens/>
        <w:spacing w:line="360" w:lineRule="auto"/>
        <w:ind w:firstLine="1440"/>
        <w:rPr>
          <w:rFonts w:cs="Times New Roman"/>
          <w:sz w:val="26"/>
          <w:szCs w:val="26"/>
        </w:rPr>
      </w:pPr>
      <w:r w:rsidRPr="006F6AF1">
        <w:rPr>
          <w:rFonts w:cs="Times New Roman"/>
          <w:sz w:val="26"/>
          <w:szCs w:val="26"/>
        </w:rPr>
        <w:t>On December 31, 2008</w:t>
      </w:r>
      <w:r w:rsidR="006F6AF1">
        <w:rPr>
          <w:rFonts w:cs="Times New Roman"/>
          <w:sz w:val="26"/>
          <w:szCs w:val="26"/>
        </w:rPr>
        <w:t>,</w:t>
      </w:r>
      <w:r w:rsidRPr="006F6AF1">
        <w:rPr>
          <w:rFonts w:cs="Times New Roman"/>
          <w:sz w:val="26"/>
          <w:szCs w:val="26"/>
        </w:rPr>
        <w:t xml:space="preserve"> PECO filed an Answer and New </w:t>
      </w:r>
      <w:r w:rsidR="005B34E7" w:rsidRPr="006F6AF1">
        <w:rPr>
          <w:rFonts w:cs="Times New Roman"/>
          <w:sz w:val="26"/>
          <w:szCs w:val="26"/>
        </w:rPr>
        <w:t>M</w:t>
      </w:r>
      <w:r w:rsidRPr="006F6AF1">
        <w:rPr>
          <w:rFonts w:cs="Times New Roman"/>
          <w:sz w:val="26"/>
          <w:szCs w:val="26"/>
        </w:rPr>
        <w:t xml:space="preserve">atter </w:t>
      </w:r>
      <w:r w:rsidR="005B34E7" w:rsidRPr="006F6AF1">
        <w:rPr>
          <w:rFonts w:cs="Times New Roman"/>
          <w:sz w:val="26"/>
          <w:szCs w:val="26"/>
        </w:rPr>
        <w:t xml:space="preserve">(Answer) </w:t>
      </w:r>
      <w:r w:rsidR="00210586">
        <w:rPr>
          <w:rFonts w:cs="Times New Roman"/>
          <w:sz w:val="26"/>
          <w:szCs w:val="26"/>
        </w:rPr>
        <w:t xml:space="preserve">in </w:t>
      </w:r>
      <w:r w:rsidRPr="006F6AF1">
        <w:rPr>
          <w:rFonts w:cs="Times New Roman"/>
          <w:sz w:val="26"/>
          <w:szCs w:val="26"/>
        </w:rPr>
        <w:t xml:space="preserve">which </w:t>
      </w:r>
      <w:r w:rsidR="00210586">
        <w:rPr>
          <w:rFonts w:cs="Times New Roman"/>
          <w:sz w:val="26"/>
          <w:szCs w:val="26"/>
        </w:rPr>
        <w:t xml:space="preserve">it </w:t>
      </w:r>
      <w:r w:rsidRPr="006F6AF1">
        <w:rPr>
          <w:rFonts w:cs="Times New Roman"/>
          <w:sz w:val="26"/>
          <w:szCs w:val="26"/>
        </w:rPr>
        <w:t xml:space="preserve">denied the allegations that the Complainants are entitled to a new payment arrangement.  </w:t>
      </w:r>
      <w:r w:rsidR="005B34E7" w:rsidRPr="006F6AF1">
        <w:rPr>
          <w:rFonts w:cs="Times New Roman"/>
          <w:sz w:val="26"/>
          <w:szCs w:val="26"/>
        </w:rPr>
        <w:t xml:space="preserve">PECO argued that the “history on this account leads PECO to the conclusion that the Robbins will not keep the payment terms, nor will they pay this balance down.” </w:t>
      </w:r>
      <w:r w:rsidR="00210586">
        <w:rPr>
          <w:rFonts w:cs="Times New Roman"/>
          <w:sz w:val="26"/>
          <w:szCs w:val="26"/>
        </w:rPr>
        <w:t xml:space="preserve"> </w:t>
      </w:r>
      <w:r w:rsidR="005F4899" w:rsidRPr="006F6AF1">
        <w:rPr>
          <w:rFonts w:cs="Times New Roman"/>
          <w:sz w:val="26"/>
          <w:szCs w:val="26"/>
        </w:rPr>
        <w:t>(Answer at 1-2)</w:t>
      </w:r>
      <w:r w:rsidR="00130A56">
        <w:rPr>
          <w:rFonts w:cs="Times New Roman"/>
          <w:sz w:val="26"/>
          <w:szCs w:val="26"/>
        </w:rPr>
        <w:t>.</w:t>
      </w:r>
    </w:p>
    <w:p w:rsidR="00AF0FE2" w:rsidRDefault="00AF0FE2" w:rsidP="009021C8">
      <w:pPr>
        <w:widowControl/>
        <w:tabs>
          <w:tab w:val="left" w:pos="-720"/>
        </w:tabs>
        <w:suppressAutoHyphens/>
        <w:spacing w:line="360" w:lineRule="auto"/>
        <w:ind w:firstLine="1440"/>
        <w:rPr>
          <w:rFonts w:cs="Times New Roman"/>
          <w:sz w:val="26"/>
          <w:szCs w:val="26"/>
        </w:rPr>
      </w:pPr>
    </w:p>
    <w:p w:rsidR="00D765D6" w:rsidRDefault="005F4899" w:rsidP="009021C8">
      <w:pPr>
        <w:widowControl/>
        <w:tabs>
          <w:tab w:val="left" w:pos="-720"/>
        </w:tabs>
        <w:suppressAutoHyphens/>
        <w:spacing w:line="360" w:lineRule="auto"/>
        <w:ind w:firstLine="1440"/>
        <w:rPr>
          <w:rFonts w:cs="Times New Roman"/>
          <w:sz w:val="26"/>
          <w:szCs w:val="26"/>
        </w:rPr>
      </w:pPr>
      <w:r w:rsidRPr="006F6AF1">
        <w:rPr>
          <w:rFonts w:cs="Times New Roman"/>
          <w:sz w:val="26"/>
          <w:szCs w:val="26"/>
        </w:rPr>
        <w:t xml:space="preserve">As a New Matter, </w:t>
      </w:r>
      <w:r w:rsidR="00F31AAB" w:rsidRPr="006F6AF1">
        <w:rPr>
          <w:rFonts w:cs="Times New Roman"/>
          <w:sz w:val="26"/>
          <w:szCs w:val="26"/>
        </w:rPr>
        <w:t xml:space="preserve">PECO </w:t>
      </w:r>
      <w:r w:rsidR="00A02F18">
        <w:rPr>
          <w:rFonts w:cs="Times New Roman"/>
          <w:sz w:val="26"/>
          <w:szCs w:val="26"/>
        </w:rPr>
        <w:t>aver</w:t>
      </w:r>
      <w:r w:rsidR="00B84CB0">
        <w:rPr>
          <w:rFonts w:cs="Times New Roman"/>
          <w:sz w:val="26"/>
          <w:szCs w:val="26"/>
        </w:rPr>
        <w:t>red</w:t>
      </w:r>
      <w:r w:rsidR="00A02F18">
        <w:rPr>
          <w:rFonts w:cs="Times New Roman"/>
          <w:sz w:val="26"/>
          <w:szCs w:val="26"/>
        </w:rPr>
        <w:t xml:space="preserve"> that the Complainants have a significant amount of debt in addition to the $26,669 owed to the Company.  PECO </w:t>
      </w:r>
      <w:r w:rsidRPr="006F6AF1">
        <w:rPr>
          <w:rFonts w:cs="Times New Roman"/>
          <w:sz w:val="26"/>
          <w:szCs w:val="26"/>
        </w:rPr>
        <w:t xml:space="preserve">presented </w:t>
      </w:r>
      <w:r w:rsidR="00AF0FE2">
        <w:rPr>
          <w:rFonts w:cs="Times New Roman"/>
          <w:sz w:val="26"/>
          <w:szCs w:val="26"/>
        </w:rPr>
        <w:t xml:space="preserve">a list of </w:t>
      </w:r>
      <w:r w:rsidRPr="006F6AF1">
        <w:rPr>
          <w:rFonts w:cs="Times New Roman"/>
          <w:sz w:val="26"/>
          <w:szCs w:val="26"/>
        </w:rPr>
        <w:t>eleven civil judgments decided against the Complainants totaling $365,</w:t>
      </w:r>
      <w:r w:rsidR="00D80D23" w:rsidRPr="006F6AF1">
        <w:rPr>
          <w:rFonts w:cs="Times New Roman"/>
          <w:sz w:val="26"/>
          <w:szCs w:val="26"/>
        </w:rPr>
        <w:t xml:space="preserve">261.  </w:t>
      </w:r>
      <w:r w:rsidR="00CB516C">
        <w:rPr>
          <w:rFonts w:cs="Times New Roman"/>
          <w:sz w:val="26"/>
          <w:szCs w:val="26"/>
        </w:rPr>
        <w:t xml:space="preserve">PECO also stated that the Complainants purchased their home in 2003 for $986,000 and obtained a mortgage for $920,000. </w:t>
      </w:r>
      <w:r w:rsidR="00D765D6" w:rsidRPr="006F6AF1">
        <w:rPr>
          <w:rFonts w:cs="Times New Roman"/>
          <w:i/>
          <w:sz w:val="26"/>
          <w:szCs w:val="26"/>
        </w:rPr>
        <w:t>Id</w:t>
      </w:r>
      <w:r w:rsidR="00D765D6">
        <w:rPr>
          <w:rFonts w:cs="Times New Roman"/>
          <w:i/>
          <w:sz w:val="26"/>
          <w:szCs w:val="26"/>
        </w:rPr>
        <w:t>.</w:t>
      </w:r>
      <w:r w:rsidR="00D765D6" w:rsidRPr="006F6AF1">
        <w:rPr>
          <w:rFonts w:cs="Times New Roman"/>
          <w:sz w:val="26"/>
          <w:szCs w:val="26"/>
        </w:rPr>
        <w:t xml:space="preserve"> at 2-</w:t>
      </w:r>
      <w:r w:rsidR="00D765D6">
        <w:rPr>
          <w:rFonts w:cs="Times New Roman"/>
          <w:sz w:val="26"/>
          <w:szCs w:val="26"/>
        </w:rPr>
        <w:t>5</w:t>
      </w:r>
      <w:r w:rsidR="00D765D6" w:rsidRPr="006F6AF1">
        <w:rPr>
          <w:rFonts w:cs="Times New Roman"/>
          <w:sz w:val="26"/>
          <w:szCs w:val="26"/>
        </w:rPr>
        <w:t xml:space="preserve">. </w:t>
      </w:r>
    </w:p>
    <w:p w:rsidR="00F31AAB" w:rsidRPr="006F6AF1" w:rsidRDefault="00D80D23" w:rsidP="009021C8">
      <w:pPr>
        <w:widowControl/>
        <w:tabs>
          <w:tab w:val="left" w:pos="-720"/>
        </w:tabs>
        <w:suppressAutoHyphens/>
        <w:spacing w:line="360" w:lineRule="auto"/>
        <w:ind w:firstLine="1440"/>
        <w:rPr>
          <w:rFonts w:cs="Times New Roman"/>
          <w:sz w:val="26"/>
          <w:szCs w:val="26"/>
        </w:rPr>
      </w:pPr>
      <w:r w:rsidRPr="006F6AF1">
        <w:rPr>
          <w:rFonts w:cs="Times New Roman"/>
          <w:sz w:val="26"/>
          <w:szCs w:val="26"/>
        </w:rPr>
        <w:lastRenderedPageBreak/>
        <w:t xml:space="preserve">PECO </w:t>
      </w:r>
      <w:r w:rsidR="00F31AAB" w:rsidRPr="006F6AF1">
        <w:rPr>
          <w:rFonts w:cs="Times New Roman"/>
          <w:sz w:val="26"/>
          <w:szCs w:val="26"/>
        </w:rPr>
        <w:t xml:space="preserve">also </w:t>
      </w:r>
      <w:r w:rsidRPr="006F6AF1">
        <w:rPr>
          <w:rFonts w:cs="Times New Roman"/>
          <w:sz w:val="26"/>
          <w:szCs w:val="26"/>
        </w:rPr>
        <w:t>submitted</w:t>
      </w:r>
      <w:r w:rsidR="00C272E4">
        <w:rPr>
          <w:rFonts w:cs="Times New Roman"/>
          <w:sz w:val="26"/>
          <w:szCs w:val="26"/>
        </w:rPr>
        <w:t xml:space="preserve">, </w:t>
      </w:r>
      <w:r w:rsidR="00C272E4" w:rsidRPr="00C272E4">
        <w:rPr>
          <w:rFonts w:cs="Times New Roman"/>
          <w:i/>
          <w:sz w:val="26"/>
          <w:szCs w:val="26"/>
        </w:rPr>
        <w:t>inter alia</w:t>
      </w:r>
      <w:r w:rsidR="00C272E4">
        <w:rPr>
          <w:rFonts w:cs="Times New Roman"/>
          <w:sz w:val="26"/>
          <w:szCs w:val="26"/>
        </w:rPr>
        <w:t xml:space="preserve">, the </w:t>
      </w:r>
      <w:r w:rsidR="00F31AAB" w:rsidRPr="006F6AF1">
        <w:rPr>
          <w:rFonts w:cs="Times New Roman"/>
          <w:sz w:val="26"/>
          <w:szCs w:val="26"/>
        </w:rPr>
        <w:t>Complainants</w:t>
      </w:r>
      <w:r w:rsidR="0087478B">
        <w:rPr>
          <w:rFonts w:cs="Times New Roman"/>
          <w:sz w:val="26"/>
          <w:szCs w:val="26"/>
        </w:rPr>
        <w:t>’</w:t>
      </w:r>
      <w:r w:rsidR="00F31AAB" w:rsidRPr="006F6AF1">
        <w:rPr>
          <w:rFonts w:cs="Times New Roman"/>
          <w:sz w:val="26"/>
          <w:szCs w:val="26"/>
        </w:rPr>
        <w:t xml:space="preserve"> </w:t>
      </w:r>
      <w:r w:rsidR="00220F6F" w:rsidRPr="006F6AF1">
        <w:rPr>
          <w:rFonts w:cs="Times New Roman"/>
          <w:sz w:val="26"/>
          <w:szCs w:val="26"/>
        </w:rPr>
        <w:t xml:space="preserve">history of noncompliance </w:t>
      </w:r>
      <w:r w:rsidR="00F31AAB" w:rsidRPr="006F6AF1">
        <w:rPr>
          <w:rFonts w:cs="Times New Roman"/>
          <w:sz w:val="26"/>
          <w:szCs w:val="26"/>
        </w:rPr>
        <w:t xml:space="preserve">with previous payment arrangements, and </w:t>
      </w:r>
      <w:r w:rsidR="00C272E4">
        <w:rPr>
          <w:rFonts w:cs="Times New Roman"/>
          <w:sz w:val="26"/>
          <w:szCs w:val="26"/>
        </w:rPr>
        <w:t xml:space="preserve">the </w:t>
      </w:r>
      <w:r w:rsidR="00F31AAB" w:rsidRPr="006F6AF1">
        <w:rPr>
          <w:rFonts w:cs="Times New Roman"/>
          <w:sz w:val="26"/>
          <w:szCs w:val="26"/>
        </w:rPr>
        <w:t>Complainants’ failure to make good faith payments during the term</w:t>
      </w:r>
      <w:r w:rsidR="00220F6F" w:rsidRPr="006F6AF1">
        <w:rPr>
          <w:rFonts w:cs="Times New Roman"/>
          <w:sz w:val="26"/>
          <w:szCs w:val="26"/>
        </w:rPr>
        <w:t>s</w:t>
      </w:r>
      <w:r w:rsidR="00F31AAB" w:rsidRPr="006F6AF1">
        <w:rPr>
          <w:rFonts w:cs="Times New Roman"/>
          <w:sz w:val="26"/>
          <w:szCs w:val="26"/>
        </w:rPr>
        <w:t xml:space="preserve"> of the following medical certificates granted by PECO: August 2005; November 2005; January 2006; and August 2008.  </w:t>
      </w:r>
      <w:r w:rsidR="00C272E4" w:rsidRPr="00C272E4">
        <w:rPr>
          <w:rFonts w:cs="Times New Roman"/>
          <w:i/>
          <w:sz w:val="26"/>
          <w:szCs w:val="26"/>
        </w:rPr>
        <w:t>Id.</w:t>
      </w:r>
      <w:r w:rsidR="00C272E4">
        <w:rPr>
          <w:rFonts w:cs="Times New Roman"/>
          <w:sz w:val="26"/>
          <w:szCs w:val="26"/>
        </w:rPr>
        <w:t xml:space="preserve"> at 5-7.  </w:t>
      </w:r>
      <w:r w:rsidR="00092396">
        <w:rPr>
          <w:rFonts w:cs="Times New Roman"/>
          <w:sz w:val="26"/>
          <w:szCs w:val="26"/>
        </w:rPr>
        <w:t xml:space="preserve">PECO averred </w:t>
      </w:r>
      <w:r w:rsidR="001772BC">
        <w:rPr>
          <w:rFonts w:cs="Times New Roman"/>
          <w:sz w:val="26"/>
          <w:szCs w:val="26"/>
        </w:rPr>
        <w:t>that, “even if a payment agreement is ordered, this balance will continue to grow which is unfair to other ratepayers, who are struggling and do not live in houses which cost over $900,000.</w:t>
      </w:r>
      <w:r w:rsidR="0078707F">
        <w:rPr>
          <w:rFonts w:cs="Times New Roman"/>
          <w:sz w:val="26"/>
          <w:szCs w:val="26"/>
        </w:rPr>
        <w:t>”</w:t>
      </w:r>
      <w:r w:rsidR="001772BC">
        <w:rPr>
          <w:rFonts w:cs="Times New Roman"/>
          <w:sz w:val="26"/>
          <w:szCs w:val="26"/>
        </w:rPr>
        <w:t xml:space="preserve">  </w:t>
      </w:r>
      <w:r w:rsidR="002B6ADB">
        <w:rPr>
          <w:rFonts w:cs="Times New Roman"/>
          <w:sz w:val="26"/>
          <w:szCs w:val="26"/>
        </w:rPr>
        <w:t>PECO</w:t>
      </w:r>
      <w:r w:rsidR="001772BC">
        <w:rPr>
          <w:rFonts w:cs="Times New Roman"/>
          <w:sz w:val="26"/>
          <w:szCs w:val="26"/>
        </w:rPr>
        <w:t xml:space="preserve"> </w:t>
      </w:r>
      <w:r w:rsidR="00F31AAB" w:rsidRPr="006F6AF1">
        <w:rPr>
          <w:rFonts w:cs="Times New Roman"/>
          <w:sz w:val="26"/>
          <w:szCs w:val="26"/>
        </w:rPr>
        <w:t>requested that the Complaint be dismissed</w:t>
      </w:r>
      <w:r w:rsidR="00C272E4">
        <w:rPr>
          <w:rFonts w:cs="Times New Roman"/>
          <w:sz w:val="26"/>
          <w:szCs w:val="26"/>
        </w:rPr>
        <w:t xml:space="preserve"> and that the Commission issue an Interim Order </w:t>
      </w:r>
      <w:r w:rsidR="00A967D9">
        <w:rPr>
          <w:rFonts w:cs="Times New Roman"/>
          <w:sz w:val="26"/>
          <w:szCs w:val="26"/>
        </w:rPr>
        <w:t xml:space="preserve">directing payment of </w:t>
      </w:r>
      <w:r w:rsidR="0002280D">
        <w:rPr>
          <w:rFonts w:cs="Times New Roman"/>
          <w:sz w:val="26"/>
          <w:szCs w:val="26"/>
        </w:rPr>
        <w:t xml:space="preserve">the outstanding balance within thirty days </w:t>
      </w:r>
      <w:r w:rsidR="00177445">
        <w:rPr>
          <w:rFonts w:cs="Times New Roman"/>
          <w:sz w:val="26"/>
          <w:szCs w:val="26"/>
        </w:rPr>
        <w:t xml:space="preserve">and reminding the Complainant’s that PECO is authorized </w:t>
      </w:r>
      <w:r w:rsidR="0002280D">
        <w:rPr>
          <w:rFonts w:cs="Times New Roman"/>
          <w:sz w:val="26"/>
          <w:szCs w:val="26"/>
        </w:rPr>
        <w:t>to terminate service</w:t>
      </w:r>
      <w:r w:rsidR="00B84CB0">
        <w:rPr>
          <w:rFonts w:cs="Times New Roman"/>
          <w:sz w:val="26"/>
          <w:szCs w:val="26"/>
        </w:rPr>
        <w:t xml:space="preserve"> if the Complainant’s do not comply. </w:t>
      </w:r>
      <w:r w:rsidR="0002280D">
        <w:rPr>
          <w:rFonts w:cs="Times New Roman"/>
          <w:sz w:val="26"/>
          <w:szCs w:val="26"/>
        </w:rPr>
        <w:t xml:space="preserve"> </w:t>
      </w:r>
      <w:r w:rsidR="00F31AAB" w:rsidRPr="006F6AF1">
        <w:rPr>
          <w:rFonts w:cs="Times New Roman"/>
          <w:sz w:val="26"/>
          <w:szCs w:val="26"/>
        </w:rPr>
        <w:t xml:space="preserve"> </w:t>
      </w:r>
      <w:r w:rsidR="00220F6F" w:rsidRPr="006F6AF1">
        <w:rPr>
          <w:rFonts w:cs="Times New Roman"/>
          <w:i/>
          <w:sz w:val="26"/>
          <w:szCs w:val="26"/>
        </w:rPr>
        <w:t>Id</w:t>
      </w:r>
      <w:r w:rsidR="00220F6F" w:rsidRPr="006F6AF1">
        <w:rPr>
          <w:rFonts w:cs="Times New Roman"/>
          <w:sz w:val="26"/>
          <w:szCs w:val="26"/>
        </w:rPr>
        <w:t>. at</w:t>
      </w:r>
      <w:r w:rsidR="0002280D">
        <w:rPr>
          <w:rFonts w:cs="Times New Roman"/>
          <w:sz w:val="26"/>
          <w:szCs w:val="26"/>
        </w:rPr>
        <w:t xml:space="preserve"> </w:t>
      </w:r>
      <w:r w:rsidR="00A967D9">
        <w:rPr>
          <w:rFonts w:cs="Times New Roman"/>
          <w:sz w:val="26"/>
          <w:szCs w:val="26"/>
        </w:rPr>
        <w:t>8</w:t>
      </w:r>
      <w:r w:rsidR="00177445">
        <w:rPr>
          <w:rFonts w:cs="Times New Roman"/>
          <w:sz w:val="26"/>
          <w:szCs w:val="26"/>
        </w:rPr>
        <w:t>-9</w:t>
      </w:r>
      <w:r w:rsidR="00496639" w:rsidRPr="006F6AF1">
        <w:rPr>
          <w:rFonts w:cs="Times New Roman"/>
          <w:sz w:val="26"/>
          <w:szCs w:val="26"/>
        </w:rPr>
        <w:t>.</w:t>
      </w:r>
    </w:p>
    <w:p w:rsidR="006371ED" w:rsidRPr="006F6AF1" w:rsidRDefault="006371ED" w:rsidP="009021C8">
      <w:pPr>
        <w:widowControl/>
        <w:spacing w:line="360" w:lineRule="auto"/>
        <w:ind w:firstLine="1440"/>
        <w:rPr>
          <w:sz w:val="26"/>
          <w:szCs w:val="26"/>
        </w:rPr>
      </w:pPr>
    </w:p>
    <w:p w:rsidR="004A0620" w:rsidRDefault="00351C73" w:rsidP="009021C8">
      <w:pPr>
        <w:widowControl/>
        <w:spacing w:line="360" w:lineRule="auto"/>
        <w:ind w:firstLine="1440"/>
        <w:rPr>
          <w:sz w:val="26"/>
          <w:szCs w:val="26"/>
        </w:rPr>
      </w:pPr>
      <w:r>
        <w:rPr>
          <w:sz w:val="26"/>
          <w:szCs w:val="26"/>
        </w:rPr>
        <w:t xml:space="preserve">On April 21, 2009, a hearing was held in Philadelphia before the ALJ.  </w:t>
      </w:r>
      <w:r w:rsidR="00A967D9">
        <w:rPr>
          <w:sz w:val="26"/>
          <w:szCs w:val="26"/>
        </w:rPr>
        <w:t xml:space="preserve">Michael and Holly </w:t>
      </w:r>
      <w:r w:rsidR="00E86F26">
        <w:rPr>
          <w:sz w:val="26"/>
          <w:szCs w:val="26"/>
        </w:rPr>
        <w:t xml:space="preserve">Robbins </w:t>
      </w:r>
      <w:r>
        <w:rPr>
          <w:sz w:val="26"/>
          <w:szCs w:val="26"/>
        </w:rPr>
        <w:t xml:space="preserve">appeared </w:t>
      </w:r>
      <w:r w:rsidRPr="00351C73">
        <w:rPr>
          <w:i/>
          <w:sz w:val="26"/>
          <w:szCs w:val="26"/>
        </w:rPr>
        <w:t xml:space="preserve">pro se </w:t>
      </w:r>
      <w:r w:rsidRPr="00351C73">
        <w:rPr>
          <w:sz w:val="26"/>
          <w:szCs w:val="26"/>
        </w:rPr>
        <w:t>and testified</w:t>
      </w:r>
      <w:r>
        <w:rPr>
          <w:sz w:val="26"/>
          <w:szCs w:val="26"/>
        </w:rPr>
        <w:t xml:space="preserve"> on their own behalf.  </w:t>
      </w:r>
      <w:r w:rsidR="001D4A79">
        <w:rPr>
          <w:sz w:val="26"/>
          <w:szCs w:val="26"/>
        </w:rPr>
        <w:t xml:space="preserve">PECO was represented by Counsel, presented the testimony of one witness, and submitted nine exhibits.  </w:t>
      </w:r>
      <w:r w:rsidR="00181B4A">
        <w:rPr>
          <w:sz w:val="26"/>
          <w:szCs w:val="26"/>
        </w:rPr>
        <w:t xml:space="preserve">At the hearing, the </w:t>
      </w:r>
      <w:r w:rsidR="00A967D9">
        <w:rPr>
          <w:sz w:val="26"/>
          <w:szCs w:val="26"/>
        </w:rPr>
        <w:t xml:space="preserve">Complainants </w:t>
      </w:r>
      <w:r w:rsidR="00181B4A">
        <w:rPr>
          <w:sz w:val="26"/>
          <w:szCs w:val="26"/>
        </w:rPr>
        <w:t xml:space="preserve">requested that </w:t>
      </w:r>
      <w:r w:rsidR="00A967D9">
        <w:rPr>
          <w:sz w:val="26"/>
          <w:szCs w:val="26"/>
        </w:rPr>
        <w:t>they</w:t>
      </w:r>
      <w:r w:rsidR="00181B4A">
        <w:rPr>
          <w:sz w:val="26"/>
          <w:szCs w:val="26"/>
        </w:rPr>
        <w:t xml:space="preserve"> be </w:t>
      </w:r>
      <w:r w:rsidR="00D628F5">
        <w:rPr>
          <w:sz w:val="26"/>
          <w:szCs w:val="26"/>
        </w:rPr>
        <w:t>permitted</w:t>
      </w:r>
      <w:r w:rsidR="00181B4A">
        <w:rPr>
          <w:sz w:val="26"/>
          <w:szCs w:val="26"/>
        </w:rPr>
        <w:t xml:space="preserve"> to submit a late filed exhibit.  </w:t>
      </w:r>
      <w:r w:rsidR="00BF5562">
        <w:rPr>
          <w:sz w:val="26"/>
          <w:szCs w:val="26"/>
        </w:rPr>
        <w:t xml:space="preserve">Tr. at </w:t>
      </w:r>
      <w:r w:rsidR="003E5C5A">
        <w:rPr>
          <w:sz w:val="26"/>
          <w:szCs w:val="26"/>
        </w:rPr>
        <w:t>102</w:t>
      </w:r>
      <w:r w:rsidR="00BF5562">
        <w:rPr>
          <w:sz w:val="26"/>
          <w:szCs w:val="26"/>
        </w:rPr>
        <w:t xml:space="preserve">. </w:t>
      </w:r>
    </w:p>
    <w:p w:rsidR="004A0620" w:rsidRDefault="004A0620" w:rsidP="009021C8">
      <w:pPr>
        <w:widowControl/>
        <w:spacing w:line="360" w:lineRule="auto"/>
        <w:ind w:firstLine="1440"/>
        <w:rPr>
          <w:sz w:val="26"/>
          <w:szCs w:val="26"/>
        </w:rPr>
      </w:pPr>
    </w:p>
    <w:p w:rsidR="00D163C7" w:rsidRDefault="004A0620" w:rsidP="009021C8">
      <w:pPr>
        <w:widowControl/>
        <w:spacing w:line="360" w:lineRule="auto"/>
        <w:ind w:firstLine="1440"/>
        <w:rPr>
          <w:sz w:val="26"/>
          <w:szCs w:val="26"/>
        </w:rPr>
      </w:pPr>
      <w:r>
        <w:rPr>
          <w:sz w:val="26"/>
          <w:szCs w:val="26"/>
        </w:rPr>
        <w:t xml:space="preserve">By </w:t>
      </w:r>
      <w:r w:rsidR="00401493">
        <w:rPr>
          <w:sz w:val="26"/>
          <w:szCs w:val="26"/>
        </w:rPr>
        <w:t>f</w:t>
      </w:r>
      <w:r>
        <w:rPr>
          <w:sz w:val="26"/>
          <w:szCs w:val="26"/>
        </w:rPr>
        <w:t>acsimile dated April 22, 2009, the Complainant</w:t>
      </w:r>
      <w:r w:rsidR="009E2740">
        <w:rPr>
          <w:sz w:val="26"/>
          <w:szCs w:val="26"/>
        </w:rPr>
        <w:t xml:space="preserve">s </w:t>
      </w:r>
      <w:r>
        <w:rPr>
          <w:sz w:val="26"/>
          <w:szCs w:val="26"/>
        </w:rPr>
        <w:t xml:space="preserve">submitted a copy of a </w:t>
      </w:r>
      <w:r w:rsidR="00401493">
        <w:rPr>
          <w:sz w:val="26"/>
          <w:szCs w:val="26"/>
        </w:rPr>
        <w:t>cancelled</w:t>
      </w:r>
      <w:r>
        <w:rPr>
          <w:sz w:val="26"/>
          <w:szCs w:val="26"/>
        </w:rPr>
        <w:t xml:space="preserve"> check </w:t>
      </w:r>
      <w:r w:rsidR="00401493">
        <w:rPr>
          <w:sz w:val="26"/>
          <w:szCs w:val="26"/>
        </w:rPr>
        <w:t xml:space="preserve">payable to PECO </w:t>
      </w:r>
      <w:r w:rsidR="00ED5FC1">
        <w:rPr>
          <w:sz w:val="26"/>
          <w:szCs w:val="26"/>
        </w:rPr>
        <w:t xml:space="preserve">as </w:t>
      </w:r>
      <w:r w:rsidR="009E2740">
        <w:rPr>
          <w:sz w:val="26"/>
          <w:szCs w:val="26"/>
        </w:rPr>
        <w:t xml:space="preserve">their </w:t>
      </w:r>
      <w:r>
        <w:rPr>
          <w:sz w:val="26"/>
          <w:szCs w:val="26"/>
        </w:rPr>
        <w:t>only exhibit</w:t>
      </w:r>
      <w:r w:rsidR="00401493">
        <w:rPr>
          <w:sz w:val="26"/>
          <w:szCs w:val="26"/>
        </w:rPr>
        <w:t xml:space="preserve">.  By facsimile dated April 24, 2009, PECO modified the Complainants’ billing history, submitted as </w:t>
      </w:r>
      <w:r w:rsidR="009E2740">
        <w:rPr>
          <w:sz w:val="26"/>
          <w:szCs w:val="26"/>
        </w:rPr>
        <w:t xml:space="preserve">Revised </w:t>
      </w:r>
      <w:r w:rsidR="00401493">
        <w:rPr>
          <w:sz w:val="26"/>
          <w:szCs w:val="26"/>
        </w:rPr>
        <w:t xml:space="preserve">PECO Exhibit 3, to reflect the </w:t>
      </w:r>
      <w:r w:rsidR="00ED5FC1">
        <w:rPr>
          <w:sz w:val="26"/>
          <w:szCs w:val="26"/>
        </w:rPr>
        <w:t>Complainants’</w:t>
      </w:r>
      <w:r w:rsidR="00401493">
        <w:rPr>
          <w:sz w:val="26"/>
          <w:szCs w:val="26"/>
        </w:rPr>
        <w:t xml:space="preserve"> payment of $609.00</w:t>
      </w:r>
      <w:r>
        <w:rPr>
          <w:sz w:val="26"/>
          <w:szCs w:val="26"/>
        </w:rPr>
        <w:t xml:space="preserve"> </w:t>
      </w:r>
      <w:r w:rsidR="00401493">
        <w:rPr>
          <w:sz w:val="26"/>
          <w:szCs w:val="26"/>
        </w:rPr>
        <w:t>on April 15, 2009.</w:t>
      </w:r>
    </w:p>
    <w:p w:rsidR="00FD51FC" w:rsidRDefault="00FD51FC" w:rsidP="009021C8">
      <w:pPr>
        <w:widowControl/>
        <w:spacing w:line="360" w:lineRule="auto"/>
        <w:ind w:firstLine="1440"/>
        <w:rPr>
          <w:sz w:val="26"/>
          <w:szCs w:val="26"/>
        </w:rPr>
      </w:pPr>
    </w:p>
    <w:p w:rsidR="00FD51FC" w:rsidRDefault="00FD51FC" w:rsidP="009021C8">
      <w:pPr>
        <w:widowControl/>
        <w:spacing w:line="360" w:lineRule="auto"/>
        <w:ind w:firstLine="1440"/>
        <w:rPr>
          <w:sz w:val="26"/>
          <w:szCs w:val="26"/>
        </w:rPr>
      </w:pPr>
      <w:r>
        <w:rPr>
          <w:sz w:val="26"/>
          <w:szCs w:val="26"/>
        </w:rPr>
        <w:t xml:space="preserve">By Order dated April 28, 2009, the ALJ closed the evidentiary record.  </w:t>
      </w:r>
    </w:p>
    <w:p w:rsidR="00C6150D" w:rsidRDefault="00C6150D" w:rsidP="009021C8">
      <w:pPr>
        <w:widowControl/>
        <w:spacing w:line="360" w:lineRule="auto"/>
        <w:ind w:firstLine="1440"/>
        <w:rPr>
          <w:sz w:val="26"/>
          <w:szCs w:val="26"/>
        </w:rPr>
      </w:pPr>
    </w:p>
    <w:p w:rsidR="00ED5FC1" w:rsidRDefault="00ED5FC1" w:rsidP="009021C8">
      <w:pPr>
        <w:widowControl/>
        <w:spacing w:line="360" w:lineRule="auto"/>
        <w:ind w:firstLine="1440"/>
        <w:rPr>
          <w:sz w:val="26"/>
          <w:szCs w:val="26"/>
        </w:rPr>
      </w:pPr>
      <w:r>
        <w:rPr>
          <w:sz w:val="26"/>
          <w:szCs w:val="26"/>
        </w:rPr>
        <w:t xml:space="preserve">On August 21, 2009, the </w:t>
      </w:r>
      <w:r w:rsidR="009021C8">
        <w:rPr>
          <w:sz w:val="26"/>
          <w:szCs w:val="26"/>
        </w:rPr>
        <w:t xml:space="preserve">Commission issued the </w:t>
      </w:r>
      <w:r>
        <w:rPr>
          <w:sz w:val="26"/>
          <w:szCs w:val="26"/>
        </w:rPr>
        <w:t>ALJ</w:t>
      </w:r>
      <w:r w:rsidR="009021C8">
        <w:rPr>
          <w:sz w:val="26"/>
          <w:szCs w:val="26"/>
        </w:rPr>
        <w:t xml:space="preserve">’s </w:t>
      </w:r>
      <w:r>
        <w:rPr>
          <w:sz w:val="26"/>
          <w:szCs w:val="26"/>
        </w:rPr>
        <w:t>Initial Decision</w:t>
      </w:r>
      <w:r w:rsidR="009021C8">
        <w:rPr>
          <w:sz w:val="26"/>
          <w:szCs w:val="26"/>
        </w:rPr>
        <w:t xml:space="preserve">, which </w:t>
      </w:r>
      <w:r w:rsidR="00FD51FC">
        <w:rPr>
          <w:sz w:val="26"/>
          <w:szCs w:val="26"/>
        </w:rPr>
        <w:t xml:space="preserve">dismissed the Complaint because the Complainants did not meet their burden of proof. </w:t>
      </w:r>
    </w:p>
    <w:p w:rsidR="003C4BC6" w:rsidRDefault="003C4BC6" w:rsidP="009021C8">
      <w:pPr>
        <w:widowControl/>
        <w:spacing w:line="360" w:lineRule="auto"/>
        <w:ind w:firstLine="1440"/>
        <w:rPr>
          <w:sz w:val="26"/>
          <w:szCs w:val="26"/>
        </w:rPr>
      </w:pPr>
    </w:p>
    <w:p w:rsidR="003C4BC6" w:rsidRDefault="005C2C3A" w:rsidP="009021C8">
      <w:pPr>
        <w:widowControl/>
        <w:spacing w:line="360" w:lineRule="auto"/>
        <w:ind w:firstLine="1440"/>
        <w:rPr>
          <w:sz w:val="26"/>
          <w:szCs w:val="26"/>
        </w:rPr>
      </w:pPr>
      <w:r>
        <w:rPr>
          <w:sz w:val="26"/>
          <w:szCs w:val="26"/>
        </w:rPr>
        <w:lastRenderedPageBreak/>
        <w:t>T</w:t>
      </w:r>
      <w:r w:rsidR="00BF5562">
        <w:rPr>
          <w:sz w:val="26"/>
          <w:szCs w:val="26"/>
        </w:rPr>
        <w:t>he Complainant</w:t>
      </w:r>
      <w:r w:rsidR="00063BB2">
        <w:rPr>
          <w:sz w:val="26"/>
          <w:szCs w:val="26"/>
        </w:rPr>
        <w:t>s</w:t>
      </w:r>
      <w:r w:rsidR="00E319FC">
        <w:rPr>
          <w:sz w:val="26"/>
          <w:szCs w:val="26"/>
        </w:rPr>
        <w:t xml:space="preserve"> filed Exceptions on </w:t>
      </w:r>
      <w:r w:rsidR="009C7076">
        <w:rPr>
          <w:sz w:val="26"/>
          <w:szCs w:val="26"/>
        </w:rPr>
        <w:t>September 9, 2009</w:t>
      </w:r>
      <w:r>
        <w:rPr>
          <w:sz w:val="26"/>
          <w:szCs w:val="26"/>
        </w:rPr>
        <w:t xml:space="preserve">, but did not serve </w:t>
      </w:r>
      <w:r w:rsidR="00BF5562">
        <w:rPr>
          <w:sz w:val="26"/>
          <w:szCs w:val="26"/>
        </w:rPr>
        <w:t xml:space="preserve">the Exceptions </w:t>
      </w:r>
      <w:r>
        <w:rPr>
          <w:sz w:val="26"/>
          <w:szCs w:val="26"/>
        </w:rPr>
        <w:t xml:space="preserve">on PECO.  The Exceptions were subsequently sent to PECO by the Commission Secretary on September 14, 2009.  No Reply Exceptions were filed. </w:t>
      </w:r>
    </w:p>
    <w:p w:rsidR="00B8247B" w:rsidRDefault="00B8247B" w:rsidP="009021C8">
      <w:pPr>
        <w:widowControl/>
        <w:spacing w:line="360" w:lineRule="auto"/>
        <w:ind w:firstLine="1440"/>
        <w:rPr>
          <w:sz w:val="26"/>
          <w:szCs w:val="26"/>
        </w:rPr>
      </w:pPr>
    </w:p>
    <w:p w:rsidR="00B8247B" w:rsidRDefault="00B8247B" w:rsidP="009021C8">
      <w:pPr>
        <w:widowControl/>
        <w:spacing w:line="360" w:lineRule="auto"/>
        <w:jc w:val="center"/>
        <w:rPr>
          <w:b/>
          <w:sz w:val="26"/>
          <w:szCs w:val="26"/>
          <w:u w:val="single"/>
        </w:rPr>
      </w:pPr>
      <w:r w:rsidRPr="00B8247B">
        <w:rPr>
          <w:b/>
          <w:sz w:val="26"/>
          <w:szCs w:val="26"/>
          <w:u w:val="single"/>
        </w:rPr>
        <w:t>Discussion</w:t>
      </w:r>
    </w:p>
    <w:p w:rsidR="00B8247B" w:rsidRDefault="00B8247B" w:rsidP="009021C8">
      <w:pPr>
        <w:widowControl/>
        <w:spacing w:line="360" w:lineRule="auto"/>
        <w:jc w:val="center"/>
        <w:rPr>
          <w:b/>
          <w:sz w:val="26"/>
          <w:szCs w:val="26"/>
          <w:u w:val="single"/>
        </w:rPr>
      </w:pPr>
    </w:p>
    <w:p w:rsidR="00B8247B" w:rsidRPr="0017065A" w:rsidRDefault="00B8247B" w:rsidP="009021C8">
      <w:pPr>
        <w:widowControl/>
        <w:suppressAutoHyphens/>
        <w:spacing w:line="360" w:lineRule="auto"/>
        <w:ind w:firstLine="1440"/>
        <w:rPr>
          <w:rFonts w:cs="Times New Roman"/>
          <w:spacing w:val="-3"/>
          <w:sz w:val="26"/>
          <w:szCs w:val="26"/>
          <w:u w:val="single"/>
        </w:rPr>
      </w:pPr>
      <w:r w:rsidRPr="0017065A">
        <w:rPr>
          <w:sz w:val="26"/>
          <w:szCs w:val="26"/>
        </w:rPr>
        <w:t>As the proponent of a rule or order, the Complainant</w:t>
      </w:r>
      <w:r w:rsidR="009D4E21">
        <w:rPr>
          <w:sz w:val="26"/>
          <w:szCs w:val="26"/>
        </w:rPr>
        <w:t xml:space="preserve">s </w:t>
      </w:r>
      <w:r w:rsidRPr="0017065A">
        <w:rPr>
          <w:sz w:val="26"/>
          <w:szCs w:val="26"/>
        </w:rPr>
        <w:t xml:space="preserve">in this proceeding bear the burden of proof pursuant to Section 332(a) of the Public Utility Code.  66 Pa. C.S. § 332(a).  </w:t>
      </w:r>
      <w:r w:rsidRPr="0017065A">
        <w:rPr>
          <w:rFonts w:cs="Times New Roman"/>
          <w:sz w:val="26"/>
          <w:szCs w:val="26"/>
        </w:rPr>
        <w:t>To satisfy this burden, the Complainant</w:t>
      </w:r>
      <w:r w:rsidR="009D4E21">
        <w:rPr>
          <w:rFonts w:cs="Times New Roman"/>
          <w:sz w:val="26"/>
          <w:szCs w:val="26"/>
        </w:rPr>
        <w:t>s</w:t>
      </w:r>
      <w:r w:rsidRPr="0017065A">
        <w:rPr>
          <w:rFonts w:cs="Times New Roman"/>
          <w:sz w:val="26"/>
          <w:szCs w:val="26"/>
        </w:rPr>
        <w:t xml:space="preserve"> must demonstrate that the Respondent was responsible for the problems alleged in</w:t>
      </w:r>
      <w:r w:rsidR="009D4E21">
        <w:rPr>
          <w:rFonts w:cs="Times New Roman"/>
          <w:sz w:val="26"/>
          <w:szCs w:val="26"/>
        </w:rPr>
        <w:t xml:space="preserve"> their</w:t>
      </w:r>
      <w:r w:rsidRPr="0017065A">
        <w:rPr>
          <w:rFonts w:cs="Times New Roman"/>
          <w:sz w:val="26"/>
          <w:szCs w:val="26"/>
        </w:rPr>
        <w:t xml:space="preserve"> Complaint through a violation of the Public Utility Code or a Regulation or Order of the Commission.  This must be shown by a preponderance of the evidence.  66 Pa. C.S. §701; </w:t>
      </w:r>
      <w:r w:rsidRPr="0017065A">
        <w:rPr>
          <w:rFonts w:cs="Times New Roman"/>
          <w:i/>
          <w:sz w:val="26"/>
          <w:szCs w:val="26"/>
        </w:rPr>
        <w:t>Patterson v. Bell Telephone Company of Pennsylvania,</w:t>
      </w:r>
      <w:r w:rsidRPr="0017065A">
        <w:rPr>
          <w:rFonts w:cs="Times New Roman"/>
          <w:sz w:val="26"/>
          <w:szCs w:val="26"/>
        </w:rPr>
        <w:t xml:space="preserve"> 72 PA PUC 196 (1990).  Preponderance of the evidence means that the party with the burden of proof has presented evidence that is more convincing than that presented by the other party.  </w:t>
      </w:r>
      <w:r w:rsidRPr="0017065A">
        <w:rPr>
          <w:rFonts w:cs="Times New Roman"/>
          <w:i/>
          <w:sz w:val="26"/>
          <w:szCs w:val="26"/>
        </w:rPr>
        <w:t>Samuel J. Lansberry, Inc. v. Pa. P.U.C</w:t>
      </w:r>
      <w:r w:rsidRPr="0017065A">
        <w:rPr>
          <w:rFonts w:cs="Times New Roman"/>
          <w:sz w:val="26"/>
          <w:szCs w:val="26"/>
        </w:rPr>
        <w:t>.,</w:t>
      </w:r>
      <w:r w:rsidRPr="0017065A">
        <w:rPr>
          <w:rFonts w:cs="Times New Roman"/>
          <w:i/>
          <w:sz w:val="26"/>
          <w:szCs w:val="26"/>
        </w:rPr>
        <w:t xml:space="preserve"> </w:t>
      </w:r>
      <w:r w:rsidRPr="0017065A">
        <w:rPr>
          <w:rFonts w:cs="Times New Roman"/>
          <w:sz w:val="26"/>
          <w:szCs w:val="26"/>
        </w:rPr>
        <w:t xml:space="preserve">578 A.2d 600, 602, </w:t>
      </w:r>
      <w:r w:rsidRPr="0017065A">
        <w:rPr>
          <w:rFonts w:cs="Times New Roman"/>
          <w:i/>
          <w:sz w:val="26"/>
          <w:szCs w:val="26"/>
        </w:rPr>
        <w:t>alloc. den</w:t>
      </w:r>
      <w:r w:rsidRPr="0017065A">
        <w:rPr>
          <w:rFonts w:cs="Times New Roman"/>
          <w:sz w:val="26"/>
          <w:szCs w:val="26"/>
        </w:rPr>
        <w:t xml:space="preserve">., 602 A.2d 863 (1992).  In addition, the Commission’s findings of fact must be supported by “substantial evidence,” which consists of evidence that a reasonable mind might accept as adequate to support a conclusion.  A mere “trace of evidence or a suspicion of the existence of a fact” is insufficient.  </w:t>
      </w:r>
      <w:r w:rsidRPr="0017065A">
        <w:rPr>
          <w:rFonts w:cs="Times New Roman"/>
          <w:i/>
          <w:sz w:val="26"/>
          <w:szCs w:val="26"/>
        </w:rPr>
        <w:t>Norfolk and Western Railway v. Pa. P.U.C</w:t>
      </w:r>
      <w:r w:rsidRPr="0017065A">
        <w:rPr>
          <w:rFonts w:cs="Times New Roman"/>
          <w:sz w:val="26"/>
          <w:szCs w:val="26"/>
        </w:rPr>
        <w:t>., 489 Pa. 109, 413 A.2d 1037 (1980).</w:t>
      </w:r>
    </w:p>
    <w:p w:rsidR="00B8247B" w:rsidRPr="0017065A" w:rsidRDefault="00B8247B" w:rsidP="009021C8">
      <w:pPr>
        <w:widowControl/>
        <w:spacing w:line="360" w:lineRule="auto"/>
        <w:rPr>
          <w:sz w:val="26"/>
        </w:rPr>
      </w:pPr>
      <w:r w:rsidRPr="0017065A">
        <w:rPr>
          <w:sz w:val="26"/>
          <w:szCs w:val="26"/>
        </w:rPr>
        <w:tab/>
      </w:r>
      <w:r w:rsidRPr="0017065A">
        <w:rPr>
          <w:sz w:val="26"/>
          <w:szCs w:val="26"/>
        </w:rPr>
        <w:tab/>
      </w:r>
    </w:p>
    <w:p w:rsidR="00B8247B" w:rsidRPr="002A3C31" w:rsidRDefault="00B8247B" w:rsidP="009021C8">
      <w:pPr>
        <w:widowControl/>
        <w:spacing w:line="360" w:lineRule="auto"/>
        <w:ind w:firstLine="1440"/>
        <w:rPr>
          <w:sz w:val="26"/>
          <w:szCs w:val="26"/>
        </w:rPr>
      </w:pPr>
      <w:r w:rsidRPr="0017065A">
        <w:rPr>
          <w:sz w:val="26"/>
          <w:szCs w:val="26"/>
        </w:rPr>
        <w:t>Upon the presentation by the Complainant</w:t>
      </w:r>
      <w:r w:rsidR="009D4E21">
        <w:rPr>
          <w:sz w:val="26"/>
          <w:szCs w:val="26"/>
        </w:rPr>
        <w:t>s</w:t>
      </w:r>
      <w:r w:rsidRPr="0017065A">
        <w:rPr>
          <w:sz w:val="26"/>
          <w:szCs w:val="26"/>
        </w:rPr>
        <w:t xml:space="preserve"> of evidence sufficient to initially satisfy the burden of proof, the burden of going forward with the evidence, to rebut the evidence of the Complainants, shifts to </w:t>
      </w:r>
      <w:r w:rsidR="009D4E21">
        <w:rPr>
          <w:sz w:val="26"/>
          <w:szCs w:val="26"/>
        </w:rPr>
        <w:t>PECO</w:t>
      </w:r>
      <w:r w:rsidRPr="0017065A">
        <w:rPr>
          <w:sz w:val="26"/>
          <w:szCs w:val="26"/>
        </w:rPr>
        <w:t xml:space="preserve">.  If the evidence presented by </w:t>
      </w:r>
      <w:r w:rsidR="009D4E21">
        <w:rPr>
          <w:sz w:val="26"/>
          <w:szCs w:val="26"/>
        </w:rPr>
        <w:t>PECO</w:t>
      </w:r>
      <w:r w:rsidRPr="0017065A">
        <w:rPr>
          <w:sz w:val="26"/>
          <w:szCs w:val="26"/>
        </w:rPr>
        <w:t xml:space="preserve"> of co-equal weight, the Complainant</w:t>
      </w:r>
      <w:r w:rsidR="009D4E21">
        <w:rPr>
          <w:sz w:val="26"/>
          <w:szCs w:val="26"/>
        </w:rPr>
        <w:t>s</w:t>
      </w:r>
      <w:r w:rsidRPr="0017065A">
        <w:rPr>
          <w:sz w:val="26"/>
          <w:szCs w:val="26"/>
        </w:rPr>
        <w:t xml:space="preserve"> ha</w:t>
      </w:r>
      <w:r w:rsidR="009D4E21">
        <w:rPr>
          <w:sz w:val="26"/>
          <w:szCs w:val="26"/>
        </w:rPr>
        <w:t>ve</w:t>
      </w:r>
      <w:r w:rsidRPr="0017065A">
        <w:rPr>
          <w:sz w:val="26"/>
          <w:szCs w:val="26"/>
        </w:rPr>
        <w:t xml:space="preserve"> not satisfied </w:t>
      </w:r>
      <w:r w:rsidR="009D4E21">
        <w:rPr>
          <w:sz w:val="26"/>
          <w:szCs w:val="26"/>
        </w:rPr>
        <w:t>their</w:t>
      </w:r>
      <w:r w:rsidRPr="0017065A">
        <w:rPr>
          <w:sz w:val="26"/>
          <w:szCs w:val="26"/>
        </w:rPr>
        <w:t xml:space="preserve"> burden of proof.  The Complainant</w:t>
      </w:r>
      <w:r w:rsidR="009D4E21">
        <w:rPr>
          <w:sz w:val="26"/>
          <w:szCs w:val="26"/>
        </w:rPr>
        <w:t>s</w:t>
      </w:r>
      <w:r w:rsidRPr="0017065A">
        <w:rPr>
          <w:sz w:val="26"/>
          <w:szCs w:val="26"/>
        </w:rPr>
        <w:t xml:space="preserve"> now ha</w:t>
      </w:r>
      <w:r w:rsidR="009D4E21">
        <w:rPr>
          <w:sz w:val="26"/>
          <w:szCs w:val="26"/>
        </w:rPr>
        <w:t>ve</w:t>
      </w:r>
      <w:r w:rsidRPr="0017065A">
        <w:rPr>
          <w:sz w:val="26"/>
          <w:szCs w:val="26"/>
        </w:rPr>
        <w:t xml:space="preserve"> to provide some additional evidence to rebut that of </w:t>
      </w:r>
      <w:r w:rsidR="009D4E21">
        <w:rPr>
          <w:sz w:val="26"/>
          <w:szCs w:val="26"/>
        </w:rPr>
        <w:t>PECO</w:t>
      </w:r>
      <w:r w:rsidRPr="0017065A">
        <w:rPr>
          <w:sz w:val="26"/>
          <w:szCs w:val="26"/>
        </w:rPr>
        <w:t xml:space="preserve">. </w:t>
      </w:r>
      <w:r w:rsidRPr="0017065A">
        <w:rPr>
          <w:iCs/>
          <w:sz w:val="26"/>
          <w:szCs w:val="26"/>
        </w:rPr>
        <w:t xml:space="preserve"> </w:t>
      </w:r>
      <w:hyperlink r:id="rId8" w:history="1">
        <w:r w:rsidRPr="002A3C31">
          <w:rPr>
            <w:rStyle w:val="Hyperlink"/>
            <w:i/>
            <w:iCs/>
            <w:color w:val="auto"/>
            <w:sz w:val="26"/>
            <w:szCs w:val="26"/>
            <w:u w:val="none"/>
          </w:rPr>
          <w:t>Burleson v. Pa. PUC</w:t>
        </w:r>
        <w:r w:rsidRPr="002A3C31">
          <w:rPr>
            <w:rStyle w:val="Hyperlink"/>
            <w:iCs/>
            <w:color w:val="auto"/>
            <w:sz w:val="26"/>
            <w:szCs w:val="26"/>
            <w:u w:val="none"/>
          </w:rPr>
          <w:t>, 443 A.2d 1373 (Pa. Cmwlth. 1982), aff’d, 501 Pa. 433, 461 A.2d 1234 (1983).</w:t>
        </w:r>
      </w:hyperlink>
    </w:p>
    <w:p w:rsidR="00B8247B" w:rsidRPr="0017065A" w:rsidRDefault="00B8247B" w:rsidP="009021C8">
      <w:pPr>
        <w:widowControl/>
        <w:spacing w:line="360" w:lineRule="auto"/>
        <w:ind w:firstLine="1440"/>
        <w:rPr>
          <w:sz w:val="26"/>
        </w:rPr>
      </w:pPr>
    </w:p>
    <w:p w:rsidR="00B8247B" w:rsidRPr="0017065A" w:rsidRDefault="00B8247B" w:rsidP="009021C8">
      <w:pPr>
        <w:widowControl/>
        <w:spacing w:line="360" w:lineRule="auto"/>
        <w:ind w:firstLine="1440"/>
        <w:rPr>
          <w:i/>
          <w:sz w:val="26"/>
        </w:rPr>
      </w:pPr>
      <w:r w:rsidRPr="0017065A">
        <w:rPr>
          <w:sz w:val="26"/>
        </w:rPr>
        <w:t xml:space="preserve">While the burden of persuasion may </w:t>
      </w:r>
      <w:r w:rsidRPr="0017065A">
        <w:rPr>
          <w:rStyle w:val="term1"/>
          <w:b w:val="0"/>
          <w:bCs w:val="0"/>
          <w:sz w:val="26"/>
        </w:rPr>
        <w:t>shift</w:t>
      </w:r>
      <w:r w:rsidRPr="0017065A">
        <w:rPr>
          <w:sz w:val="26"/>
        </w:rPr>
        <w:t xml:space="preserve"> back and forth during a proceeding, the </w:t>
      </w:r>
      <w:r w:rsidRPr="0017065A">
        <w:rPr>
          <w:rStyle w:val="term1"/>
          <w:b w:val="0"/>
          <w:bCs w:val="0"/>
          <w:sz w:val="26"/>
        </w:rPr>
        <w:t>burden of proof</w:t>
      </w:r>
      <w:r w:rsidRPr="0017065A">
        <w:rPr>
          <w:sz w:val="26"/>
        </w:rPr>
        <w:t xml:space="preserve"> never </w:t>
      </w:r>
      <w:r w:rsidRPr="0017065A">
        <w:rPr>
          <w:rStyle w:val="term1"/>
          <w:b w:val="0"/>
          <w:bCs w:val="0"/>
          <w:sz w:val="26"/>
        </w:rPr>
        <w:t>shifts.  The burden of proof</w:t>
      </w:r>
      <w:r w:rsidRPr="0017065A">
        <w:rPr>
          <w:sz w:val="26"/>
        </w:rPr>
        <w:t xml:space="preserve"> always remains on the party seeking affirmative relief from the Commission.  </w:t>
      </w:r>
      <w:r w:rsidRPr="0017065A">
        <w:rPr>
          <w:i/>
          <w:sz w:val="26"/>
        </w:rPr>
        <w:t xml:space="preserve">Milkie v. Pa. PUC, </w:t>
      </w:r>
      <w:r w:rsidRPr="0017065A">
        <w:rPr>
          <w:sz w:val="26"/>
        </w:rPr>
        <w:t>768 A.2d 1217 (Pa. Cmwlth. 2001).</w:t>
      </w:r>
    </w:p>
    <w:p w:rsidR="00B8247B" w:rsidRPr="0017065A" w:rsidRDefault="00B8247B" w:rsidP="009021C8">
      <w:pPr>
        <w:widowControl/>
        <w:suppressAutoHyphens/>
        <w:spacing w:line="360" w:lineRule="auto"/>
        <w:rPr>
          <w:rFonts w:cs="Times New Roman"/>
          <w:spacing w:val="-3"/>
          <w:sz w:val="26"/>
          <w:szCs w:val="26"/>
          <w:u w:val="single"/>
        </w:rPr>
      </w:pPr>
    </w:p>
    <w:p w:rsidR="00B8247B" w:rsidRPr="0017065A" w:rsidRDefault="00B8247B" w:rsidP="009021C8">
      <w:pPr>
        <w:widowControl/>
        <w:spacing w:line="360" w:lineRule="auto"/>
        <w:rPr>
          <w:sz w:val="26"/>
          <w:szCs w:val="26"/>
        </w:rPr>
      </w:pPr>
      <w:r w:rsidRPr="0017065A">
        <w:rPr>
          <w:sz w:val="26"/>
          <w:szCs w:val="26"/>
        </w:rPr>
        <w:tab/>
      </w:r>
      <w:r w:rsidRPr="0017065A">
        <w:rPr>
          <w:sz w:val="26"/>
          <w:szCs w:val="26"/>
        </w:rPr>
        <w:tab/>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17065A">
        <w:rPr>
          <w:i/>
          <w:sz w:val="26"/>
          <w:szCs w:val="26"/>
        </w:rPr>
        <w:t>Consolidated Rail Corporation v. Pennsylvania Public Utility Commission</w:t>
      </w:r>
      <w:r w:rsidRPr="0017065A">
        <w:rPr>
          <w:sz w:val="26"/>
          <w:szCs w:val="26"/>
        </w:rPr>
        <w:t xml:space="preserve">, 625 A.2d 741 (Pa. Cmwlth. 1993); </w:t>
      </w:r>
      <w:r w:rsidRPr="0017065A">
        <w:rPr>
          <w:i/>
          <w:sz w:val="26"/>
          <w:szCs w:val="26"/>
        </w:rPr>
        <w:t>see also</w:t>
      </w:r>
      <w:r w:rsidRPr="0017065A">
        <w:rPr>
          <w:sz w:val="26"/>
          <w:szCs w:val="26"/>
        </w:rPr>
        <w:t xml:space="preserve">, </w:t>
      </w:r>
      <w:r w:rsidRPr="0017065A">
        <w:rPr>
          <w:i/>
          <w:sz w:val="26"/>
          <w:szCs w:val="26"/>
        </w:rPr>
        <w:t>generally</w:t>
      </w:r>
      <w:r w:rsidRPr="0017065A">
        <w:rPr>
          <w:sz w:val="26"/>
          <w:szCs w:val="26"/>
        </w:rPr>
        <w:t xml:space="preserve">, </w:t>
      </w:r>
      <w:r w:rsidRPr="0017065A">
        <w:rPr>
          <w:i/>
          <w:sz w:val="26"/>
          <w:szCs w:val="26"/>
        </w:rPr>
        <w:t>University of Pennsylvania v. Pa. PUC</w:t>
      </w:r>
      <w:r w:rsidRPr="0017065A">
        <w:rPr>
          <w:sz w:val="26"/>
          <w:szCs w:val="26"/>
        </w:rPr>
        <w:t>, 485 A.2d 1217 (Pa. Cmwlth. 1984).</w:t>
      </w:r>
    </w:p>
    <w:p w:rsidR="00B8247B" w:rsidRPr="0017065A" w:rsidRDefault="00B8247B" w:rsidP="009021C8">
      <w:pPr>
        <w:widowControl/>
        <w:suppressAutoHyphens/>
        <w:spacing w:line="360" w:lineRule="auto"/>
        <w:rPr>
          <w:b/>
          <w:sz w:val="26"/>
          <w:szCs w:val="26"/>
          <w:u w:val="single"/>
        </w:rPr>
      </w:pPr>
    </w:p>
    <w:p w:rsidR="00892D31" w:rsidRDefault="00892D31" w:rsidP="009021C8">
      <w:pPr>
        <w:keepNext/>
        <w:widowControl/>
        <w:spacing w:line="360" w:lineRule="auto"/>
        <w:ind w:firstLine="1440"/>
        <w:rPr>
          <w:color w:val="000000"/>
          <w:sz w:val="26"/>
          <w:szCs w:val="26"/>
        </w:rPr>
      </w:pPr>
      <w:r>
        <w:rPr>
          <w:color w:val="000000"/>
          <w:sz w:val="26"/>
          <w:szCs w:val="26"/>
        </w:rPr>
        <w:t>A</w:t>
      </w:r>
      <w:r w:rsidRPr="007D5BBE">
        <w:rPr>
          <w:color w:val="000000"/>
          <w:sz w:val="26"/>
          <w:szCs w:val="26"/>
        </w:rPr>
        <w:t xml:space="preserve"> public utility is entitled to full payment for service provided to customers and all customers are obligated to pay for the utility service provided to them.  Otherwise, a customer’s unpaid bills are included in the utility’s uncollectible expenses and ultimately paid for by other utility customers.  </w:t>
      </w:r>
      <w:r w:rsidRPr="00224738">
        <w:rPr>
          <w:i/>
          <w:color w:val="000000"/>
          <w:sz w:val="26"/>
          <w:szCs w:val="26"/>
        </w:rPr>
        <w:t>Scaccia v. West Penn Power Co.</w:t>
      </w:r>
      <w:r w:rsidRPr="007D5BBE">
        <w:rPr>
          <w:color w:val="000000"/>
          <w:sz w:val="26"/>
          <w:szCs w:val="26"/>
        </w:rPr>
        <w:t xml:space="preserve">, 55 </w:t>
      </w:r>
      <w:smartTag w:uri="urn:schemas-microsoft-com:office:smarttags" w:element="State">
        <w:r w:rsidRPr="007D5BBE">
          <w:rPr>
            <w:color w:val="000000"/>
            <w:sz w:val="26"/>
            <w:szCs w:val="26"/>
          </w:rPr>
          <w:t>P</w:t>
        </w:r>
        <w:r>
          <w:rPr>
            <w:color w:val="000000"/>
            <w:sz w:val="26"/>
            <w:szCs w:val="26"/>
          </w:rPr>
          <w:t>a.</w:t>
        </w:r>
      </w:smartTag>
      <w:r w:rsidRPr="007D5BBE">
        <w:rPr>
          <w:color w:val="000000"/>
          <w:sz w:val="26"/>
          <w:szCs w:val="26"/>
        </w:rPr>
        <w:t xml:space="preserve"> P</w:t>
      </w:r>
      <w:r>
        <w:rPr>
          <w:color w:val="000000"/>
          <w:sz w:val="26"/>
          <w:szCs w:val="26"/>
        </w:rPr>
        <w:t>.</w:t>
      </w:r>
      <w:r w:rsidRPr="007D5BBE">
        <w:rPr>
          <w:color w:val="000000"/>
          <w:sz w:val="26"/>
          <w:szCs w:val="26"/>
        </w:rPr>
        <w:t>U</w:t>
      </w:r>
      <w:r>
        <w:rPr>
          <w:color w:val="000000"/>
          <w:sz w:val="26"/>
          <w:szCs w:val="26"/>
        </w:rPr>
        <w:t>.</w:t>
      </w:r>
      <w:r w:rsidRPr="007D5BBE">
        <w:rPr>
          <w:color w:val="000000"/>
          <w:sz w:val="26"/>
          <w:szCs w:val="26"/>
        </w:rPr>
        <w:t>C</w:t>
      </w:r>
      <w:r>
        <w:rPr>
          <w:color w:val="000000"/>
          <w:sz w:val="26"/>
          <w:szCs w:val="26"/>
        </w:rPr>
        <w:t>.</w:t>
      </w:r>
      <w:r w:rsidRPr="007D5BBE">
        <w:rPr>
          <w:color w:val="000000"/>
          <w:sz w:val="26"/>
          <w:szCs w:val="26"/>
        </w:rPr>
        <w:t xml:space="preserve"> 637</w:t>
      </w:r>
      <w:r>
        <w:rPr>
          <w:color w:val="000000"/>
          <w:sz w:val="26"/>
          <w:szCs w:val="26"/>
        </w:rPr>
        <w:t xml:space="preserve"> </w:t>
      </w:r>
      <w:r w:rsidRPr="007D5BBE">
        <w:rPr>
          <w:color w:val="000000"/>
          <w:sz w:val="26"/>
          <w:szCs w:val="26"/>
        </w:rPr>
        <w:t xml:space="preserve">(1982); </w:t>
      </w:r>
      <w:r w:rsidRPr="00224738">
        <w:rPr>
          <w:i/>
          <w:color w:val="000000"/>
          <w:sz w:val="26"/>
          <w:szCs w:val="26"/>
        </w:rPr>
        <w:t xml:space="preserve">Mill v. </w:t>
      </w:r>
      <w:smartTag w:uri="urn:schemas-microsoft-com:office:smarttags" w:element="place">
        <w:smartTag w:uri="urn:schemas-microsoft-com:office:smarttags" w:element="State">
          <w:r w:rsidRPr="00224738">
            <w:rPr>
              <w:i/>
              <w:color w:val="000000"/>
              <w:sz w:val="26"/>
              <w:szCs w:val="26"/>
            </w:rPr>
            <w:t>Pa.</w:t>
          </w:r>
        </w:smartTag>
      </w:smartTag>
      <w:r w:rsidRPr="00224738">
        <w:rPr>
          <w:i/>
          <w:color w:val="000000"/>
          <w:sz w:val="26"/>
          <w:szCs w:val="26"/>
        </w:rPr>
        <w:t xml:space="preserve"> Public Utility Comm’n</w:t>
      </w:r>
      <w:r w:rsidRPr="007D5BBE">
        <w:rPr>
          <w:color w:val="000000"/>
          <w:sz w:val="26"/>
          <w:szCs w:val="26"/>
        </w:rPr>
        <w:t>, 447 A.2d 1100</w:t>
      </w:r>
      <w:r>
        <w:rPr>
          <w:color w:val="000000"/>
          <w:sz w:val="26"/>
          <w:szCs w:val="26"/>
        </w:rPr>
        <w:t xml:space="preserve"> </w:t>
      </w:r>
      <w:r w:rsidRPr="007D5BBE">
        <w:rPr>
          <w:color w:val="000000"/>
          <w:sz w:val="26"/>
          <w:szCs w:val="26"/>
        </w:rPr>
        <w:t>(1982)</w:t>
      </w:r>
      <w:r>
        <w:rPr>
          <w:color w:val="000000"/>
          <w:sz w:val="26"/>
          <w:szCs w:val="26"/>
        </w:rPr>
        <w:t>;</w:t>
      </w:r>
      <w:r w:rsidRPr="007D5BBE">
        <w:rPr>
          <w:color w:val="000000"/>
          <w:sz w:val="26"/>
          <w:szCs w:val="26"/>
        </w:rPr>
        <w:t xml:space="preserve"> </w:t>
      </w:r>
      <w:r w:rsidRPr="00224738">
        <w:rPr>
          <w:i/>
          <w:color w:val="000000"/>
          <w:sz w:val="26"/>
          <w:szCs w:val="26"/>
        </w:rPr>
        <w:t>Bolt v. Duquesne Light Company</w:t>
      </w:r>
      <w:r>
        <w:rPr>
          <w:color w:val="000000"/>
          <w:sz w:val="26"/>
          <w:szCs w:val="26"/>
        </w:rPr>
        <w:t>,</w:t>
      </w:r>
      <w:r w:rsidRPr="007D5BBE">
        <w:rPr>
          <w:color w:val="000000"/>
          <w:sz w:val="26"/>
          <w:szCs w:val="26"/>
        </w:rPr>
        <w:t xml:space="preserve"> Docket No. Z-8712758</w:t>
      </w:r>
      <w:r>
        <w:rPr>
          <w:color w:val="000000"/>
          <w:sz w:val="26"/>
          <w:szCs w:val="26"/>
        </w:rPr>
        <w:t xml:space="preserve"> (</w:t>
      </w:r>
      <w:r w:rsidRPr="007D5BBE">
        <w:rPr>
          <w:color w:val="000000"/>
          <w:sz w:val="26"/>
          <w:szCs w:val="26"/>
        </w:rPr>
        <w:t>Order entered April 8, 1988</w:t>
      </w:r>
      <w:r>
        <w:rPr>
          <w:color w:val="000000"/>
          <w:sz w:val="26"/>
          <w:szCs w:val="26"/>
        </w:rPr>
        <w:t>)</w:t>
      </w:r>
      <w:r w:rsidRPr="007D5BBE">
        <w:rPr>
          <w:color w:val="000000"/>
          <w:sz w:val="26"/>
          <w:szCs w:val="26"/>
        </w:rPr>
        <w:t>.</w:t>
      </w:r>
    </w:p>
    <w:p w:rsidR="00892D31" w:rsidRDefault="00892D31" w:rsidP="009021C8">
      <w:pPr>
        <w:widowControl/>
        <w:spacing w:line="360" w:lineRule="auto"/>
        <w:ind w:firstLine="1440"/>
        <w:rPr>
          <w:color w:val="000000"/>
          <w:sz w:val="26"/>
          <w:szCs w:val="26"/>
        </w:rPr>
      </w:pPr>
    </w:p>
    <w:p w:rsidR="00892D31" w:rsidRDefault="00892D31" w:rsidP="009021C8">
      <w:pPr>
        <w:widowControl/>
        <w:spacing w:line="360" w:lineRule="auto"/>
        <w:ind w:firstLine="1440"/>
        <w:rPr>
          <w:color w:val="000000"/>
          <w:sz w:val="26"/>
          <w:szCs w:val="26"/>
        </w:rPr>
      </w:pPr>
      <w:r w:rsidRPr="009E2DEF">
        <w:rPr>
          <w:color w:val="000000"/>
          <w:sz w:val="26"/>
          <w:szCs w:val="26"/>
        </w:rPr>
        <w:t xml:space="preserve">We note at the outset that the Exceptions of the Complainant are not in strict compliance with Section 5.533(b) of our Rules of Administrative Practice and Procedure, 52 </w:t>
      </w:r>
      <w:smartTag w:uri="urn:schemas-microsoft-com:office:smarttags" w:element="place">
        <w:smartTag w:uri="urn:schemas-microsoft-com:office:smarttags" w:element="State">
          <w:r w:rsidRPr="009E2DEF">
            <w:rPr>
              <w:color w:val="000000"/>
              <w:sz w:val="26"/>
              <w:szCs w:val="26"/>
            </w:rPr>
            <w:t>Pa.</w:t>
          </w:r>
        </w:smartTag>
      </w:smartTag>
      <w:r w:rsidRPr="009E2DEF">
        <w:rPr>
          <w:color w:val="000000"/>
          <w:sz w:val="26"/>
          <w:szCs w:val="26"/>
        </w:rPr>
        <w:t xml:space="preserve"> Code § 5.533(b), which provides that: </w:t>
      </w:r>
    </w:p>
    <w:p w:rsidR="00892D31" w:rsidRDefault="00892D31" w:rsidP="009021C8">
      <w:pPr>
        <w:widowControl/>
        <w:spacing w:line="360" w:lineRule="auto"/>
        <w:ind w:firstLine="1440"/>
        <w:rPr>
          <w:color w:val="000000"/>
          <w:sz w:val="26"/>
          <w:szCs w:val="26"/>
        </w:rPr>
      </w:pPr>
      <w:r w:rsidRPr="009E2DEF">
        <w:rPr>
          <w:color w:val="000000"/>
          <w:sz w:val="26"/>
          <w:szCs w:val="26"/>
        </w:rPr>
        <w:t xml:space="preserve"> </w:t>
      </w:r>
    </w:p>
    <w:p w:rsidR="00892D31" w:rsidRDefault="00892D31" w:rsidP="009021C8">
      <w:pPr>
        <w:widowControl/>
        <w:ind w:left="1440" w:right="1440"/>
        <w:rPr>
          <w:color w:val="000000"/>
          <w:sz w:val="26"/>
          <w:szCs w:val="26"/>
        </w:rPr>
      </w:pPr>
      <w:r w:rsidRPr="009E2DEF">
        <w:rPr>
          <w:color w:val="000000"/>
          <w:sz w:val="26"/>
          <w:szCs w:val="26"/>
        </w:rPr>
        <w:t xml:space="preserve">(b) An exception shall be stated in specific, numbered paragraphs, identify the finding of fact or conclusion of law to which exception is taken and cite relevant pages of the decision. Supporting reasons for the exception shall follow a </w:t>
      </w:r>
      <w:r>
        <w:rPr>
          <w:color w:val="000000"/>
          <w:sz w:val="26"/>
          <w:szCs w:val="26"/>
        </w:rPr>
        <w:t>specific exception.</w:t>
      </w:r>
    </w:p>
    <w:p w:rsidR="008D43E1" w:rsidRPr="009E2DEF" w:rsidRDefault="008D43E1" w:rsidP="008D43E1">
      <w:pPr>
        <w:widowControl/>
        <w:spacing w:line="360" w:lineRule="auto"/>
        <w:ind w:left="1440" w:right="1440"/>
        <w:rPr>
          <w:color w:val="000000"/>
          <w:sz w:val="26"/>
          <w:szCs w:val="26"/>
        </w:rPr>
      </w:pPr>
    </w:p>
    <w:p w:rsidR="00892D31" w:rsidRDefault="00892D31" w:rsidP="009021C8">
      <w:pPr>
        <w:widowControl/>
        <w:spacing w:line="360" w:lineRule="auto"/>
        <w:ind w:firstLine="1440"/>
        <w:rPr>
          <w:color w:val="000000"/>
          <w:sz w:val="26"/>
          <w:szCs w:val="26"/>
        </w:rPr>
      </w:pPr>
      <w:r w:rsidRPr="009E2DEF">
        <w:rPr>
          <w:color w:val="000000"/>
          <w:sz w:val="26"/>
          <w:szCs w:val="26"/>
        </w:rPr>
        <w:lastRenderedPageBreak/>
        <w:t>We recognize, however, that the Complainant</w:t>
      </w:r>
      <w:r w:rsidR="00EE7B4D">
        <w:rPr>
          <w:color w:val="000000"/>
          <w:sz w:val="26"/>
          <w:szCs w:val="26"/>
        </w:rPr>
        <w:t>s</w:t>
      </w:r>
      <w:r w:rsidRPr="009E2DEF">
        <w:rPr>
          <w:color w:val="000000"/>
          <w:sz w:val="26"/>
          <w:szCs w:val="26"/>
        </w:rPr>
        <w:t xml:space="preserve"> </w:t>
      </w:r>
      <w:r w:rsidR="00EE7B4D">
        <w:rPr>
          <w:color w:val="000000"/>
          <w:sz w:val="26"/>
          <w:szCs w:val="26"/>
        </w:rPr>
        <w:t xml:space="preserve">are </w:t>
      </w:r>
      <w:r w:rsidRPr="009E2DEF">
        <w:rPr>
          <w:color w:val="000000"/>
          <w:sz w:val="26"/>
          <w:szCs w:val="26"/>
        </w:rPr>
        <w:t xml:space="preserve">appearing </w:t>
      </w:r>
      <w:r w:rsidRPr="00A71158">
        <w:rPr>
          <w:i/>
          <w:color w:val="000000"/>
          <w:sz w:val="26"/>
          <w:szCs w:val="26"/>
        </w:rPr>
        <w:t>pro se</w:t>
      </w:r>
      <w:r w:rsidRPr="009E2DEF">
        <w:rPr>
          <w:color w:val="000000"/>
          <w:sz w:val="26"/>
          <w:szCs w:val="26"/>
        </w:rPr>
        <w:t xml:space="preserve"> in this proceeding. </w:t>
      </w:r>
      <w:r w:rsidR="008D43E1">
        <w:rPr>
          <w:color w:val="000000"/>
          <w:sz w:val="26"/>
          <w:szCs w:val="26"/>
        </w:rPr>
        <w:t xml:space="preserve"> </w:t>
      </w:r>
      <w:r w:rsidRPr="009E2DEF">
        <w:rPr>
          <w:color w:val="000000"/>
          <w:sz w:val="26"/>
          <w:szCs w:val="26"/>
        </w:rPr>
        <w:t xml:space="preserve">Traditionally, we have been hesitant to rule unfavorably against </w:t>
      </w:r>
      <w:r w:rsidRPr="00A71158">
        <w:rPr>
          <w:bCs/>
          <w:i/>
          <w:color w:val="000000"/>
          <w:sz w:val="26"/>
          <w:szCs w:val="26"/>
        </w:rPr>
        <w:t>pro se</w:t>
      </w:r>
      <w:r w:rsidRPr="009E2DEF">
        <w:rPr>
          <w:bCs/>
          <w:color w:val="000000"/>
          <w:sz w:val="26"/>
          <w:szCs w:val="26"/>
        </w:rPr>
        <w:t xml:space="preserve"> litigants</w:t>
      </w:r>
      <w:r w:rsidRPr="009E2DEF">
        <w:rPr>
          <w:color w:val="000000"/>
          <w:sz w:val="26"/>
          <w:szCs w:val="26"/>
        </w:rPr>
        <w:t xml:space="preserve"> based on technical grounds. See, </w:t>
      </w:r>
      <w:r w:rsidRPr="007346E4">
        <w:rPr>
          <w:i/>
          <w:color w:val="000000"/>
          <w:sz w:val="26"/>
          <w:szCs w:val="26"/>
        </w:rPr>
        <w:t>e.g.</w:t>
      </w:r>
      <w:r w:rsidRPr="009E2DEF">
        <w:rPr>
          <w:color w:val="000000"/>
          <w:sz w:val="26"/>
          <w:szCs w:val="26"/>
        </w:rPr>
        <w:t xml:space="preserve">, </w:t>
      </w:r>
      <w:r w:rsidRPr="00A71158">
        <w:rPr>
          <w:i/>
          <w:color w:val="000000"/>
          <w:sz w:val="26"/>
          <w:szCs w:val="26"/>
        </w:rPr>
        <w:t>Destefano v. Peoples Natural Gas Company</w:t>
      </w:r>
      <w:r w:rsidRPr="009E2DEF">
        <w:rPr>
          <w:color w:val="000000"/>
          <w:sz w:val="26"/>
          <w:szCs w:val="26"/>
        </w:rPr>
        <w:t xml:space="preserve">, 56 Pa. P.U.C. 489 (1982); </w:t>
      </w:r>
      <w:r w:rsidRPr="00A71158">
        <w:rPr>
          <w:i/>
          <w:color w:val="000000"/>
          <w:sz w:val="26"/>
          <w:szCs w:val="26"/>
        </w:rPr>
        <w:t xml:space="preserve">Halpern v. The Bell Telephone Company of </w:t>
      </w:r>
      <w:smartTag w:uri="urn:schemas-microsoft-com:office:smarttags" w:element="State">
        <w:smartTag w:uri="urn:schemas-microsoft-com:office:smarttags" w:element="place">
          <w:r w:rsidRPr="00A71158">
            <w:rPr>
              <w:i/>
              <w:color w:val="000000"/>
              <w:sz w:val="26"/>
              <w:szCs w:val="26"/>
            </w:rPr>
            <w:t>Pennsylvania</w:t>
          </w:r>
        </w:smartTag>
      </w:smartTag>
      <w:r w:rsidRPr="009E2DEF">
        <w:rPr>
          <w:color w:val="000000"/>
          <w:sz w:val="26"/>
          <w:szCs w:val="26"/>
        </w:rPr>
        <w:t xml:space="preserve">, Docket No. C-00923950 (October 19, 1992); </w:t>
      </w:r>
      <w:r w:rsidRPr="00A71158">
        <w:rPr>
          <w:i/>
          <w:color w:val="000000"/>
          <w:sz w:val="26"/>
          <w:szCs w:val="26"/>
        </w:rPr>
        <w:t xml:space="preserve">William Schlinder v. The Bell Telephone Company of </w:t>
      </w:r>
      <w:smartTag w:uri="urn:schemas-microsoft-com:office:smarttags" w:element="State">
        <w:smartTag w:uri="urn:schemas-microsoft-com:office:smarttags" w:element="place">
          <w:r w:rsidRPr="00A71158">
            <w:rPr>
              <w:i/>
              <w:color w:val="000000"/>
              <w:sz w:val="26"/>
              <w:szCs w:val="26"/>
            </w:rPr>
            <w:t>Pennsylvania</w:t>
          </w:r>
        </w:smartTag>
      </w:smartTag>
      <w:r w:rsidRPr="009E2DEF">
        <w:rPr>
          <w:color w:val="000000"/>
          <w:sz w:val="26"/>
          <w:szCs w:val="26"/>
        </w:rPr>
        <w:t xml:space="preserve">, Docket No. F-00161252 (March 26, 1993).  In our view, it is in the public interest that all litigants, particularly </w:t>
      </w:r>
      <w:r w:rsidRPr="00A71158">
        <w:rPr>
          <w:bCs/>
          <w:i/>
          <w:color w:val="000000"/>
          <w:sz w:val="26"/>
          <w:szCs w:val="26"/>
        </w:rPr>
        <w:t>pro se</w:t>
      </w:r>
      <w:r w:rsidRPr="009E2DEF">
        <w:rPr>
          <w:bCs/>
          <w:color w:val="000000"/>
          <w:sz w:val="26"/>
          <w:szCs w:val="26"/>
        </w:rPr>
        <w:t xml:space="preserve"> litigants</w:t>
      </w:r>
      <w:r w:rsidRPr="009E2DEF">
        <w:rPr>
          <w:b/>
          <w:bCs/>
          <w:color w:val="000000"/>
          <w:sz w:val="26"/>
          <w:szCs w:val="26"/>
        </w:rPr>
        <w:t>,</w:t>
      </w:r>
      <w:r w:rsidRPr="009E2DEF">
        <w:rPr>
          <w:color w:val="000000"/>
          <w:sz w:val="26"/>
          <w:szCs w:val="26"/>
        </w:rPr>
        <w:t xml:space="preserve"> be afforded a meaningful opportunity to be heard. </w:t>
      </w:r>
      <w:r>
        <w:rPr>
          <w:color w:val="000000"/>
          <w:sz w:val="26"/>
          <w:szCs w:val="26"/>
        </w:rPr>
        <w:t xml:space="preserve"> </w:t>
      </w:r>
      <w:r w:rsidRPr="009E2DEF">
        <w:rPr>
          <w:color w:val="000000"/>
          <w:sz w:val="26"/>
          <w:szCs w:val="26"/>
        </w:rPr>
        <w:t>We will, therefore, consider the merits of the Complainant's Exceptions.</w:t>
      </w:r>
    </w:p>
    <w:p w:rsidR="00892D31" w:rsidRDefault="00892D31" w:rsidP="009021C8">
      <w:pPr>
        <w:widowControl/>
        <w:spacing w:line="360" w:lineRule="auto"/>
        <w:ind w:firstLine="1440"/>
        <w:rPr>
          <w:color w:val="000000"/>
          <w:sz w:val="26"/>
          <w:szCs w:val="26"/>
        </w:rPr>
      </w:pPr>
    </w:p>
    <w:p w:rsidR="00B8247B" w:rsidRPr="0017065A" w:rsidRDefault="00B8247B" w:rsidP="009021C8">
      <w:pPr>
        <w:widowControl/>
        <w:spacing w:line="360" w:lineRule="auto"/>
        <w:ind w:firstLine="1440"/>
        <w:rPr>
          <w:sz w:val="26"/>
          <w:szCs w:val="26"/>
        </w:rPr>
      </w:pPr>
      <w:r w:rsidRPr="0017065A">
        <w:rPr>
          <w:sz w:val="26"/>
          <w:szCs w:val="26"/>
        </w:rPr>
        <w:t xml:space="preserve">The ALJ made </w:t>
      </w:r>
      <w:r w:rsidR="002A3C31">
        <w:rPr>
          <w:sz w:val="26"/>
          <w:szCs w:val="26"/>
        </w:rPr>
        <w:t xml:space="preserve">sixty-four </w:t>
      </w:r>
      <w:r w:rsidRPr="0017065A">
        <w:rPr>
          <w:sz w:val="26"/>
          <w:szCs w:val="26"/>
        </w:rPr>
        <w:t xml:space="preserve">Findings of Fact and reached </w:t>
      </w:r>
      <w:r w:rsidR="002A3C31">
        <w:rPr>
          <w:sz w:val="26"/>
          <w:szCs w:val="26"/>
        </w:rPr>
        <w:t xml:space="preserve">four </w:t>
      </w:r>
      <w:r w:rsidRPr="0017065A">
        <w:rPr>
          <w:sz w:val="26"/>
          <w:szCs w:val="26"/>
        </w:rPr>
        <w:t xml:space="preserve">Conclusions of Law.  </w:t>
      </w:r>
      <w:bookmarkStart w:id="0" w:name="OLE_LINK1"/>
      <w:bookmarkStart w:id="1" w:name="OLE_LINK2"/>
      <w:r w:rsidRPr="0017065A">
        <w:rPr>
          <w:sz w:val="26"/>
          <w:szCs w:val="26"/>
        </w:rPr>
        <w:t>The Findings of Fact and Conclusions of Law are incorporated herein by reference and are adopted without comment unless they are either expressly or by necessary implication rejected or modified by this Opinion and Order.</w:t>
      </w:r>
      <w:bookmarkEnd w:id="0"/>
      <w:bookmarkEnd w:id="1"/>
    </w:p>
    <w:p w:rsidR="00B8247B" w:rsidRDefault="00B8247B" w:rsidP="009021C8">
      <w:pPr>
        <w:widowControl/>
        <w:spacing w:line="360" w:lineRule="auto"/>
        <w:jc w:val="center"/>
        <w:rPr>
          <w:b/>
          <w:sz w:val="26"/>
          <w:szCs w:val="26"/>
          <w:u w:val="single"/>
        </w:rPr>
      </w:pPr>
    </w:p>
    <w:p w:rsidR="00470DE8" w:rsidRDefault="00004913" w:rsidP="009021C8">
      <w:pPr>
        <w:widowControl/>
        <w:spacing w:line="360" w:lineRule="auto"/>
        <w:ind w:firstLine="1440"/>
        <w:rPr>
          <w:sz w:val="26"/>
          <w:szCs w:val="26"/>
        </w:rPr>
      </w:pPr>
      <w:r>
        <w:rPr>
          <w:sz w:val="26"/>
          <w:szCs w:val="26"/>
        </w:rPr>
        <w:t>In addressing the Complaint</w:t>
      </w:r>
      <w:r w:rsidR="00FD5C94">
        <w:rPr>
          <w:sz w:val="26"/>
          <w:szCs w:val="26"/>
        </w:rPr>
        <w:t>’s request for a new payment arrangement</w:t>
      </w:r>
      <w:r>
        <w:rPr>
          <w:sz w:val="26"/>
          <w:szCs w:val="26"/>
        </w:rPr>
        <w:t xml:space="preserve">, the ALJ </w:t>
      </w:r>
      <w:r w:rsidR="00BE7990">
        <w:rPr>
          <w:sz w:val="26"/>
          <w:szCs w:val="26"/>
        </w:rPr>
        <w:t>point</w:t>
      </w:r>
      <w:r w:rsidR="009E5FB2">
        <w:rPr>
          <w:sz w:val="26"/>
          <w:szCs w:val="26"/>
        </w:rPr>
        <w:t>ed</w:t>
      </w:r>
      <w:r w:rsidR="00BE7990">
        <w:rPr>
          <w:sz w:val="26"/>
          <w:szCs w:val="26"/>
        </w:rPr>
        <w:t xml:space="preserve"> to Sections 1405(a) and (d) of the Public Utility Code which read as follows:</w:t>
      </w:r>
    </w:p>
    <w:p w:rsidR="00BE7990" w:rsidRDefault="00BE7990" w:rsidP="009021C8">
      <w:pPr>
        <w:widowControl/>
        <w:spacing w:line="360" w:lineRule="auto"/>
        <w:ind w:firstLine="1440"/>
        <w:rPr>
          <w:sz w:val="26"/>
          <w:szCs w:val="26"/>
        </w:rPr>
      </w:pPr>
    </w:p>
    <w:p w:rsidR="0075156D" w:rsidRDefault="00BE7990" w:rsidP="009021C8">
      <w:pPr>
        <w:widowControl/>
        <w:ind w:left="1440" w:right="1440"/>
        <w:rPr>
          <w:rFonts w:cs="Times New Roman"/>
          <w:sz w:val="26"/>
          <w:szCs w:val="26"/>
        </w:rPr>
      </w:pPr>
      <w:r w:rsidRPr="00BE7990">
        <w:rPr>
          <w:rFonts w:cs="Times New Roman"/>
          <w:sz w:val="26"/>
          <w:szCs w:val="26"/>
        </w:rPr>
        <w:t>1405.</w:t>
      </w:r>
      <w:r w:rsidR="0075156D">
        <w:rPr>
          <w:rFonts w:cs="Times New Roman"/>
          <w:sz w:val="26"/>
          <w:szCs w:val="26"/>
        </w:rPr>
        <w:tab/>
      </w:r>
      <w:r w:rsidRPr="00BE7990">
        <w:rPr>
          <w:rFonts w:cs="Times New Roman"/>
          <w:sz w:val="26"/>
          <w:szCs w:val="26"/>
        </w:rPr>
        <w:t>Payment agreements</w:t>
      </w:r>
    </w:p>
    <w:p w:rsidR="0075156D" w:rsidRDefault="0075156D" w:rsidP="009021C8">
      <w:pPr>
        <w:widowControl/>
        <w:ind w:left="1440" w:right="1440"/>
        <w:rPr>
          <w:rFonts w:cs="Times New Roman"/>
          <w:sz w:val="26"/>
          <w:szCs w:val="26"/>
        </w:rPr>
      </w:pPr>
    </w:p>
    <w:p w:rsidR="00063BB2" w:rsidRDefault="0075156D" w:rsidP="009021C8">
      <w:pPr>
        <w:widowControl/>
        <w:ind w:left="1440" w:right="1440"/>
        <w:rPr>
          <w:rFonts w:cs="Times New Roman"/>
          <w:sz w:val="26"/>
          <w:szCs w:val="26"/>
        </w:rPr>
      </w:pPr>
      <w:r>
        <w:rPr>
          <w:rFonts w:cs="Times New Roman"/>
          <w:sz w:val="26"/>
          <w:szCs w:val="26"/>
        </w:rPr>
        <w:tab/>
      </w:r>
      <w:r w:rsidR="00BE7990" w:rsidRPr="00BE7990">
        <w:rPr>
          <w:rFonts w:cs="Times New Roman"/>
          <w:sz w:val="26"/>
          <w:szCs w:val="26"/>
        </w:rPr>
        <w:t>(a)</w:t>
      </w:r>
      <w:r w:rsidR="008D43E1">
        <w:rPr>
          <w:rFonts w:cs="Times New Roman"/>
          <w:sz w:val="26"/>
          <w:szCs w:val="26"/>
        </w:rPr>
        <w:t xml:space="preserve"> </w:t>
      </w:r>
      <w:r w:rsidR="00E826F7">
        <w:rPr>
          <w:rFonts w:cs="Times New Roman"/>
          <w:sz w:val="26"/>
          <w:szCs w:val="26"/>
        </w:rPr>
        <w:t>General rule</w:t>
      </w:r>
      <w:r w:rsidR="00BE7990" w:rsidRPr="00BE7990">
        <w:rPr>
          <w:rFonts w:cs="Times New Roman"/>
          <w:sz w:val="26"/>
          <w:szCs w:val="26"/>
        </w:rPr>
        <w:t>.</w:t>
      </w:r>
      <w:r w:rsidR="00BD2E2D">
        <w:rPr>
          <w:rFonts w:cs="Times New Roman"/>
          <w:sz w:val="26"/>
          <w:szCs w:val="26"/>
        </w:rPr>
        <w:t xml:space="preserve"> –</w:t>
      </w:r>
      <w:r w:rsidR="00BE7990" w:rsidRPr="00BE7990">
        <w:rPr>
          <w:rFonts w:cs="Times New Roman"/>
          <w:sz w:val="26"/>
          <w:szCs w:val="26"/>
        </w:rPr>
        <w:t xml:space="preserve"> The commission is authorized to investigate complaints regarding payment disputes between a public utility, applicants and customers. </w:t>
      </w:r>
      <w:r w:rsidR="00BD2E2D">
        <w:rPr>
          <w:rFonts w:cs="Times New Roman"/>
          <w:sz w:val="26"/>
          <w:szCs w:val="26"/>
        </w:rPr>
        <w:t xml:space="preserve"> </w:t>
      </w:r>
      <w:r w:rsidR="00BE7990" w:rsidRPr="00BE7990">
        <w:rPr>
          <w:rFonts w:cs="Times New Roman"/>
          <w:sz w:val="26"/>
          <w:szCs w:val="26"/>
        </w:rPr>
        <w:t>The commission is authorized to establish payment agreements between a public utility, customers and applicants within the limits established by this chapter.</w:t>
      </w:r>
    </w:p>
    <w:p w:rsidR="0075156D" w:rsidRDefault="0075156D" w:rsidP="009021C8">
      <w:pPr>
        <w:widowControl/>
        <w:ind w:left="1440" w:right="1440"/>
        <w:rPr>
          <w:rFonts w:cs="Times New Roman"/>
          <w:sz w:val="26"/>
          <w:szCs w:val="26"/>
        </w:rPr>
      </w:pPr>
    </w:p>
    <w:p w:rsidR="00BE7990" w:rsidRPr="00BE7990" w:rsidRDefault="00BE7990" w:rsidP="00BD2E2D">
      <w:pPr>
        <w:widowControl/>
        <w:ind w:left="1440" w:right="1440"/>
        <w:jc w:val="center"/>
        <w:rPr>
          <w:rFonts w:cs="Times New Roman"/>
          <w:sz w:val="26"/>
          <w:szCs w:val="26"/>
        </w:rPr>
      </w:pPr>
      <w:r w:rsidRPr="00BE7990">
        <w:rPr>
          <w:rFonts w:cs="Times New Roman"/>
          <w:sz w:val="26"/>
          <w:szCs w:val="26"/>
        </w:rPr>
        <w:t>*</w:t>
      </w:r>
      <w:r w:rsidRPr="00BE7990">
        <w:rPr>
          <w:rFonts w:cs="Times New Roman"/>
          <w:sz w:val="26"/>
          <w:szCs w:val="26"/>
        </w:rPr>
        <w:tab/>
        <w:t xml:space="preserve"> </w:t>
      </w:r>
      <w:r w:rsidRPr="00BE7990">
        <w:rPr>
          <w:rFonts w:cs="Times New Roman"/>
          <w:sz w:val="26"/>
          <w:szCs w:val="26"/>
        </w:rPr>
        <w:tab/>
        <w:t>*</w:t>
      </w:r>
      <w:r w:rsidRPr="00BE7990">
        <w:rPr>
          <w:rFonts w:cs="Times New Roman"/>
          <w:sz w:val="26"/>
          <w:szCs w:val="26"/>
        </w:rPr>
        <w:tab/>
      </w:r>
      <w:r w:rsidRPr="00BE7990">
        <w:rPr>
          <w:rFonts w:cs="Times New Roman"/>
          <w:sz w:val="26"/>
          <w:szCs w:val="26"/>
        </w:rPr>
        <w:tab/>
        <w:t>*</w:t>
      </w:r>
    </w:p>
    <w:p w:rsidR="0075156D" w:rsidRDefault="0075156D" w:rsidP="009021C8">
      <w:pPr>
        <w:widowControl/>
        <w:ind w:left="1440" w:right="1440"/>
        <w:rPr>
          <w:rFonts w:cs="Times New Roman"/>
          <w:sz w:val="26"/>
          <w:szCs w:val="26"/>
        </w:rPr>
      </w:pPr>
    </w:p>
    <w:p w:rsidR="00BD2E2D" w:rsidRDefault="0075156D" w:rsidP="009021C8">
      <w:pPr>
        <w:widowControl/>
        <w:ind w:left="1440" w:right="1440"/>
        <w:rPr>
          <w:rFonts w:cs="Times New Roman"/>
          <w:sz w:val="26"/>
          <w:szCs w:val="26"/>
        </w:rPr>
      </w:pPr>
      <w:r>
        <w:rPr>
          <w:rFonts w:cs="Times New Roman"/>
          <w:sz w:val="26"/>
          <w:szCs w:val="26"/>
        </w:rPr>
        <w:tab/>
      </w:r>
      <w:r w:rsidR="00BE7990" w:rsidRPr="00BE7990">
        <w:rPr>
          <w:rFonts w:cs="Times New Roman"/>
          <w:sz w:val="26"/>
          <w:szCs w:val="26"/>
        </w:rPr>
        <w:t>(d)</w:t>
      </w:r>
      <w:r w:rsidR="008D43E1">
        <w:rPr>
          <w:rFonts w:cs="Times New Roman"/>
          <w:sz w:val="26"/>
          <w:szCs w:val="26"/>
        </w:rPr>
        <w:t xml:space="preserve"> </w:t>
      </w:r>
      <w:r w:rsidR="00E826F7">
        <w:rPr>
          <w:rFonts w:cs="Times New Roman"/>
          <w:sz w:val="26"/>
          <w:szCs w:val="26"/>
        </w:rPr>
        <w:t>Number of payment agreements</w:t>
      </w:r>
      <w:r w:rsidR="00BE7990" w:rsidRPr="00BE7990">
        <w:rPr>
          <w:rFonts w:cs="Times New Roman"/>
          <w:sz w:val="26"/>
          <w:szCs w:val="26"/>
        </w:rPr>
        <w:t>.</w:t>
      </w:r>
      <w:r w:rsidR="00BD2E2D">
        <w:rPr>
          <w:rFonts w:cs="Times New Roman"/>
          <w:sz w:val="26"/>
          <w:szCs w:val="26"/>
        </w:rPr>
        <w:t xml:space="preserve"> –</w:t>
      </w:r>
      <w:r w:rsidR="00BE7990" w:rsidRPr="00BE7990">
        <w:rPr>
          <w:rFonts w:cs="Times New Roman"/>
          <w:sz w:val="26"/>
          <w:szCs w:val="26"/>
        </w:rPr>
        <w:t xml:space="preserve"> Absent a change in income, the commission shall not establish or order a public utility to establish a second or subsequent payment agreement if a customer has defaulted on a previous payment </w:t>
      </w:r>
      <w:r w:rsidR="00BE7990" w:rsidRPr="00BE7990">
        <w:rPr>
          <w:rFonts w:cs="Times New Roman"/>
          <w:sz w:val="26"/>
          <w:szCs w:val="26"/>
        </w:rPr>
        <w:lastRenderedPageBreak/>
        <w:t xml:space="preserve">agreement. </w:t>
      </w:r>
      <w:r w:rsidR="00BD2E2D">
        <w:rPr>
          <w:rFonts w:cs="Times New Roman"/>
          <w:sz w:val="26"/>
          <w:szCs w:val="26"/>
        </w:rPr>
        <w:t xml:space="preserve"> </w:t>
      </w:r>
      <w:r w:rsidR="00BE7990" w:rsidRPr="00BE7990">
        <w:rPr>
          <w:rFonts w:cs="Times New Roman"/>
          <w:sz w:val="26"/>
          <w:szCs w:val="26"/>
        </w:rPr>
        <w:t>A public utility may, at its discretion, enter into a second or subsequent payment agreement with a customer.</w:t>
      </w:r>
    </w:p>
    <w:p w:rsidR="00BE7990" w:rsidRPr="00BE7990" w:rsidRDefault="00BE7990" w:rsidP="009021C8">
      <w:pPr>
        <w:widowControl/>
        <w:ind w:left="1440" w:right="1440"/>
        <w:rPr>
          <w:rFonts w:cs="Times New Roman"/>
          <w:sz w:val="26"/>
          <w:szCs w:val="26"/>
        </w:rPr>
      </w:pPr>
    </w:p>
    <w:p w:rsidR="00BE7990" w:rsidRPr="00BE7990" w:rsidRDefault="00BE7990" w:rsidP="009021C8">
      <w:pPr>
        <w:widowControl/>
        <w:ind w:left="1440" w:right="1440"/>
        <w:rPr>
          <w:sz w:val="26"/>
          <w:szCs w:val="26"/>
        </w:rPr>
      </w:pPr>
      <w:r w:rsidRPr="00BE7990">
        <w:rPr>
          <w:rFonts w:cs="Times New Roman"/>
          <w:sz w:val="26"/>
          <w:szCs w:val="26"/>
        </w:rPr>
        <w:t>66 Pa.</w:t>
      </w:r>
      <w:r w:rsidR="007346E4">
        <w:rPr>
          <w:rFonts w:cs="Times New Roman"/>
          <w:sz w:val="26"/>
          <w:szCs w:val="26"/>
        </w:rPr>
        <w:t xml:space="preserve"> </w:t>
      </w:r>
      <w:r w:rsidRPr="00BE7990">
        <w:rPr>
          <w:rFonts w:cs="Times New Roman"/>
          <w:sz w:val="26"/>
          <w:szCs w:val="26"/>
        </w:rPr>
        <w:t>C.S. §§ 1405(a) and (d).</w:t>
      </w:r>
    </w:p>
    <w:p w:rsidR="00470DE8" w:rsidRDefault="00470DE8" w:rsidP="009021C8">
      <w:pPr>
        <w:widowControl/>
        <w:spacing w:line="360" w:lineRule="auto"/>
        <w:ind w:firstLine="1440"/>
        <w:rPr>
          <w:sz w:val="26"/>
          <w:szCs w:val="26"/>
        </w:rPr>
      </w:pPr>
    </w:p>
    <w:p w:rsidR="009B4361" w:rsidRDefault="009E5FB2" w:rsidP="009021C8">
      <w:pPr>
        <w:widowControl/>
        <w:spacing w:line="360" w:lineRule="auto"/>
        <w:ind w:firstLine="1440"/>
        <w:rPr>
          <w:sz w:val="26"/>
          <w:szCs w:val="26"/>
        </w:rPr>
      </w:pPr>
      <w:r>
        <w:rPr>
          <w:sz w:val="26"/>
          <w:szCs w:val="26"/>
        </w:rPr>
        <w:t>In</w:t>
      </w:r>
      <w:r w:rsidR="009B4361">
        <w:rPr>
          <w:sz w:val="26"/>
          <w:szCs w:val="26"/>
        </w:rPr>
        <w:t xml:space="preserve"> determining whether the Complain</w:t>
      </w:r>
      <w:r w:rsidR="009D4E21">
        <w:rPr>
          <w:sz w:val="26"/>
          <w:szCs w:val="26"/>
        </w:rPr>
        <w:t>ants</w:t>
      </w:r>
      <w:r w:rsidR="009B4361">
        <w:rPr>
          <w:sz w:val="26"/>
          <w:szCs w:val="26"/>
        </w:rPr>
        <w:t xml:space="preserve"> are eligible for a new payment arrangement under Section 1405 (d), the ALJ cites </w:t>
      </w:r>
      <w:r w:rsidR="0025709C">
        <w:rPr>
          <w:sz w:val="26"/>
          <w:szCs w:val="26"/>
        </w:rPr>
        <w:t>the following definition of “change of income” from Section 1403 of the Public Utility Code</w:t>
      </w:r>
      <w:r w:rsidR="00BD2E2D">
        <w:rPr>
          <w:sz w:val="26"/>
          <w:szCs w:val="26"/>
        </w:rPr>
        <w:t xml:space="preserve">, </w:t>
      </w:r>
      <w:r w:rsidR="0025709C" w:rsidRPr="003D4B22">
        <w:rPr>
          <w:rFonts w:cs="Times New Roman"/>
          <w:sz w:val="24"/>
          <w:szCs w:val="24"/>
        </w:rPr>
        <w:t>66 Pa.</w:t>
      </w:r>
      <w:r w:rsidR="007346E4">
        <w:rPr>
          <w:rFonts w:cs="Times New Roman"/>
          <w:sz w:val="24"/>
          <w:szCs w:val="24"/>
        </w:rPr>
        <w:t xml:space="preserve"> </w:t>
      </w:r>
      <w:r w:rsidR="0025709C" w:rsidRPr="003D4B22">
        <w:rPr>
          <w:rFonts w:cs="Times New Roman"/>
          <w:sz w:val="24"/>
          <w:szCs w:val="24"/>
        </w:rPr>
        <w:t>C.S. § 1</w:t>
      </w:r>
      <w:r w:rsidR="0025709C">
        <w:rPr>
          <w:rFonts w:cs="Times New Roman"/>
          <w:sz w:val="24"/>
          <w:szCs w:val="24"/>
        </w:rPr>
        <w:t>4</w:t>
      </w:r>
      <w:r w:rsidR="0025709C" w:rsidRPr="003D4B22">
        <w:rPr>
          <w:rFonts w:cs="Times New Roman"/>
          <w:sz w:val="24"/>
          <w:szCs w:val="24"/>
        </w:rPr>
        <w:t>0</w:t>
      </w:r>
      <w:r w:rsidR="0025709C">
        <w:rPr>
          <w:rFonts w:cs="Times New Roman"/>
          <w:sz w:val="24"/>
          <w:szCs w:val="24"/>
        </w:rPr>
        <w:t>3</w:t>
      </w:r>
      <w:r w:rsidR="00BD2E2D">
        <w:rPr>
          <w:rFonts w:cs="Times New Roman"/>
          <w:sz w:val="24"/>
          <w:szCs w:val="24"/>
        </w:rPr>
        <w:t>:</w:t>
      </w:r>
    </w:p>
    <w:p w:rsidR="0025709C" w:rsidRDefault="0025709C" w:rsidP="009021C8">
      <w:pPr>
        <w:widowControl/>
        <w:spacing w:line="360" w:lineRule="auto"/>
        <w:ind w:firstLine="1440"/>
        <w:rPr>
          <w:sz w:val="26"/>
          <w:szCs w:val="26"/>
        </w:rPr>
      </w:pPr>
    </w:p>
    <w:p w:rsidR="0025709C" w:rsidRPr="0025709C" w:rsidRDefault="00BD2E2D" w:rsidP="009021C8">
      <w:pPr>
        <w:widowControl/>
        <w:ind w:left="1440" w:right="1440"/>
        <w:rPr>
          <w:rFonts w:cs="Times New Roman"/>
          <w:sz w:val="26"/>
          <w:szCs w:val="26"/>
        </w:rPr>
      </w:pPr>
      <w:r>
        <w:rPr>
          <w:rFonts w:cs="Times New Roman"/>
          <w:sz w:val="26"/>
          <w:szCs w:val="26"/>
        </w:rPr>
        <w:t>“</w:t>
      </w:r>
      <w:r w:rsidR="0025709C" w:rsidRPr="0025709C">
        <w:rPr>
          <w:rFonts w:cs="Times New Roman"/>
          <w:sz w:val="26"/>
          <w:szCs w:val="26"/>
        </w:rPr>
        <w:t>Change in income.</w:t>
      </w:r>
      <w:r>
        <w:rPr>
          <w:rFonts w:cs="Times New Roman"/>
          <w:sz w:val="26"/>
          <w:szCs w:val="26"/>
        </w:rPr>
        <w:t xml:space="preserve">” </w:t>
      </w:r>
      <w:r w:rsidR="0025709C" w:rsidRPr="0025709C">
        <w:rPr>
          <w:rFonts w:cs="Times New Roman"/>
          <w:sz w:val="26"/>
          <w:szCs w:val="26"/>
        </w:rPr>
        <w:t xml:space="preserve"> A decrease in household income of 20% or more if the customer's household income level exceeds 200% of the Federal poverty level or a decrease in household income of 10% or more if the customer's household income level is 200% or less of the Federal poverty level.</w:t>
      </w:r>
    </w:p>
    <w:p w:rsidR="00005B75" w:rsidRPr="0025709C" w:rsidRDefault="00005B75" w:rsidP="009021C8">
      <w:pPr>
        <w:widowControl/>
        <w:spacing w:line="360" w:lineRule="auto"/>
        <w:ind w:left="1440" w:right="1440"/>
        <w:rPr>
          <w:rFonts w:ascii="Verdana" w:hAnsi="Verdana"/>
          <w:sz w:val="26"/>
          <w:szCs w:val="26"/>
        </w:rPr>
      </w:pPr>
    </w:p>
    <w:p w:rsidR="009B4361" w:rsidRDefault="00D013D5" w:rsidP="009021C8">
      <w:pPr>
        <w:keepNext/>
        <w:widowControl/>
        <w:spacing w:line="360" w:lineRule="auto"/>
        <w:ind w:firstLine="1440"/>
        <w:rPr>
          <w:rFonts w:cs="Times New Roman"/>
          <w:sz w:val="26"/>
          <w:szCs w:val="26"/>
        </w:rPr>
      </w:pPr>
      <w:r>
        <w:rPr>
          <w:sz w:val="26"/>
          <w:szCs w:val="26"/>
        </w:rPr>
        <w:t xml:space="preserve">The ALJ noted that the Complainants did not dispute that they have </w:t>
      </w:r>
      <w:r w:rsidR="00673875">
        <w:rPr>
          <w:sz w:val="26"/>
          <w:szCs w:val="26"/>
        </w:rPr>
        <w:t xml:space="preserve">failed to comply </w:t>
      </w:r>
      <w:r>
        <w:rPr>
          <w:sz w:val="26"/>
          <w:szCs w:val="26"/>
        </w:rPr>
        <w:t xml:space="preserve">with previous payment arrangements.  </w:t>
      </w:r>
      <w:r w:rsidR="00005B75">
        <w:rPr>
          <w:sz w:val="26"/>
          <w:szCs w:val="26"/>
        </w:rPr>
        <w:t>The ALJ reviewed the Complainants</w:t>
      </w:r>
      <w:r w:rsidR="00063BB2">
        <w:rPr>
          <w:sz w:val="26"/>
          <w:szCs w:val="26"/>
        </w:rPr>
        <w:t>’</w:t>
      </w:r>
      <w:r w:rsidR="00005B75">
        <w:rPr>
          <w:sz w:val="26"/>
          <w:szCs w:val="26"/>
        </w:rPr>
        <w:t xml:space="preserve"> </w:t>
      </w:r>
      <w:r w:rsidR="002F49F2">
        <w:rPr>
          <w:sz w:val="26"/>
          <w:szCs w:val="26"/>
        </w:rPr>
        <w:t>household income history and the federal poverty guidelines</w:t>
      </w:r>
      <w:r w:rsidR="00673875">
        <w:rPr>
          <w:sz w:val="26"/>
          <w:szCs w:val="26"/>
        </w:rPr>
        <w:t xml:space="preserve"> and </w:t>
      </w:r>
      <w:r w:rsidR="00467684">
        <w:rPr>
          <w:sz w:val="26"/>
          <w:szCs w:val="26"/>
        </w:rPr>
        <w:t xml:space="preserve">found </w:t>
      </w:r>
      <w:r w:rsidR="002F49F2">
        <w:rPr>
          <w:sz w:val="26"/>
          <w:szCs w:val="26"/>
        </w:rPr>
        <w:t xml:space="preserve">that </w:t>
      </w:r>
      <w:r>
        <w:rPr>
          <w:sz w:val="26"/>
          <w:szCs w:val="26"/>
        </w:rPr>
        <w:t xml:space="preserve">the </w:t>
      </w:r>
      <w:r w:rsidR="00F82662">
        <w:rPr>
          <w:sz w:val="26"/>
          <w:szCs w:val="26"/>
        </w:rPr>
        <w:t xml:space="preserve">Complainant’s </w:t>
      </w:r>
      <w:r>
        <w:rPr>
          <w:sz w:val="26"/>
          <w:szCs w:val="26"/>
        </w:rPr>
        <w:t xml:space="preserve">2009 income </w:t>
      </w:r>
      <w:r w:rsidR="00455F0C">
        <w:rPr>
          <w:sz w:val="26"/>
          <w:szCs w:val="26"/>
        </w:rPr>
        <w:t xml:space="preserve">failed to meet the definition for change in income </w:t>
      </w:r>
      <w:r w:rsidR="00673875">
        <w:rPr>
          <w:sz w:val="26"/>
          <w:szCs w:val="26"/>
        </w:rPr>
        <w:t xml:space="preserve">set forth in 66 Pa. C.S. </w:t>
      </w:r>
      <w:r w:rsidR="00673875">
        <w:rPr>
          <w:rFonts w:cs="Times New Roman"/>
          <w:sz w:val="26"/>
          <w:szCs w:val="26"/>
        </w:rPr>
        <w:t>§</w:t>
      </w:r>
      <w:r w:rsidR="00673875">
        <w:rPr>
          <w:sz w:val="26"/>
          <w:szCs w:val="26"/>
        </w:rPr>
        <w:t xml:space="preserve">1403.  </w:t>
      </w:r>
      <w:r w:rsidR="00EE39A9">
        <w:rPr>
          <w:sz w:val="26"/>
          <w:szCs w:val="26"/>
        </w:rPr>
        <w:t xml:space="preserve">The ALJ concluded that </w:t>
      </w:r>
      <w:r w:rsidR="00820E91">
        <w:rPr>
          <w:sz w:val="26"/>
          <w:szCs w:val="26"/>
        </w:rPr>
        <w:t xml:space="preserve">Section 1405(d) of the Code, </w:t>
      </w:r>
      <w:r w:rsidR="00455F0C">
        <w:rPr>
          <w:sz w:val="26"/>
          <w:szCs w:val="26"/>
        </w:rPr>
        <w:t xml:space="preserve">66 Pa. C.S. </w:t>
      </w:r>
      <w:r w:rsidR="00455F0C">
        <w:rPr>
          <w:rFonts w:cs="Times New Roman"/>
          <w:sz w:val="26"/>
          <w:szCs w:val="26"/>
        </w:rPr>
        <w:t>§</w:t>
      </w:r>
      <w:r w:rsidR="00455F0C">
        <w:rPr>
          <w:sz w:val="26"/>
          <w:szCs w:val="26"/>
        </w:rPr>
        <w:t>1405(d)</w:t>
      </w:r>
      <w:r w:rsidR="00820E91">
        <w:rPr>
          <w:sz w:val="26"/>
          <w:szCs w:val="26"/>
        </w:rPr>
        <w:t>,</w:t>
      </w:r>
      <w:r w:rsidR="00455F0C">
        <w:rPr>
          <w:sz w:val="26"/>
          <w:szCs w:val="26"/>
        </w:rPr>
        <w:t xml:space="preserve"> does not apply to the Complainants</w:t>
      </w:r>
      <w:r w:rsidR="00EE39A9">
        <w:rPr>
          <w:sz w:val="26"/>
          <w:szCs w:val="26"/>
        </w:rPr>
        <w:t xml:space="preserve"> a</w:t>
      </w:r>
      <w:r w:rsidR="00766F7D" w:rsidRPr="00766F7D">
        <w:rPr>
          <w:rFonts w:cs="Times New Roman"/>
          <w:sz w:val="26"/>
          <w:szCs w:val="26"/>
        </w:rPr>
        <w:t xml:space="preserve">nd the Commission is statutorily prohibited from ordering the public utility from establishing another payment agreement.  </w:t>
      </w:r>
      <w:r w:rsidR="00F52212">
        <w:rPr>
          <w:rFonts w:cs="Times New Roman"/>
          <w:sz w:val="26"/>
          <w:szCs w:val="26"/>
        </w:rPr>
        <w:t>ID</w:t>
      </w:r>
      <w:r w:rsidR="00766F7D">
        <w:rPr>
          <w:rFonts w:cs="Times New Roman"/>
          <w:sz w:val="26"/>
          <w:szCs w:val="26"/>
        </w:rPr>
        <w:t xml:space="preserve"> at 13-14.</w:t>
      </w:r>
    </w:p>
    <w:p w:rsidR="00766F7D" w:rsidRDefault="00766F7D" w:rsidP="009021C8">
      <w:pPr>
        <w:widowControl/>
        <w:spacing w:line="360" w:lineRule="auto"/>
        <w:ind w:firstLine="1440"/>
        <w:rPr>
          <w:rFonts w:cs="Times New Roman"/>
          <w:sz w:val="26"/>
          <w:szCs w:val="26"/>
        </w:rPr>
      </w:pPr>
    </w:p>
    <w:p w:rsidR="0027781B" w:rsidRDefault="00F02F54" w:rsidP="009021C8">
      <w:pPr>
        <w:pStyle w:val="BodyText"/>
        <w:spacing w:line="360" w:lineRule="auto"/>
        <w:ind w:firstLine="1440"/>
        <w:rPr>
          <w:szCs w:val="26"/>
        </w:rPr>
      </w:pPr>
      <w:r>
        <w:rPr>
          <w:szCs w:val="26"/>
        </w:rPr>
        <w:t>W</w:t>
      </w:r>
      <w:r w:rsidR="009E5FB2">
        <w:rPr>
          <w:szCs w:val="26"/>
        </w:rPr>
        <w:t xml:space="preserve">e concur </w:t>
      </w:r>
      <w:r w:rsidR="00CC0D9D">
        <w:rPr>
          <w:szCs w:val="26"/>
        </w:rPr>
        <w:t xml:space="preserve">with the ALJ’s </w:t>
      </w:r>
      <w:r w:rsidR="00F82662">
        <w:rPr>
          <w:szCs w:val="26"/>
        </w:rPr>
        <w:t xml:space="preserve">analysis and conclusions, as well as her </w:t>
      </w:r>
      <w:r w:rsidR="00CC0D9D">
        <w:rPr>
          <w:szCs w:val="26"/>
        </w:rPr>
        <w:t>decision to dismiss the Complaint</w:t>
      </w:r>
      <w:r>
        <w:rPr>
          <w:szCs w:val="26"/>
        </w:rPr>
        <w:t xml:space="preserve">. </w:t>
      </w:r>
      <w:r w:rsidR="00327AF5">
        <w:rPr>
          <w:szCs w:val="26"/>
        </w:rPr>
        <w:t xml:space="preserve"> </w:t>
      </w:r>
      <w:r w:rsidR="005B1275">
        <w:rPr>
          <w:szCs w:val="26"/>
        </w:rPr>
        <w:t xml:space="preserve">The statutory criteria under 66 Pa. C.S. </w:t>
      </w:r>
      <w:r w:rsidR="005B1275" w:rsidRPr="00766F7D">
        <w:rPr>
          <w:szCs w:val="26"/>
        </w:rPr>
        <w:t>§§ 1403 and 1405(d)</w:t>
      </w:r>
      <w:r w:rsidR="005B1275">
        <w:rPr>
          <w:szCs w:val="26"/>
        </w:rPr>
        <w:t xml:space="preserve"> prohibit us from establishing a second payment plan in this case.  </w:t>
      </w:r>
      <w:r>
        <w:t>The Commission, through its Bureau of Consumer Services, previously issued a payment arrangement to the Complainants on May 15, 2006.  Tr. at 60-61</w:t>
      </w:r>
      <w:r w:rsidR="00327AF5">
        <w:t xml:space="preserve">, PECO Exh. 4. </w:t>
      </w:r>
      <w:r w:rsidR="00401B20">
        <w:t xml:space="preserve"> </w:t>
      </w:r>
      <w:r w:rsidR="00C7678B">
        <w:t>The Complainants did not comply with the terms of the BCS payment arrangement</w:t>
      </w:r>
      <w:r w:rsidR="008827CF">
        <w:t xml:space="preserve"> </w:t>
      </w:r>
      <w:r w:rsidR="005B1275">
        <w:t>(</w:t>
      </w:r>
      <w:r w:rsidR="008827CF">
        <w:t>and subsequent payment arrangements with PECO</w:t>
      </w:r>
      <w:r w:rsidR="005B1275">
        <w:t>)</w:t>
      </w:r>
      <w:r w:rsidR="00845C21">
        <w:t xml:space="preserve">. Tr. at 61. </w:t>
      </w:r>
      <w:r w:rsidR="00C7678B">
        <w:t xml:space="preserve"> </w:t>
      </w:r>
      <w:r w:rsidR="00401B20">
        <w:t xml:space="preserve">As demonstrated by the </w:t>
      </w:r>
      <w:r>
        <w:t>ALJ</w:t>
      </w:r>
      <w:r w:rsidR="00401B20">
        <w:t>, t</w:t>
      </w:r>
      <w:r>
        <w:t>he Complainants d</w:t>
      </w:r>
      <w:r w:rsidR="00EE39A9">
        <w:t>o</w:t>
      </w:r>
      <w:r>
        <w:t xml:space="preserve"> </w:t>
      </w:r>
      <w:r>
        <w:lastRenderedPageBreak/>
        <w:t xml:space="preserve">not qualify for a second payment arrangement because their income had not decreased by 20% as required by 66 Pa. C.S. §§ 1403 and 1405(d).  </w:t>
      </w:r>
      <w:r w:rsidR="00E920E9">
        <w:rPr>
          <w:szCs w:val="26"/>
        </w:rPr>
        <w:t xml:space="preserve">ID at 13. </w:t>
      </w:r>
    </w:p>
    <w:p w:rsidR="00723081" w:rsidRDefault="00723081" w:rsidP="009021C8">
      <w:pPr>
        <w:pStyle w:val="BodyText"/>
        <w:spacing w:after="0" w:line="360" w:lineRule="auto"/>
        <w:ind w:firstLine="1440"/>
        <w:rPr>
          <w:szCs w:val="26"/>
        </w:rPr>
      </w:pPr>
    </w:p>
    <w:p w:rsidR="00DD74F9" w:rsidRDefault="002F30B8" w:rsidP="00697D52">
      <w:pPr>
        <w:widowControl/>
        <w:spacing w:line="360" w:lineRule="auto"/>
        <w:ind w:firstLine="1440"/>
        <w:rPr>
          <w:sz w:val="26"/>
          <w:szCs w:val="26"/>
        </w:rPr>
      </w:pPr>
      <w:r>
        <w:rPr>
          <w:sz w:val="26"/>
          <w:szCs w:val="26"/>
        </w:rPr>
        <w:t xml:space="preserve">In </w:t>
      </w:r>
      <w:r w:rsidR="003E3134">
        <w:rPr>
          <w:sz w:val="26"/>
          <w:szCs w:val="26"/>
        </w:rPr>
        <w:t xml:space="preserve">their </w:t>
      </w:r>
      <w:r w:rsidR="00CC3B44">
        <w:rPr>
          <w:sz w:val="26"/>
          <w:szCs w:val="26"/>
        </w:rPr>
        <w:t>E</w:t>
      </w:r>
      <w:r w:rsidR="00CC3B44" w:rsidRPr="00CC3B44">
        <w:rPr>
          <w:sz w:val="26"/>
          <w:szCs w:val="26"/>
        </w:rPr>
        <w:t>xception</w:t>
      </w:r>
      <w:r w:rsidR="00CC3B44">
        <w:rPr>
          <w:sz w:val="26"/>
          <w:szCs w:val="26"/>
        </w:rPr>
        <w:t>s</w:t>
      </w:r>
      <w:r w:rsidR="00CC3B44" w:rsidRPr="00CC3B44">
        <w:rPr>
          <w:sz w:val="26"/>
          <w:szCs w:val="26"/>
        </w:rPr>
        <w:t xml:space="preserve">, </w:t>
      </w:r>
      <w:r w:rsidR="00CC3B44">
        <w:rPr>
          <w:sz w:val="26"/>
          <w:szCs w:val="26"/>
        </w:rPr>
        <w:t>the Complainant</w:t>
      </w:r>
      <w:r w:rsidR="003E3134">
        <w:rPr>
          <w:sz w:val="26"/>
          <w:szCs w:val="26"/>
        </w:rPr>
        <w:t>s</w:t>
      </w:r>
      <w:r w:rsidR="00CC3B44">
        <w:rPr>
          <w:sz w:val="26"/>
          <w:szCs w:val="26"/>
        </w:rPr>
        <w:t xml:space="preserve"> </w:t>
      </w:r>
      <w:r w:rsidR="00C97ABE">
        <w:rPr>
          <w:sz w:val="26"/>
          <w:szCs w:val="26"/>
        </w:rPr>
        <w:t xml:space="preserve">state that </w:t>
      </w:r>
      <w:r w:rsidR="003E3134">
        <w:rPr>
          <w:sz w:val="26"/>
          <w:szCs w:val="26"/>
        </w:rPr>
        <w:t xml:space="preserve">they are </w:t>
      </w:r>
      <w:r w:rsidR="00C97ABE">
        <w:rPr>
          <w:sz w:val="26"/>
          <w:szCs w:val="26"/>
        </w:rPr>
        <w:t xml:space="preserve">appealing the decision of the ALJ </w:t>
      </w:r>
      <w:r w:rsidR="0004368E">
        <w:rPr>
          <w:sz w:val="26"/>
          <w:szCs w:val="26"/>
        </w:rPr>
        <w:t xml:space="preserve">which </w:t>
      </w:r>
      <w:r w:rsidR="0039071F">
        <w:rPr>
          <w:sz w:val="26"/>
          <w:szCs w:val="26"/>
        </w:rPr>
        <w:t>dismiss</w:t>
      </w:r>
      <w:r w:rsidR="0004368E">
        <w:rPr>
          <w:sz w:val="26"/>
          <w:szCs w:val="26"/>
        </w:rPr>
        <w:t xml:space="preserve">ed </w:t>
      </w:r>
      <w:r w:rsidR="003E3134">
        <w:rPr>
          <w:sz w:val="26"/>
          <w:szCs w:val="26"/>
        </w:rPr>
        <w:t>th</w:t>
      </w:r>
      <w:r w:rsidR="0004368E">
        <w:rPr>
          <w:sz w:val="26"/>
          <w:szCs w:val="26"/>
        </w:rPr>
        <w:t>e</w:t>
      </w:r>
      <w:r w:rsidR="003E3134">
        <w:rPr>
          <w:sz w:val="26"/>
          <w:szCs w:val="26"/>
        </w:rPr>
        <w:t>i</w:t>
      </w:r>
      <w:r w:rsidR="0004368E">
        <w:rPr>
          <w:sz w:val="26"/>
          <w:szCs w:val="26"/>
        </w:rPr>
        <w:t>r</w:t>
      </w:r>
      <w:r w:rsidR="0039071F">
        <w:rPr>
          <w:sz w:val="26"/>
          <w:szCs w:val="26"/>
        </w:rPr>
        <w:t xml:space="preserve"> Complaint.</w:t>
      </w:r>
      <w:r w:rsidR="003E3134">
        <w:rPr>
          <w:sz w:val="26"/>
          <w:szCs w:val="26"/>
        </w:rPr>
        <w:t xml:space="preserve"> </w:t>
      </w:r>
      <w:r w:rsidR="0039071F">
        <w:rPr>
          <w:sz w:val="26"/>
          <w:szCs w:val="26"/>
        </w:rPr>
        <w:t xml:space="preserve"> The Complainant</w:t>
      </w:r>
      <w:r w:rsidR="003E3134">
        <w:rPr>
          <w:sz w:val="26"/>
          <w:szCs w:val="26"/>
        </w:rPr>
        <w:t>s</w:t>
      </w:r>
      <w:r w:rsidR="0039071F">
        <w:rPr>
          <w:sz w:val="26"/>
          <w:szCs w:val="26"/>
        </w:rPr>
        <w:t xml:space="preserve"> </w:t>
      </w:r>
      <w:r w:rsidR="00CC3B44">
        <w:rPr>
          <w:sz w:val="26"/>
          <w:szCs w:val="26"/>
        </w:rPr>
        <w:t xml:space="preserve">submit that Mr. </w:t>
      </w:r>
      <w:r w:rsidR="004B20AD">
        <w:rPr>
          <w:sz w:val="26"/>
          <w:szCs w:val="26"/>
        </w:rPr>
        <w:t>Robbins’</w:t>
      </w:r>
      <w:r w:rsidR="003E3134">
        <w:rPr>
          <w:sz w:val="26"/>
          <w:szCs w:val="26"/>
        </w:rPr>
        <w:t xml:space="preserve"> </w:t>
      </w:r>
      <w:r w:rsidR="00CC3B44">
        <w:rPr>
          <w:sz w:val="26"/>
          <w:szCs w:val="26"/>
        </w:rPr>
        <w:t xml:space="preserve">monthly income has fallen to $5,000 per month.  The </w:t>
      </w:r>
      <w:r w:rsidR="00E37E22">
        <w:rPr>
          <w:sz w:val="26"/>
          <w:szCs w:val="26"/>
        </w:rPr>
        <w:t>Complainant</w:t>
      </w:r>
      <w:r w:rsidR="003E3134">
        <w:rPr>
          <w:sz w:val="26"/>
          <w:szCs w:val="26"/>
        </w:rPr>
        <w:t>s</w:t>
      </w:r>
      <w:r w:rsidR="00CC3B44">
        <w:rPr>
          <w:sz w:val="26"/>
          <w:szCs w:val="26"/>
        </w:rPr>
        <w:t xml:space="preserve"> </w:t>
      </w:r>
      <w:r w:rsidR="00DB4E08">
        <w:rPr>
          <w:sz w:val="26"/>
          <w:szCs w:val="26"/>
        </w:rPr>
        <w:t xml:space="preserve">explain that </w:t>
      </w:r>
      <w:r w:rsidR="00CC3B44">
        <w:rPr>
          <w:sz w:val="26"/>
          <w:szCs w:val="26"/>
        </w:rPr>
        <w:t xml:space="preserve">Mr. </w:t>
      </w:r>
      <w:r w:rsidR="00E37E22">
        <w:rPr>
          <w:sz w:val="26"/>
          <w:szCs w:val="26"/>
        </w:rPr>
        <w:t xml:space="preserve">Robbins has filed suit in Federal District Court because his former employer stopped paying his monthly </w:t>
      </w:r>
      <w:r w:rsidR="00177445">
        <w:rPr>
          <w:sz w:val="26"/>
          <w:szCs w:val="26"/>
        </w:rPr>
        <w:t>c</w:t>
      </w:r>
      <w:r w:rsidR="00E37E22">
        <w:rPr>
          <w:sz w:val="26"/>
          <w:szCs w:val="26"/>
        </w:rPr>
        <w:t xml:space="preserve">ommissions.  </w:t>
      </w:r>
      <w:r w:rsidR="00457CAE">
        <w:rPr>
          <w:sz w:val="26"/>
          <w:szCs w:val="26"/>
        </w:rPr>
        <w:t xml:space="preserve">The </w:t>
      </w:r>
      <w:r>
        <w:rPr>
          <w:sz w:val="26"/>
          <w:szCs w:val="26"/>
        </w:rPr>
        <w:t>Complainant</w:t>
      </w:r>
      <w:r w:rsidR="003E3134">
        <w:rPr>
          <w:sz w:val="26"/>
          <w:szCs w:val="26"/>
        </w:rPr>
        <w:t>s</w:t>
      </w:r>
      <w:r w:rsidR="00457CAE">
        <w:rPr>
          <w:sz w:val="26"/>
          <w:szCs w:val="26"/>
        </w:rPr>
        <w:t xml:space="preserve"> state that their attorney is trying to restore the </w:t>
      </w:r>
      <w:r w:rsidR="00177445">
        <w:rPr>
          <w:sz w:val="26"/>
          <w:szCs w:val="26"/>
        </w:rPr>
        <w:t>c</w:t>
      </w:r>
      <w:r w:rsidR="00457CAE">
        <w:rPr>
          <w:sz w:val="26"/>
          <w:szCs w:val="26"/>
        </w:rPr>
        <w:t xml:space="preserve">ommissions immediately.  </w:t>
      </w:r>
      <w:r w:rsidR="00E37E22">
        <w:rPr>
          <w:sz w:val="26"/>
          <w:szCs w:val="26"/>
        </w:rPr>
        <w:t>The</w:t>
      </w:r>
      <w:r w:rsidR="00DB4E08">
        <w:rPr>
          <w:sz w:val="26"/>
          <w:szCs w:val="26"/>
        </w:rPr>
        <w:t xml:space="preserve"> Complainant</w:t>
      </w:r>
      <w:r w:rsidR="003E3134">
        <w:rPr>
          <w:sz w:val="26"/>
          <w:szCs w:val="26"/>
        </w:rPr>
        <w:t>s</w:t>
      </w:r>
      <w:r w:rsidR="00DB4E08">
        <w:rPr>
          <w:sz w:val="26"/>
          <w:szCs w:val="26"/>
        </w:rPr>
        <w:t xml:space="preserve"> also </w:t>
      </w:r>
      <w:r w:rsidR="00E37E22">
        <w:rPr>
          <w:sz w:val="26"/>
          <w:szCs w:val="26"/>
        </w:rPr>
        <w:t xml:space="preserve">aver that </w:t>
      </w:r>
      <w:r w:rsidR="00DB4E08">
        <w:rPr>
          <w:sz w:val="26"/>
          <w:szCs w:val="26"/>
        </w:rPr>
        <w:t>t</w:t>
      </w:r>
      <w:r w:rsidR="00E37E22">
        <w:rPr>
          <w:sz w:val="26"/>
          <w:szCs w:val="26"/>
        </w:rPr>
        <w:t>hey have been pa</w:t>
      </w:r>
      <w:r w:rsidR="00DD74F9">
        <w:rPr>
          <w:sz w:val="26"/>
          <w:szCs w:val="26"/>
        </w:rPr>
        <w:t xml:space="preserve">ying monthly charges since the hearing in April 2009. </w:t>
      </w:r>
    </w:p>
    <w:p w:rsidR="007078EC" w:rsidRDefault="007078EC" w:rsidP="009021C8">
      <w:pPr>
        <w:widowControl/>
        <w:spacing w:line="360" w:lineRule="auto"/>
        <w:ind w:firstLine="1440"/>
        <w:rPr>
          <w:sz w:val="26"/>
          <w:szCs w:val="26"/>
        </w:rPr>
      </w:pPr>
    </w:p>
    <w:p w:rsidR="0082169A" w:rsidRPr="0082169A" w:rsidRDefault="0082169A" w:rsidP="00EE1B14">
      <w:pPr>
        <w:spacing w:line="360" w:lineRule="auto"/>
        <w:ind w:firstLine="1440"/>
        <w:rPr>
          <w:sz w:val="26"/>
          <w:szCs w:val="26"/>
        </w:rPr>
      </w:pPr>
      <w:r w:rsidRPr="0082169A">
        <w:rPr>
          <w:sz w:val="26"/>
          <w:szCs w:val="26"/>
        </w:rPr>
        <w:t>We find that the Complainants’ Exceptions should be denied for several</w:t>
      </w:r>
      <w:r w:rsidR="00820E91">
        <w:rPr>
          <w:sz w:val="26"/>
          <w:szCs w:val="26"/>
        </w:rPr>
        <w:t xml:space="preserve"> reasons.</w:t>
      </w:r>
    </w:p>
    <w:p w:rsidR="0082169A" w:rsidRPr="0082169A" w:rsidRDefault="0082169A" w:rsidP="00EE1B14">
      <w:pPr>
        <w:spacing w:line="360" w:lineRule="auto"/>
        <w:ind w:firstLine="1440"/>
        <w:rPr>
          <w:sz w:val="26"/>
          <w:szCs w:val="26"/>
        </w:rPr>
      </w:pPr>
    </w:p>
    <w:p w:rsidR="00697D52" w:rsidRPr="005F6AD7" w:rsidRDefault="0082169A" w:rsidP="00AF482B">
      <w:pPr>
        <w:spacing w:line="360" w:lineRule="auto"/>
        <w:ind w:firstLine="1440"/>
        <w:rPr>
          <w:sz w:val="26"/>
          <w:szCs w:val="26"/>
        </w:rPr>
      </w:pPr>
      <w:r w:rsidRPr="005F6AD7">
        <w:rPr>
          <w:sz w:val="26"/>
          <w:szCs w:val="26"/>
        </w:rPr>
        <w:t xml:space="preserve">First, </w:t>
      </w:r>
      <w:r w:rsidR="005F6AD7" w:rsidRPr="005F6AD7">
        <w:rPr>
          <w:sz w:val="26"/>
          <w:szCs w:val="26"/>
        </w:rPr>
        <w:t xml:space="preserve">pursuant to </w:t>
      </w:r>
      <w:r w:rsidRPr="005F6AD7">
        <w:rPr>
          <w:sz w:val="26"/>
          <w:szCs w:val="26"/>
        </w:rPr>
        <w:t xml:space="preserve">52 Pa. Code </w:t>
      </w:r>
      <w:r w:rsidRPr="005F6AD7">
        <w:rPr>
          <w:rFonts w:cs="Times New Roman"/>
          <w:sz w:val="26"/>
          <w:szCs w:val="26"/>
        </w:rPr>
        <w:t>§</w:t>
      </w:r>
      <w:r w:rsidRPr="005F6AD7">
        <w:rPr>
          <w:sz w:val="26"/>
          <w:szCs w:val="26"/>
        </w:rPr>
        <w:t xml:space="preserve">5.431, the Complainants are inappropriately attempting to introduce new evidence </w:t>
      </w:r>
      <w:r w:rsidR="00820E91">
        <w:rPr>
          <w:sz w:val="26"/>
          <w:szCs w:val="26"/>
        </w:rPr>
        <w:t>after the close of the record.</w:t>
      </w:r>
    </w:p>
    <w:p w:rsidR="00697D52" w:rsidRPr="005F6AD7" w:rsidRDefault="00697D52" w:rsidP="00AF482B">
      <w:pPr>
        <w:spacing w:line="360" w:lineRule="auto"/>
        <w:ind w:firstLine="720"/>
        <w:rPr>
          <w:sz w:val="26"/>
          <w:szCs w:val="26"/>
        </w:rPr>
      </w:pPr>
    </w:p>
    <w:p w:rsidR="002B2061" w:rsidRDefault="0082169A" w:rsidP="00826F2D">
      <w:pPr>
        <w:widowControl/>
        <w:spacing w:line="360" w:lineRule="auto"/>
        <w:ind w:firstLine="1440"/>
        <w:rPr>
          <w:sz w:val="26"/>
          <w:szCs w:val="26"/>
        </w:rPr>
      </w:pPr>
      <w:r w:rsidRPr="005F6AD7">
        <w:rPr>
          <w:sz w:val="26"/>
          <w:szCs w:val="26"/>
        </w:rPr>
        <w:t xml:space="preserve">Second, even if we were to determine that </w:t>
      </w:r>
      <w:r w:rsidR="00966571">
        <w:rPr>
          <w:sz w:val="26"/>
          <w:szCs w:val="26"/>
        </w:rPr>
        <w:t xml:space="preserve">the Complainants </w:t>
      </w:r>
      <w:r w:rsidRPr="005F6AD7">
        <w:rPr>
          <w:sz w:val="26"/>
          <w:szCs w:val="26"/>
        </w:rPr>
        <w:t xml:space="preserve">were eligible under the statute for a second Commission payment arrangement, </w:t>
      </w:r>
      <w:r w:rsidR="005F6AD7" w:rsidRPr="005F6AD7">
        <w:rPr>
          <w:sz w:val="26"/>
          <w:szCs w:val="26"/>
        </w:rPr>
        <w:t xml:space="preserve">we </w:t>
      </w:r>
      <w:r w:rsidR="00966571">
        <w:rPr>
          <w:sz w:val="26"/>
          <w:szCs w:val="26"/>
        </w:rPr>
        <w:t xml:space="preserve">would be </w:t>
      </w:r>
      <w:r w:rsidR="005F6AD7" w:rsidRPr="005F6AD7">
        <w:rPr>
          <w:sz w:val="26"/>
          <w:szCs w:val="26"/>
        </w:rPr>
        <w:t xml:space="preserve">unable to establish the repayment plan sought by the </w:t>
      </w:r>
      <w:r w:rsidR="00883BE1" w:rsidRPr="005F6AD7">
        <w:rPr>
          <w:sz w:val="26"/>
          <w:szCs w:val="26"/>
        </w:rPr>
        <w:t>Complainants</w:t>
      </w:r>
      <w:r w:rsidR="00933DF4">
        <w:rPr>
          <w:sz w:val="26"/>
          <w:szCs w:val="26"/>
        </w:rPr>
        <w:t>.</w:t>
      </w:r>
      <w:r w:rsidR="005F6AD7">
        <w:rPr>
          <w:sz w:val="26"/>
          <w:szCs w:val="26"/>
        </w:rPr>
        <w:t xml:space="preserve">  </w:t>
      </w:r>
      <w:r w:rsidR="00826F2D" w:rsidRPr="00FE2613">
        <w:rPr>
          <w:sz w:val="26"/>
          <w:szCs w:val="26"/>
        </w:rPr>
        <w:t xml:space="preserve">As stated, </w:t>
      </w:r>
      <w:r w:rsidR="00826F2D" w:rsidRPr="00FE2613">
        <w:rPr>
          <w:i/>
          <w:sz w:val="26"/>
          <w:szCs w:val="26"/>
        </w:rPr>
        <w:t>supra</w:t>
      </w:r>
      <w:r w:rsidR="00826F2D" w:rsidRPr="00FE2613">
        <w:rPr>
          <w:sz w:val="26"/>
          <w:szCs w:val="26"/>
        </w:rPr>
        <w:t xml:space="preserve">, in their Complaint, </w:t>
      </w:r>
      <w:r w:rsidR="00EE1B14">
        <w:rPr>
          <w:sz w:val="26"/>
          <w:szCs w:val="26"/>
        </w:rPr>
        <w:t xml:space="preserve">Michael and Holly </w:t>
      </w:r>
      <w:r w:rsidR="00826F2D" w:rsidRPr="00FE2613">
        <w:rPr>
          <w:sz w:val="26"/>
          <w:szCs w:val="26"/>
        </w:rPr>
        <w:t xml:space="preserve">Robbins requested that the Commission establish a new payment arrangement of current bills plus $200 toward the arrearage.  Section 1405(b) of the Public Utility Code (66 Pa. C.S. §1405(b)) establishes limits on the length of payment agreements based on customers’ gross monthly income.  </w:t>
      </w:r>
      <w:r w:rsidR="00933DF4" w:rsidRPr="00FE2613">
        <w:rPr>
          <w:sz w:val="26"/>
          <w:szCs w:val="26"/>
        </w:rPr>
        <w:t>T</w:t>
      </w:r>
      <w:r w:rsidR="00826F2D" w:rsidRPr="00FE2613">
        <w:rPr>
          <w:sz w:val="26"/>
          <w:szCs w:val="26"/>
        </w:rPr>
        <w:t>his Section prohibits the Commission from establishing a payment arrangement that extends beyond five years</w:t>
      </w:r>
      <w:r w:rsidR="00966571">
        <w:rPr>
          <w:sz w:val="26"/>
          <w:szCs w:val="26"/>
        </w:rPr>
        <w:t>, even for the lowest income customers.</w:t>
      </w:r>
      <w:r w:rsidR="00826F2D" w:rsidRPr="00FE2613">
        <w:rPr>
          <w:sz w:val="26"/>
          <w:szCs w:val="26"/>
        </w:rPr>
        <w:t xml:space="preserve">  At the time the evidentiary record in this proceeding was closed on April 28, 2009, the Complainants’ arrearage was $28,377.77.  Rev. PECO Exh.</w:t>
      </w:r>
      <w:r w:rsidR="007B6A2C">
        <w:rPr>
          <w:sz w:val="26"/>
          <w:szCs w:val="26"/>
        </w:rPr>
        <w:t xml:space="preserve"> </w:t>
      </w:r>
      <w:r w:rsidR="00826F2D" w:rsidRPr="00FE2613">
        <w:rPr>
          <w:sz w:val="26"/>
          <w:szCs w:val="26"/>
        </w:rPr>
        <w:t xml:space="preserve">3 at 8.  </w:t>
      </w:r>
    </w:p>
    <w:p w:rsidR="00C26126" w:rsidRPr="00DD74F9" w:rsidRDefault="00C26126" w:rsidP="00826F2D">
      <w:pPr>
        <w:widowControl/>
        <w:spacing w:line="360" w:lineRule="auto"/>
        <w:ind w:firstLine="1440"/>
        <w:rPr>
          <w:color w:val="00B050"/>
          <w:sz w:val="26"/>
          <w:szCs w:val="26"/>
        </w:rPr>
      </w:pPr>
    </w:p>
    <w:p w:rsidR="009B7023" w:rsidRDefault="0082169A" w:rsidP="00F92DEB">
      <w:pPr>
        <w:widowControl/>
        <w:spacing w:line="360" w:lineRule="auto"/>
        <w:ind w:firstLine="1440"/>
        <w:rPr>
          <w:sz w:val="26"/>
          <w:szCs w:val="26"/>
        </w:rPr>
      </w:pPr>
      <w:r w:rsidRPr="00A50B9B">
        <w:rPr>
          <w:sz w:val="26"/>
          <w:szCs w:val="26"/>
        </w:rPr>
        <w:t xml:space="preserve">Third and most important, even if we had the statutory authority to issue a </w:t>
      </w:r>
      <w:r w:rsidR="003D4062">
        <w:rPr>
          <w:sz w:val="26"/>
          <w:szCs w:val="26"/>
        </w:rPr>
        <w:t xml:space="preserve">another </w:t>
      </w:r>
      <w:r w:rsidRPr="00A50B9B">
        <w:rPr>
          <w:sz w:val="26"/>
          <w:szCs w:val="26"/>
        </w:rPr>
        <w:t>payment arrangement</w:t>
      </w:r>
      <w:r w:rsidR="002B2061">
        <w:rPr>
          <w:sz w:val="26"/>
          <w:szCs w:val="26"/>
        </w:rPr>
        <w:t>,</w:t>
      </w:r>
      <w:r w:rsidRPr="00A50B9B">
        <w:rPr>
          <w:sz w:val="26"/>
          <w:szCs w:val="26"/>
        </w:rPr>
        <w:t xml:space="preserve"> </w:t>
      </w:r>
      <w:r w:rsidR="00A50B9B" w:rsidRPr="00A50B9B">
        <w:rPr>
          <w:sz w:val="26"/>
          <w:szCs w:val="26"/>
        </w:rPr>
        <w:t xml:space="preserve">we </w:t>
      </w:r>
      <w:r w:rsidRPr="00A50B9B">
        <w:rPr>
          <w:sz w:val="26"/>
          <w:szCs w:val="26"/>
        </w:rPr>
        <w:t>do not believe that it would be appropriate to exercise that authority</w:t>
      </w:r>
      <w:r w:rsidR="00A50B9B" w:rsidRPr="00A50B9B">
        <w:rPr>
          <w:sz w:val="26"/>
          <w:szCs w:val="26"/>
        </w:rPr>
        <w:t xml:space="preserve"> in this case. </w:t>
      </w:r>
      <w:r w:rsidR="00A50B9B">
        <w:rPr>
          <w:sz w:val="26"/>
          <w:szCs w:val="26"/>
        </w:rPr>
        <w:t xml:space="preserve"> </w:t>
      </w:r>
      <w:r w:rsidR="00CB1805" w:rsidRPr="000D20BF">
        <w:rPr>
          <w:sz w:val="26"/>
          <w:szCs w:val="26"/>
        </w:rPr>
        <w:t>Mr. Robbins</w:t>
      </w:r>
      <w:r w:rsidR="00CB1805">
        <w:rPr>
          <w:sz w:val="26"/>
          <w:szCs w:val="26"/>
        </w:rPr>
        <w:t>’</w:t>
      </w:r>
      <w:r w:rsidR="00CB1805" w:rsidRPr="000D20BF">
        <w:rPr>
          <w:sz w:val="26"/>
          <w:szCs w:val="26"/>
        </w:rPr>
        <w:t xml:space="preserve"> </w:t>
      </w:r>
      <w:r w:rsidR="00CB1805">
        <w:rPr>
          <w:sz w:val="26"/>
          <w:szCs w:val="26"/>
        </w:rPr>
        <w:t>gross income was about $150,000 in 2007</w:t>
      </w:r>
      <w:r w:rsidR="00DA4CB6">
        <w:rPr>
          <w:sz w:val="26"/>
          <w:szCs w:val="26"/>
        </w:rPr>
        <w:t>,</w:t>
      </w:r>
      <w:r w:rsidR="00CB1805">
        <w:rPr>
          <w:sz w:val="26"/>
          <w:szCs w:val="26"/>
        </w:rPr>
        <w:t xml:space="preserve"> and $122,000 in 2008.  Finding of Fact No. 5, </w:t>
      </w:r>
      <w:r w:rsidR="00F52212">
        <w:rPr>
          <w:sz w:val="26"/>
          <w:szCs w:val="26"/>
        </w:rPr>
        <w:t>ID</w:t>
      </w:r>
      <w:r w:rsidR="00CB1805">
        <w:rPr>
          <w:sz w:val="26"/>
          <w:szCs w:val="26"/>
        </w:rPr>
        <w:t xml:space="preserve"> at 4.  </w:t>
      </w:r>
      <w:r w:rsidR="00F92DEB">
        <w:rPr>
          <w:sz w:val="26"/>
          <w:szCs w:val="26"/>
        </w:rPr>
        <w:t xml:space="preserve">In the five years </w:t>
      </w:r>
      <w:r w:rsidR="00C26126">
        <w:rPr>
          <w:sz w:val="26"/>
          <w:szCs w:val="26"/>
        </w:rPr>
        <w:t>between May 200</w:t>
      </w:r>
      <w:r w:rsidR="0078707F">
        <w:rPr>
          <w:sz w:val="26"/>
          <w:szCs w:val="26"/>
        </w:rPr>
        <w:t>3</w:t>
      </w:r>
      <w:r w:rsidR="00C26126">
        <w:rPr>
          <w:sz w:val="26"/>
          <w:szCs w:val="26"/>
        </w:rPr>
        <w:t xml:space="preserve"> and</w:t>
      </w:r>
      <w:r w:rsidR="00FE2613">
        <w:rPr>
          <w:sz w:val="26"/>
          <w:szCs w:val="26"/>
        </w:rPr>
        <w:t xml:space="preserve"> </w:t>
      </w:r>
      <w:r w:rsidR="00F92DEB">
        <w:rPr>
          <w:sz w:val="26"/>
          <w:szCs w:val="26"/>
        </w:rPr>
        <w:t xml:space="preserve">April 2008, the Complainants accumulated an arrearage of over $28,000.  Rev. PECO Exh. 3. at 8.  The Complainants made three payments to PECO in 2004, three payments in 2005, one payment in 2006, five payments in 2007, two payments in 2008 and three payments in 2009 (through April).  Finding of Fact 25, </w:t>
      </w:r>
      <w:r w:rsidR="00F52212">
        <w:rPr>
          <w:sz w:val="26"/>
          <w:szCs w:val="26"/>
        </w:rPr>
        <w:t>ID</w:t>
      </w:r>
      <w:r w:rsidR="00F92DEB">
        <w:rPr>
          <w:sz w:val="26"/>
          <w:szCs w:val="26"/>
        </w:rPr>
        <w:t xml:space="preserve"> at 6.  Rev. PECO Exh. 3 at 8.  </w:t>
      </w:r>
    </w:p>
    <w:p w:rsidR="008E0D92" w:rsidRDefault="008E0D92" w:rsidP="00F92DEB">
      <w:pPr>
        <w:widowControl/>
        <w:spacing w:line="360" w:lineRule="auto"/>
        <w:ind w:firstLine="1440"/>
        <w:rPr>
          <w:sz w:val="26"/>
          <w:szCs w:val="26"/>
        </w:rPr>
      </w:pPr>
    </w:p>
    <w:p w:rsidR="0082169A" w:rsidRPr="00031F5C" w:rsidRDefault="008E0D92" w:rsidP="009B2AC1">
      <w:pPr>
        <w:widowControl/>
        <w:spacing w:line="360" w:lineRule="auto"/>
        <w:ind w:firstLine="1440"/>
        <w:rPr>
          <w:sz w:val="26"/>
          <w:szCs w:val="26"/>
        </w:rPr>
      </w:pPr>
      <w:r>
        <w:rPr>
          <w:sz w:val="26"/>
          <w:szCs w:val="26"/>
        </w:rPr>
        <w:t>In addition to the</w:t>
      </w:r>
      <w:r w:rsidR="00D22475">
        <w:rPr>
          <w:sz w:val="26"/>
          <w:szCs w:val="26"/>
        </w:rPr>
        <w:t>ir</w:t>
      </w:r>
      <w:r>
        <w:rPr>
          <w:sz w:val="26"/>
          <w:szCs w:val="26"/>
        </w:rPr>
        <w:t xml:space="preserve"> poor payment history, t</w:t>
      </w:r>
      <w:r w:rsidR="00F92DEB">
        <w:rPr>
          <w:sz w:val="26"/>
          <w:szCs w:val="26"/>
        </w:rPr>
        <w:t xml:space="preserve">he </w:t>
      </w:r>
      <w:r w:rsidR="00BC1BF2">
        <w:rPr>
          <w:sz w:val="26"/>
          <w:szCs w:val="26"/>
        </w:rPr>
        <w:t>Complainants</w:t>
      </w:r>
      <w:r w:rsidR="00F92DEB">
        <w:rPr>
          <w:sz w:val="26"/>
          <w:szCs w:val="26"/>
        </w:rPr>
        <w:t xml:space="preserve"> have </w:t>
      </w:r>
      <w:r>
        <w:rPr>
          <w:sz w:val="26"/>
          <w:szCs w:val="26"/>
        </w:rPr>
        <w:t xml:space="preserve">failed to comply with </w:t>
      </w:r>
      <w:r w:rsidR="00F92DEB">
        <w:rPr>
          <w:sz w:val="26"/>
          <w:szCs w:val="26"/>
        </w:rPr>
        <w:t xml:space="preserve">three payment arrangements with PECO and one payment arrangement from BCS.  PECO Exh. 4.  The Complainants </w:t>
      </w:r>
      <w:r w:rsidR="00C26126">
        <w:rPr>
          <w:sz w:val="26"/>
          <w:szCs w:val="26"/>
        </w:rPr>
        <w:t xml:space="preserve">also </w:t>
      </w:r>
      <w:r w:rsidR="00E11323">
        <w:rPr>
          <w:sz w:val="26"/>
          <w:szCs w:val="26"/>
        </w:rPr>
        <w:t xml:space="preserve">have </w:t>
      </w:r>
      <w:r w:rsidR="00F92DEB">
        <w:rPr>
          <w:sz w:val="26"/>
          <w:szCs w:val="26"/>
        </w:rPr>
        <w:t xml:space="preserve">submitted medical certifications </w:t>
      </w:r>
      <w:r w:rsidR="001E28B9">
        <w:rPr>
          <w:sz w:val="26"/>
          <w:szCs w:val="26"/>
        </w:rPr>
        <w:t>five</w:t>
      </w:r>
      <w:r w:rsidR="00F92DEB">
        <w:rPr>
          <w:sz w:val="26"/>
          <w:szCs w:val="26"/>
        </w:rPr>
        <w:t xml:space="preserve"> times to either restore service after termination o</w:t>
      </w:r>
      <w:r w:rsidR="007A39A9">
        <w:rPr>
          <w:sz w:val="26"/>
          <w:szCs w:val="26"/>
        </w:rPr>
        <w:t>r</w:t>
      </w:r>
      <w:r w:rsidR="00F92DEB">
        <w:rPr>
          <w:sz w:val="26"/>
          <w:szCs w:val="26"/>
        </w:rPr>
        <w:t xml:space="preserve"> prevent an imminent termination.  </w:t>
      </w:r>
      <w:r w:rsidR="001E28B9">
        <w:rPr>
          <w:sz w:val="26"/>
          <w:szCs w:val="26"/>
        </w:rPr>
        <w:t>PECO Exh. 7</w:t>
      </w:r>
      <w:r w:rsidR="00DA4CB6">
        <w:rPr>
          <w:sz w:val="26"/>
          <w:szCs w:val="26"/>
        </w:rPr>
        <w:t>.</w:t>
      </w:r>
      <w:r w:rsidR="001162A5">
        <w:rPr>
          <w:sz w:val="26"/>
          <w:szCs w:val="26"/>
        </w:rPr>
        <w:t xml:space="preserve">  </w:t>
      </w:r>
      <w:r w:rsidR="009B2AC1">
        <w:rPr>
          <w:sz w:val="26"/>
          <w:szCs w:val="26"/>
        </w:rPr>
        <w:t>Consequently, t</w:t>
      </w:r>
      <w:r w:rsidR="00CB1805" w:rsidRPr="00031F5C">
        <w:rPr>
          <w:sz w:val="26"/>
          <w:szCs w:val="26"/>
        </w:rPr>
        <w:t xml:space="preserve">he record in this case reveals that </w:t>
      </w:r>
      <w:r w:rsidR="00031F5C">
        <w:rPr>
          <w:sz w:val="26"/>
          <w:szCs w:val="26"/>
        </w:rPr>
        <w:t>in order t</w:t>
      </w:r>
      <w:r w:rsidR="00031F5C" w:rsidRPr="00031F5C">
        <w:rPr>
          <w:sz w:val="26"/>
          <w:szCs w:val="26"/>
        </w:rPr>
        <w:t>o avoid responsibility for paying their bills for utility service</w:t>
      </w:r>
      <w:r w:rsidR="00031F5C">
        <w:rPr>
          <w:sz w:val="26"/>
          <w:szCs w:val="26"/>
        </w:rPr>
        <w:t>,</w:t>
      </w:r>
      <w:r w:rsidR="00031F5C" w:rsidRPr="00031F5C">
        <w:rPr>
          <w:sz w:val="26"/>
          <w:szCs w:val="26"/>
        </w:rPr>
        <w:t xml:space="preserve"> </w:t>
      </w:r>
      <w:r w:rsidR="00CB1805" w:rsidRPr="00031F5C">
        <w:rPr>
          <w:sz w:val="26"/>
          <w:szCs w:val="26"/>
        </w:rPr>
        <w:t xml:space="preserve">the </w:t>
      </w:r>
      <w:r w:rsidR="0082169A" w:rsidRPr="00031F5C">
        <w:rPr>
          <w:sz w:val="26"/>
          <w:szCs w:val="26"/>
        </w:rPr>
        <w:t>Complainants have manipulated the Commission’s procedures which were designed to assist low and moderate income customers who struggle to pay their bills</w:t>
      </w:r>
      <w:r w:rsidR="00031F5C">
        <w:rPr>
          <w:sz w:val="26"/>
          <w:szCs w:val="26"/>
        </w:rPr>
        <w:t xml:space="preserve">. </w:t>
      </w:r>
      <w:r w:rsidR="0082169A" w:rsidRPr="00031F5C">
        <w:rPr>
          <w:sz w:val="26"/>
          <w:szCs w:val="26"/>
        </w:rPr>
        <w:t xml:space="preserve"> Our procedures were not meant to allow customers with </w:t>
      </w:r>
      <w:r w:rsidR="00B84CB0">
        <w:rPr>
          <w:sz w:val="26"/>
          <w:szCs w:val="26"/>
        </w:rPr>
        <w:t xml:space="preserve">annual </w:t>
      </w:r>
      <w:r w:rsidR="0082169A" w:rsidRPr="00031F5C">
        <w:rPr>
          <w:sz w:val="26"/>
          <w:szCs w:val="26"/>
        </w:rPr>
        <w:t>incomes in excess of $100,000, to run up arrearages approaching $30,000.</w:t>
      </w:r>
    </w:p>
    <w:p w:rsidR="00473471" w:rsidRDefault="00473471" w:rsidP="009021C8">
      <w:pPr>
        <w:widowControl/>
        <w:spacing w:line="360" w:lineRule="auto"/>
        <w:ind w:firstLine="1440"/>
        <w:rPr>
          <w:sz w:val="26"/>
          <w:szCs w:val="26"/>
        </w:rPr>
      </w:pPr>
    </w:p>
    <w:p w:rsidR="00306817" w:rsidRDefault="00DC2E6A" w:rsidP="009021C8">
      <w:pPr>
        <w:widowControl/>
        <w:spacing w:line="360" w:lineRule="auto"/>
        <w:ind w:firstLine="1440"/>
        <w:rPr>
          <w:sz w:val="26"/>
          <w:szCs w:val="26"/>
        </w:rPr>
      </w:pPr>
      <w:r>
        <w:rPr>
          <w:sz w:val="26"/>
          <w:szCs w:val="26"/>
        </w:rPr>
        <w:t>In its Answer, PECO argued that</w:t>
      </w:r>
      <w:r w:rsidR="00AC2938">
        <w:rPr>
          <w:sz w:val="26"/>
          <w:szCs w:val="26"/>
        </w:rPr>
        <w:t>,</w:t>
      </w:r>
      <w:r>
        <w:rPr>
          <w:sz w:val="26"/>
          <w:szCs w:val="26"/>
        </w:rPr>
        <w:t xml:space="preserve"> based on the Complainants’ payment history, issuing a payment arrangement to them would be unfair to other ratepayers.  PECO requested that the entire balance be paid within thirty days </w:t>
      </w:r>
      <w:r w:rsidR="00C323F7">
        <w:rPr>
          <w:sz w:val="26"/>
          <w:szCs w:val="26"/>
        </w:rPr>
        <w:t xml:space="preserve">and that PECO be authorized to terminate service if the Complainants do not comply.  </w:t>
      </w:r>
      <w:r w:rsidR="00B11716">
        <w:rPr>
          <w:sz w:val="26"/>
          <w:szCs w:val="26"/>
        </w:rPr>
        <w:t xml:space="preserve">Answer at 8.  </w:t>
      </w:r>
      <w:r w:rsidR="002313F8">
        <w:rPr>
          <w:sz w:val="26"/>
          <w:szCs w:val="26"/>
        </w:rPr>
        <w:t xml:space="preserve">We agree </w:t>
      </w:r>
      <w:r w:rsidR="00B11716">
        <w:rPr>
          <w:sz w:val="26"/>
          <w:szCs w:val="26"/>
        </w:rPr>
        <w:t>an</w:t>
      </w:r>
      <w:r w:rsidR="002313F8">
        <w:rPr>
          <w:sz w:val="26"/>
          <w:szCs w:val="26"/>
        </w:rPr>
        <w:t xml:space="preserve">d will </w:t>
      </w:r>
      <w:r w:rsidR="00B11716">
        <w:rPr>
          <w:sz w:val="26"/>
          <w:szCs w:val="26"/>
        </w:rPr>
        <w:t xml:space="preserve">grant </w:t>
      </w:r>
      <w:r w:rsidR="002313F8">
        <w:rPr>
          <w:sz w:val="26"/>
          <w:szCs w:val="26"/>
        </w:rPr>
        <w:t xml:space="preserve">PECO’s request.  </w:t>
      </w:r>
      <w:r w:rsidR="00B11716">
        <w:rPr>
          <w:sz w:val="26"/>
          <w:szCs w:val="26"/>
        </w:rPr>
        <w:t xml:space="preserve">We must protect the interest of PECO’s other ratepayers who </w:t>
      </w:r>
      <w:r w:rsidR="00AC2938">
        <w:rPr>
          <w:sz w:val="26"/>
          <w:szCs w:val="26"/>
        </w:rPr>
        <w:t xml:space="preserve">likely will </w:t>
      </w:r>
      <w:r w:rsidR="00B11716">
        <w:rPr>
          <w:sz w:val="26"/>
          <w:szCs w:val="26"/>
        </w:rPr>
        <w:t xml:space="preserve">bear the burden of the Complainants’ arrearage. </w:t>
      </w:r>
    </w:p>
    <w:p w:rsidR="00201DE6" w:rsidRDefault="00201DE6" w:rsidP="009021C8">
      <w:pPr>
        <w:widowControl/>
        <w:spacing w:line="360" w:lineRule="auto"/>
        <w:ind w:firstLine="1440"/>
        <w:rPr>
          <w:sz w:val="26"/>
          <w:szCs w:val="26"/>
        </w:rPr>
      </w:pPr>
    </w:p>
    <w:p w:rsidR="001467B4" w:rsidRDefault="00160740" w:rsidP="001467B4">
      <w:pPr>
        <w:widowControl/>
        <w:spacing w:line="360" w:lineRule="auto"/>
        <w:ind w:firstLine="1440"/>
        <w:rPr>
          <w:sz w:val="26"/>
          <w:szCs w:val="26"/>
        </w:rPr>
      </w:pPr>
      <w:r>
        <w:rPr>
          <w:sz w:val="26"/>
          <w:szCs w:val="26"/>
        </w:rPr>
        <w:lastRenderedPageBreak/>
        <w:t>The Complainant</w:t>
      </w:r>
      <w:r w:rsidR="00032951">
        <w:rPr>
          <w:sz w:val="26"/>
          <w:szCs w:val="26"/>
        </w:rPr>
        <w:t>s</w:t>
      </w:r>
      <w:r>
        <w:rPr>
          <w:sz w:val="26"/>
          <w:szCs w:val="26"/>
        </w:rPr>
        <w:t xml:space="preserve"> also </w:t>
      </w:r>
      <w:r w:rsidR="00124F68">
        <w:rPr>
          <w:sz w:val="26"/>
          <w:szCs w:val="26"/>
        </w:rPr>
        <w:t>except to the ALJ’s Findings of Fact</w:t>
      </w:r>
      <w:r w:rsidR="00784143">
        <w:rPr>
          <w:sz w:val="26"/>
          <w:szCs w:val="26"/>
        </w:rPr>
        <w:t xml:space="preserve"> Nos. </w:t>
      </w:r>
      <w:r w:rsidR="001B4C89">
        <w:rPr>
          <w:sz w:val="26"/>
          <w:szCs w:val="26"/>
        </w:rPr>
        <w:t xml:space="preserve">19 </w:t>
      </w:r>
      <w:r w:rsidR="00784143">
        <w:rPr>
          <w:sz w:val="26"/>
          <w:szCs w:val="26"/>
        </w:rPr>
        <w:t>and 36.</w:t>
      </w:r>
      <w:r w:rsidR="00124F68">
        <w:rPr>
          <w:sz w:val="26"/>
          <w:szCs w:val="26"/>
        </w:rPr>
        <w:t xml:space="preserve">  </w:t>
      </w:r>
      <w:r w:rsidR="000F2843">
        <w:rPr>
          <w:sz w:val="26"/>
          <w:szCs w:val="26"/>
        </w:rPr>
        <w:t>Finding of Fact No. 19 pertains to the financial obligations that the Complainant</w:t>
      </w:r>
      <w:r w:rsidR="00032951">
        <w:rPr>
          <w:sz w:val="26"/>
          <w:szCs w:val="26"/>
        </w:rPr>
        <w:t>s</w:t>
      </w:r>
      <w:r w:rsidR="000F2843">
        <w:rPr>
          <w:sz w:val="26"/>
          <w:szCs w:val="26"/>
        </w:rPr>
        <w:t xml:space="preserve"> incur for </w:t>
      </w:r>
      <w:r w:rsidR="00526AB2">
        <w:rPr>
          <w:sz w:val="26"/>
          <w:szCs w:val="26"/>
        </w:rPr>
        <w:t>Mrs.</w:t>
      </w:r>
      <w:r w:rsidR="00032951">
        <w:rPr>
          <w:sz w:val="26"/>
          <w:szCs w:val="26"/>
        </w:rPr>
        <w:t xml:space="preserve"> Robbins</w:t>
      </w:r>
      <w:r w:rsidR="004B20AD">
        <w:rPr>
          <w:sz w:val="26"/>
          <w:szCs w:val="26"/>
        </w:rPr>
        <w:t>’</w:t>
      </w:r>
      <w:r w:rsidR="00032951">
        <w:rPr>
          <w:sz w:val="26"/>
          <w:szCs w:val="26"/>
        </w:rPr>
        <w:t xml:space="preserve"> mother</w:t>
      </w:r>
      <w:r w:rsidR="000F2843">
        <w:rPr>
          <w:sz w:val="26"/>
          <w:szCs w:val="26"/>
        </w:rPr>
        <w:t xml:space="preserve">.  Finding of Fact 36 states that “[t]he Complainants have several businesses.”  </w:t>
      </w:r>
      <w:r w:rsidR="00124F68">
        <w:rPr>
          <w:sz w:val="26"/>
          <w:szCs w:val="26"/>
        </w:rPr>
        <w:t>The Complainant</w:t>
      </w:r>
      <w:r w:rsidR="00032951">
        <w:rPr>
          <w:sz w:val="26"/>
          <w:szCs w:val="26"/>
        </w:rPr>
        <w:t>s</w:t>
      </w:r>
      <w:r w:rsidR="00124F68">
        <w:rPr>
          <w:sz w:val="26"/>
          <w:szCs w:val="26"/>
        </w:rPr>
        <w:t xml:space="preserve"> attached </w:t>
      </w:r>
      <w:r w:rsidR="00784143">
        <w:rPr>
          <w:sz w:val="26"/>
          <w:szCs w:val="26"/>
        </w:rPr>
        <w:t>copies of two of the pages from the Initial Decision to</w:t>
      </w:r>
      <w:r w:rsidR="00032951">
        <w:rPr>
          <w:sz w:val="26"/>
          <w:szCs w:val="26"/>
        </w:rPr>
        <w:t xml:space="preserve"> t</w:t>
      </w:r>
      <w:r w:rsidR="00784143">
        <w:rPr>
          <w:sz w:val="26"/>
          <w:szCs w:val="26"/>
        </w:rPr>
        <w:t>he</w:t>
      </w:r>
      <w:r w:rsidR="00032951">
        <w:rPr>
          <w:sz w:val="26"/>
          <w:szCs w:val="26"/>
        </w:rPr>
        <w:t>i</w:t>
      </w:r>
      <w:r w:rsidR="00784143">
        <w:rPr>
          <w:sz w:val="26"/>
          <w:szCs w:val="26"/>
        </w:rPr>
        <w:t xml:space="preserve">r Exceptions and wrote “Exception Holly Robbins” next to </w:t>
      </w:r>
      <w:r w:rsidR="00032951">
        <w:rPr>
          <w:sz w:val="26"/>
          <w:szCs w:val="26"/>
        </w:rPr>
        <w:t>F</w:t>
      </w:r>
      <w:r w:rsidR="00784143">
        <w:rPr>
          <w:sz w:val="26"/>
          <w:szCs w:val="26"/>
        </w:rPr>
        <w:t>indings</w:t>
      </w:r>
      <w:r w:rsidR="00032951">
        <w:rPr>
          <w:sz w:val="26"/>
          <w:szCs w:val="26"/>
        </w:rPr>
        <w:t xml:space="preserve"> of Fact 19 and 36</w:t>
      </w:r>
      <w:r w:rsidR="00784143">
        <w:rPr>
          <w:sz w:val="26"/>
          <w:szCs w:val="26"/>
        </w:rPr>
        <w:t>.  The Complainant</w:t>
      </w:r>
      <w:r w:rsidR="00032951">
        <w:rPr>
          <w:sz w:val="26"/>
          <w:szCs w:val="26"/>
        </w:rPr>
        <w:t>s</w:t>
      </w:r>
      <w:r w:rsidR="00784143">
        <w:rPr>
          <w:sz w:val="26"/>
          <w:szCs w:val="26"/>
        </w:rPr>
        <w:t xml:space="preserve"> did not provide any reason why </w:t>
      </w:r>
      <w:r w:rsidR="00032951">
        <w:rPr>
          <w:sz w:val="26"/>
          <w:szCs w:val="26"/>
        </w:rPr>
        <w:t>they</w:t>
      </w:r>
      <w:r w:rsidR="001B4C89">
        <w:rPr>
          <w:sz w:val="26"/>
          <w:szCs w:val="26"/>
        </w:rPr>
        <w:t xml:space="preserve"> object to those Findings.  </w:t>
      </w:r>
      <w:r w:rsidR="00F52A48">
        <w:rPr>
          <w:sz w:val="26"/>
          <w:szCs w:val="26"/>
        </w:rPr>
        <w:t>Since the Complainant</w:t>
      </w:r>
      <w:r w:rsidR="00AF75E7">
        <w:rPr>
          <w:sz w:val="26"/>
          <w:szCs w:val="26"/>
        </w:rPr>
        <w:t>s</w:t>
      </w:r>
      <w:r w:rsidR="00F52A48">
        <w:rPr>
          <w:sz w:val="26"/>
          <w:szCs w:val="26"/>
        </w:rPr>
        <w:t xml:space="preserve"> </w:t>
      </w:r>
      <w:r w:rsidR="00F55B86">
        <w:rPr>
          <w:sz w:val="26"/>
          <w:szCs w:val="26"/>
        </w:rPr>
        <w:t>ha</w:t>
      </w:r>
      <w:r w:rsidR="00AF75E7">
        <w:rPr>
          <w:sz w:val="26"/>
          <w:szCs w:val="26"/>
        </w:rPr>
        <w:t>ve</w:t>
      </w:r>
      <w:r w:rsidR="00F55B86">
        <w:rPr>
          <w:sz w:val="26"/>
          <w:szCs w:val="26"/>
        </w:rPr>
        <w:t xml:space="preserve"> not provided any arguments or information to </w:t>
      </w:r>
      <w:r w:rsidR="00AF75E7">
        <w:rPr>
          <w:sz w:val="26"/>
          <w:szCs w:val="26"/>
        </w:rPr>
        <w:t xml:space="preserve">support their </w:t>
      </w:r>
      <w:r w:rsidR="00F55B86">
        <w:rPr>
          <w:sz w:val="26"/>
          <w:szCs w:val="26"/>
        </w:rPr>
        <w:t>objections to these Findings</w:t>
      </w:r>
      <w:r w:rsidR="00D7188E">
        <w:rPr>
          <w:sz w:val="26"/>
          <w:szCs w:val="26"/>
        </w:rPr>
        <w:t>, these Exceptions are denied.</w:t>
      </w:r>
    </w:p>
    <w:p w:rsidR="001467B4" w:rsidRDefault="001467B4" w:rsidP="001467B4">
      <w:pPr>
        <w:widowControl/>
        <w:spacing w:line="360" w:lineRule="auto"/>
        <w:ind w:firstLine="1440"/>
        <w:rPr>
          <w:sz w:val="26"/>
          <w:szCs w:val="26"/>
        </w:rPr>
      </w:pPr>
    </w:p>
    <w:p w:rsidR="00B8247B" w:rsidRDefault="00A57B2D" w:rsidP="001467B4">
      <w:pPr>
        <w:widowControl/>
        <w:spacing w:line="360" w:lineRule="auto"/>
        <w:jc w:val="center"/>
        <w:rPr>
          <w:b/>
          <w:sz w:val="26"/>
          <w:szCs w:val="26"/>
          <w:u w:val="single"/>
        </w:rPr>
      </w:pPr>
      <w:r>
        <w:rPr>
          <w:b/>
          <w:sz w:val="26"/>
          <w:szCs w:val="26"/>
          <w:u w:val="single"/>
        </w:rPr>
        <w:t>Conclusion</w:t>
      </w:r>
    </w:p>
    <w:p w:rsidR="00A57B2D" w:rsidRDefault="00A57B2D" w:rsidP="009021C8">
      <w:pPr>
        <w:widowControl/>
        <w:spacing w:line="360" w:lineRule="auto"/>
        <w:ind w:firstLine="1440"/>
        <w:jc w:val="center"/>
        <w:rPr>
          <w:b/>
          <w:sz w:val="26"/>
          <w:szCs w:val="26"/>
          <w:u w:val="single"/>
        </w:rPr>
      </w:pPr>
    </w:p>
    <w:p w:rsidR="00A57B2D" w:rsidRPr="0017065A" w:rsidRDefault="00A57B2D" w:rsidP="009021C8">
      <w:pPr>
        <w:widowControl/>
        <w:suppressAutoHyphens/>
        <w:spacing w:line="360" w:lineRule="auto"/>
        <w:ind w:firstLine="1440"/>
        <w:rPr>
          <w:rFonts w:cs="Times New Roman"/>
          <w:spacing w:val="-3"/>
          <w:sz w:val="26"/>
          <w:szCs w:val="26"/>
        </w:rPr>
      </w:pPr>
      <w:r w:rsidRPr="0017065A">
        <w:rPr>
          <w:rFonts w:cs="Times New Roman"/>
          <w:spacing w:val="-3"/>
          <w:sz w:val="26"/>
          <w:szCs w:val="26"/>
        </w:rPr>
        <w:t xml:space="preserve">Based on the foregoing discussion, we shall deny the Exceptions of </w:t>
      </w:r>
      <w:r w:rsidR="00CB0054">
        <w:rPr>
          <w:rFonts w:cs="Times New Roman"/>
          <w:spacing w:val="-3"/>
          <w:sz w:val="26"/>
          <w:szCs w:val="26"/>
        </w:rPr>
        <w:t xml:space="preserve">Michael and Holly </w:t>
      </w:r>
      <w:r>
        <w:rPr>
          <w:rFonts w:cs="Times New Roman"/>
          <w:spacing w:val="-3"/>
          <w:sz w:val="26"/>
          <w:szCs w:val="26"/>
        </w:rPr>
        <w:t>Robbins</w:t>
      </w:r>
      <w:r w:rsidR="00147F44">
        <w:rPr>
          <w:rFonts w:cs="Times New Roman"/>
          <w:spacing w:val="-3"/>
          <w:sz w:val="26"/>
          <w:szCs w:val="26"/>
        </w:rPr>
        <w:t xml:space="preserve">, dismiss the Complaint against PECO Energy Company, with prejudice, </w:t>
      </w:r>
      <w:r w:rsidRPr="0017065A">
        <w:rPr>
          <w:rFonts w:cs="Times New Roman"/>
          <w:spacing w:val="-3"/>
          <w:sz w:val="26"/>
          <w:szCs w:val="26"/>
        </w:rPr>
        <w:t xml:space="preserve"> and adopt the Initial Decision of ALJ </w:t>
      </w:r>
      <w:r>
        <w:rPr>
          <w:rFonts w:cs="Times New Roman"/>
          <w:spacing w:val="-3"/>
          <w:sz w:val="26"/>
          <w:szCs w:val="26"/>
        </w:rPr>
        <w:t>Jones as amended by this Opinion and Order</w:t>
      </w:r>
      <w:r w:rsidRPr="0017065A">
        <w:rPr>
          <w:rFonts w:cs="Times New Roman"/>
          <w:spacing w:val="-3"/>
          <w:sz w:val="26"/>
          <w:szCs w:val="26"/>
        </w:rPr>
        <w:t xml:space="preserve">; </w:t>
      </w:r>
      <w:r w:rsidRPr="0017065A">
        <w:rPr>
          <w:rFonts w:cs="Times New Roman"/>
          <w:b/>
          <w:spacing w:val="-3"/>
          <w:sz w:val="26"/>
          <w:szCs w:val="26"/>
        </w:rPr>
        <w:t>THEREFORE,</w:t>
      </w:r>
      <w:r w:rsidRPr="0017065A">
        <w:rPr>
          <w:rFonts w:cs="Times New Roman"/>
          <w:spacing w:val="-3"/>
          <w:sz w:val="26"/>
          <w:szCs w:val="26"/>
        </w:rPr>
        <w:t xml:space="preserve"> </w:t>
      </w:r>
    </w:p>
    <w:p w:rsidR="00A57B2D" w:rsidRPr="0017065A" w:rsidRDefault="00A57B2D" w:rsidP="009021C8">
      <w:pPr>
        <w:widowControl/>
        <w:suppressAutoHyphens/>
        <w:spacing w:line="360" w:lineRule="auto"/>
        <w:rPr>
          <w:rFonts w:cs="Times New Roman"/>
          <w:spacing w:val="-3"/>
          <w:sz w:val="26"/>
          <w:szCs w:val="26"/>
        </w:rPr>
      </w:pPr>
    </w:p>
    <w:p w:rsidR="00A57B2D" w:rsidRPr="0017065A" w:rsidRDefault="00A57B2D" w:rsidP="009021C8">
      <w:pPr>
        <w:widowControl/>
        <w:suppressAutoHyphens/>
        <w:spacing w:line="360" w:lineRule="auto"/>
        <w:ind w:left="1080" w:firstLine="360"/>
        <w:rPr>
          <w:rFonts w:cs="Times New Roman"/>
          <w:spacing w:val="-3"/>
          <w:sz w:val="26"/>
          <w:szCs w:val="26"/>
        </w:rPr>
      </w:pPr>
      <w:r w:rsidRPr="0017065A">
        <w:rPr>
          <w:rFonts w:cs="Times New Roman"/>
          <w:b/>
          <w:spacing w:val="-3"/>
          <w:sz w:val="26"/>
          <w:szCs w:val="26"/>
        </w:rPr>
        <w:t>IT IS ORDERED</w:t>
      </w:r>
      <w:r w:rsidRPr="0017065A">
        <w:rPr>
          <w:rFonts w:cs="Times New Roman"/>
          <w:spacing w:val="-3"/>
          <w:sz w:val="26"/>
          <w:szCs w:val="26"/>
        </w:rPr>
        <w:t>:</w:t>
      </w:r>
    </w:p>
    <w:p w:rsidR="00A57B2D" w:rsidRPr="0017065A" w:rsidRDefault="00A57B2D" w:rsidP="009021C8">
      <w:pPr>
        <w:widowControl/>
        <w:suppressAutoHyphens/>
        <w:spacing w:line="360" w:lineRule="auto"/>
        <w:ind w:left="360"/>
        <w:rPr>
          <w:rFonts w:cs="Times New Roman"/>
          <w:spacing w:val="-3"/>
          <w:sz w:val="26"/>
          <w:szCs w:val="26"/>
        </w:rPr>
      </w:pPr>
    </w:p>
    <w:p w:rsidR="00A57B2D" w:rsidRPr="0017065A" w:rsidRDefault="00A57B2D" w:rsidP="009021C8">
      <w:pPr>
        <w:widowControl/>
        <w:numPr>
          <w:ilvl w:val="0"/>
          <w:numId w:val="1"/>
        </w:numPr>
        <w:tabs>
          <w:tab w:val="left" w:pos="-1440"/>
          <w:tab w:val="left" w:pos="-720"/>
        </w:tabs>
        <w:suppressAutoHyphens/>
        <w:spacing w:line="360" w:lineRule="auto"/>
        <w:ind w:left="0" w:firstLine="1440"/>
        <w:rPr>
          <w:rFonts w:cs="Times New Roman"/>
          <w:spacing w:val="-3"/>
          <w:sz w:val="26"/>
          <w:szCs w:val="26"/>
        </w:rPr>
      </w:pPr>
      <w:r w:rsidRPr="0017065A">
        <w:rPr>
          <w:rFonts w:cs="Times New Roman"/>
          <w:spacing w:val="-3"/>
          <w:sz w:val="26"/>
          <w:szCs w:val="26"/>
        </w:rPr>
        <w:t xml:space="preserve">That the Exceptions of </w:t>
      </w:r>
      <w:r w:rsidR="00AF75E7">
        <w:rPr>
          <w:rFonts w:cs="Times New Roman"/>
          <w:spacing w:val="-3"/>
          <w:sz w:val="26"/>
          <w:szCs w:val="26"/>
        </w:rPr>
        <w:t xml:space="preserve">Michael </w:t>
      </w:r>
      <w:r w:rsidR="00CB0054">
        <w:rPr>
          <w:rFonts w:cs="Times New Roman"/>
          <w:spacing w:val="-3"/>
          <w:sz w:val="26"/>
          <w:szCs w:val="26"/>
        </w:rPr>
        <w:t xml:space="preserve">and </w:t>
      </w:r>
      <w:r>
        <w:rPr>
          <w:rFonts w:cs="Times New Roman"/>
          <w:spacing w:val="-3"/>
          <w:sz w:val="26"/>
          <w:szCs w:val="26"/>
        </w:rPr>
        <w:t>Holly Robbins</w:t>
      </w:r>
      <w:r w:rsidRPr="0017065A">
        <w:rPr>
          <w:rFonts w:cs="Times New Roman"/>
          <w:spacing w:val="-3"/>
          <w:sz w:val="26"/>
          <w:szCs w:val="26"/>
        </w:rPr>
        <w:t xml:space="preserve"> to the Initial Decision of Administrative Law Judge </w:t>
      </w:r>
      <w:r>
        <w:rPr>
          <w:rFonts w:cs="Times New Roman"/>
          <w:spacing w:val="-3"/>
          <w:sz w:val="26"/>
          <w:szCs w:val="26"/>
        </w:rPr>
        <w:t>Angela T. Jones</w:t>
      </w:r>
      <w:r w:rsidRPr="0017065A">
        <w:rPr>
          <w:rFonts w:cs="Times New Roman"/>
          <w:spacing w:val="-3"/>
          <w:sz w:val="26"/>
          <w:szCs w:val="26"/>
        </w:rPr>
        <w:t xml:space="preserve"> are denied.</w:t>
      </w:r>
    </w:p>
    <w:p w:rsidR="00A57B2D" w:rsidRPr="0017065A" w:rsidRDefault="00A57B2D" w:rsidP="009021C8">
      <w:pPr>
        <w:widowControl/>
        <w:tabs>
          <w:tab w:val="left" w:pos="-1440"/>
          <w:tab w:val="left" w:pos="-720"/>
        </w:tabs>
        <w:suppressAutoHyphens/>
        <w:spacing w:line="360" w:lineRule="auto"/>
        <w:ind w:firstLine="1440"/>
        <w:rPr>
          <w:rFonts w:cs="Times New Roman"/>
          <w:spacing w:val="-3"/>
          <w:sz w:val="26"/>
          <w:szCs w:val="26"/>
        </w:rPr>
      </w:pPr>
    </w:p>
    <w:p w:rsidR="00A57B2D" w:rsidRPr="0017065A" w:rsidRDefault="00A57B2D" w:rsidP="009021C8">
      <w:pPr>
        <w:widowControl/>
        <w:tabs>
          <w:tab w:val="left" w:pos="-1440"/>
          <w:tab w:val="left" w:pos="-720"/>
        </w:tabs>
        <w:suppressAutoHyphens/>
        <w:spacing w:line="360" w:lineRule="auto"/>
        <w:ind w:firstLine="1440"/>
        <w:rPr>
          <w:rFonts w:cs="Times New Roman"/>
          <w:spacing w:val="-3"/>
          <w:sz w:val="26"/>
          <w:szCs w:val="26"/>
        </w:rPr>
      </w:pPr>
      <w:r w:rsidRPr="0017065A">
        <w:rPr>
          <w:rFonts w:cs="Times New Roman"/>
          <w:spacing w:val="-3"/>
          <w:sz w:val="26"/>
          <w:szCs w:val="26"/>
        </w:rPr>
        <w:t>2.</w:t>
      </w:r>
      <w:r w:rsidRPr="0017065A">
        <w:rPr>
          <w:rFonts w:cs="Times New Roman"/>
          <w:spacing w:val="-3"/>
          <w:sz w:val="26"/>
          <w:szCs w:val="26"/>
        </w:rPr>
        <w:tab/>
        <w:t xml:space="preserve">That the Initial Decision of Administrative Law Judge </w:t>
      </w:r>
      <w:r>
        <w:rPr>
          <w:rFonts w:cs="Times New Roman"/>
          <w:spacing w:val="-3"/>
          <w:sz w:val="26"/>
          <w:szCs w:val="26"/>
        </w:rPr>
        <w:t>Angela T. Jones</w:t>
      </w:r>
      <w:r w:rsidRPr="0017065A">
        <w:rPr>
          <w:rFonts w:cs="Times New Roman"/>
          <w:spacing w:val="-3"/>
          <w:sz w:val="26"/>
          <w:szCs w:val="26"/>
        </w:rPr>
        <w:t xml:space="preserve"> is adopted</w:t>
      </w:r>
      <w:r>
        <w:rPr>
          <w:rFonts w:cs="Times New Roman"/>
          <w:spacing w:val="-3"/>
          <w:sz w:val="26"/>
          <w:szCs w:val="26"/>
        </w:rPr>
        <w:t>, as amended by this Opinion and Order</w:t>
      </w:r>
      <w:r w:rsidRPr="0017065A">
        <w:rPr>
          <w:rFonts w:cs="Times New Roman"/>
          <w:spacing w:val="-3"/>
          <w:sz w:val="26"/>
          <w:szCs w:val="26"/>
        </w:rPr>
        <w:t xml:space="preserve">. </w:t>
      </w:r>
    </w:p>
    <w:p w:rsidR="00A57B2D" w:rsidRPr="0017065A" w:rsidRDefault="00A57B2D" w:rsidP="009021C8">
      <w:pPr>
        <w:pStyle w:val="ListParagraph"/>
        <w:widowControl/>
        <w:ind w:left="0" w:firstLine="1440"/>
        <w:rPr>
          <w:rFonts w:cs="Times New Roman"/>
          <w:spacing w:val="-3"/>
          <w:sz w:val="26"/>
          <w:szCs w:val="26"/>
        </w:rPr>
      </w:pPr>
    </w:p>
    <w:p w:rsidR="00A57B2D" w:rsidRDefault="00A57B2D" w:rsidP="009021C8">
      <w:pPr>
        <w:widowControl/>
        <w:numPr>
          <w:ilvl w:val="0"/>
          <w:numId w:val="2"/>
        </w:numPr>
        <w:tabs>
          <w:tab w:val="left" w:pos="-1440"/>
          <w:tab w:val="left" w:pos="-720"/>
        </w:tabs>
        <w:suppressAutoHyphens/>
        <w:spacing w:line="360" w:lineRule="auto"/>
        <w:ind w:left="0" w:firstLine="1440"/>
        <w:rPr>
          <w:rFonts w:cs="Times New Roman"/>
          <w:spacing w:val="-3"/>
          <w:sz w:val="26"/>
          <w:szCs w:val="26"/>
        </w:rPr>
      </w:pPr>
      <w:r w:rsidRPr="0046640B">
        <w:rPr>
          <w:rFonts w:cs="Times New Roman"/>
          <w:spacing w:val="-3"/>
          <w:sz w:val="26"/>
          <w:szCs w:val="26"/>
        </w:rPr>
        <w:t xml:space="preserve">That the Complaint of </w:t>
      </w:r>
      <w:r w:rsidR="00AF75E7">
        <w:rPr>
          <w:rFonts w:cs="Times New Roman"/>
          <w:spacing w:val="-3"/>
          <w:sz w:val="26"/>
          <w:szCs w:val="26"/>
        </w:rPr>
        <w:t xml:space="preserve">Michael and </w:t>
      </w:r>
      <w:r w:rsidR="0046640B" w:rsidRPr="0046640B">
        <w:rPr>
          <w:rFonts w:cs="Times New Roman"/>
          <w:spacing w:val="-3"/>
          <w:sz w:val="26"/>
          <w:szCs w:val="26"/>
        </w:rPr>
        <w:t>Holly Robbins against PE</w:t>
      </w:r>
      <w:r w:rsidR="00147F44">
        <w:rPr>
          <w:rFonts w:cs="Times New Roman"/>
          <w:spacing w:val="-3"/>
          <w:sz w:val="26"/>
          <w:szCs w:val="26"/>
        </w:rPr>
        <w:t>CO Energy Company is dismissed, with prejudice.</w:t>
      </w:r>
    </w:p>
    <w:p w:rsidR="00147F44" w:rsidRDefault="00147F44" w:rsidP="00147F44">
      <w:pPr>
        <w:widowControl/>
        <w:tabs>
          <w:tab w:val="left" w:pos="-1440"/>
          <w:tab w:val="left" w:pos="-720"/>
        </w:tabs>
        <w:suppressAutoHyphens/>
        <w:spacing w:line="360" w:lineRule="auto"/>
        <w:rPr>
          <w:rFonts w:cs="Times New Roman"/>
          <w:spacing w:val="-3"/>
          <w:sz w:val="26"/>
          <w:szCs w:val="26"/>
        </w:rPr>
      </w:pPr>
    </w:p>
    <w:p w:rsidR="00147F44" w:rsidRDefault="00147F44" w:rsidP="001349B6">
      <w:pPr>
        <w:widowControl/>
        <w:numPr>
          <w:ilvl w:val="0"/>
          <w:numId w:val="2"/>
        </w:numPr>
        <w:tabs>
          <w:tab w:val="left" w:pos="-1440"/>
          <w:tab w:val="left" w:pos="-720"/>
        </w:tabs>
        <w:suppressAutoHyphens/>
        <w:spacing w:line="360" w:lineRule="auto"/>
        <w:ind w:left="0" w:firstLine="1440"/>
        <w:rPr>
          <w:rFonts w:cs="Times New Roman"/>
          <w:spacing w:val="-3"/>
          <w:sz w:val="26"/>
          <w:szCs w:val="26"/>
        </w:rPr>
      </w:pPr>
      <w:r>
        <w:rPr>
          <w:rFonts w:cs="Times New Roman"/>
          <w:spacing w:val="-3"/>
          <w:sz w:val="26"/>
          <w:szCs w:val="26"/>
        </w:rPr>
        <w:lastRenderedPageBreak/>
        <w:t>That Michael and Holly Robbins shall pay their outstanding balance with PECO Energy Company</w:t>
      </w:r>
      <w:r w:rsidR="001349B6">
        <w:rPr>
          <w:rFonts w:cs="Times New Roman"/>
          <w:spacing w:val="-3"/>
          <w:sz w:val="26"/>
          <w:szCs w:val="26"/>
        </w:rPr>
        <w:t xml:space="preserve"> in full within thirty (30) days of the date of entry of this Opinion and Order</w:t>
      </w:r>
      <w:r w:rsidR="0016654E">
        <w:rPr>
          <w:rFonts w:cs="Times New Roman"/>
          <w:spacing w:val="-3"/>
          <w:sz w:val="26"/>
          <w:szCs w:val="26"/>
        </w:rPr>
        <w:t>.</w:t>
      </w:r>
      <w:r>
        <w:rPr>
          <w:rFonts w:cs="Times New Roman"/>
          <w:spacing w:val="-3"/>
          <w:sz w:val="26"/>
          <w:szCs w:val="26"/>
        </w:rPr>
        <w:t xml:space="preserve"> </w:t>
      </w:r>
    </w:p>
    <w:p w:rsidR="0046640B" w:rsidRDefault="0046640B" w:rsidP="001349B6">
      <w:pPr>
        <w:widowControl/>
        <w:tabs>
          <w:tab w:val="left" w:pos="-1440"/>
          <w:tab w:val="left" w:pos="-720"/>
        </w:tabs>
        <w:suppressAutoHyphens/>
        <w:spacing w:line="360" w:lineRule="auto"/>
        <w:ind w:left="1440"/>
        <w:rPr>
          <w:rFonts w:cs="Times New Roman"/>
          <w:spacing w:val="-3"/>
          <w:sz w:val="26"/>
          <w:szCs w:val="26"/>
        </w:rPr>
      </w:pPr>
    </w:p>
    <w:p w:rsidR="00AE4017" w:rsidRDefault="001349B6" w:rsidP="0049169E">
      <w:pPr>
        <w:widowControl/>
        <w:tabs>
          <w:tab w:val="left" w:pos="-1440"/>
          <w:tab w:val="left" w:pos="-720"/>
        </w:tabs>
        <w:suppressAutoHyphens/>
        <w:spacing w:line="360" w:lineRule="auto"/>
        <w:ind w:firstLine="1440"/>
        <w:rPr>
          <w:rFonts w:cs="Times New Roman"/>
          <w:spacing w:val="-3"/>
          <w:sz w:val="26"/>
          <w:szCs w:val="26"/>
        </w:rPr>
      </w:pPr>
      <w:r>
        <w:rPr>
          <w:rFonts w:cs="Times New Roman"/>
          <w:spacing w:val="-3"/>
          <w:sz w:val="26"/>
          <w:szCs w:val="26"/>
        </w:rPr>
        <w:t>5</w:t>
      </w:r>
      <w:r w:rsidR="001A72B3">
        <w:rPr>
          <w:rFonts w:cs="Times New Roman"/>
          <w:spacing w:val="-3"/>
          <w:sz w:val="26"/>
          <w:szCs w:val="26"/>
        </w:rPr>
        <w:t>.</w:t>
      </w:r>
      <w:r w:rsidR="0049169E">
        <w:rPr>
          <w:rFonts w:cs="Times New Roman"/>
          <w:spacing w:val="-3"/>
          <w:sz w:val="26"/>
          <w:szCs w:val="26"/>
        </w:rPr>
        <w:tab/>
      </w:r>
      <w:r w:rsidR="001B760C">
        <w:rPr>
          <w:rFonts w:cs="Times New Roman"/>
          <w:spacing w:val="-3"/>
          <w:sz w:val="26"/>
          <w:szCs w:val="26"/>
        </w:rPr>
        <w:t>That if Michael and Holly Robbins fail to pay the</w:t>
      </w:r>
      <w:r w:rsidR="00725C3F">
        <w:rPr>
          <w:rFonts w:cs="Times New Roman"/>
          <w:spacing w:val="-3"/>
          <w:sz w:val="26"/>
          <w:szCs w:val="26"/>
        </w:rPr>
        <w:t>ir</w:t>
      </w:r>
      <w:r w:rsidR="001B760C">
        <w:rPr>
          <w:rFonts w:cs="Times New Roman"/>
          <w:spacing w:val="-3"/>
          <w:sz w:val="26"/>
          <w:szCs w:val="26"/>
        </w:rPr>
        <w:t xml:space="preserve"> outstanding balance for gas and electric service with PECO Energy Company within thirty days of the </w:t>
      </w:r>
      <w:r w:rsidR="00CB0054">
        <w:rPr>
          <w:rFonts w:cs="Times New Roman"/>
          <w:spacing w:val="-3"/>
          <w:sz w:val="26"/>
          <w:szCs w:val="26"/>
        </w:rPr>
        <w:t xml:space="preserve">date of </w:t>
      </w:r>
      <w:r w:rsidR="001B760C">
        <w:rPr>
          <w:rFonts w:cs="Times New Roman"/>
          <w:spacing w:val="-3"/>
          <w:sz w:val="26"/>
          <w:szCs w:val="26"/>
        </w:rPr>
        <w:t xml:space="preserve">entry of this Opinion and Order, PECO Energy Company </w:t>
      </w:r>
      <w:r w:rsidR="0049169E">
        <w:rPr>
          <w:rFonts w:cs="Times New Roman"/>
          <w:spacing w:val="-3"/>
          <w:sz w:val="26"/>
          <w:szCs w:val="26"/>
        </w:rPr>
        <w:t xml:space="preserve">is </w:t>
      </w:r>
      <w:r w:rsidR="00752357">
        <w:rPr>
          <w:rFonts w:cs="Times New Roman"/>
          <w:spacing w:val="-3"/>
          <w:sz w:val="26"/>
          <w:szCs w:val="26"/>
        </w:rPr>
        <w:t xml:space="preserve">authorized </w:t>
      </w:r>
      <w:r>
        <w:rPr>
          <w:rFonts w:cs="Times New Roman"/>
          <w:spacing w:val="-3"/>
          <w:sz w:val="26"/>
          <w:szCs w:val="26"/>
        </w:rPr>
        <w:t xml:space="preserve">to </w:t>
      </w:r>
      <w:r w:rsidR="0049169E">
        <w:rPr>
          <w:rFonts w:cs="Times New Roman"/>
          <w:spacing w:val="-3"/>
          <w:sz w:val="26"/>
          <w:szCs w:val="26"/>
        </w:rPr>
        <w:t>terminate service</w:t>
      </w:r>
      <w:r>
        <w:rPr>
          <w:rFonts w:cs="Times New Roman"/>
          <w:spacing w:val="-3"/>
          <w:sz w:val="26"/>
          <w:szCs w:val="26"/>
        </w:rPr>
        <w:t xml:space="preserve"> immediately</w:t>
      </w:r>
      <w:r w:rsidR="00752357">
        <w:rPr>
          <w:rFonts w:cs="Times New Roman"/>
          <w:spacing w:val="-3"/>
          <w:sz w:val="26"/>
          <w:szCs w:val="26"/>
        </w:rPr>
        <w:t>,</w:t>
      </w:r>
      <w:r w:rsidR="0049169E">
        <w:rPr>
          <w:rFonts w:cs="Times New Roman"/>
          <w:spacing w:val="-3"/>
          <w:sz w:val="26"/>
          <w:szCs w:val="26"/>
        </w:rPr>
        <w:t xml:space="preserve"> consistent with </w:t>
      </w:r>
      <w:r w:rsidR="00725C3F">
        <w:rPr>
          <w:rFonts w:cs="Times New Roman"/>
          <w:spacing w:val="-3"/>
          <w:sz w:val="26"/>
          <w:szCs w:val="26"/>
        </w:rPr>
        <w:t xml:space="preserve">66 Pa. C.S Chapter 14 and </w:t>
      </w:r>
      <w:r w:rsidR="0049169E">
        <w:rPr>
          <w:rFonts w:cs="Times New Roman"/>
          <w:spacing w:val="-3"/>
          <w:sz w:val="26"/>
          <w:szCs w:val="26"/>
        </w:rPr>
        <w:t xml:space="preserve">our regulations at 52 Pa. Code Chapter 56.  </w:t>
      </w:r>
    </w:p>
    <w:p w:rsidR="0049169E" w:rsidRPr="0046640B" w:rsidRDefault="0049169E" w:rsidP="0049169E">
      <w:pPr>
        <w:widowControl/>
        <w:tabs>
          <w:tab w:val="left" w:pos="-1440"/>
          <w:tab w:val="left" w:pos="-720"/>
        </w:tabs>
        <w:suppressAutoHyphens/>
        <w:spacing w:line="360" w:lineRule="auto"/>
        <w:ind w:firstLine="1440"/>
        <w:rPr>
          <w:rFonts w:cs="Times New Roman"/>
          <w:spacing w:val="-3"/>
          <w:sz w:val="26"/>
          <w:szCs w:val="26"/>
        </w:rPr>
      </w:pPr>
    </w:p>
    <w:p w:rsidR="00A57B2D" w:rsidRPr="0017065A" w:rsidRDefault="00EB0362" w:rsidP="00CB0054">
      <w:pPr>
        <w:keepNext/>
        <w:widowControl/>
        <w:tabs>
          <w:tab w:val="left" w:pos="-1440"/>
          <w:tab w:val="left" w:pos="-720"/>
        </w:tabs>
        <w:suppressAutoHyphens/>
        <w:ind w:firstLine="1440"/>
        <w:rPr>
          <w:rFonts w:cs="Times New Roman"/>
          <w:spacing w:val="-3"/>
          <w:sz w:val="26"/>
          <w:szCs w:val="26"/>
        </w:rPr>
      </w:pPr>
      <w:r>
        <w:rPr>
          <w:rFonts w:cs="Times New Roman"/>
          <w:spacing w:val="-3"/>
          <w:sz w:val="26"/>
          <w:szCs w:val="26"/>
        </w:rPr>
        <w:t>6</w:t>
      </w:r>
      <w:r w:rsidR="00A57B2D" w:rsidRPr="0017065A">
        <w:rPr>
          <w:rFonts w:cs="Times New Roman"/>
          <w:spacing w:val="-3"/>
          <w:sz w:val="26"/>
          <w:szCs w:val="26"/>
        </w:rPr>
        <w:t>.</w:t>
      </w:r>
      <w:r w:rsidR="00A57B2D" w:rsidRPr="0017065A">
        <w:rPr>
          <w:rFonts w:cs="Times New Roman"/>
          <w:spacing w:val="-3"/>
          <w:sz w:val="26"/>
          <w:szCs w:val="26"/>
        </w:rPr>
        <w:tab/>
        <w:t>That the record at this docket be marked closed.</w:t>
      </w:r>
    </w:p>
    <w:p w:rsidR="00A57B2D" w:rsidRPr="0017065A" w:rsidRDefault="00A57B2D" w:rsidP="00CB0054">
      <w:pPr>
        <w:keepNext/>
        <w:widowControl/>
        <w:suppressAutoHyphens/>
        <w:spacing w:line="360" w:lineRule="auto"/>
        <w:ind w:right="720"/>
        <w:rPr>
          <w:rFonts w:cs="Times New Roman"/>
          <w:spacing w:val="-3"/>
          <w:sz w:val="26"/>
          <w:szCs w:val="26"/>
        </w:rPr>
      </w:pPr>
    </w:p>
    <w:p w:rsidR="00A57B2D" w:rsidRPr="0017065A" w:rsidRDefault="00A13B03" w:rsidP="00CB0054">
      <w:pPr>
        <w:keepNext/>
        <w:widowControl/>
        <w:suppressAutoHyphens/>
        <w:spacing w:line="360" w:lineRule="auto"/>
        <w:rPr>
          <w:rFonts w:cs="Times New Roman"/>
          <w:spacing w:val="-3"/>
          <w:sz w:val="26"/>
          <w:szCs w:val="26"/>
        </w:rPr>
      </w:pPr>
      <w:r>
        <w:rPr>
          <w:rFonts w:cs="Times New Roman"/>
          <w:noProof/>
          <w:spacing w:val="-3"/>
          <w:sz w:val="26"/>
          <w:szCs w:val="26"/>
          <w:lang w:bidi="ar-SA"/>
        </w:rPr>
        <w:drawing>
          <wp:anchor distT="0" distB="0" distL="114300" distR="114300" simplePos="0" relativeHeight="251658240" behindDoc="1" locked="0" layoutInCell="1" allowOverlap="1">
            <wp:simplePos x="0" y="0"/>
            <wp:positionH relativeFrom="column">
              <wp:posOffset>2600325</wp:posOffset>
            </wp:positionH>
            <wp:positionV relativeFrom="paragraph">
              <wp:posOffset>220980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571750" cy="1295400"/>
                    </a:xfrm>
                    <a:prstGeom prst="rect">
                      <a:avLst/>
                    </a:prstGeom>
                    <a:noFill/>
                  </pic:spPr>
                </pic:pic>
              </a:graphicData>
            </a:graphic>
          </wp:anchor>
        </w:drawing>
      </w:r>
    </w:p>
    <w:p w:rsidR="00A57B2D" w:rsidRPr="0017065A" w:rsidRDefault="00A57B2D" w:rsidP="00CB0054">
      <w:pPr>
        <w:keepNext/>
        <w:widowControl/>
        <w:suppressAutoHyphens/>
        <w:spacing w:line="360" w:lineRule="auto"/>
        <w:rPr>
          <w:rFonts w:cs="Times New Roman"/>
          <w:b/>
          <w:spacing w:val="-3"/>
          <w:sz w:val="26"/>
          <w:szCs w:val="26"/>
        </w:rPr>
      </w:pPr>
      <w:r w:rsidRPr="0017065A">
        <w:rPr>
          <w:rFonts w:cs="Times New Roman"/>
          <w:b/>
          <w:spacing w:val="-3"/>
          <w:sz w:val="26"/>
          <w:szCs w:val="26"/>
        </w:rPr>
        <w:tab/>
      </w:r>
      <w:r w:rsidRPr="0017065A">
        <w:rPr>
          <w:rFonts w:cs="Times New Roman"/>
          <w:b/>
          <w:spacing w:val="-3"/>
          <w:sz w:val="26"/>
          <w:szCs w:val="26"/>
        </w:rPr>
        <w:tab/>
      </w:r>
      <w:r w:rsidRPr="0017065A">
        <w:rPr>
          <w:rFonts w:cs="Times New Roman"/>
          <w:b/>
          <w:spacing w:val="-3"/>
          <w:sz w:val="26"/>
          <w:szCs w:val="26"/>
        </w:rPr>
        <w:tab/>
      </w:r>
      <w:r w:rsidRPr="0017065A">
        <w:rPr>
          <w:rFonts w:cs="Times New Roman"/>
          <w:b/>
          <w:spacing w:val="-3"/>
          <w:sz w:val="26"/>
          <w:szCs w:val="26"/>
        </w:rPr>
        <w:tab/>
      </w:r>
      <w:r w:rsidRPr="0017065A">
        <w:rPr>
          <w:rFonts w:cs="Times New Roman"/>
          <w:b/>
          <w:spacing w:val="-3"/>
          <w:sz w:val="26"/>
          <w:szCs w:val="26"/>
        </w:rPr>
        <w:tab/>
      </w:r>
      <w:r w:rsidRPr="0017065A">
        <w:rPr>
          <w:rFonts w:cs="Times New Roman"/>
          <w:b/>
          <w:spacing w:val="-3"/>
          <w:sz w:val="26"/>
          <w:szCs w:val="26"/>
        </w:rPr>
        <w:tab/>
      </w:r>
      <w:r w:rsidRPr="0017065A">
        <w:rPr>
          <w:rFonts w:cs="Times New Roman"/>
          <w:b/>
          <w:spacing w:val="-3"/>
          <w:sz w:val="26"/>
          <w:szCs w:val="26"/>
        </w:rPr>
        <w:tab/>
        <w:t>BY THE COMMISSION,</w:t>
      </w:r>
    </w:p>
    <w:p w:rsidR="00A57B2D" w:rsidRPr="0017065A" w:rsidRDefault="00A57B2D" w:rsidP="009021C8">
      <w:pPr>
        <w:widowControl/>
        <w:suppressAutoHyphens/>
        <w:spacing w:line="360" w:lineRule="auto"/>
        <w:rPr>
          <w:rFonts w:cs="Times New Roman"/>
          <w:spacing w:val="-3"/>
          <w:sz w:val="26"/>
          <w:szCs w:val="26"/>
        </w:rPr>
      </w:pPr>
    </w:p>
    <w:p w:rsidR="00A57B2D" w:rsidRPr="0017065A" w:rsidRDefault="00A57B2D" w:rsidP="009021C8">
      <w:pPr>
        <w:widowControl/>
        <w:suppressAutoHyphens/>
        <w:spacing w:line="360" w:lineRule="auto"/>
        <w:rPr>
          <w:rFonts w:cs="Times New Roman"/>
          <w:spacing w:val="-3"/>
          <w:sz w:val="26"/>
          <w:szCs w:val="26"/>
        </w:rPr>
      </w:pPr>
    </w:p>
    <w:p w:rsidR="00A57B2D" w:rsidRPr="0017065A" w:rsidRDefault="00A57B2D" w:rsidP="009021C8">
      <w:pPr>
        <w:widowControl/>
        <w:suppressAutoHyphens/>
        <w:rPr>
          <w:rFonts w:cs="Times New Roman"/>
          <w:spacing w:val="-3"/>
          <w:sz w:val="26"/>
          <w:szCs w:val="26"/>
        </w:rPr>
      </w:pPr>
      <w:r w:rsidRPr="0017065A">
        <w:rPr>
          <w:rFonts w:cs="Times New Roman"/>
          <w:spacing w:val="-3"/>
          <w:sz w:val="26"/>
          <w:szCs w:val="26"/>
        </w:rPr>
        <w:tab/>
      </w:r>
      <w:r w:rsidRPr="0017065A">
        <w:rPr>
          <w:rFonts w:cs="Times New Roman"/>
          <w:spacing w:val="-3"/>
          <w:sz w:val="26"/>
          <w:szCs w:val="26"/>
        </w:rPr>
        <w:tab/>
      </w:r>
      <w:r w:rsidRPr="0017065A">
        <w:rPr>
          <w:rFonts w:cs="Times New Roman"/>
          <w:spacing w:val="-3"/>
          <w:sz w:val="26"/>
          <w:szCs w:val="26"/>
        </w:rPr>
        <w:tab/>
      </w:r>
      <w:r w:rsidRPr="0017065A">
        <w:rPr>
          <w:rFonts w:cs="Times New Roman"/>
          <w:spacing w:val="-3"/>
          <w:sz w:val="26"/>
          <w:szCs w:val="26"/>
        </w:rPr>
        <w:tab/>
      </w:r>
      <w:r w:rsidRPr="0017065A">
        <w:rPr>
          <w:rFonts w:cs="Times New Roman"/>
          <w:spacing w:val="-3"/>
          <w:sz w:val="26"/>
          <w:szCs w:val="26"/>
        </w:rPr>
        <w:tab/>
      </w:r>
      <w:r w:rsidRPr="0017065A">
        <w:rPr>
          <w:rFonts w:cs="Times New Roman"/>
          <w:spacing w:val="-3"/>
          <w:sz w:val="26"/>
          <w:szCs w:val="26"/>
        </w:rPr>
        <w:tab/>
      </w:r>
      <w:r w:rsidRPr="0017065A">
        <w:rPr>
          <w:rFonts w:cs="Times New Roman"/>
          <w:spacing w:val="-3"/>
          <w:sz w:val="26"/>
          <w:szCs w:val="26"/>
        </w:rPr>
        <w:tab/>
        <w:t>James J. McNulty</w:t>
      </w:r>
    </w:p>
    <w:p w:rsidR="00A57B2D" w:rsidRPr="0017065A" w:rsidRDefault="00A57B2D" w:rsidP="009021C8">
      <w:pPr>
        <w:widowControl/>
        <w:suppressAutoHyphens/>
        <w:rPr>
          <w:rFonts w:cs="Times New Roman"/>
          <w:spacing w:val="-3"/>
          <w:sz w:val="26"/>
          <w:szCs w:val="26"/>
        </w:rPr>
      </w:pPr>
      <w:r w:rsidRPr="0017065A">
        <w:rPr>
          <w:rFonts w:cs="Times New Roman"/>
          <w:spacing w:val="-3"/>
          <w:sz w:val="26"/>
          <w:szCs w:val="26"/>
        </w:rPr>
        <w:tab/>
      </w:r>
      <w:r w:rsidRPr="0017065A">
        <w:rPr>
          <w:rFonts w:cs="Times New Roman"/>
          <w:spacing w:val="-3"/>
          <w:sz w:val="26"/>
          <w:szCs w:val="26"/>
        </w:rPr>
        <w:tab/>
      </w:r>
      <w:r w:rsidRPr="0017065A">
        <w:rPr>
          <w:rFonts w:cs="Times New Roman"/>
          <w:spacing w:val="-3"/>
          <w:sz w:val="26"/>
          <w:szCs w:val="26"/>
        </w:rPr>
        <w:tab/>
      </w:r>
      <w:r w:rsidRPr="0017065A">
        <w:rPr>
          <w:rFonts w:cs="Times New Roman"/>
          <w:spacing w:val="-3"/>
          <w:sz w:val="26"/>
          <w:szCs w:val="26"/>
        </w:rPr>
        <w:tab/>
      </w:r>
      <w:r w:rsidRPr="0017065A">
        <w:rPr>
          <w:rFonts w:cs="Times New Roman"/>
          <w:spacing w:val="-3"/>
          <w:sz w:val="26"/>
          <w:szCs w:val="26"/>
        </w:rPr>
        <w:tab/>
      </w:r>
      <w:r w:rsidRPr="0017065A">
        <w:rPr>
          <w:rFonts w:cs="Times New Roman"/>
          <w:spacing w:val="-3"/>
          <w:sz w:val="26"/>
          <w:szCs w:val="26"/>
        </w:rPr>
        <w:tab/>
      </w:r>
      <w:r w:rsidRPr="0017065A">
        <w:rPr>
          <w:rFonts w:cs="Times New Roman"/>
          <w:spacing w:val="-3"/>
          <w:sz w:val="26"/>
          <w:szCs w:val="26"/>
        </w:rPr>
        <w:tab/>
        <w:t>Secretary</w:t>
      </w:r>
    </w:p>
    <w:p w:rsidR="00A57B2D" w:rsidRPr="0017065A" w:rsidRDefault="00A57B2D" w:rsidP="009021C8">
      <w:pPr>
        <w:widowControl/>
        <w:suppressAutoHyphens/>
        <w:spacing w:line="360" w:lineRule="auto"/>
        <w:rPr>
          <w:rFonts w:cs="Times New Roman"/>
          <w:spacing w:val="-3"/>
          <w:sz w:val="26"/>
          <w:szCs w:val="26"/>
        </w:rPr>
      </w:pPr>
    </w:p>
    <w:p w:rsidR="00A57B2D" w:rsidRPr="0017065A" w:rsidRDefault="00F91FE2" w:rsidP="009021C8">
      <w:pPr>
        <w:widowControl/>
        <w:suppressAutoHyphens/>
        <w:spacing w:line="360" w:lineRule="auto"/>
        <w:rPr>
          <w:rFonts w:cs="Times New Roman"/>
          <w:spacing w:val="-3"/>
          <w:sz w:val="26"/>
          <w:szCs w:val="26"/>
        </w:rPr>
      </w:pPr>
      <w:r>
        <w:rPr>
          <w:rFonts w:cs="Times New Roman"/>
          <w:spacing w:val="-3"/>
          <w:sz w:val="26"/>
          <w:szCs w:val="26"/>
        </w:rPr>
        <w:t>(</w:t>
      </w:r>
      <w:r w:rsidR="00A57B2D" w:rsidRPr="0017065A">
        <w:rPr>
          <w:rFonts w:cs="Times New Roman"/>
          <w:spacing w:val="-3"/>
          <w:sz w:val="26"/>
          <w:szCs w:val="26"/>
        </w:rPr>
        <w:t>SEAL</w:t>
      </w:r>
      <w:r>
        <w:rPr>
          <w:rFonts w:cs="Times New Roman"/>
          <w:spacing w:val="-3"/>
          <w:sz w:val="26"/>
          <w:szCs w:val="26"/>
        </w:rPr>
        <w:t>)</w:t>
      </w:r>
    </w:p>
    <w:p w:rsidR="00A57B2D" w:rsidRDefault="00A57B2D" w:rsidP="009021C8">
      <w:pPr>
        <w:widowControl/>
        <w:suppressAutoHyphens/>
        <w:spacing w:line="360" w:lineRule="auto"/>
        <w:rPr>
          <w:rFonts w:cs="Times New Roman"/>
          <w:spacing w:val="-3"/>
          <w:sz w:val="26"/>
          <w:szCs w:val="26"/>
        </w:rPr>
      </w:pPr>
      <w:r w:rsidRPr="0017065A">
        <w:rPr>
          <w:rFonts w:cs="Times New Roman"/>
          <w:spacing w:val="-3"/>
          <w:sz w:val="26"/>
          <w:szCs w:val="26"/>
        </w:rPr>
        <w:t xml:space="preserve">ORDER ADOPTED: </w:t>
      </w:r>
      <w:r w:rsidR="0046640B">
        <w:rPr>
          <w:rFonts w:cs="Times New Roman"/>
          <w:spacing w:val="-3"/>
          <w:sz w:val="26"/>
          <w:szCs w:val="26"/>
        </w:rPr>
        <w:t xml:space="preserve">December </w:t>
      </w:r>
      <w:r w:rsidR="00F91FE2">
        <w:rPr>
          <w:rFonts w:cs="Times New Roman"/>
          <w:spacing w:val="-3"/>
          <w:sz w:val="26"/>
          <w:szCs w:val="26"/>
        </w:rPr>
        <w:t>17</w:t>
      </w:r>
      <w:r w:rsidR="0046640B">
        <w:rPr>
          <w:rFonts w:cs="Times New Roman"/>
          <w:spacing w:val="-3"/>
          <w:sz w:val="26"/>
          <w:szCs w:val="26"/>
        </w:rPr>
        <w:t>, 2009</w:t>
      </w:r>
    </w:p>
    <w:p w:rsidR="00A57B2D" w:rsidRPr="00A13B03" w:rsidRDefault="00A57B2D" w:rsidP="009021C8">
      <w:pPr>
        <w:widowControl/>
        <w:suppressAutoHyphens/>
        <w:spacing w:line="360" w:lineRule="auto"/>
        <w:rPr>
          <w:b/>
          <w:sz w:val="26"/>
          <w:szCs w:val="26"/>
          <w:u w:val="single"/>
        </w:rPr>
      </w:pPr>
      <w:r w:rsidRPr="0017065A">
        <w:rPr>
          <w:rFonts w:cs="Times New Roman"/>
          <w:spacing w:val="-3"/>
          <w:sz w:val="26"/>
          <w:szCs w:val="26"/>
        </w:rPr>
        <w:t xml:space="preserve">ORDER ENTERED:  </w:t>
      </w:r>
      <w:r w:rsidR="00A13B03">
        <w:rPr>
          <w:rFonts w:cs="Times New Roman"/>
          <w:b/>
          <w:spacing w:val="-3"/>
          <w:sz w:val="26"/>
          <w:szCs w:val="26"/>
        </w:rPr>
        <w:t>January 5, 2010</w:t>
      </w:r>
    </w:p>
    <w:sectPr w:rsidR="00A57B2D" w:rsidRPr="00A13B03" w:rsidSect="00CC506E">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545" w:rsidRDefault="00323545" w:rsidP="00F05504">
      <w:r>
        <w:separator/>
      </w:r>
    </w:p>
  </w:endnote>
  <w:endnote w:type="continuationSeparator" w:id="0">
    <w:p w:rsidR="00323545" w:rsidRDefault="00323545" w:rsidP="00F055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2438"/>
      <w:docPartObj>
        <w:docPartGallery w:val="Page Numbers (Bottom of Page)"/>
        <w:docPartUnique/>
      </w:docPartObj>
    </w:sdtPr>
    <w:sdtContent>
      <w:p w:rsidR="00147F44" w:rsidRDefault="00831DEE">
        <w:pPr>
          <w:pStyle w:val="Footer"/>
          <w:jc w:val="center"/>
        </w:pPr>
        <w:r w:rsidRPr="00CC506E">
          <w:rPr>
            <w:sz w:val="26"/>
            <w:szCs w:val="26"/>
          </w:rPr>
          <w:fldChar w:fldCharType="begin"/>
        </w:r>
        <w:r w:rsidR="00147F44" w:rsidRPr="00CC506E">
          <w:rPr>
            <w:sz w:val="26"/>
            <w:szCs w:val="26"/>
          </w:rPr>
          <w:instrText xml:space="preserve"> PAGE   \* MERGEFORMAT </w:instrText>
        </w:r>
        <w:r w:rsidRPr="00CC506E">
          <w:rPr>
            <w:sz w:val="26"/>
            <w:szCs w:val="26"/>
          </w:rPr>
          <w:fldChar w:fldCharType="separate"/>
        </w:r>
        <w:r w:rsidR="00A13B03">
          <w:rPr>
            <w:noProof/>
            <w:sz w:val="26"/>
            <w:szCs w:val="26"/>
          </w:rPr>
          <w:t>11</w:t>
        </w:r>
        <w:r w:rsidRPr="00CC506E">
          <w:rPr>
            <w:sz w:val="26"/>
            <w:szCs w:val="26"/>
          </w:rPr>
          <w:fldChar w:fldCharType="end"/>
        </w:r>
      </w:p>
    </w:sdtContent>
  </w:sdt>
  <w:p w:rsidR="00147F44" w:rsidRDefault="00147F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545" w:rsidRDefault="00323545" w:rsidP="00F05504">
      <w:r>
        <w:separator/>
      </w:r>
    </w:p>
  </w:footnote>
  <w:footnote w:type="continuationSeparator" w:id="0">
    <w:p w:rsidR="00323545" w:rsidRDefault="00323545" w:rsidP="00F05504">
      <w:r>
        <w:continuationSeparator/>
      </w:r>
    </w:p>
  </w:footnote>
  <w:footnote w:id="1">
    <w:p w:rsidR="00147F44" w:rsidRDefault="00147F44" w:rsidP="009E2740">
      <w:pPr>
        <w:pStyle w:val="FootnoteText"/>
        <w:ind w:firstLine="720"/>
      </w:pPr>
      <w:r w:rsidRPr="009E2740">
        <w:rPr>
          <w:rStyle w:val="FootnoteReference"/>
          <w:sz w:val="26"/>
          <w:szCs w:val="26"/>
        </w:rPr>
        <w:footnoteRef/>
      </w:r>
      <w:r>
        <w:rPr>
          <w:sz w:val="26"/>
          <w:szCs w:val="26"/>
        </w:rPr>
        <w:tab/>
      </w:r>
      <w:r w:rsidRPr="002E5348">
        <w:rPr>
          <w:sz w:val="26"/>
          <w:szCs w:val="26"/>
        </w:rPr>
        <w:t xml:space="preserve">The Complaint was signed by </w:t>
      </w:r>
      <w:r>
        <w:rPr>
          <w:sz w:val="26"/>
          <w:szCs w:val="26"/>
        </w:rPr>
        <w:t>M</w:t>
      </w:r>
      <w:r w:rsidRPr="002E5348">
        <w:rPr>
          <w:sz w:val="26"/>
          <w:szCs w:val="26"/>
        </w:rPr>
        <w:t xml:space="preserve">ichael and Holly Robbins.  However, the utility service with PECO is </w:t>
      </w:r>
      <w:r w:rsidR="00210586">
        <w:rPr>
          <w:sz w:val="26"/>
          <w:szCs w:val="26"/>
        </w:rPr>
        <w:t xml:space="preserve">in </w:t>
      </w:r>
      <w:r w:rsidRPr="002E5348">
        <w:rPr>
          <w:sz w:val="26"/>
          <w:szCs w:val="26"/>
        </w:rPr>
        <w:t>the name of Holly Robbins</w:t>
      </w:r>
      <w:r>
        <w:rPr>
          <w:sz w:val="26"/>
          <w:szCs w:val="26"/>
        </w:rPr>
        <w:t xml:space="preserve"> and the Exceptions were only signed by Holly Robbins.</w:t>
      </w:r>
    </w:p>
  </w:footnote>
  <w:footnote w:id="2">
    <w:p w:rsidR="00147F44" w:rsidRPr="00DB258B" w:rsidRDefault="00147F44" w:rsidP="006F6AF1">
      <w:pPr>
        <w:pStyle w:val="FootnoteText"/>
        <w:ind w:firstLine="720"/>
        <w:rPr>
          <w:sz w:val="26"/>
          <w:szCs w:val="26"/>
        </w:rPr>
      </w:pPr>
      <w:r w:rsidRPr="009E2740">
        <w:rPr>
          <w:rStyle w:val="FootnoteReference"/>
          <w:sz w:val="26"/>
          <w:szCs w:val="26"/>
        </w:rPr>
        <w:footnoteRef/>
      </w:r>
      <w:r>
        <w:tab/>
      </w:r>
      <w:r w:rsidRPr="00DB258B">
        <w:rPr>
          <w:sz w:val="26"/>
          <w:szCs w:val="26"/>
        </w:rPr>
        <w:t>The Complainants receive both electric and gas service from PECO which is billed in a singl</w:t>
      </w:r>
      <w:r>
        <w:rPr>
          <w:sz w:val="26"/>
          <w:szCs w:val="26"/>
        </w:rPr>
        <w:t xml:space="preserve">e combined monthly statement.  The arrearage and payment history at issue is for both electric and gas service.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7417F"/>
    <w:multiLevelType w:val="hybridMultilevel"/>
    <w:tmpl w:val="D2188082"/>
    <w:lvl w:ilvl="0" w:tplc="F3825CEA">
      <w:start w:val="3"/>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BA9212A"/>
    <w:multiLevelType w:val="hybridMultilevel"/>
    <w:tmpl w:val="EEE099F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36866"/>
  </w:hdrShapeDefaults>
  <w:footnotePr>
    <w:footnote w:id="-1"/>
    <w:footnote w:id="0"/>
  </w:footnotePr>
  <w:endnotePr>
    <w:endnote w:id="-1"/>
    <w:endnote w:id="0"/>
  </w:endnotePr>
  <w:compat/>
  <w:rsids>
    <w:rsidRoot w:val="0065570E"/>
    <w:rsid w:val="00004913"/>
    <w:rsid w:val="00005B75"/>
    <w:rsid w:val="00007413"/>
    <w:rsid w:val="00017065"/>
    <w:rsid w:val="0002280D"/>
    <w:rsid w:val="00023AA7"/>
    <w:rsid w:val="0002581F"/>
    <w:rsid w:val="00031F5C"/>
    <w:rsid w:val="00032951"/>
    <w:rsid w:val="00037D23"/>
    <w:rsid w:val="00041A97"/>
    <w:rsid w:val="00042033"/>
    <w:rsid w:val="0004368E"/>
    <w:rsid w:val="00046AD7"/>
    <w:rsid w:val="0005165D"/>
    <w:rsid w:val="00051D09"/>
    <w:rsid w:val="00052478"/>
    <w:rsid w:val="00053B4E"/>
    <w:rsid w:val="00054307"/>
    <w:rsid w:val="0005473F"/>
    <w:rsid w:val="00054B1C"/>
    <w:rsid w:val="00063BB2"/>
    <w:rsid w:val="00066079"/>
    <w:rsid w:val="00066548"/>
    <w:rsid w:val="00071085"/>
    <w:rsid w:val="00072DFC"/>
    <w:rsid w:val="00077039"/>
    <w:rsid w:val="0008258A"/>
    <w:rsid w:val="00082C0F"/>
    <w:rsid w:val="000921DF"/>
    <w:rsid w:val="00092396"/>
    <w:rsid w:val="00092EC4"/>
    <w:rsid w:val="00093EE8"/>
    <w:rsid w:val="00096BBE"/>
    <w:rsid w:val="00096BF3"/>
    <w:rsid w:val="0009717B"/>
    <w:rsid w:val="00097334"/>
    <w:rsid w:val="000A0C2D"/>
    <w:rsid w:val="000A33CB"/>
    <w:rsid w:val="000A4304"/>
    <w:rsid w:val="000B1D84"/>
    <w:rsid w:val="000C6D8D"/>
    <w:rsid w:val="000D20BF"/>
    <w:rsid w:val="000D57D6"/>
    <w:rsid w:val="000E446F"/>
    <w:rsid w:val="000E50E9"/>
    <w:rsid w:val="000E7406"/>
    <w:rsid w:val="000F0A46"/>
    <w:rsid w:val="000F2843"/>
    <w:rsid w:val="000F5F96"/>
    <w:rsid w:val="0010012B"/>
    <w:rsid w:val="001006FE"/>
    <w:rsid w:val="001035DC"/>
    <w:rsid w:val="00105C56"/>
    <w:rsid w:val="00110969"/>
    <w:rsid w:val="00110BB4"/>
    <w:rsid w:val="00113E0D"/>
    <w:rsid w:val="001149AD"/>
    <w:rsid w:val="00115DB5"/>
    <w:rsid w:val="001162A5"/>
    <w:rsid w:val="00124F68"/>
    <w:rsid w:val="001272BF"/>
    <w:rsid w:val="00130238"/>
    <w:rsid w:val="00130A56"/>
    <w:rsid w:val="0013184D"/>
    <w:rsid w:val="001332E8"/>
    <w:rsid w:val="001349B6"/>
    <w:rsid w:val="00142B8C"/>
    <w:rsid w:val="001467B4"/>
    <w:rsid w:val="00147F44"/>
    <w:rsid w:val="001507C8"/>
    <w:rsid w:val="001508A6"/>
    <w:rsid w:val="00152BD0"/>
    <w:rsid w:val="001537AF"/>
    <w:rsid w:val="00160740"/>
    <w:rsid w:val="00160B73"/>
    <w:rsid w:val="00161455"/>
    <w:rsid w:val="0016654E"/>
    <w:rsid w:val="0016761D"/>
    <w:rsid w:val="0017022D"/>
    <w:rsid w:val="00172364"/>
    <w:rsid w:val="0017722F"/>
    <w:rsid w:val="001772BC"/>
    <w:rsid w:val="00177445"/>
    <w:rsid w:val="00177F08"/>
    <w:rsid w:val="00177F8C"/>
    <w:rsid w:val="00180323"/>
    <w:rsid w:val="00180720"/>
    <w:rsid w:val="00180802"/>
    <w:rsid w:val="00181B4A"/>
    <w:rsid w:val="00187C02"/>
    <w:rsid w:val="00190317"/>
    <w:rsid w:val="00194D12"/>
    <w:rsid w:val="001A0ECC"/>
    <w:rsid w:val="001A2DD8"/>
    <w:rsid w:val="001A3599"/>
    <w:rsid w:val="001A72B3"/>
    <w:rsid w:val="001B190A"/>
    <w:rsid w:val="001B22F2"/>
    <w:rsid w:val="001B4BCE"/>
    <w:rsid w:val="001B4C89"/>
    <w:rsid w:val="001B760C"/>
    <w:rsid w:val="001C5A5B"/>
    <w:rsid w:val="001D0484"/>
    <w:rsid w:val="001D0927"/>
    <w:rsid w:val="001D4A79"/>
    <w:rsid w:val="001D7042"/>
    <w:rsid w:val="001E28B9"/>
    <w:rsid w:val="001E5C8C"/>
    <w:rsid w:val="001E7446"/>
    <w:rsid w:val="001F05CE"/>
    <w:rsid w:val="001F5CD5"/>
    <w:rsid w:val="001F6130"/>
    <w:rsid w:val="00201772"/>
    <w:rsid w:val="00201DE6"/>
    <w:rsid w:val="00210586"/>
    <w:rsid w:val="00220F6F"/>
    <w:rsid w:val="002313F8"/>
    <w:rsid w:val="0023639A"/>
    <w:rsid w:val="002454F5"/>
    <w:rsid w:val="00245D29"/>
    <w:rsid w:val="00245E07"/>
    <w:rsid w:val="00254F41"/>
    <w:rsid w:val="002567D4"/>
    <w:rsid w:val="0025709C"/>
    <w:rsid w:val="00260F03"/>
    <w:rsid w:val="00262F59"/>
    <w:rsid w:val="00263462"/>
    <w:rsid w:val="00264A7E"/>
    <w:rsid w:val="00270CE0"/>
    <w:rsid w:val="00272C47"/>
    <w:rsid w:val="0027781B"/>
    <w:rsid w:val="00283C80"/>
    <w:rsid w:val="00296A62"/>
    <w:rsid w:val="002A3C31"/>
    <w:rsid w:val="002A77A7"/>
    <w:rsid w:val="002B181E"/>
    <w:rsid w:val="002B2061"/>
    <w:rsid w:val="002B6ADB"/>
    <w:rsid w:val="002C3821"/>
    <w:rsid w:val="002C3D03"/>
    <w:rsid w:val="002C7CB4"/>
    <w:rsid w:val="002E1155"/>
    <w:rsid w:val="002E5348"/>
    <w:rsid w:val="002F2E00"/>
    <w:rsid w:val="002F30B8"/>
    <w:rsid w:val="002F49F2"/>
    <w:rsid w:val="003005A9"/>
    <w:rsid w:val="0030391C"/>
    <w:rsid w:val="00304714"/>
    <w:rsid w:val="00306817"/>
    <w:rsid w:val="00310C48"/>
    <w:rsid w:val="00314B6F"/>
    <w:rsid w:val="00314D00"/>
    <w:rsid w:val="003172D1"/>
    <w:rsid w:val="00321D52"/>
    <w:rsid w:val="00323545"/>
    <w:rsid w:val="00325696"/>
    <w:rsid w:val="00327AF5"/>
    <w:rsid w:val="0033768C"/>
    <w:rsid w:val="00337C47"/>
    <w:rsid w:val="003401FC"/>
    <w:rsid w:val="00342C93"/>
    <w:rsid w:val="00351C73"/>
    <w:rsid w:val="00365DC5"/>
    <w:rsid w:val="00366639"/>
    <w:rsid w:val="00373437"/>
    <w:rsid w:val="00377E02"/>
    <w:rsid w:val="00380671"/>
    <w:rsid w:val="00382F38"/>
    <w:rsid w:val="0039071F"/>
    <w:rsid w:val="00396140"/>
    <w:rsid w:val="00396B65"/>
    <w:rsid w:val="003A641B"/>
    <w:rsid w:val="003A7E56"/>
    <w:rsid w:val="003B065C"/>
    <w:rsid w:val="003B08FC"/>
    <w:rsid w:val="003B7172"/>
    <w:rsid w:val="003C4BC6"/>
    <w:rsid w:val="003C691B"/>
    <w:rsid w:val="003D4062"/>
    <w:rsid w:val="003E2241"/>
    <w:rsid w:val="003E3134"/>
    <w:rsid w:val="003E5C5A"/>
    <w:rsid w:val="003F1CC7"/>
    <w:rsid w:val="003F6CC3"/>
    <w:rsid w:val="003F6D27"/>
    <w:rsid w:val="00401493"/>
    <w:rsid w:val="00401B20"/>
    <w:rsid w:val="00402BC9"/>
    <w:rsid w:val="004107CD"/>
    <w:rsid w:val="00411146"/>
    <w:rsid w:val="004141B8"/>
    <w:rsid w:val="00416B04"/>
    <w:rsid w:val="00420344"/>
    <w:rsid w:val="00420CA6"/>
    <w:rsid w:val="00421552"/>
    <w:rsid w:val="00426308"/>
    <w:rsid w:val="00426B39"/>
    <w:rsid w:val="00431DC5"/>
    <w:rsid w:val="004327BC"/>
    <w:rsid w:val="0043388F"/>
    <w:rsid w:val="00434ABE"/>
    <w:rsid w:val="00440D6C"/>
    <w:rsid w:val="00440FC5"/>
    <w:rsid w:val="00442D92"/>
    <w:rsid w:val="004436CB"/>
    <w:rsid w:val="0044404A"/>
    <w:rsid w:val="00447D7C"/>
    <w:rsid w:val="004510BE"/>
    <w:rsid w:val="00452673"/>
    <w:rsid w:val="00455746"/>
    <w:rsid w:val="00455F0C"/>
    <w:rsid w:val="00457CAE"/>
    <w:rsid w:val="0046640B"/>
    <w:rsid w:val="00467684"/>
    <w:rsid w:val="0047064B"/>
    <w:rsid w:val="00470DE8"/>
    <w:rsid w:val="00471A02"/>
    <w:rsid w:val="00473471"/>
    <w:rsid w:val="00474C00"/>
    <w:rsid w:val="0048271C"/>
    <w:rsid w:val="00485F35"/>
    <w:rsid w:val="0049169E"/>
    <w:rsid w:val="00496639"/>
    <w:rsid w:val="00497278"/>
    <w:rsid w:val="004A0620"/>
    <w:rsid w:val="004A33A7"/>
    <w:rsid w:val="004A645A"/>
    <w:rsid w:val="004B1FA7"/>
    <w:rsid w:val="004B20AD"/>
    <w:rsid w:val="004C60E9"/>
    <w:rsid w:val="004D290F"/>
    <w:rsid w:val="004D3766"/>
    <w:rsid w:val="004E0480"/>
    <w:rsid w:val="004E34AA"/>
    <w:rsid w:val="004F6A46"/>
    <w:rsid w:val="004F791A"/>
    <w:rsid w:val="004F7B4A"/>
    <w:rsid w:val="0050063C"/>
    <w:rsid w:val="00500F78"/>
    <w:rsid w:val="00507D2A"/>
    <w:rsid w:val="00507EB8"/>
    <w:rsid w:val="005158D5"/>
    <w:rsid w:val="005172D7"/>
    <w:rsid w:val="00520F60"/>
    <w:rsid w:val="00522AC1"/>
    <w:rsid w:val="00523274"/>
    <w:rsid w:val="00526AB2"/>
    <w:rsid w:val="00530D31"/>
    <w:rsid w:val="00531176"/>
    <w:rsid w:val="00531379"/>
    <w:rsid w:val="0053466A"/>
    <w:rsid w:val="005346EF"/>
    <w:rsid w:val="00537FFA"/>
    <w:rsid w:val="005437D2"/>
    <w:rsid w:val="00547B17"/>
    <w:rsid w:val="005504A9"/>
    <w:rsid w:val="005509B2"/>
    <w:rsid w:val="005575B2"/>
    <w:rsid w:val="005771C0"/>
    <w:rsid w:val="005773EA"/>
    <w:rsid w:val="005805B6"/>
    <w:rsid w:val="00591C2A"/>
    <w:rsid w:val="005926AE"/>
    <w:rsid w:val="00592A27"/>
    <w:rsid w:val="00594703"/>
    <w:rsid w:val="00595D61"/>
    <w:rsid w:val="005A1F3E"/>
    <w:rsid w:val="005A2C40"/>
    <w:rsid w:val="005A3F10"/>
    <w:rsid w:val="005A637B"/>
    <w:rsid w:val="005B1275"/>
    <w:rsid w:val="005B18F1"/>
    <w:rsid w:val="005B34E7"/>
    <w:rsid w:val="005B3E26"/>
    <w:rsid w:val="005B3F1A"/>
    <w:rsid w:val="005C2C3A"/>
    <w:rsid w:val="005D0AA9"/>
    <w:rsid w:val="005D129D"/>
    <w:rsid w:val="005D1BC4"/>
    <w:rsid w:val="005D3057"/>
    <w:rsid w:val="005D7F1D"/>
    <w:rsid w:val="005E0A3F"/>
    <w:rsid w:val="005E0F4B"/>
    <w:rsid w:val="005F0BC3"/>
    <w:rsid w:val="005F3C23"/>
    <w:rsid w:val="005F4899"/>
    <w:rsid w:val="005F63D8"/>
    <w:rsid w:val="005F6935"/>
    <w:rsid w:val="005F6AD7"/>
    <w:rsid w:val="00611CAD"/>
    <w:rsid w:val="00613AD3"/>
    <w:rsid w:val="00617208"/>
    <w:rsid w:val="00621A9E"/>
    <w:rsid w:val="0062573F"/>
    <w:rsid w:val="006300EA"/>
    <w:rsid w:val="00630304"/>
    <w:rsid w:val="00633ABA"/>
    <w:rsid w:val="00634760"/>
    <w:rsid w:val="00635345"/>
    <w:rsid w:val="006371ED"/>
    <w:rsid w:val="00646719"/>
    <w:rsid w:val="00646F6B"/>
    <w:rsid w:val="00647B06"/>
    <w:rsid w:val="00652AAA"/>
    <w:rsid w:val="00654526"/>
    <w:rsid w:val="00654BCE"/>
    <w:rsid w:val="0065570E"/>
    <w:rsid w:val="0065736C"/>
    <w:rsid w:val="006658B3"/>
    <w:rsid w:val="006677B7"/>
    <w:rsid w:val="006721BE"/>
    <w:rsid w:val="00673875"/>
    <w:rsid w:val="00675319"/>
    <w:rsid w:val="0069190A"/>
    <w:rsid w:val="00697D52"/>
    <w:rsid w:val="006A65CD"/>
    <w:rsid w:val="006A68A5"/>
    <w:rsid w:val="006B1E7C"/>
    <w:rsid w:val="006B2823"/>
    <w:rsid w:val="006B6E64"/>
    <w:rsid w:val="006B71F7"/>
    <w:rsid w:val="006C0438"/>
    <w:rsid w:val="006C75AE"/>
    <w:rsid w:val="006D1711"/>
    <w:rsid w:val="006D21E4"/>
    <w:rsid w:val="006D2A49"/>
    <w:rsid w:val="006F3AD9"/>
    <w:rsid w:val="006F4458"/>
    <w:rsid w:val="006F6AF1"/>
    <w:rsid w:val="006F6CA4"/>
    <w:rsid w:val="006F772A"/>
    <w:rsid w:val="00701333"/>
    <w:rsid w:val="0070402F"/>
    <w:rsid w:val="007043B2"/>
    <w:rsid w:val="007069AF"/>
    <w:rsid w:val="007078EC"/>
    <w:rsid w:val="00710667"/>
    <w:rsid w:val="007112A0"/>
    <w:rsid w:val="00712B96"/>
    <w:rsid w:val="00723081"/>
    <w:rsid w:val="00725C3F"/>
    <w:rsid w:val="00733AB1"/>
    <w:rsid w:val="007346E4"/>
    <w:rsid w:val="00736FBD"/>
    <w:rsid w:val="00741063"/>
    <w:rsid w:val="0075156D"/>
    <w:rsid w:val="00752357"/>
    <w:rsid w:val="007641AD"/>
    <w:rsid w:val="00766F7D"/>
    <w:rsid w:val="007674F2"/>
    <w:rsid w:val="007715F5"/>
    <w:rsid w:val="007767EB"/>
    <w:rsid w:val="00777655"/>
    <w:rsid w:val="00780716"/>
    <w:rsid w:val="007818D5"/>
    <w:rsid w:val="00782C83"/>
    <w:rsid w:val="00784143"/>
    <w:rsid w:val="0078543B"/>
    <w:rsid w:val="007856AC"/>
    <w:rsid w:val="0078707F"/>
    <w:rsid w:val="00790CB8"/>
    <w:rsid w:val="007934D1"/>
    <w:rsid w:val="007939F1"/>
    <w:rsid w:val="00795CE5"/>
    <w:rsid w:val="007963E4"/>
    <w:rsid w:val="007A13A6"/>
    <w:rsid w:val="007A313A"/>
    <w:rsid w:val="007A39A9"/>
    <w:rsid w:val="007A5404"/>
    <w:rsid w:val="007A696B"/>
    <w:rsid w:val="007B147B"/>
    <w:rsid w:val="007B4239"/>
    <w:rsid w:val="007B6A2C"/>
    <w:rsid w:val="007B6CD5"/>
    <w:rsid w:val="007C30D9"/>
    <w:rsid w:val="007C395F"/>
    <w:rsid w:val="007C4701"/>
    <w:rsid w:val="007C59AA"/>
    <w:rsid w:val="007C5FEC"/>
    <w:rsid w:val="007C6C47"/>
    <w:rsid w:val="007D128D"/>
    <w:rsid w:val="007D151E"/>
    <w:rsid w:val="007D2359"/>
    <w:rsid w:val="007D5709"/>
    <w:rsid w:val="007F099C"/>
    <w:rsid w:val="007F31F6"/>
    <w:rsid w:val="007F786B"/>
    <w:rsid w:val="007F7DE1"/>
    <w:rsid w:val="00802772"/>
    <w:rsid w:val="008032ED"/>
    <w:rsid w:val="008033A4"/>
    <w:rsid w:val="008049C0"/>
    <w:rsid w:val="00805354"/>
    <w:rsid w:val="008060EC"/>
    <w:rsid w:val="00806B92"/>
    <w:rsid w:val="008129C6"/>
    <w:rsid w:val="00820E91"/>
    <w:rsid w:val="0082169A"/>
    <w:rsid w:val="008219D2"/>
    <w:rsid w:val="0082295E"/>
    <w:rsid w:val="00826F2D"/>
    <w:rsid w:val="00831DEE"/>
    <w:rsid w:val="008344F5"/>
    <w:rsid w:val="008447D6"/>
    <w:rsid w:val="00845C21"/>
    <w:rsid w:val="00846FB0"/>
    <w:rsid w:val="00850C6D"/>
    <w:rsid w:val="008512DE"/>
    <w:rsid w:val="00851BDE"/>
    <w:rsid w:val="00853AE9"/>
    <w:rsid w:val="00854689"/>
    <w:rsid w:val="00855BC2"/>
    <w:rsid w:val="00856801"/>
    <w:rsid w:val="008573F4"/>
    <w:rsid w:val="008621D3"/>
    <w:rsid w:val="0087124E"/>
    <w:rsid w:val="008725EA"/>
    <w:rsid w:val="0087478B"/>
    <w:rsid w:val="008753EF"/>
    <w:rsid w:val="008825FC"/>
    <w:rsid w:val="008827CF"/>
    <w:rsid w:val="00883BE1"/>
    <w:rsid w:val="0088413E"/>
    <w:rsid w:val="00890A89"/>
    <w:rsid w:val="00892257"/>
    <w:rsid w:val="00892D31"/>
    <w:rsid w:val="00896900"/>
    <w:rsid w:val="008970AC"/>
    <w:rsid w:val="008A0F2C"/>
    <w:rsid w:val="008A5B14"/>
    <w:rsid w:val="008B0AFF"/>
    <w:rsid w:val="008B2B0D"/>
    <w:rsid w:val="008B39A4"/>
    <w:rsid w:val="008B6376"/>
    <w:rsid w:val="008C41A9"/>
    <w:rsid w:val="008C4F6B"/>
    <w:rsid w:val="008C50E2"/>
    <w:rsid w:val="008C60EB"/>
    <w:rsid w:val="008C6473"/>
    <w:rsid w:val="008C7F66"/>
    <w:rsid w:val="008D36EF"/>
    <w:rsid w:val="008D43E1"/>
    <w:rsid w:val="008E0D92"/>
    <w:rsid w:val="008E442E"/>
    <w:rsid w:val="008F279C"/>
    <w:rsid w:val="008F55A7"/>
    <w:rsid w:val="0090055A"/>
    <w:rsid w:val="009015AF"/>
    <w:rsid w:val="009021C8"/>
    <w:rsid w:val="009107D0"/>
    <w:rsid w:val="00912B6D"/>
    <w:rsid w:val="009234E0"/>
    <w:rsid w:val="0093022C"/>
    <w:rsid w:val="009303A1"/>
    <w:rsid w:val="00931842"/>
    <w:rsid w:val="00933DF4"/>
    <w:rsid w:val="00940C3F"/>
    <w:rsid w:val="00947F5A"/>
    <w:rsid w:val="00950903"/>
    <w:rsid w:val="00952051"/>
    <w:rsid w:val="009534A5"/>
    <w:rsid w:val="009550E1"/>
    <w:rsid w:val="0095517B"/>
    <w:rsid w:val="00955F50"/>
    <w:rsid w:val="00956A7F"/>
    <w:rsid w:val="00966571"/>
    <w:rsid w:val="00967504"/>
    <w:rsid w:val="00981ED5"/>
    <w:rsid w:val="009820E2"/>
    <w:rsid w:val="0098615E"/>
    <w:rsid w:val="00990552"/>
    <w:rsid w:val="00992CD6"/>
    <w:rsid w:val="009936E6"/>
    <w:rsid w:val="00996446"/>
    <w:rsid w:val="00996E7A"/>
    <w:rsid w:val="009A045A"/>
    <w:rsid w:val="009A6F63"/>
    <w:rsid w:val="009B1679"/>
    <w:rsid w:val="009B2AC1"/>
    <w:rsid w:val="009B4361"/>
    <w:rsid w:val="009B7023"/>
    <w:rsid w:val="009C1D06"/>
    <w:rsid w:val="009C224C"/>
    <w:rsid w:val="009C7076"/>
    <w:rsid w:val="009D42AA"/>
    <w:rsid w:val="009D4E21"/>
    <w:rsid w:val="009D64EF"/>
    <w:rsid w:val="009D681A"/>
    <w:rsid w:val="009E122F"/>
    <w:rsid w:val="009E2740"/>
    <w:rsid w:val="009E5CF0"/>
    <w:rsid w:val="009E5FB2"/>
    <w:rsid w:val="009F0D4A"/>
    <w:rsid w:val="009F4ABA"/>
    <w:rsid w:val="009F50EC"/>
    <w:rsid w:val="009F63D6"/>
    <w:rsid w:val="00A0005E"/>
    <w:rsid w:val="00A02F18"/>
    <w:rsid w:val="00A03017"/>
    <w:rsid w:val="00A03382"/>
    <w:rsid w:val="00A03DB8"/>
    <w:rsid w:val="00A06135"/>
    <w:rsid w:val="00A0740C"/>
    <w:rsid w:val="00A13B03"/>
    <w:rsid w:val="00A179DB"/>
    <w:rsid w:val="00A220C3"/>
    <w:rsid w:val="00A23804"/>
    <w:rsid w:val="00A32B4E"/>
    <w:rsid w:val="00A426E5"/>
    <w:rsid w:val="00A430FE"/>
    <w:rsid w:val="00A45C59"/>
    <w:rsid w:val="00A46F2E"/>
    <w:rsid w:val="00A50B9B"/>
    <w:rsid w:val="00A50FCA"/>
    <w:rsid w:val="00A51DFE"/>
    <w:rsid w:val="00A57B2D"/>
    <w:rsid w:val="00A60CE1"/>
    <w:rsid w:val="00A62384"/>
    <w:rsid w:val="00A6489F"/>
    <w:rsid w:val="00A64A87"/>
    <w:rsid w:val="00A70FD2"/>
    <w:rsid w:val="00A71B0D"/>
    <w:rsid w:val="00A766F1"/>
    <w:rsid w:val="00A81B2C"/>
    <w:rsid w:val="00A86F65"/>
    <w:rsid w:val="00A9136D"/>
    <w:rsid w:val="00A967D9"/>
    <w:rsid w:val="00A97FCF"/>
    <w:rsid w:val="00AB6738"/>
    <w:rsid w:val="00AC0E3D"/>
    <w:rsid w:val="00AC13DA"/>
    <w:rsid w:val="00AC2938"/>
    <w:rsid w:val="00AC5506"/>
    <w:rsid w:val="00AD03C9"/>
    <w:rsid w:val="00AD1630"/>
    <w:rsid w:val="00AD225D"/>
    <w:rsid w:val="00AD329D"/>
    <w:rsid w:val="00AE074D"/>
    <w:rsid w:val="00AE1B1E"/>
    <w:rsid w:val="00AE4017"/>
    <w:rsid w:val="00AE557E"/>
    <w:rsid w:val="00AE58C2"/>
    <w:rsid w:val="00AF0FE2"/>
    <w:rsid w:val="00AF1FD8"/>
    <w:rsid w:val="00AF2CB4"/>
    <w:rsid w:val="00AF33AF"/>
    <w:rsid w:val="00AF36FD"/>
    <w:rsid w:val="00AF482B"/>
    <w:rsid w:val="00AF5961"/>
    <w:rsid w:val="00AF75E7"/>
    <w:rsid w:val="00B03559"/>
    <w:rsid w:val="00B05046"/>
    <w:rsid w:val="00B11716"/>
    <w:rsid w:val="00B173F5"/>
    <w:rsid w:val="00B22420"/>
    <w:rsid w:val="00B248F5"/>
    <w:rsid w:val="00B24C92"/>
    <w:rsid w:val="00B35F83"/>
    <w:rsid w:val="00B36FEA"/>
    <w:rsid w:val="00B42DBB"/>
    <w:rsid w:val="00B4453C"/>
    <w:rsid w:val="00B4672E"/>
    <w:rsid w:val="00B5222F"/>
    <w:rsid w:val="00B52EC2"/>
    <w:rsid w:val="00B604DE"/>
    <w:rsid w:val="00B61F87"/>
    <w:rsid w:val="00B62007"/>
    <w:rsid w:val="00B63609"/>
    <w:rsid w:val="00B64313"/>
    <w:rsid w:val="00B668AE"/>
    <w:rsid w:val="00B75418"/>
    <w:rsid w:val="00B8247B"/>
    <w:rsid w:val="00B83651"/>
    <w:rsid w:val="00B84877"/>
    <w:rsid w:val="00B84CB0"/>
    <w:rsid w:val="00BA17C1"/>
    <w:rsid w:val="00BA7DB2"/>
    <w:rsid w:val="00BA7E35"/>
    <w:rsid w:val="00BA7F67"/>
    <w:rsid w:val="00BB1B3C"/>
    <w:rsid w:val="00BC1BF2"/>
    <w:rsid w:val="00BC3F85"/>
    <w:rsid w:val="00BC6164"/>
    <w:rsid w:val="00BC7802"/>
    <w:rsid w:val="00BD2E2D"/>
    <w:rsid w:val="00BD4C4F"/>
    <w:rsid w:val="00BD7930"/>
    <w:rsid w:val="00BE7990"/>
    <w:rsid w:val="00BF5562"/>
    <w:rsid w:val="00BF591E"/>
    <w:rsid w:val="00C10044"/>
    <w:rsid w:val="00C232A1"/>
    <w:rsid w:val="00C232D2"/>
    <w:rsid w:val="00C26126"/>
    <w:rsid w:val="00C272E4"/>
    <w:rsid w:val="00C3234E"/>
    <w:rsid w:val="00C323F7"/>
    <w:rsid w:val="00C350ED"/>
    <w:rsid w:val="00C37017"/>
    <w:rsid w:val="00C4149F"/>
    <w:rsid w:val="00C455E7"/>
    <w:rsid w:val="00C52073"/>
    <w:rsid w:val="00C566BF"/>
    <w:rsid w:val="00C6150D"/>
    <w:rsid w:val="00C671D7"/>
    <w:rsid w:val="00C717D1"/>
    <w:rsid w:val="00C7678B"/>
    <w:rsid w:val="00C9784A"/>
    <w:rsid w:val="00C97ABE"/>
    <w:rsid w:val="00CA0837"/>
    <w:rsid w:val="00CA1689"/>
    <w:rsid w:val="00CA3B9D"/>
    <w:rsid w:val="00CB0054"/>
    <w:rsid w:val="00CB1805"/>
    <w:rsid w:val="00CB516C"/>
    <w:rsid w:val="00CB7045"/>
    <w:rsid w:val="00CC0D9D"/>
    <w:rsid w:val="00CC3B44"/>
    <w:rsid w:val="00CC506E"/>
    <w:rsid w:val="00CC61B3"/>
    <w:rsid w:val="00CC7BA2"/>
    <w:rsid w:val="00CD2B32"/>
    <w:rsid w:val="00CD50F2"/>
    <w:rsid w:val="00CD6B42"/>
    <w:rsid w:val="00CE24DE"/>
    <w:rsid w:val="00CE2E9F"/>
    <w:rsid w:val="00CE4D1E"/>
    <w:rsid w:val="00CE64C6"/>
    <w:rsid w:val="00CF0D45"/>
    <w:rsid w:val="00CF1F83"/>
    <w:rsid w:val="00CF35A7"/>
    <w:rsid w:val="00CF7316"/>
    <w:rsid w:val="00D013D5"/>
    <w:rsid w:val="00D06802"/>
    <w:rsid w:val="00D10B13"/>
    <w:rsid w:val="00D118F4"/>
    <w:rsid w:val="00D1405C"/>
    <w:rsid w:val="00D163C7"/>
    <w:rsid w:val="00D16AD1"/>
    <w:rsid w:val="00D22475"/>
    <w:rsid w:val="00D2581C"/>
    <w:rsid w:val="00D52795"/>
    <w:rsid w:val="00D5470B"/>
    <w:rsid w:val="00D55047"/>
    <w:rsid w:val="00D62520"/>
    <w:rsid w:val="00D628F5"/>
    <w:rsid w:val="00D67DD4"/>
    <w:rsid w:val="00D70057"/>
    <w:rsid w:val="00D7086A"/>
    <w:rsid w:val="00D70B62"/>
    <w:rsid w:val="00D7188E"/>
    <w:rsid w:val="00D7536B"/>
    <w:rsid w:val="00D75C70"/>
    <w:rsid w:val="00D75D05"/>
    <w:rsid w:val="00D765D6"/>
    <w:rsid w:val="00D80D23"/>
    <w:rsid w:val="00D905F7"/>
    <w:rsid w:val="00D93EC1"/>
    <w:rsid w:val="00D94229"/>
    <w:rsid w:val="00D97710"/>
    <w:rsid w:val="00DA05D2"/>
    <w:rsid w:val="00DA0968"/>
    <w:rsid w:val="00DA31CB"/>
    <w:rsid w:val="00DA4CB6"/>
    <w:rsid w:val="00DB258B"/>
    <w:rsid w:val="00DB4E08"/>
    <w:rsid w:val="00DB6763"/>
    <w:rsid w:val="00DB6DFE"/>
    <w:rsid w:val="00DC0FD1"/>
    <w:rsid w:val="00DC2E6A"/>
    <w:rsid w:val="00DC42BF"/>
    <w:rsid w:val="00DC5522"/>
    <w:rsid w:val="00DD11EE"/>
    <w:rsid w:val="00DD16D5"/>
    <w:rsid w:val="00DD74F9"/>
    <w:rsid w:val="00DD75F5"/>
    <w:rsid w:val="00DE2E23"/>
    <w:rsid w:val="00DE4652"/>
    <w:rsid w:val="00DE73B5"/>
    <w:rsid w:val="00E03D06"/>
    <w:rsid w:val="00E04735"/>
    <w:rsid w:val="00E07BCA"/>
    <w:rsid w:val="00E11323"/>
    <w:rsid w:val="00E2666B"/>
    <w:rsid w:val="00E26F57"/>
    <w:rsid w:val="00E319FC"/>
    <w:rsid w:val="00E32F90"/>
    <w:rsid w:val="00E33B39"/>
    <w:rsid w:val="00E37E22"/>
    <w:rsid w:val="00E47043"/>
    <w:rsid w:val="00E52718"/>
    <w:rsid w:val="00E5404C"/>
    <w:rsid w:val="00E542EF"/>
    <w:rsid w:val="00E57859"/>
    <w:rsid w:val="00E61039"/>
    <w:rsid w:val="00E626EC"/>
    <w:rsid w:val="00E6323D"/>
    <w:rsid w:val="00E63DC3"/>
    <w:rsid w:val="00E70A9B"/>
    <w:rsid w:val="00E7480B"/>
    <w:rsid w:val="00E75592"/>
    <w:rsid w:val="00E77438"/>
    <w:rsid w:val="00E806E5"/>
    <w:rsid w:val="00E826F7"/>
    <w:rsid w:val="00E82AAA"/>
    <w:rsid w:val="00E83F11"/>
    <w:rsid w:val="00E85543"/>
    <w:rsid w:val="00E86F26"/>
    <w:rsid w:val="00E87814"/>
    <w:rsid w:val="00E91C25"/>
    <w:rsid w:val="00E920E9"/>
    <w:rsid w:val="00E9389E"/>
    <w:rsid w:val="00E9590B"/>
    <w:rsid w:val="00EA2BBD"/>
    <w:rsid w:val="00EB0362"/>
    <w:rsid w:val="00EB4456"/>
    <w:rsid w:val="00EB78C5"/>
    <w:rsid w:val="00EC3A64"/>
    <w:rsid w:val="00ED5FC1"/>
    <w:rsid w:val="00ED69A8"/>
    <w:rsid w:val="00EE17F2"/>
    <w:rsid w:val="00EE1B14"/>
    <w:rsid w:val="00EE39A9"/>
    <w:rsid w:val="00EE645C"/>
    <w:rsid w:val="00EE7B4D"/>
    <w:rsid w:val="00EF3A0F"/>
    <w:rsid w:val="00EF47EB"/>
    <w:rsid w:val="00F02F54"/>
    <w:rsid w:val="00F05504"/>
    <w:rsid w:val="00F05A89"/>
    <w:rsid w:val="00F05EB4"/>
    <w:rsid w:val="00F06568"/>
    <w:rsid w:val="00F103B8"/>
    <w:rsid w:val="00F2031A"/>
    <w:rsid w:val="00F20857"/>
    <w:rsid w:val="00F241E5"/>
    <w:rsid w:val="00F24BFE"/>
    <w:rsid w:val="00F26769"/>
    <w:rsid w:val="00F308EE"/>
    <w:rsid w:val="00F31AAB"/>
    <w:rsid w:val="00F32E20"/>
    <w:rsid w:val="00F40273"/>
    <w:rsid w:val="00F43736"/>
    <w:rsid w:val="00F44E8B"/>
    <w:rsid w:val="00F451BD"/>
    <w:rsid w:val="00F52212"/>
    <w:rsid w:val="00F52273"/>
    <w:rsid w:val="00F52A48"/>
    <w:rsid w:val="00F55B86"/>
    <w:rsid w:val="00F65889"/>
    <w:rsid w:val="00F70BDF"/>
    <w:rsid w:val="00F70E84"/>
    <w:rsid w:val="00F75868"/>
    <w:rsid w:val="00F82662"/>
    <w:rsid w:val="00F91FE2"/>
    <w:rsid w:val="00F92DEB"/>
    <w:rsid w:val="00F94F30"/>
    <w:rsid w:val="00F95117"/>
    <w:rsid w:val="00F96B1A"/>
    <w:rsid w:val="00FA1F0B"/>
    <w:rsid w:val="00FA3FE3"/>
    <w:rsid w:val="00FA7953"/>
    <w:rsid w:val="00FB0B7B"/>
    <w:rsid w:val="00FB0C79"/>
    <w:rsid w:val="00FB5889"/>
    <w:rsid w:val="00FB61D9"/>
    <w:rsid w:val="00FB7766"/>
    <w:rsid w:val="00FB7D1F"/>
    <w:rsid w:val="00FB7F72"/>
    <w:rsid w:val="00FC168B"/>
    <w:rsid w:val="00FC2A89"/>
    <w:rsid w:val="00FD4090"/>
    <w:rsid w:val="00FD51FC"/>
    <w:rsid w:val="00FD5C94"/>
    <w:rsid w:val="00FD7D70"/>
    <w:rsid w:val="00FE0A44"/>
    <w:rsid w:val="00FE2613"/>
    <w:rsid w:val="00FE642B"/>
    <w:rsid w:val="00FF7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70E"/>
    <w:pPr>
      <w:widowControl w:val="0"/>
      <w:spacing w:after="0" w:line="240" w:lineRule="auto"/>
    </w:pPr>
    <w:rPr>
      <w:rFonts w:ascii="Times New Roman" w:eastAsia="Times New Roman" w:hAnsi="Times New Roman" w:cs="Mangal"/>
      <w:sz w:val="20"/>
      <w:szCs w:val="20"/>
      <w:lang w:bidi="hi-IN"/>
    </w:rPr>
  </w:style>
  <w:style w:type="paragraph" w:styleId="Heading5">
    <w:name w:val="heading 5"/>
    <w:basedOn w:val="Normal"/>
    <w:next w:val="Normal"/>
    <w:link w:val="Heading5Char"/>
    <w:qFormat/>
    <w:rsid w:val="0065570E"/>
    <w:pPr>
      <w:keepNext/>
      <w:widowControl/>
      <w:jc w:val="right"/>
      <w:outlineLvl w:val="4"/>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5570E"/>
    <w:rPr>
      <w:rFonts w:ascii="Times New Roman" w:eastAsia="Times New Roman" w:hAnsi="Times New Roman" w:cs="Mangal"/>
      <w:sz w:val="26"/>
      <w:szCs w:val="26"/>
      <w:lang w:bidi="hi-IN"/>
    </w:rPr>
  </w:style>
  <w:style w:type="paragraph" w:styleId="Title">
    <w:name w:val="Title"/>
    <w:basedOn w:val="Normal"/>
    <w:link w:val="TitleChar"/>
    <w:qFormat/>
    <w:rsid w:val="0065570E"/>
    <w:pPr>
      <w:widowControl/>
      <w:jc w:val="center"/>
    </w:pPr>
    <w:rPr>
      <w:b/>
      <w:bCs/>
      <w:sz w:val="26"/>
      <w:szCs w:val="26"/>
    </w:rPr>
  </w:style>
  <w:style w:type="character" w:customStyle="1" w:styleId="TitleChar">
    <w:name w:val="Title Char"/>
    <w:basedOn w:val="DefaultParagraphFont"/>
    <w:link w:val="Title"/>
    <w:rsid w:val="0065570E"/>
    <w:rPr>
      <w:rFonts w:ascii="Times New Roman" w:eastAsia="Times New Roman" w:hAnsi="Times New Roman" w:cs="Mangal"/>
      <w:b/>
      <w:bCs/>
      <w:sz w:val="26"/>
      <w:szCs w:val="26"/>
      <w:lang w:bidi="hi-IN"/>
    </w:rPr>
  </w:style>
  <w:style w:type="paragraph" w:styleId="EndnoteText">
    <w:name w:val="endnote text"/>
    <w:basedOn w:val="Normal"/>
    <w:link w:val="EndnoteTextChar"/>
    <w:uiPriority w:val="99"/>
    <w:semiHidden/>
    <w:unhideWhenUsed/>
    <w:rsid w:val="00F05504"/>
    <w:rPr>
      <w:szCs w:val="18"/>
    </w:rPr>
  </w:style>
  <w:style w:type="character" w:customStyle="1" w:styleId="EndnoteTextChar">
    <w:name w:val="Endnote Text Char"/>
    <w:basedOn w:val="DefaultParagraphFont"/>
    <w:link w:val="EndnoteText"/>
    <w:uiPriority w:val="99"/>
    <w:semiHidden/>
    <w:rsid w:val="00F05504"/>
    <w:rPr>
      <w:rFonts w:ascii="Times New Roman" w:eastAsia="Times New Roman" w:hAnsi="Times New Roman" w:cs="Mangal"/>
      <w:sz w:val="20"/>
      <w:szCs w:val="18"/>
      <w:lang w:bidi="hi-IN"/>
    </w:rPr>
  </w:style>
  <w:style w:type="character" w:styleId="EndnoteReference">
    <w:name w:val="endnote reference"/>
    <w:basedOn w:val="DefaultParagraphFont"/>
    <w:uiPriority w:val="99"/>
    <w:semiHidden/>
    <w:unhideWhenUsed/>
    <w:rsid w:val="00F05504"/>
    <w:rPr>
      <w:vertAlign w:val="superscript"/>
    </w:rPr>
  </w:style>
  <w:style w:type="paragraph" w:styleId="FootnoteText">
    <w:name w:val="footnote text"/>
    <w:basedOn w:val="Normal"/>
    <w:link w:val="FootnoteTextChar"/>
    <w:uiPriority w:val="99"/>
    <w:semiHidden/>
    <w:unhideWhenUsed/>
    <w:rsid w:val="00F05504"/>
    <w:rPr>
      <w:szCs w:val="18"/>
    </w:rPr>
  </w:style>
  <w:style w:type="character" w:customStyle="1" w:styleId="FootnoteTextChar">
    <w:name w:val="Footnote Text Char"/>
    <w:basedOn w:val="DefaultParagraphFont"/>
    <w:link w:val="FootnoteText"/>
    <w:uiPriority w:val="99"/>
    <w:semiHidden/>
    <w:rsid w:val="00F05504"/>
    <w:rPr>
      <w:rFonts w:ascii="Times New Roman" w:eastAsia="Times New Roman" w:hAnsi="Times New Roman" w:cs="Mangal"/>
      <w:sz w:val="20"/>
      <w:szCs w:val="18"/>
      <w:lang w:bidi="hi-IN"/>
    </w:rPr>
  </w:style>
  <w:style w:type="character" w:styleId="FootnoteReference">
    <w:name w:val="footnote reference"/>
    <w:basedOn w:val="DefaultParagraphFont"/>
    <w:uiPriority w:val="99"/>
    <w:semiHidden/>
    <w:unhideWhenUsed/>
    <w:rsid w:val="00F05504"/>
    <w:rPr>
      <w:vertAlign w:val="superscript"/>
    </w:rPr>
  </w:style>
  <w:style w:type="character" w:styleId="Hyperlink">
    <w:name w:val="Hyperlink"/>
    <w:basedOn w:val="DefaultParagraphFont"/>
    <w:rsid w:val="00B8247B"/>
    <w:rPr>
      <w:color w:val="0000FF"/>
      <w:u w:val="single"/>
    </w:rPr>
  </w:style>
  <w:style w:type="character" w:customStyle="1" w:styleId="term1">
    <w:name w:val="term1"/>
    <w:basedOn w:val="DefaultParagraphFont"/>
    <w:rsid w:val="00B8247B"/>
    <w:rPr>
      <w:b/>
      <w:bCs/>
    </w:rPr>
  </w:style>
  <w:style w:type="paragraph" w:styleId="Header">
    <w:name w:val="header"/>
    <w:basedOn w:val="Normal"/>
    <w:link w:val="HeaderChar"/>
    <w:uiPriority w:val="99"/>
    <w:semiHidden/>
    <w:unhideWhenUsed/>
    <w:rsid w:val="00CC506E"/>
    <w:pPr>
      <w:tabs>
        <w:tab w:val="center" w:pos="4680"/>
        <w:tab w:val="right" w:pos="9360"/>
      </w:tabs>
    </w:pPr>
    <w:rPr>
      <w:szCs w:val="18"/>
    </w:rPr>
  </w:style>
  <w:style w:type="character" w:customStyle="1" w:styleId="HeaderChar">
    <w:name w:val="Header Char"/>
    <w:basedOn w:val="DefaultParagraphFont"/>
    <w:link w:val="Header"/>
    <w:uiPriority w:val="99"/>
    <w:semiHidden/>
    <w:rsid w:val="00CC506E"/>
    <w:rPr>
      <w:rFonts w:ascii="Times New Roman" w:eastAsia="Times New Roman" w:hAnsi="Times New Roman" w:cs="Mangal"/>
      <w:sz w:val="20"/>
      <w:szCs w:val="18"/>
      <w:lang w:bidi="hi-IN"/>
    </w:rPr>
  </w:style>
  <w:style w:type="paragraph" w:styleId="Footer">
    <w:name w:val="footer"/>
    <w:basedOn w:val="Normal"/>
    <w:link w:val="FooterChar"/>
    <w:uiPriority w:val="99"/>
    <w:unhideWhenUsed/>
    <w:rsid w:val="00CC506E"/>
    <w:pPr>
      <w:tabs>
        <w:tab w:val="center" w:pos="4680"/>
        <w:tab w:val="right" w:pos="9360"/>
      </w:tabs>
    </w:pPr>
    <w:rPr>
      <w:szCs w:val="18"/>
    </w:rPr>
  </w:style>
  <w:style w:type="character" w:customStyle="1" w:styleId="FooterChar">
    <w:name w:val="Footer Char"/>
    <w:basedOn w:val="DefaultParagraphFont"/>
    <w:link w:val="Footer"/>
    <w:uiPriority w:val="99"/>
    <w:rsid w:val="00CC506E"/>
    <w:rPr>
      <w:rFonts w:ascii="Times New Roman" w:eastAsia="Times New Roman" w:hAnsi="Times New Roman" w:cs="Mangal"/>
      <w:sz w:val="20"/>
      <w:szCs w:val="18"/>
      <w:lang w:bidi="hi-IN"/>
    </w:rPr>
  </w:style>
  <w:style w:type="paragraph" w:styleId="BodyText">
    <w:name w:val="Body Text"/>
    <w:basedOn w:val="Normal"/>
    <w:link w:val="BodyTextChar"/>
    <w:rsid w:val="0027781B"/>
    <w:pPr>
      <w:widowControl/>
      <w:overflowPunct w:val="0"/>
      <w:autoSpaceDE w:val="0"/>
      <w:autoSpaceDN w:val="0"/>
      <w:adjustRightInd w:val="0"/>
      <w:spacing w:after="120"/>
      <w:textAlignment w:val="baseline"/>
    </w:pPr>
    <w:rPr>
      <w:rFonts w:cs="Times New Roman"/>
      <w:sz w:val="26"/>
      <w:lang w:bidi="ar-SA"/>
    </w:rPr>
  </w:style>
  <w:style w:type="character" w:customStyle="1" w:styleId="BodyTextChar">
    <w:name w:val="Body Text Char"/>
    <w:basedOn w:val="DefaultParagraphFont"/>
    <w:link w:val="BodyText"/>
    <w:rsid w:val="0027781B"/>
    <w:rPr>
      <w:rFonts w:ascii="Times New Roman" w:eastAsia="Times New Roman" w:hAnsi="Times New Roman" w:cs="Times New Roman"/>
      <w:sz w:val="26"/>
      <w:szCs w:val="20"/>
    </w:rPr>
  </w:style>
  <w:style w:type="paragraph" w:styleId="ListParagraph">
    <w:name w:val="List Paragraph"/>
    <w:basedOn w:val="Normal"/>
    <w:uiPriority w:val="34"/>
    <w:qFormat/>
    <w:rsid w:val="00A57B2D"/>
    <w:pPr>
      <w:ind w:left="720"/>
    </w:pPr>
    <w:rPr>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8AB8A-A627-4136-9F2F-911E9DC47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2616</Words>
  <Characters>14914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kvillwock</dc:creator>
  <cp:keywords/>
  <dc:description/>
  <cp:lastModifiedBy>joyce marie farner</cp:lastModifiedBy>
  <cp:revision>5</cp:revision>
  <cp:lastPrinted>2010-01-05T18:27:00Z</cp:lastPrinted>
  <dcterms:created xsi:type="dcterms:W3CDTF">2009-12-23T21:12:00Z</dcterms:created>
  <dcterms:modified xsi:type="dcterms:W3CDTF">2010-01-05T18:28:00Z</dcterms:modified>
</cp:coreProperties>
</file>