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D850D4" w:rsidRPr="00A24556">
        <w:tc>
          <w:tcPr>
            <w:tcW w:w="2448" w:type="dxa"/>
          </w:tcPr>
          <w:p w:rsidR="00D850D4" w:rsidRPr="00A24556" w:rsidRDefault="00D850D4" w:rsidP="00092C0A">
            <w:pPr>
              <w:pStyle w:val="Heading3"/>
              <w:rPr>
                <w:rFonts w:ascii="Times New Roman" w:hAnsi="Times New Roman" w:cs="Times New Roman"/>
              </w:rPr>
            </w:pPr>
          </w:p>
        </w:tc>
        <w:tc>
          <w:tcPr>
            <w:tcW w:w="5130" w:type="dxa"/>
          </w:tcPr>
          <w:p w:rsidR="00D850D4" w:rsidRPr="00A24556" w:rsidRDefault="00D850D4">
            <w:pPr>
              <w:jc w:val="center"/>
              <w:rPr>
                <w:b/>
                <w:sz w:val="26"/>
                <w:szCs w:val="26"/>
              </w:rPr>
            </w:pPr>
            <w:r w:rsidRPr="00A24556">
              <w:rPr>
                <w:b/>
                <w:sz w:val="26"/>
                <w:szCs w:val="26"/>
              </w:rPr>
              <w:t>PENNSYLVANIA</w:t>
            </w:r>
          </w:p>
          <w:p w:rsidR="00D850D4" w:rsidRPr="00A24556" w:rsidRDefault="00D850D4">
            <w:pPr>
              <w:jc w:val="center"/>
              <w:rPr>
                <w:b/>
                <w:sz w:val="26"/>
                <w:szCs w:val="26"/>
              </w:rPr>
            </w:pPr>
            <w:r w:rsidRPr="00A24556">
              <w:rPr>
                <w:b/>
                <w:sz w:val="26"/>
                <w:szCs w:val="26"/>
              </w:rPr>
              <w:t>PUBLIC UTILITY COMMISSION</w:t>
            </w:r>
          </w:p>
          <w:p w:rsidR="00D850D4" w:rsidRPr="00A24556" w:rsidRDefault="00D850D4" w:rsidP="00092C0A">
            <w:pPr>
              <w:pStyle w:val="StyleCentered"/>
              <w:rPr>
                <w:b/>
                <w:sz w:val="26"/>
                <w:szCs w:val="26"/>
              </w:rPr>
            </w:pPr>
            <w:r w:rsidRPr="00A24556">
              <w:rPr>
                <w:b/>
                <w:sz w:val="26"/>
                <w:szCs w:val="26"/>
              </w:rPr>
              <w:t>Harrisburg</w:t>
            </w:r>
            <w:r w:rsidR="00E51F9E" w:rsidRPr="00A24556">
              <w:rPr>
                <w:b/>
                <w:sz w:val="26"/>
                <w:szCs w:val="26"/>
              </w:rPr>
              <w:t>, PA</w:t>
            </w:r>
            <w:r w:rsidRPr="00A24556">
              <w:rPr>
                <w:b/>
                <w:sz w:val="26"/>
                <w:szCs w:val="26"/>
              </w:rPr>
              <w:t xml:space="preserve">  17105-3265</w:t>
            </w:r>
          </w:p>
        </w:tc>
        <w:tc>
          <w:tcPr>
            <w:tcW w:w="2700" w:type="dxa"/>
          </w:tcPr>
          <w:p w:rsidR="00D850D4" w:rsidRPr="00A24556" w:rsidRDefault="00D850D4">
            <w:pPr>
              <w:rPr>
                <w:sz w:val="26"/>
                <w:szCs w:val="26"/>
              </w:rPr>
            </w:pPr>
          </w:p>
        </w:tc>
      </w:tr>
    </w:tbl>
    <w:p w:rsidR="00D850D4" w:rsidRPr="00A24556" w:rsidRDefault="00D850D4">
      <w:pPr>
        <w:rPr>
          <w:sz w:val="26"/>
          <w:szCs w:val="26"/>
        </w:rPr>
      </w:pPr>
    </w:p>
    <w:tbl>
      <w:tblPr>
        <w:tblW w:w="0" w:type="auto"/>
        <w:tblLayout w:type="fixed"/>
        <w:tblLook w:val="0000"/>
      </w:tblPr>
      <w:tblGrid>
        <w:gridCol w:w="5148"/>
        <w:gridCol w:w="5148"/>
      </w:tblGrid>
      <w:tr w:rsidR="00D850D4" w:rsidRPr="00A24556">
        <w:tc>
          <w:tcPr>
            <w:tcW w:w="5148" w:type="dxa"/>
          </w:tcPr>
          <w:p w:rsidR="00D850D4" w:rsidRPr="00A24556" w:rsidRDefault="00D850D4">
            <w:pPr>
              <w:rPr>
                <w:sz w:val="26"/>
                <w:szCs w:val="26"/>
              </w:rPr>
            </w:pPr>
          </w:p>
        </w:tc>
        <w:tc>
          <w:tcPr>
            <w:tcW w:w="5148" w:type="dxa"/>
          </w:tcPr>
          <w:p w:rsidR="00D850D4" w:rsidRPr="00A24556" w:rsidRDefault="00D850D4" w:rsidP="00207A06">
            <w:pPr>
              <w:ind w:firstLine="612"/>
              <w:rPr>
                <w:sz w:val="26"/>
                <w:szCs w:val="26"/>
              </w:rPr>
            </w:pPr>
            <w:r w:rsidRPr="00A24556">
              <w:rPr>
                <w:sz w:val="26"/>
                <w:szCs w:val="26"/>
              </w:rPr>
              <w:t xml:space="preserve">Public Meeting held </w:t>
            </w:r>
            <w:r w:rsidR="00BD4D8C">
              <w:rPr>
                <w:sz w:val="26"/>
                <w:szCs w:val="26"/>
              </w:rPr>
              <w:t>January 14, 2010</w:t>
            </w:r>
          </w:p>
        </w:tc>
      </w:tr>
      <w:tr w:rsidR="00684B85" w:rsidRPr="00A24556">
        <w:tc>
          <w:tcPr>
            <w:tcW w:w="5148" w:type="dxa"/>
          </w:tcPr>
          <w:p w:rsidR="00684B85" w:rsidRPr="00A24556" w:rsidRDefault="00684B85">
            <w:pPr>
              <w:rPr>
                <w:sz w:val="26"/>
                <w:szCs w:val="26"/>
              </w:rPr>
            </w:pPr>
          </w:p>
        </w:tc>
        <w:tc>
          <w:tcPr>
            <w:tcW w:w="5148" w:type="dxa"/>
          </w:tcPr>
          <w:p w:rsidR="00684B85" w:rsidRPr="00A24556" w:rsidRDefault="00684B85">
            <w:pPr>
              <w:rPr>
                <w:sz w:val="26"/>
                <w:szCs w:val="26"/>
              </w:rPr>
            </w:pPr>
          </w:p>
        </w:tc>
      </w:tr>
      <w:tr w:rsidR="00D850D4" w:rsidRPr="00A24556">
        <w:tc>
          <w:tcPr>
            <w:tcW w:w="5148" w:type="dxa"/>
          </w:tcPr>
          <w:p w:rsidR="00D850D4" w:rsidRPr="00A24556" w:rsidRDefault="00D850D4">
            <w:pPr>
              <w:rPr>
                <w:sz w:val="26"/>
                <w:szCs w:val="26"/>
              </w:rPr>
            </w:pPr>
            <w:r w:rsidRPr="00A24556">
              <w:rPr>
                <w:sz w:val="26"/>
                <w:szCs w:val="26"/>
              </w:rPr>
              <w:t>Commissioners Present:</w:t>
            </w:r>
          </w:p>
        </w:tc>
        <w:tc>
          <w:tcPr>
            <w:tcW w:w="5148" w:type="dxa"/>
          </w:tcPr>
          <w:p w:rsidR="00D850D4" w:rsidRPr="00A24556" w:rsidRDefault="00D850D4">
            <w:pPr>
              <w:rPr>
                <w:sz w:val="26"/>
                <w:szCs w:val="26"/>
              </w:rPr>
            </w:pPr>
          </w:p>
        </w:tc>
      </w:tr>
    </w:tbl>
    <w:p w:rsidR="00D850D4" w:rsidRPr="00A24556" w:rsidRDefault="00D850D4">
      <w:pPr>
        <w:rPr>
          <w:sz w:val="26"/>
          <w:szCs w:val="26"/>
        </w:rPr>
      </w:pPr>
    </w:p>
    <w:tbl>
      <w:tblPr>
        <w:tblW w:w="10278" w:type="dxa"/>
        <w:tblLayout w:type="fixed"/>
        <w:tblLook w:val="0000"/>
      </w:tblPr>
      <w:tblGrid>
        <w:gridCol w:w="4878"/>
        <w:gridCol w:w="270"/>
        <w:gridCol w:w="5130"/>
      </w:tblGrid>
      <w:tr w:rsidR="00580531" w:rsidRPr="00A24556" w:rsidTr="00684B85">
        <w:trPr>
          <w:trHeight w:val="289"/>
        </w:trPr>
        <w:tc>
          <w:tcPr>
            <w:tcW w:w="4878" w:type="dxa"/>
          </w:tcPr>
          <w:p w:rsidR="00580531" w:rsidRPr="00A24556" w:rsidRDefault="00580531" w:rsidP="004E12AE">
            <w:pPr>
              <w:overflowPunct/>
              <w:ind w:left="360"/>
              <w:textAlignment w:val="auto"/>
              <w:rPr>
                <w:sz w:val="26"/>
                <w:szCs w:val="26"/>
              </w:rPr>
            </w:pPr>
            <w:r w:rsidRPr="00A24556">
              <w:rPr>
                <w:sz w:val="26"/>
                <w:szCs w:val="26"/>
              </w:rPr>
              <w:t>James H. Cawley, Chairman</w:t>
            </w:r>
          </w:p>
        </w:tc>
        <w:tc>
          <w:tcPr>
            <w:tcW w:w="270" w:type="dxa"/>
          </w:tcPr>
          <w:p w:rsidR="00580531" w:rsidRPr="00A24556" w:rsidRDefault="00580531">
            <w:pPr>
              <w:rPr>
                <w:sz w:val="26"/>
                <w:szCs w:val="26"/>
              </w:rPr>
            </w:pPr>
          </w:p>
        </w:tc>
        <w:tc>
          <w:tcPr>
            <w:tcW w:w="5130" w:type="dxa"/>
          </w:tcPr>
          <w:p w:rsidR="00580531" w:rsidRPr="00A24556" w:rsidRDefault="00580531">
            <w:pPr>
              <w:rPr>
                <w:sz w:val="26"/>
                <w:szCs w:val="26"/>
              </w:rPr>
            </w:pPr>
          </w:p>
        </w:tc>
      </w:tr>
      <w:tr w:rsidR="00580531" w:rsidRPr="00A24556" w:rsidTr="00684B85">
        <w:trPr>
          <w:trHeight w:val="304"/>
        </w:trPr>
        <w:tc>
          <w:tcPr>
            <w:tcW w:w="4878" w:type="dxa"/>
          </w:tcPr>
          <w:p w:rsidR="00580531" w:rsidRPr="00A24556" w:rsidRDefault="00580531" w:rsidP="004E12AE">
            <w:pPr>
              <w:overflowPunct/>
              <w:ind w:left="360"/>
              <w:textAlignment w:val="auto"/>
              <w:rPr>
                <w:sz w:val="26"/>
                <w:szCs w:val="26"/>
              </w:rPr>
            </w:pPr>
            <w:r w:rsidRPr="00A24556">
              <w:rPr>
                <w:sz w:val="26"/>
                <w:szCs w:val="26"/>
              </w:rPr>
              <w:t>Tyrone J. Christy, Vice Chairman</w:t>
            </w:r>
          </w:p>
        </w:tc>
        <w:tc>
          <w:tcPr>
            <w:tcW w:w="270" w:type="dxa"/>
          </w:tcPr>
          <w:p w:rsidR="00580531" w:rsidRPr="00A24556" w:rsidRDefault="00580531">
            <w:pPr>
              <w:rPr>
                <w:sz w:val="26"/>
                <w:szCs w:val="26"/>
              </w:rPr>
            </w:pPr>
          </w:p>
        </w:tc>
        <w:tc>
          <w:tcPr>
            <w:tcW w:w="5130" w:type="dxa"/>
          </w:tcPr>
          <w:p w:rsidR="00580531" w:rsidRPr="00A24556" w:rsidRDefault="00580531">
            <w:pPr>
              <w:rPr>
                <w:sz w:val="26"/>
                <w:szCs w:val="26"/>
              </w:rPr>
            </w:pPr>
          </w:p>
        </w:tc>
      </w:tr>
      <w:tr w:rsidR="00580531" w:rsidRPr="00A24556" w:rsidTr="00684B85">
        <w:trPr>
          <w:trHeight w:val="304"/>
        </w:trPr>
        <w:tc>
          <w:tcPr>
            <w:tcW w:w="4878" w:type="dxa"/>
          </w:tcPr>
          <w:p w:rsidR="00580531" w:rsidRPr="00A24556" w:rsidRDefault="00580531" w:rsidP="004E12AE">
            <w:pPr>
              <w:overflowPunct/>
              <w:ind w:left="360"/>
              <w:textAlignment w:val="auto"/>
              <w:rPr>
                <w:sz w:val="26"/>
                <w:szCs w:val="26"/>
              </w:rPr>
            </w:pPr>
            <w:r w:rsidRPr="00A24556">
              <w:rPr>
                <w:sz w:val="26"/>
                <w:szCs w:val="26"/>
              </w:rPr>
              <w:t>Kim Pizzingrilli</w:t>
            </w:r>
          </w:p>
        </w:tc>
        <w:tc>
          <w:tcPr>
            <w:tcW w:w="270" w:type="dxa"/>
          </w:tcPr>
          <w:p w:rsidR="00580531" w:rsidRPr="00A24556" w:rsidRDefault="00580531">
            <w:pPr>
              <w:rPr>
                <w:sz w:val="26"/>
                <w:szCs w:val="26"/>
              </w:rPr>
            </w:pPr>
          </w:p>
        </w:tc>
        <w:tc>
          <w:tcPr>
            <w:tcW w:w="5130" w:type="dxa"/>
          </w:tcPr>
          <w:p w:rsidR="00580531" w:rsidRPr="00A24556" w:rsidRDefault="00580531" w:rsidP="007948FA">
            <w:pPr>
              <w:tabs>
                <w:tab w:val="left" w:pos="4920"/>
              </w:tabs>
              <w:rPr>
                <w:sz w:val="26"/>
                <w:szCs w:val="26"/>
              </w:rPr>
            </w:pPr>
          </w:p>
        </w:tc>
      </w:tr>
      <w:tr w:rsidR="00580531" w:rsidRPr="00A24556" w:rsidTr="00684B85">
        <w:trPr>
          <w:trHeight w:val="304"/>
        </w:trPr>
        <w:tc>
          <w:tcPr>
            <w:tcW w:w="4878" w:type="dxa"/>
          </w:tcPr>
          <w:p w:rsidR="00580531" w:rsidRPr="00A24556" w:rsidRDefault="00580531" w:rsidP="00BD3BAE">
            <w:pPr>
              <w:overflowPunct/>
              <w:ind w:left="360"/>
              <w:textAlignment w:val="auto"/>
              <w:rPr>
                <w:sz w:val="26"/>
                <w:szCs w:val="26"/>
              </w:rPr>
            </w:pPr>
            <w:r w:rsidRPr="00A24556">
              <w:rPr>
                <w:sz w:val="26"/>
                <w:szCs w:val="26"/>
              </w:rPr>
              <w:t>Wayne E. Gardner</w:t>
            </w:r>
          </w:p>
        </w:tc>
        <w:tc>
          <w:tcPr>
            <w:tcW w:w="270" w:type="dxa"/>
          </w:tcPr>
          <w:p w:rsidR="00580531" w:rsidRPr="00A24556" w:rsidRDefault="00580531">
            <w:pPr>
              <w:rPr>
                <w:sz w:val="26"/>
                <w:szCs w:val="26"/>
              </w:rPr>
            </w:pPr>
          </w:p>
        </w:tc>
        <w:tc>
          <w:tcPr>
            <w:tcW w:w="5130" w:type="dxa"/>
          </w:tcPr>
          <w:p w:rsidR="00580531" w:rsidRPr="00A24556" w:rsidRDefault="00580531">
            <w:pPr>
              <w:rPr>
                <w:sz w:val="26"/>
                <w:szCs w:val="26"/>
              </w:rPr>
            </w:pPr>
          </w:p>
        </w:tc>
      </w:tr>
      <w:tr w:rsidR="00580531" w:rsidRPr="00A24556" w:rsidTr="00684B85">
        <w:trPr>
          <w:trHeight w:val="304"/>
        </w:trPr>
        <w:tc>
          <w:tcPr>
            <w:tcW w:w="4878" w:type="dxa"/>
          </w:tcPr>
          <w:p w:rsidR="00580531" w:rsidRPr="00A24556" w:rsidRDefault="00580531" w:rsidP="00347F87">
            <w:pPr>
              <w:overflowPunct/>
              <w:ind w:left="360"/>
              <w:textAlignment w:val="auto"/>
              <w:rPr>
                <w:sz w:val="26"/>
                <w:szCs w:val="26"/>
              </w:rPr>
            </w:pPr>
            <w:r w:rsidRPr="00A24556">
              <w:rPr>
                <w:sz w:val="26"/>
                <w:szCs w:val="26"/>
              </w:rPr>
              <w:t>Robert F. Powelson</w:t>
            </w:r>
          </w:p>
        </w:tc>
        <w:tc>
          <w:tcPr>
            <w:tcW w:w="270" w:type="dxa"/>
          </w:tcPr>
          <w:p w:rsidR="00580531" w:rsidRPr="00A24556" w:rsidRDefault="00580531">
            <w:pPr>
              <w:rPr>
                <w:sz w:val="26"/>
                <w:szCs w:val="26"/>
              </w:rPr>
            </w:pPr>
          </w:p>
        </w:tc>
        <w:tc>
          <w:tcPr>
            <w:tcW w:w="5130" w:type="dxa"/>
          </w:tcPr>
          <w:p w:rsidR="00580531" w:rsidRPr="00A24556" w:rsidRDefault="00580531">
            <w:pPr>
              <w:rPr>
                <w:sz w:val="26"/>
                <w:szCs w:val="26"/>
              </w:rPr>
            </w:pPr>
          </w:p>
        </w:tc>
      </w:tr>
      <w:tr w:rsidR="00580531" w:rsidRPr="00A24556" w:rsidTr="00684B85">
        <w:trPr>
          <w:trHeight w:val="289"/>
        </w:trPr>
        <w:tc>
          <w:tcPr>
            <w:tcW w:w="4878" w:type="dxa"/>
          </w:tcPr>
          <w:p w:rsidR="00580531" w:rsidRPr="00A24556" w:rsidRDefault="00580531" w:rsidP="00347F87">
            <w:pPr>
              <w:overflowPunct/>
              <w:ind w:left="360"/>
              <w:textAlignment w:val="auto"/>
              <w:rPr>
                <w:sz w:val="26"/>
                <w:szCs w:val="26"/>
              </w:rPr>
            </w:pPr>
          </w:p>
        </w:tc>
        <w:tc>
          <w:tcPr>
            <w:tcW w:w="270" w:type="dxa"/>
          </w:tcPr>
          <w:p w:rsidR="00580531" w:rsidRPr="00A24556" w:rsidRDefault="00580531">
            <w:pPr>
              <w:rPr>
                <w:sz w:val="26"/>
                <w:szCs w:val="26"/>
              </w:rPr>
            </w:pPr>
          </w:p>
        </w:tc>
        <w:tc>
          <w:tcPr>
            <w:tcW w:w="5130" w:type="dxa"/>
          </w:tcPr>
          <w:p w:rsidR="00580531" w:rsidRPr="00A24556" w:rsidRDefault="00580531">
            <w:pPr>
              <w:rPr>
                <w:sz w:val="26"/>
                <w:szCs w:val="26"/>
              </w:rPr>
            </w:pPr>
          </w:p>
        </w:tc>
      </w:tr>
      <w:tr w:rsidR="00580531" w:rsidRPr="00A24556" w:rsidTr="00684B85">
        <w:trPr>
          <w:trHeight w:val="2128"/>
        </w:trPr>
        <w:tc>
          <w:tcPr>
            <w:tcW w:w="4878" w:type="dxa"/>
          </w:tcPr>
          <w:p w:rsidR="00580531" w:rsidRDefault="00580531" w:rsidP="004A611C">
            <w:pPr>
              <w:overflowPunct/>
              <w:textAlignment w:val="auto"/>
              <w:rPr>
                <w:sz w:val="26"/>
                <w:szCs w:val="26"/>
              </w:rPr>
            </w:pPr>
            <w:r>
              <w:rPr>
                <w:sz w:val="26"/>
                <w:szCs w:val="26"/>
              </w:rPr>
              <w:t xml:space="preserve">Co-Operative Legislative Committee, </w:t>
            </w:r>
          </w:p>
          <w:p w:rsidR="00580531" w:rsidRDefault="00580531" w:rsidP="004A611C">
            <w:pPr>
              <w:overflowPunct/>
              <w:textAlignment w:val="auto"/>
              <w:rPr>
                <w:sz w:val="26"/>
                <w:szCs w:val="26"/>
              </w:rPr>
            </w:pPr>
            <w:r>
              <w:rPr>
                <w:sz w:val="26"/>
                <w:szCs w:val="26"/>
              </w:rPr>
              <w:t xml:space="preserve">Railroad Brotherhoods in the State of </w:t>
            </w:r>
          </w:p>
          <w:p w:rsidR="00580531" w:rsidRDefault="00580531" w:rsidP="004A611C">
            <w:pPr>
              <w:overflowPunct/>
              <w:textAlignment w:val="auto"/>
              <w:rPr>
                <w:sz w:val="26"/>
                <w:szCs w:val="26"/>
              </w:rPr>
            </w:pPr>
            <w:r>
              <w:rPr>
                <w:sz w:val="26"/>
                <w:szCs w:val="26"/>
              </w:rPr>
              <w:t xml:space="preserve">Pennsylvania, </w:t>
            </w:r>
            <w:r w:rsidRPr="00347F87">
              <w:rPr>
                <w:i/>
                <w:sz w:val="26"/>
                <w:szCs w:val="26"/>
              </w:rPr>
              <w:t>et. al.,</w:t>
            </w:r>
            <w:r>
              <w:rPr>
                <w:sz w:val="26"/>
                <w:szCs w:val="26"/>
              </w:rPr>
              <w:t xml:space="preserve"> </w:t>
            </w:r>
          </w:p>
          <w:p w:rsidR="00580531" w:rsidRDefault="00580531" w:rsidP="004E12AE">
            <w:pPr>
              <w:overflowPunct/>
              <w:ind w:left="360"/>
              <w:textAlignment w:val="auto"/>
              <w:rPr>
                <w:sz w:val="26"/>
                <w:szCs w:val="26"/>
              </w:rPr>
            </w:pPr>
            <w:r>
              <w:rPr>
                <w:sz w:val="26"/>
                <w:szCs w:val="26"/>
              </w:rPr>
              <w:t xml:space="preserve">                              v.                                                                   </w:t>
            </w:r>
          </w:p>
          <w:p w:rsidR="00580531" w:rsidRPr="00A24556" w:rsidRDefault="00580531" w:rsidP="00347F87">
            <w:pPr>
              <w:overflowPunct/>
              <w:textAlignment w:val="auto"/>
              <w:rPr>
                <w:sz w:val="26"/>
                <w:szCs w:val="26"/>
              </w:rPr>
            </w:pPr>
            <w:r>
              <w:rPr>
                <w:sz w:val="26"/>
                <w:szCs w:val="26"/>
              </w:rPr>
              <w:t>George F. Baker, Richard C. Bond, Jervis Langdon, Jr. and Willard Wirtz, Trustees of the Property of the Penn Central Transportation Company, Debtor</w:t>
            </w:r>
          </w:p>
        </w:tc>
        <w:tc>
          <w:tcPr>
            <w:tcW w:w="270" w:type="dxa"/>
          </w:tcPr>
          <w:p w:rsidR="00580531" w:rsidRDefault="00580531" w:rsidP="00262EE6">
            <w:pPr>
              <w:rPr>
                <w:sz w:val="26"/>
                <w:szCs w:val="26"/>
              </w:rPr>
            </w:pPr>
          </w:p>
        </w:tc>
        <w:tc>
          <w:tcPr>
            <w:tcW w:w="5130" w:type="dxa"/>
          </w:tcPr>
          <w:p w:rsidR="00580531" w:rsidRDefault="00580531">
            <w:pPr>
              <w:rPr>
                <w:sz w:val="26"/>
                <w:szCs w:val="26"/>
              </w:rPr>
            </w:pPr>
          </w:p>
          <w:p w:rsidR="00580531" w:rsidRDefault="00580531">
            <w:pPr>
              <w:rPr>
                <w:sz w:val="26"/>
                <w:szCs w:val="26"/>
              </w:rPr>
            </w:pPr>
          </w:p>
          <w:p w:rsidR="00580531" w:rsidRDefault="00580531">
            <w:pPr>
              <w:rPr>
                <w:sz w:val="26"/>
                <w:szCs w:val="26"/>
              </w:rPr>
            </w:pPr>
          </w:p>
          <w:p w:rsidR="00580531" w:rsidRPr="00A24556" w:rsidRDefault="007948FA" w:rsidP="003401B0">
            <w:pPr>
              <w:rPr>
                <w:sz w:val="26"/>
                <w:szCs w:val="26"/>
              </w:rPr>
            </w:pPr>
            <w:r>
              <w:rPr>
                <w:sz w:val="26"/>
                <w:szCs w:val="26"/>
              </w:rPr>
              <w:tab/>
            </w:r>
            <w:r>
              <w:rPr>
                <w:sz w:val="26"/>
                <w:szCs w:val="26"/>
              </w:rPr>
              <w:tab/>
            </w:r>
            <w:r w:rsidR="00580531">
              <w:rPr>
                <w:sz w:val="26"/>
                <w:szCs w:val="26"/>
              </w:rPr>
              <w:t>Docket No. C-00019522</w:t>
            </w:r>
          </w:p>
        </w:tc>
      </w:tr>
    </w:tbl>
    <w:p w:rsidR="00D850D4" w:rsidRPr="00A24556" w:rsidRDefault="00D850D4">
      <w:pPr>
        <w:jc w:val="center"/>
        <w:rPr>
          <w:b/>
          <w:sz w:val="26"/>
          <w:szCs w:val="26"/>
        </w:rPr>
      </w:pPr>
    </w:p>
    <w:p w:rsidR="005103E5" w:rsidRDefault="005103E5" w:rsidP="004A611C">
      <w:pPr>
        <w:spacing w:line="360" w:lineRule="auto"/>
        <w:jc w:val="center"/>
        <w:rPr>
          <w:b/>
          <w:sz w:val="26"/>
          <w:szCs w:val="26"/>
        </w:rPr>
      </w:pPr>
    </w:p>
    <w:p w:rsidR="00E96680" w:rsidRPr="00AC1766" w:rsidRDefault="00207A06" w:rsidP="004A611C">
      <w:pPr>
        <w:spacing w:line="360" w:lineRule="auto"/>
        <w:jc w:val="center"/>
        <w:rPr>
          <w:b/>
          <w:sz w:val="26"/>
          <w:szCs w:val="26"/>
        </w:rPr>
      </w:pPr>
      <w:r>
        <w:rPr>
          <w:b/>
          <w:sz w:val="26"/>
          <w:szCs w:val="26"/>
        </w:rPr>
        <w:t xml:space="preserve"> </w:t>
      </w:r>
      <w:r w:rsidR="00225E92" w:rsidRPr="00225E92">
        <w:rPr>
          <w:b/>
          <w:sz w:val="26"/>
          <w:szCs w:val="26"/>
        </w:rPr>
        <w:t>ORDER</w:t>
      </w:r>
    </w:p>
    <w:p w:rsidR="004A611C" w:rsidRPr="004A611C" w:rsidRDefault="004A611C" w:rsidP="004A611C">
      <w:pPr>
        <w:spacing w:line="360" w:lineRule="auto"/>
        <w:jc w:val="center"/>
        <w:rPr>
          <w:b/>
          <w:sz w:val="26"/>
          <w:szCs w:val="26"/>
        </w:rPr>
      </w:pPr>
    </w:p>
    <w:p w:rsidR="00DF0470" w:rsidRDefault="00DF0470" w:rsidP="00DF0470">
      <w:pPr>
        <w:pStyle w:val="p3"/>
        <w:spacing w:line="360" w:lineRule="auto"/>
        <w:rPr>
          <w:b/>
          <w:sz w:val="26"/>
          <w:szCs w:val="26"/>
        </w:rPr>
      </w:pPr>
      <w:r w:rsidRPr="00A24556">
        <w:rPr>
          <w:b/>
          <w:sz w:val="26"/>
          <w:szCs w:val="26"/>
        </w:rPr>
        <w:t>BY THE COMMISSION:</w:t>
      </w:r>
    </w:p>
    <w:p w:rsidR="00C76996" w:rsidRPr="00A24556" w:rsidRDefault="00C76996" w:rsidP="00C76996">
      <w:pPr>
        <w:pStyle w:val="p3"/>
        <w:spacing w:line="360" w:lineRule="auto"/>
        <w:rPr>
          <w:b/>
          <w:sz w:val="26"/>
          <w:szCs w:val="26"/>
        </w:rPr>
      </w:pPr>
    </w:p>
    <w:p w:rsidR="00A24556" w:rsidRDefault="00BD3BAE" w:rsidP="00DF0470">
      <w:pPr>
        <w:pStyle w:val="p3"/>
        <w:spacing w:line="360" w:lineRule="auto"/>
        <w:rPr>
          <w:b/>
          <w:sz w:val="26"/>
          <w:szCs w:val="26"/>
          <w:u w:val="single"/>
        </w:rPr>
      </w:pPr>
      <w:r w:rsidRPr="00BD3BAE">
        <w:rPr>
          <w:b/>
          <w:sz w:val="26"/>
          <w:szCs w:val="26"/>
          <w:u w:val="single"/>
        </w:rPr>
        <w:t>Background</w:t>
      </w:r>
    </w:p>
    <w:p w:rsidR="00C76996" w:rsidRPr="00BD3BAE" w:rsidRDefault="00C76996" w:rsidP="00C76996">
      <w:pPr>
        <w:pStyle w:val="p3"/>
        <w:spacing w:line="360" w:lineRule="auto"/>
        <w:rPr>
          <w:b/>
          <w:sz w:val="26"/>
          <w:szCs w:val="26"/>
          <w:u w:val="single"/>
        </w:rPr>
      </w:pPr>
    </w:p>
    <w:p w:rsidR="00C86020" w:rsidRDefault="00A24556" w:rsidP="00E94413">
      <w:pPr>
        <w:spacing w:line="360" w:lineRule="auto"/>
        <w:ind w:firstLine="720"/>
        <w:rPr>
          <w:sz w:val="26"/>
          <w:szCs w:val="26"/>
        </w:rPr>
      </w:pPr>
      <w:r w:rsidRPr="00A24556">
        <w:rPr>
          <w:sz w:val="26"/>
          <w:szCs w:val="26"/>
        </w:rPr>
        <w:t xml:space="preserve">This matter arises from a prior </w:t>
      </w:r>
      <w:r w:rsidR="00140811">
        <w:rPr>
          <w:sz w:val="26"/>
          <w:szCs w:val="26"/>
        </w:rPr>
        <w:t>o</w:t>
      </w:r>
      <w:r w:rsidRPr="00A24556">
        <w:rPr>
          <w:sz w:val="26"/>
          <w:szCs w:val="26"/>
        </w:rPr>
        <w:t>rder issued by the Commission in 1973</w:t>
      </w:r>
      <w:r w:rsidR="004A611C">
        <w:rPr>
          <w:sz w:val="26"/>
          <w:szCs w:val="26"/>
        </w:rPr>
        <w:t xml:space="preserve"> at</w:t>
      </w:r>
      <w:r w:rsidR="00262EE6">
        <w:rPr>
          <w:sz w:val="26"/>
          <w:szCs w:val="26"/>
        </w:rPr>
        <w:t xml:space="preserve"> Complaint</w:t>
      </w:r>
      <w:r w:rsidR="004A611C">
        <w:rPr>
          <w:sz w:val="26"/>
          <w:szCs w:val="26"/>
        </w:rPr>
        <w:t xml:space="preserve"> </w:t>
      </w:r>
      <w:r w:rsidRPr="00A24556">
        <w:rPr>
          <w:sz w:val="26"/>
          <w:szCs w:val="26"/>
        </w:rPr>
        <w:t xml:space="preserve">Docket No. 19522 (Order entered August 1, 1973) (“1973 Order”).  In that proceeding, the Commission adjudicated a complaint brought by the Co-Operative Legislative Committee of the Railroad Brotherhoods in the State of Pennsylvania (“Union”) against the Trustees of the Property of the Penn Central Transportation </w:t>
      </w:r>
    </w:p>
    <w:p w:rsidR="00A24556" w:rsidRPr="00A24556" w:rsidRDefault="00A24556" w:rsidP="00C86020">
      <w:pPr>
        <w:spacing w:line="360" w:lineRule="auto"/>
        <w:rPr>
          <w:sz w:val="26"/>
          <w:szCs w:val="26"/>
        </w:rPr>
      </w:pPr>
      <w:r w:rsidRPr="00A24556">
        <w:rPr>
          <w:sz w:val="26"/>
          <w:szCs w:val="26"/>
        </w:rPr>
        <w:lastRenderedPageBreak/>
        <w:t xml:space="preserve">Company (“Penn Central”).  The Complaint alleged that Penn Central’s decision to allow drafts of railroad cars to be shoved or pushed on tracks in the Conway Yard, </w:t>
      </w:r>
      <w:r w:rsidR="009A6860">
        <w:rPr>
          <w:sz w:val="26"/>
          <w:szCs w:val="26"/>
        </w:rPr>
        <w:t xml:space="preserve">a classification yard </w:t>
      </w:r>
      <w:r w:rsidRPr="00A24556">
        <w:rPr>
          <w:sz w:val="26"/>
          <w:szCs w:val="26"/>
        </w:rPr>
        <w:t xml:space="preserve">located northwest </w:t>
      </w:r>
      <w:r w:rsidR="00207A06">
        <w:rPr>
          <w:sz w:val="26"/>
          <w:szCs w:val="26"/>
        </w:rPr>
        <w:t xml:space="preserve">of </w:t>
      </w:r>
      <w:r w:rsidRPr="00A24556">
        <w:rPr>
          <w:sz w:val="26"/>
          <w:szCs w:val="26"/>
        </w:rPr>
        <w:t>Pittsburgh, without a trainman being positioned on the lead car of the shoving movement, was contrary to established rules, caused derailments, endangered workers, and may cause collisions with other movements.  The Union requested that the Commission direct Penn Central to terminate the shoving movements without positioning a trainman on the lead car.</w:t>
      </w:r>
    </w:p>
    <w:p w:rsidR="00A24556" w:rsidRPr="00A24556" w:rsidRDefault="00A24556" w:rsidP="00E94413">
      <w:pPr>
        <w:spacing w:line="360" w:lineRule="auto"/>
        <w:rPr>
          <w:sz w:val="26"/>
          <w:szCs w:val="26"/>
        </w:rPr>
      </w:pPr>
    </w:p>
    <w:p w:rsidR="00A24556" w:rsidRPr="00A24556" w:rsidRDefault="00A24556" w:rsidP="00E94413">
      <w:pPr>
        <w:spacing w:line="360" w:lineRule="auto"/>
        <w:rPr>
          <w:sz w:val="26"/>
          <w:szCs w:val="26"/>
        </w:rPr>
      </w:pPr>
      <w:r w:rsidRPr="00A24556">
        <w:rPr>
          <w:sz w:val="26"/>
          <w:szCs w:val="26"/>
        </w:rPr>
        <w:tab/>
        <w:t xml:space="preserve">Following evidentiary hearings at which both the Union and Penn Central testified, the Commission found, </w:t>
      </w:r>
      <w:r w:rsidR="00225E92" w:rsidRPr="00225E92">
        <w:rPr>
          <w:i/>
          <w:sz w:val="26"/>
          <w:szCs w:val="26"/>
        </w:rPr>
        <w:t>inter alia</w:t>
      </w:r>
      <w:r w:rsidRPr="00A24556">
        <w:rPr>
          <w:sz w:val="26"/>
          <w:szCs w:val="26"/>
        </w:rPr>
        <w:t>, that shoving operations should only be conducted when a trainman is positioned on the lead car and directed Penn Central to promulgate operating instructions accordingly.</w:t>
      </w:r>
    </w:p>
    <w:p w:rsidR="00A24556" w:rsidRPr="00A24556" w:rsidRDefault="00A24556" w:rsidP="00E94413">
      <w:pPr>
        <w:spacing w:line="360" w:lineRule="auto"/>
        <w:rPr>
          <w:sz w:val="26"/>
          <w:szCs w:val="26"/>
        </w:rPr>
      </w:pPr>
    </w:p>
    <w:p w:rsidR="00A24556" w:rsidRPr="00A24556" w:rsidRDefault="00A24556" w:rsidP="00E94413">
      <w:pPr>
        <w:spacing w:line="360" w:lineRule="auto"/>
        <w:rPr>
          <w:sz w:val="26"/>
          <w:szCs w:val="26"/>
        </w:rPr>
      </w:pPr>
      <w:r w:rsidRPr="00A24556">
        <w:rPr>
          <w:sz w:val="26"/>
          <w:szCs w:val="26"/>
        </w:rPr>
        <w:tab/>
        <w:t>Subsequently, on November, 2, 1995, Consolidated Rail Corporation (“Conrail”), the successor to Penn Central, filed an Application with the Commission seeking a modification of the 1973 Order.  Conrail’s Application</w:t>
      </w:r>
      <w:r w:rsidR="004A611C">
        <w:rPr>
          <w:sz w:val="26"/>
          <w:szCs w:val="26"/>
        </w:rPr>
        <w:t xml:space="preserve">, </w:t>
      </w:r>
      <w:r w:rsidR="00140811">
        <w:rPr>
          <w:sz w:val="26"/>
          <w:szCs w:val="26"/>
        </w:rPr>
        <w:t xml:space="preserve">at </w:t>
      </w:r>
      <w:r w:rsidRPr="00A24556">
        <w:rPr>
          <w:sz w:val="26"/>
          <w:szCs w:val="26"/>
        </w:rPr>
        <w:t>Docket No. A-00112630, sought to remove the required trainman positioned on the lead car of every draft of cars for shoving operations.  Conrail requested to replace the trainman with a newly designed telemetry system.  The telemetry system would furnish the engineer with most of the information normally provided by the trainman via radio communications.</w:t>
      </w:r>
    </w:p>
    <w:p w:rsidR="00A24556" w:rsidRPr="00A24556" w:rsidRDefault="00A24556" w:rsidP="00E94413">
      <w:pPr>
        <w:spacing w:line="360" w:lineRule="auto"/>
        <w:rPr>
          <w:sz w:val="26"/>
          <w:szCs w:val="26"/>
        </w:rPr>
      </w:pPr>
    </w:p>
    <w:p w:rsidR="00A24556" w:rsidRDefault="00A24556" w:rsidP="00E94413">
      <w:pPr>
        <w:spacing w:line="360" w:lineRule="auto"/>
        <w:rPr>
          <w:sz w:val="26"/>
          <w:szCs w:val="26"/>
        </w:rPr>
      </w:pPr>
      <w:r w:rsidRPr="00A24556">
        <w:rPr>
          <w:sz w:val="26"/>
          <w:szCs w:val="26"/>
        </w:rPr>
        <w:tab/>
        <w:t>Following hearings at which both Conrail and the United Transportation Union (“UTU”)</w:t>
      </w:r>
      <w:r w:rsidR="00207A06">
        <w:rPr>
          <w:sz w:val="26"/>
          <w:szCs w:val="26"/>
        </w:rPr>
        <w:t xml:space="preserve">, the successor to the Union, </w:t>
      </w:r>
      <w:r w:rsidRPr="00A24556">
        <w:rPr>
          <w:sz w:val="26"/>
          <w:szCs w:val="26"/>
        </w:rPr>
        <w:t xml:space="preserve">testified, the Commission, </w:t>
      </w:r>
      <w:r w:rsidRPr="00F8623D">
        <w:rPr>
          <w:i/>
          <w:sz w:val="26"/>
          <w:szCs w:val="26"/>
        </w:rPr>
        <w:t>inter alia</w:t>
      </w:r>
      <w:r w:rsidRPr="00A24556">
        <w:rPr>
          <w:sz w:val="26"/>
          <w:szCs w:val="26"/>
        </w:rPr>
        <w:t>, denied the Application, refusing to replace the trainman requirement with a “shove light” telemetry system.</w:t>
      </w:r>
    </w:p>
    <w:p w:rsidR="006E7A61" w:rsidRDefault="006E7A61" w:rsidP="00E94413">
      <w:pPr>
        <w:spacing w:line="360" w:lineRule="auto"/>
        <w:rPr>
          <w:sz w:val="26"/>
          <w:szCs w:val="26"/>
        </w:rPr>
      </w:pPr>
    </w:p>
    <w:p w:rsidR="00C86020" w:rsidRDefault="00C86020" w:rsidP="00E94413">
      <w:pPr>
        <w:spacing w:line="360" w:lineRule="auto"/>
        <w:rPr>
          <w:sz w:val="26"/>
          <w:szCs w:val="26"/>
        </w:rPr>
      </w:pPr>
    </w:p>
    <w:p w:rsidR="00C86020" w:rsidRDefault="00C86020" w:rsidP="00E94413">
      <w:pPr>
        <w:spacing w:line="360" w:lineRule="auto"/>
        <w:rPr>
          <w:sz w:val="26"/>
          <w:szCs w:val="26"/>
        </w:rPr>
      </w:pPr>
    </w:p>
    <w:p w:rsidR="00C86020" w:rsidRDefault="00C86020" w:rsidP="00E94413">
      <w:pPr>
        <w:spacing w:line="360" w:lineRule="auto"/>
        <w:rPr>
          <w:sz w:val="26"/>
          <w:szCs w:val="26"/>
        </w:rPr>
      </w:pPr>
    </w:p>
    <w:p w:rsidR="00C76996" w:rsidRDefault="00BD3BAE" w:rsidP="002E338A">
      <w:pPr>
        <w:spacing w:line="360" w:lineRule="auto"/>
        <w:rPr>
          <w:b/>
          <w:sz w:val="26"/>
          <w:szCs w:val="26"/>
          <w:u w:val="single"/>
        </w:rPr>
      </w:pPr>
      <w:r w:rsidRPr="006E7A61">
        <w:rPr>
          <w:b/>
          <w:sz w:val="26"/>
          <w:szCs w:val="26"/>
          <w:u w:val="single"/>
        </w:rPr>
        <w:lastRenderedPageBreak/>
        <w:t>Commission Reconsideration Order</w:t>
      </w:r>
    </w:p>
    <w:p w:rsidR="002E338A" w:rsidRDefault="002E338A" w:rsidP="002E338A">
      <w:pPr>
        <w:spacing w:line="360" w:lineRule="auto"/>
        <w:rPr>
          <w:b/>
          <w:sz w:val="26"/>
          <w:szCs w:val="26"/>
          <w:u w:val="single"/>
        </w:rPr>
      </w:pPr>
    </w:p>
    <w:p w:rsidR="002E338A" w:rsidRDefault="00A24556" w:rsidP="00347F87">
      <w:pPr>
        <w:spacing w:line="360" w:lineRule="auto"/>
        <w:rPr>
          <w:sz w:val="26"/>
          <w:szCs w:val="26"/>
        </w:rPr>
      </w:pPr>
      <w:r w:rsidRPr="00A24556">
        <w:rPr>
          <w:sz w:val="26"/>
          <w:szCs w:val="26"/>
        </w:rPr>
        <w:tab/>
      </w:r>
      <w:r w:rsidR="002B3874">
        <w:rPr>
          <w:sz w:val="26"/>
          <w:szCs w:val="26"/>
        </w:rPr>
        <w:t>O</w:t>
      </w:r>
      <w:r w:rsidRPr="00A24556">
        <w:rPr>
          <w:sz w:val="26"/>
          <w:szCs w:val="26"/>
        </w:rPr>
        <w:t xml:space="preserve">n June 16, 2008, the Federal Railroad Administration (“FRA”) issued a new regulation regarding shoving operations.  49 C.F.R. § 218.99.  </w:t>
      </w:r>
      <w:r w:rsidR="00140811">
        <w:rPr>
          <w:sz w:val="26"/>
          <w:szCs w:val="26"/>
        </w:rPr>
        <w:t xml:space="preserve">Because this regulation </w:t>
      </w:r>
    </w:p>
    <w:p w:rsidR="005103E5" w:rsidRDefault="00140811" w:rsidP="00347F87">
      <w:pPr>
        <w:spacing w:line="360" w:lineRule="auto"/>
        <w:rPr>
          <w:sz w:val="26"/>
          <w:szCs w:val="26"/>
        </w:rPr>
      </w:pPr>
      <w:r>
        <w:rPr>
          <w:sz w:val="26"/>
          <w:szCs w:val="26"/>
        </w:rPr>
        <w:t xml:space="preserve">may preempt or otherwise affect the </w:t>
      </w:r>
      <w:r w:rsidR="0081730F">
        <w:rPr>
          <w:sz w:val="26"/>
          <w:szCs w:val="26"/>
        </w:rPr>
        <w:t>requirements set forth in</w:t>
      </w:r>
      <w:r w:rsidR="00A24556" w:rsidRPr="00A24556">
        <w:rPr>
          <w:sz w:val="26"/>
          <w:szCs w:val="26"/>
        </w:rPr>
        <w:t xml:space="preserve"> our 1973 Order</w:t>
      </w:r>
      <w:r w:rsidR="0081730F">
        <w:rPr>
          <w:sz w:val="26"/>
          <w:szCs w:val="26"/>
        </w:rPr>
        <w:t xml:space="preserve">, </w:t>
      </w:r>
      <w:r w:rsidR="00D375B9">
        <w:rPr>
          <w:sz w:val="26"/>
          <w:szCs w:val="26"/>
        </w:rPr>
        <w:t xml:space="preserve">the </w:t>
      </w:r>
    </w:p>
    <w:p w:rsidR="00405B36" w:rsidRDefault="00D375B9" w:rsidP="00347F87">
      <w:pPr>
        <w:spacing w:line="360" w:lineRule="auto"/>
        <w:rPr>
          <w:sz w:val="26"/>
          <w:szCs w:val="26"/>
        </w:rPr>
      </w:pPr>
      <w:r>
        <w:rPr>
          <w:sz w:val="26"/>
          <w:szCs w:val="26"/>
        </w:rPr>
        <w:t xml:space="preserve">Commission, </w:t>
      </w:r>
      <w:r w:rsidR="00B57713">
        <w:rPr>
          <w:sz w:val="26"/>
          <w:szCs w:val="26"/>
        </w:rPr>
        <w:t xml:space="preserve">on </w:t>
      </w:r>
      <w:r>
        <w:rPr>
          <w:sz w:val="26"/>
          <w:szCs w:val="26"/>
        </w:rPr>
        <w:t xml:space="preserve">its </w:t>
      </w:r>
      <w:r w:rsidR="00B57713">
        <w:rPr>
          <w:sz w:val="26"/>
          <w:szCs w:val="26"/>
        </w:rPr>
        <w:t>own motion</w:t>
      </w:r>
      <w:r w:rsidR="00AC1766">
        <w:rPr>
          <w:sz w:val="26"/>
          <w:szCs w:val="26"/>
        </w:rPr>
        <w:t>,</w:t>
      </w:r>
      <w:r w:rsidR="00A24556" w:rsidRPr="00A24556">
        <w:rPr>
          <w:sz w:val="26"/>
          <w:szCs w:val="26"/>
        </w:rPr>
        <w:t xml:space="preserve"> </w:t>
      </w:r>
      <w:r>
        <w:rPr>
          <w:sz w:val="26"/>
          <w:szCs w:val="26"/>
        </w:rPr>
        <w:t xml:space="preserve">issued a Reconsideration </w:t>
      </w:r>
      <w:r w:rsidR="0002088B">
        <w:rPr>
          <w:sz w:val="26"/>
          <w:szCs w:val="26"/>
        </w:rPr>
        <w:t>Order on</w:t>
      </w:r>
      <w:r>
        <w:rPr>
          <w:sz w:val="26"/>
          <w:szCs w:val="26"/>
        </w:rPr>
        <w:t xml:space="preserve"> November 9, 2009, to </w:t>
      </w:r>
      <w:r w:rsidR="00A24556" w:rsidRPr="00A24556">
        <w:rPr>
          <w:sz w:val="26"/>
          <w:szCs w:val="26"/>
        </w:rPr>
        <w:t xml:space="preserve">determine if </w:t>
      </w:r>
      <w:r w:rsidR="00140811">
        <w:rPr>
          <w:sz w:val="26"/>
          <w:szCs w:val="26"/>
        </w:rPr>
        <w:t>amendment</w:t>
      </w:r>
      <w:r w:rsidR="00D90A16">
        <w:rPr>
          <w:sz w:val="26"/>
          <w:szCs w:val="26"/>
        </w:rPr>
        <w:t xml:space="preserve"> or </w:t>
      </w:r>
      <w:r w:rsidR="00C6154A">
        <w:rPr>
          <w:sz w:val="26"/>
          <w:szCs w:val="26"/>
        </w:rPr>
        <w:t>rescission</w:t>
      </w:r>
      <w:r w:rsidR="00A24556" w:rsidRPr="00A24556">
        <w:rPr>
          <w:sz w:val="26"/>
          <w:szCs w:val="26"/>
        </w:rPr>
        <w:t xml:space="preserve"> of the 1973 Order is appropriate.</w:t>
      </w:r>
      <w:r>
        <w:rPr>
          <w:sz w:val="26"/>
          <w:szCs w:val="26"/>
        </w:rPr>
        <w:t xml:space="preserve">  The Reconsideration Order was served on Norfolk Southern Railway Company (“Norfolk Southern”)</w:t>
      </w:r>
      <w:r w:rsidR="003B38DE">
        <w:rPr>
          <w:sz w:val="26"/>
          <w:szCs w:val="26"/>
        </w:rPr>
        <w:t xml:space="preserve"> and the UTU, the successors in interest to the 1</w:t>
      </w:r>
      <w:r w:rsidR="002402FF">
        <w:rPr>
          <w:sz w:val="26"/>
          <w:szCs w:val="26"/>
        </w:rPr>
        <w:t>973</w:t>
      </w:r>
      <w:r w:rsidR="003B38DE">
        <w:rPr>
          <w:sz w:val="26"/>
          <w:szCs w:val="26"/>
        </w:rPr>
        <w:t xml:space="preserve"> proceeding, for comment.  On November 30, 2009, Norfolk Southern filed comments.  </w:t>
      </w:r>
      <w:r w:rsidR="006A1B45">
        <w:rPr>
          <w:sz w:val="26"/>
          <w:szCs w:val="26"/>
        </w:rPr>
        <w:t>On January 11, 2010</w:t>
      </w:r>
      <w:r w:rsidR="00684B85">
        <w:rPr>
          <w:sz w:val="26"/>
          <w:szCs w:val="26"/>
        </w:rPr>
        <w:t>, comments were filed by the Pennsylvania State Legislative Board of the United Transportation Union (“PSLB UTU”)</w:t>
      </w:r>
    </w:p>
    <w:p w:rsidR="006E7A61" w:rsidRDefault="006E7A61" w:rsidP="00347F87">
      <w:pPr>
        <w:spacing w:line="360" w:lineRule="auto"/>
        <w:rPr>
          <w:sz w:val="26"/>
          <w:szCs w:val="26"/>
        </w:rPr>
      </w:pPr>
    </w:p>
    <w:p w:rsidR="003B38DE" w:rsidRPr="006E7A61" w:rsidRDefault="00037910" w:rsidP="00347F87">
      <w:pPr>
        <w:spacing w:line="360" w:lineRule="auto"/>
        <w:rPr>
          <w:b/>
          <w:sz w:val="26"/>
          <w:szCs w:val="26"/>
          <w:u w:val="single"/>
        </w:rPr>
      </w:pPr>
      <w:r>
        <w:rPr>
          <w:b/>
          <w:sz w:val="26"/>
          <w:szCs w:val="26"/>
          <w:u w:val="single"/>
        </w:rPr>
        <w:t>Norfolk Southern Comments</w:t>
      </w:r>
    </w:p>
    <w:p w:rsidR="00BD3BAE" w:rsidRDefault="00BD3BAE" w:rsidP="00347F87">
      <w:pPr>
        <w:spacing w:line="360" w:lineRule="auto"/>
        <w:rPr>
          <w:sz w:val="26"/>
          <w:szCs w:val="26"/>
        </w:rPr>
      </w:pPr>
    </w:p>
    <w:p w:rsidR="004010EF" w:rsidRDefault="004010EF" w:rsidP="004010EF">
      <w:pPr>
        <w:spacing w:line="360" w:lineRule="auto"/>
        <w:rPr>
          <w:sz w:val="26"/>
          <w:szCs w:val="26"/>
        </w:rPr>
      </w:pPr>
      <w:r>
        <w:rPr>
          <w:sz w:val="26"/>
          <w:szCs w:val="26"/>
        </w:rPr>
        <w:tab/>
      </w:r>
      <w:r w:rsidR="0002088B" w:rsidRPr="008819CD">
        <w:rPr>
          <w:sz w:val="26"/>
          <w:szCs w:val="26"/>
        </w:rPr>
        <w:t xml:space="preserve">In its comments, Norfolk </w:t>
      </w:r>
      <w:r w:rsidR="0002088B">
        <w:rPr>
          <w:sz w:val="26"/>
          <w:szCs w:val="26"/>
        </w:rPr>
        <w:t>Southern</w:t>
      </w:r>
      <w:r w:rsidR="00F8623D">
        <w:rPr>
          <w:sz w:val="26"/>
          <w:szCs w:val="26"/>
        </w:rPr>
        <w:t xml:space="preserve"> first</w:t>
      </w:r>
      <w:r w:rsidR="0002088B">
        <w:rPr>
          <w:sz w:val="26"/>
          <w:szCs w:val="26"/>
        </w:rPr>
        <w:t xml:space="preserve"> requests that the Commission refrain from reconsidering its 1973 Order</w:t>
      </w:r>
      <w:r w:rsidR="00F8623D">
        <w:rPr>
          <w:sz w:val="26"/>
          <w:szCs w:val="26"/>
        </w:rPr>
        <w:t xml:space="preserve"> as unnecessary</w:t>
      </w:r>
      <w:r w:rsidR="0002088B">
        <w:rPr>
          <w:sz w:val="26"/>
          <w:szCs w:val="26"/>
        </w:rPr>
        <w:t xml:space="preserve">.  </w:t>
      </w:r>
      <w:r w:rsidRPr="008819CD">
        <w:rPr>
          <w:sz w:val="26"/>
          <w:szCs w:val="26"/>
        </w:rPr>
        <w:t>Norfolk Southern commen</w:t>
      </w:r>
      <w:r>
        <w:rPr>
          <w:sz w:val="26"/>
          <w:szCs w:val="26"/>
        </w:rPr>
        <w:t>ts that it has initiated a complaint against the Commission</w:t>
      </w:r>
      <w:r>
        <w:rPr>
          <w:rStyle w:val="FootnoteReference"/>
          <w:sz w:val="26"/>
          <w:szCs w:val="26"/>
        </w:rPr>
        <w:footnoteReference w:id="1"/>
      </w:r>
      <w:r>
        <w:rPr>
          <w:sz w:val="26"/>
          <w:szCs w:val="26"/>
        </w:rPr>
        <w:t xml:space="preserve"> on June 25, 2009, in the United States District Court for the Western District of Pennsylvania, at Civil Docket No. 09-835 CB “seeking among other things, a declaratory judgment that the 1973 order is preempted by federal law.”   Norfolk Southern alleges that “before filing the complaint, [its] representatives met personally with members of the Commission’s staff to discuss </w:t>
      </w:r>
      <w:r w:rsidR="009A6860">
        <w:rPr>
          <w:sz w:val="26"/>
          <w:szCs w:val="26"/>
        </w:rPr>
        <w:t>[</w:t>
      </w:r>
      <w:r>
        <w:rPr>
          <w:sz w:val="26"/>
          <w:szCs w:val="26"/>
        </w:rPr>
        <w:t>the preemption issue</w:t>
      </w:r>
      <w:r w:rsidR="009A6860">
        <w:rPr>
          <w:sz w:val="26"/>
          <w:szCs w:val="26"/>
        </w:rPr>
        <w:t>]</w:t>
      </w:r>
      <w:r>
        <w:rPr>
          <w:sz w:val="26"/>
          <w:szCs w:val="26"/>
        </w:rPr>
        <w:t xml:space="preserve"> and the legal challenge contemplated by Norfolk Southern.” </w:t>
      </w:r>
      <w:r>
        <w:rPr>
          <w:rStyle w:val="FootnoteReference"/>
          <w:sz w:val="26"/>
          <w:szCs w:val="26"/>
        </w:rPr>
        <w:footnoteReference w:id="2"/>
      </w:r>
      <w:r>
        <w:rPr>
          <w:sz w:val="26"/>
          <w:szCs w:val="26"/>
        </w:rPr>
        <w:t xml:space="preserve">  </w:t>
      </w:r>
      <w:r w:rsidR="0094179B">
        <w:rPr>
          <w:sz w:val="26"/>
          <w:szCs w:val="26"/>
        </w:rPr>
        <w:t xml:space="preserve">However, </w:t>
      </w:r>
      <w:r>
        <w:rPr>
          <w:sz w:val="26"/>
          <w:szCs w:val="26"/>
        </w:rPr>
        <w:t xml:space="preserve">Norfolk Southern never served the Commission with the June 25, 2009 complaint.   </w:t>
      </w:r>
    </w:p>
    <w:p w:rsidR="002402FF" w:rsidRDefault="002402FF" w:rsidP="004010EF">
      <w:pPr>
        <w:spacing w:line="360" w:lineRule="auto"/>
        <w:ind w:firstLine="720"/>
        <w:rPr>
          <w:sz w:val="26"/>
          <w:szCs w:val="26"/>
        </w:rPr>
      </w:pPr>
    </w:p>
    <w:p w:rsidR="007B7DEF" w:rsidRDefault="004010EF" w:rsidP="00735D46">
      <w:pPr>
        <w:spacing w:line="360" w:lineRule="auto"/>
        <w:ind w:firstLine="720"/>
        <w:rPr>
          <w:sz w:val="26"/>
          <w:szCs w:val="26"/>
        </w:rPr>
      </w:pPr>
      <w:r>
        <w:rPr>
          <w:sz w:val="26"/>
          <w:szCs w:val="26"/>
        </w:rPr>
        <w:lastRenderedPageBreak/>
        <w:t>On September 18, 2009, Norfolk Southern filed a First Amended Complaint in District Court</w:t>
      </w:r>
      <w:r w:rsidR="007B7DEF">
        <w:rPr>
          <w:sz w:val="26"/>
          <w:szCs w:val="26"/>
        </w:rPr>
        <w:t xml:space="preserve"> against the Commission</w:t>
      </w:r>
      <w:r>
        <w:rPr>
          <w:sz w:val="26"/>
          <w:szCs w:val="26"/>
        </w:rPr>
        <w:t>, alleging the 1973 Order is preempted by federal law.</w:t>
      </w:r>
      <w:r>
        <w:rPr>
          <w:rStyle w:val="FootnoteReference"/>
          <w:sz w:val="26"/>
          <w:szCs w:val="26"/>
        </w:rPr>
        <w:footnoteReference w:id="3"/>
      </w:r>
      <w:r>
        <w:rPr>
          <w:sz w:val="26"/>
          <w:szCs w:val="26"/>
        </w:rPr>
        <w:t xml:space="preserve">  The Commission’s response to that complaint is due January 19, 2010.  Norfolk Southern comments that “allowing the federal preemption question to be decided</w:t>
      </w:r>
      <w:r w:rsidR="00735D46">
        <w:rPr>
          <w:sz w:val="26"/>
          <w:szCs w:val="26"/>
        </w:rPr>
        <w:t xml:space="preserve"> </w:t>
      </w:r>
      <w:r>
        <w:rPr>
          <w:sz w:val="26"/>
          <w:szCs w:val="26"/>
        </w:rPr>
        <w:t>expeditiously and conclusively in that forum [the District Court] will conserve the Commission’s resources.”</w:t>
      </w:r>
    </w:p>
    <w:p w:rsidR="005103E5" w:rsidRDefault="005103E5" w:rsidP="005103E5">
      <w:pPr>
        <w:spacing w:line="360" w:lineRule="auto"/>
        <w:rPr>
          <w:sz w:val="26"/>
          <w:szCs w:val="26"/>
        </w:rPr>
      </w:pPr>
    </w:p>
    <w:p w:rsidR="004010EF" w:rsidRDefault="004010EF" w:rsidP="00FE2FDC">
      <w:pPr>
        <w:spacing w:line="360" w:lineRule="auto"/>
        <w:ind w:firstLine="720"/>
        <w:rPr>
          <w:sz w:val="26"/>
          <w:szCs w:val="26"/>
        </w:rPr>
      </w:pPr>
      <w:r>
        <w:rPr>
          <w:sz w:val="26"/>
          <w:szCs w:val="26"/>
        </w:rPr>
        <w:t xml:space="preserve">Alternatively, Norfolk Southern comments that:  </w:t>
      </w:r>
    </w:p>
    <w:p w:rsidR="004010EF" w:rsidRDefault="004010EF" w:rsidP="004010EF">
      <w:pPr>
        <w:ind w:left="720" w:right="720"/>
        <w:rPr>
          <w:sz w:val="26"/>
          <w:szCs w:val="26"/>
        </w:rPr>
      </w:pPr>
      <w:r>
        <w:rPr>
          <w:sz w:val="26"/>
          <w:szCs w:val="26"/>
        </w:rPr>
        <w:tab/>
        <w:t>The Supremacy Clause of the United States Constitution</w:t>
      </w:r>
      <w:r>
        <w:rPr>
          <w:rStyle w:val="FootnoteReference"/>
          <w:sz w:val="26"/>
          <w:szCs w:val="26"/>
        </w:rPr>
        <w:footnoteReference w:id="4"/>
      </w:r>
      <w:r>
        <w:rPr>
          <w:sz w:val="26"/>
          <w:szCs w:val="26"/>
        </w:rPr>
        <w:t xml:space="preserve"> nullifies state laws that “interfere with or are contrary to” federal law and authorizes Congress to preempt state and local regulation of a particular field.  Congress specifically declared in the Federal Railroad Safety Act of 1970</w:t>
      </w:r>
      <w:r>
        <w:rPr>
          <w:rStyle w:val="FootnoteReference"/>
          <w:sz w:val="26"/>
          <w:szCs w:val="26"/>
        </w:rPr>
        <w:footnoteReference w:id="5"/>
      </w:r>
      <w:r>
        <w:rPr>
          <w:sz w:val="26"/>
          <w:szCs w:val="26"/>
        </w:rPr>
        <w:t xml:space="preserve"> (FRSA) that regulations relating to railroad safety shall be nationally uniform to the extent practicable, and that State laws regarding railroad safety are preempted where the Secretary of Transportation (acting through the FRA) “prescribes a regulation or issues an order covering the subject matter of the State requirement.”</w:t>
      </w:r>
      <w:r>
        <w:rPr>
          <w:rStyle w:val="FootnoteReference"/>
          <w:sz w:val="26"/>
          <w:szCs w:val="26"/>
        </w:rPr>
        <w:footnoteReference w:id="6"/>
      </w:r>
      <w:r>
        <w:rPr>
          <w:sz w:val="26"/>
          <w:szCs w:val="26"/>
        </w:rPr>
        <w:t xml:space="preserve">  In this instance, Congress intended the FRSA to preempt the field of railroad safety, and the FRA has prescribed a regulation covering the precise subject of point protection during shove movements.  The 1973 Order imposes a stricter standard for shove movement point protection than the FRA requires, by requiring a trainman to hang on the lead car of a shove movement.  Because the 1973 Order is irreconcilable with 49 C.F.R. § 218.99(e)(5), the 1973 Order is federally preempted and may not continue in effect.</w:t>
      </w:r>
    </w:p>
    <w:p w:rsidR="00F8623D" w:rsidRDefault="00F8623D" w:rsidP="004010EF">
      <w:pPr>
        <w:ind w:left="720" w:right="720"/>
        <w:rPr>
          <w:sz w:val="26"/>
          <w:szCs w:val="26"/>
        </w:rPr>
      </w:pPr>
    </w:p>
    <w:p w:rsidR="00F8623D" w:rsidRDefault="00F8623D" w:rsidP="00F8623D">
      <w:pPr>
        <w:spacing w:line="360" w:lineRule="auto"/>
        <w:ind w:right="720"/>
        <w:rPr>
          <w:sz w:val="26"/>
          <w:szCs w:val="26"/>
        </w:rPr>
      </w:pPr>
      <w:r>
        <w:rPr>
          <w:sz w:val="26"/>
          <w:szCs w:val="26"/>
        </w:rPr>
        <w:t>As such, Norfolk Southern urges that</w:t>
      </w:r>
      <w:r w:rsidR="007334D8">
        <w:rPr>
          <w:sz w:val="26"/>
          <w:szCs w:val="26"/>
        </w:rPr>
        <w:t>,</w:t>
      </w:r>
      <w:r>
        <w:rPr>
          <w:sz w:val="26"/>
          <w:szCs w:val="26"/>
        </w:rPr>
        <w:t xml:space="preserve"> if considered, the Commission should rule that its 1973 Order has been preempted.</w:t>
      </w:r>
    </w:p>
    <w:p w:rsidR="00AA4E1B" w:rsidRDefault="00AA4E1B" w:rsidP="00AA4E1B">
      <w:pPr>
        <w:ind w:right="720"/>
        <w:rPr>
          <w:sz w:val="26"/>
          <w:szCs w:val="26"/>
        </w:rPr>
      </w:pPr>
    </w:p>
    <w:p w:rsidR="00C86020" w:rsidRDefault="00C86020" w:rsidP="00AA4E1B">
      <w:pPr>
        <w:ind w:right="720"/>
        <w:rPr>
          <w:sz w:val="26"/>
          <w:szCs w:val="26"/>
        </w:rPr>
      </w:pPr>
    </w:p>
    <w:p w:rsidR="00C86020" w:rsidRDefault="00C86020" w:rsidP="00AA4E1B">
      <w:pPr>
        <w:ind w:right="720"/>
        <w:rPr>
          <w:sz w:val="26"/>
          <w:szCs w:val="26"/>
        </w:rPr>
      </w:pPr>
    </w:p>
    <w:p w:rsidR="00C86020" w:rsidRDefault="00C86020" w:rsidP="00AA4E1B">
      <w:pPr>
        <w:ind w:right="720"/>
        <w:rPr>
          <w:sz w:val="26"/>
          <w:szCs w:val="26"/>
        </w:rPr>
      </w:pPr>
    </w:p>
    <w:p w:rsidR="00C86020" w:rsidRDefault="00C86020" w:rsidP="00AA4E1B">
      <w:pPr>
        <w:ind w:right="720"/>
        <w:rPr>
          <w:sz w:val="26"/>
          <w:szCs w:val="26"/>
        </w:rPr>
      </w:pPr>
    </w:p>
    <w:p w:rsidR="00C86020" w:rsidRDefault="00C86020" w:rsidP="00AA4E1B">
      <w:pPr>
        <w:ind w:right="720"/>
        <w:rPr>
          <w:sz w:val="26"/>
          <w:szCs w:val="26"/>
        </w:rPr>
      </w:pPr>
    </w:p>
    <w:p w:rsidR="00AA4E1B" w:rsidRPr="003E52D2" w:rsidRDefault="00AA4E1B" w:rsidP="00AA4E1B">
      <w:pPr>
        <w:ind w:right="720"/>
        <w:rPr>
          <w:b/>
          <w:sz w:val="26"/>
          <w:szCs w:val="26"/>
          <w:u w:val="single"/>
        </w:rPr>
      </w:pPr>
      <w:r w:rsidRPr="003E52D2">
        <w:rPr>
          <w:b/>
          <w:sz w:val="26"/>
          <w:szCs w:val="26"/>
          <w:u w:val="single"/>
        </w:rPr>
        <w:lastRenderedPageBreak/>
        <w:t>UTU Comments</w:t>
      </w:r>
    </w:p>
    <w:p w:rsidR="00AA4E1B" w:rsidRDefault="00AA4E1B" w:rsidP="00AA4E1B">
      <w:pPr>
        <w:ind w:right="720"/>
        <w:rPr>
          <w:b/>
          <w:sz w:val="26"/>
          <w:szCs w:val="26"/>
        </w:rPr>
      </w:pPr>
    </w:p>
    <w:p w:rsidR="000D3EBD" w:rsidRPr="00AA4E1B" w:rsidRDefault="000D3EBD" w:rsidP="00AA4E1B">
      <w:pPr>
        <w:ind w:right="720"/>
        <w:rPr>
          <w:b/>
          <w:sz w:val="26"/>
          <w:szCs w:val="26"/>
        </w:rPr>
      </w:pPr>
    </w:p>
    <w:p w:rsidR="001170DD" w:rsidRDefault="00AA4E1B" w:rsidP="00BB739D">
      <w:pPr>
        <w:spacing w:line="360" w:lineRule="auto"/>
        <w:ind w:right="720"/>
        <w:rPr>
          <w:sz w:val="26"/>
          <w:szCs w:val="26"/>
        </w:rPr>
      </w:pPr>
      <w:r>
        <w:rPr>
          <w:sz w:val="26"/>
          <w:szCs w:val="26"/>
        </w:rPr>
        <w:tab/>
      </w:r>
      <w:r w:rsidR="007334D8">
        <w:rPr>
          <w:sz w:val="26"/>
          <w:szCs w:val="26"/>
        </w:rPr>
        <w:t xml:space="preserve">As noted, PSLB UTU </w:t>
      </w:r>
      <w:r>
        <w:rPr>
          <w:sz w:val="26"/>
          <w:szCs w:val="26"/>
        </w:rPr>
        <w:t>filed comments to our Order</w:t>
      </w:r>
      <w:r w:rsidR="00D239A5">
        <w:rPr>
          <w:sz w:val="26"/>
          <w:szCs w:val="26"/>
        </w:rPr>
        <w:t>.</w:t>
      </w:r>
      <w:r w:rsidR="00D239A5">
        <w:rPr>
          <w:rStyle w:val="FootnoteReference"/>
          <w:sz w:val="26"/>
          <w:szCs w:val="26"/>
        </w:rPr>
        <w:footnoteReference w:id="7"/>
      </w:r>
      <w:r w:rsidR="00D56F01">
        <w:rPr>
          <w:sz w:val="26"/>
          <w:szCs w:val="26"/>
        </w:rPr>
        <w:t xml:space="preserve">  </w:t>
      </w:r>
      <w:r w:rsidR="001170DD">
        <w:rPr>
          <w:sz w:val="26"/>
          <w:szCs w:val="26"/>
        </w:rPr>
        <w:t xml:space="preserve">In its </w:t>
      </w:r>
      <w:r w:rsidR="00B374FF">
        <w:rPr>
          <w:sz w:val="26"/>
          <w:szCs w:val="26"/>
        </w:rPr>
        <w:t xml:space="preserve">comments, </w:t>
      </w:r>
      <w:r w:rsidR="00B374FF" w:rsidRPr="00B374FF">
        <w:rPr>
          <w:sz w:val="26"/>
          <w:szCs w:val="26"/>
        </w:rPr>
        <w:t>PSLB</w:t>
      </w:r>
      <w:r w:rsidR="007334D8">
        <w:rPr>
          <w:sz w:val="26"/>
          <w:szCs w:val="26"/>
        </w:rPr>
        <w:t xml:space="preserve"> </w:t>
      </w:r>
      <w:r w:rsidR="00B374FF" w:rsidRPr="00B374FF">
        <w:rPr>
          <w:sz w:val="26"/>
          <w:szCs w:val="26"/>
        </w:rPr>
        <w:t>UTU</w:t>
      </w:r>
      <w:r w:rsidR="00B374FF">
        <w:rPr>
          <w:sz w:val="26"/>
          <w:szCs w:val="26"/>
        </w:rPr>
        <w:t xml:space="preserve"> reconstructs the legal and factual history of our 1973 Order.   Significantly, </w:t>
      </w:r>
      <w:r w:rsidR="00B374FF" w:rsidRPr="00B374FF">
        <w:rPr>
          <w:sz w:val="26"/>
          <w:szCs w:val="26"/>
        </w:rPr>
        <w:t>PSLB</w:t>
      </w:r>
      <w:r w:rsidR="007334D8">
        <w:rPr>
          <w:sz w:val="26"/>
          <w:szCs w:val="26"/>
        </w:rPr>
        <w:t xml:space="preserve"> </w:t>
      </w:r>
      <w:r w:rsidR="00B374FF" w:rsidRPr="00B374FF">
        <w:rPr>
          <w:sz w:val="26"/>
          <w:szCs w:val="26"/>
        </w:rPr>
        <w:t>UTU</w:t>
      </w:r>
      <w:r w:rsidR="00B374FF">
        <w:rPr>
          <w:sz w:val="26"/>
          <w:szCs w:val="26"/>
        </w:rPr>
        <w:t xml:space="preserve"> comments that the Federal Regulation at 49 CFR § 218.99 governing shoving operations “preempts any state law, regulation or </w:t>
      </w:r>
      <w:r w:rsidR="00BB739D">
        <w:rPr>
          <w:sz w:val="26"/>
          <w:szCs w:val="26"/>
        </w:rPr>
        <w:t xml:space="preserve">order covering the same subject matter except a </w:t>
      </w:r>
      <w:r w:rsidR="00BB739D" w:rsidRPr="002E338A">
        <w:rPr>
          <w:sz w:val="26"/>
          <w:szCs w:val="26"/>
        </w:rPr>
        <w:t>provision</w:t>
      </w:r>
      <w:r w:rsidR="00E56ACA">
        <w:rPr>
          <w:sz w:val="26"/>
          <w:szCs w:val="26"/>
        </w:rPr>
        <w:t xml:space="preserve"> </w:t>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BB739D" w:rsidRPr="002E338A">
        <w:rPr>
          <w:sz w:val="26"/>
          <w:szCs w:val="26"/>
        </w:rPr>
        <w:softHyphen/>
      </w:r>
      <w:r w:rsidR="003E52D2">
        <w:rPr>
          <w:sz w:val="26"/>
          <w:szCs w:val="26"/>
        </w:rPr>
        <w:t xml:space="preserve">necessary </w:t>
      </w:r>
      <w:r w:rsidR="00BB739D" w:rsidRPr="002E338A">
        <w:rPr>
          <w:sz w:val="26"/>
          <w:szCs w:val="26"/>
        </w:rPr>
        <w:t>to eliminate or reduce an essentially local safety or security</w:t>
      </w:r>
      <w:r w:rsidR="00BB739D">
        <w:rPr>
          <w:sz w:val="26"/>
          <w:szCs w:val="26"/>
        </w:rPr>
        <w:t xml:space="preserve"> hazard that is not incompatible with the Federal Law, Regulation </w:t>
      </w:r>
      <w:r w:rsidR="003E52D2">
        <w:rPr>
          <w:sz w:val="26"/>
          <w:szCs w:val="26"/>
        </w:rPr>
        <w:t>or</w:t>
      </w:r>
      <w:r w:rsidR="00BB739D">
        <w:rPr>
          <w:sz w:val="26"/>
          <w:szCs w:val="26"/>
        </w:rPr>
        <w:t xml:space="preserve"> Order.”</w:t>
      </w:r>
      <w:r w:rsidR="008B3DA1">
        <w:rPr>
          <w:sz w:val="26"/>
          <w:szCs w:val="26"/>
        </w:rPr>
        <w:t xml:space="preserve">  </w:t>
      </w:r>
      <w:r w:rsidR="008B3DA1" w:rsidRPr="008B3DA1">
        <w:rPr>
          <w:sz w:val="26"/>
          <w:szCs w:val="26"/>
        </w:rPr>
        <w:t>PSLB</w:t>
      </w:r>
      <w:r w:rsidR="007334D8">
        <w:rPr>
          <w:sz w:val="26"/>
          <w:szCs w:val="26"/>
        </w:rPr>
        <w:t xml:space="preserve"> </w:t>
      </w:r>
      <w:r w:rsidR="008B3DA1" w:rsidRPr="008B3DA1">
        <w:rPr>
          <w:sz w:val="26"/>
          <w:szCs w:val="26"/>
        </w:rPr>
        <w:t xml:space="preserve">UTU </w:t>
      </w:r>
      <w:r w:rsidR="008B3DA1">
        <w:rPr>
          <w:sz w:val="26"/>
          <w:szCs w:val="26"/>
        </w:rPr>
        <w:t xml:space="preserve">then goes on to comment </w:t>
      </w:r>
      <w:r w:rsidR="00F7505B">
        <w:rPr>
          <w:sz w:val="26"/>
          <w:szCs w:val="26"/>
        </w:rPr>
        <w:t>that the shove light regulation</w:t>
      </w:r>
      <w:r w:rsidR="008B3DA1">
        <w:rPr>
          <w:sz w:val="26"/>
          <w:szCs w:val="26"/>
        </w:rPr>
        <w:t xml:space="preserve"> found at 49 CFR § 218.99 “merely grants the permission to utilize shove lights….  [but] does not occupy the field rega</w:t>
      </w:r>
      <w:r w:rsidR="00F7505B">
        <w:rPr>
          <w:sz w:val="26"/>
          <w:szCs w:val="26"/>
        </w:rPr>
        <w:t>rding local safety conditions or</w:t>
      </w:r>
      <w:r w:rsidR="008B3DA1">
        <w:rPr>
          <w:sz w:val="26"/>
          <w:szCs w:val="26"/>
        </w:rPr>
        <w:t xml:space="preserve"> hazards….</w:t>
      </w:r>
      <w:r w:rsidR="00F7505B">
        <w:rPr>
          <w:sz w:val="26"/>
          <w:szCs w:val="26"/>
        </w:rPr>
        <w:t xml:space="preserve">” </w:t>
      </w:r>
      <w:r w:rsidR="008B3DA1">
        <w:rPr>
          <w:sz w:val="26"/>
          <w:szCs w:val="26"/>
        </w:rPr>
        <w:t xml:space="preserve">  </w:t>
      </w:r>
      <w:r w:rsidR="008B3DA1" w:rsidRPr="008B3DA1">
        <w:rPr>
          <w:sz w:val="26"/>
          <w:szCs w:val="26"/>
        </w:rPr>
        <w:t>PSLB</w:t>
      </w:r>
      <w:r w:rsidR="007334D8">
        <w:rPr>
          <w:sz w:val="26"/>
          <w:szCs w:val="26"/>
        </w:rPr>
        <w:t xml:space="preserve"> </w:t>
      </w:r>
      <w:r w:rsidR="008B3DA1" w:rsidRPr="008B3DA1">
        <w:rPr>
          <w:sz w:val="26"/>
          <w:szCs w:val="26"/>
        </w:rPr>
        <w:t xml:space="preserve">UTU </w:t>
      </w:r>
      <w:r w:rsidR="008B3DA1">
        <w:rPr>
          <w:sz w:val="26"/>
          <w:szCs w:val="26"/>
        </w:rPr>
        <w:t xml:space="preserve">comments that the conditions at the Conway Yard present unique safety hazards that require trainmen be positioned on the </w:t>
      </w:r>
      <w:r w:rsidR="00F7505B">
        <w:rPr>
          <w:sz w:val="26"/>
          <w:szCs w:val="26"/>
        </w:rPr>
        <w:t>lead</w:t>
      </w:r>
      <w:r w:rsidR="008B3DA1">
        <w:rPr>
          <w:sz w:val="26"/>
          <w:szCs w:val="26"/>
        </w:rPr>
        <w:t xml:space="preserve"> end of a shoving movement.</w:t>
      </w:r>
    </w:p>
    <w:p w:rsidR="008B3DA1" w:rsidRDefault="008B3DA1" w:rsidP="00BB739D">
      <w:pPr>
        <w:spacing w:line="360" w:lineRule="auto"/>
        <w:ind w:right="720"/>
        <w:rPr>
          <w:sz w:val="26"/>
          <w:szCs w:val="26"/>
        </w:rPr>
      </w:pPr>
    </w:p>
    <w:p w:rsidR="00AA4E1B" w:rsidRPr="003E52D2" w:rsidRDefault="00997EA0" w:rsidP="006A1B45">
      <w:pPr>
        <w:ind w:right="720"/>
        <w:rPr>
          <w:b/>
          <w:sz w:val="26"/>
          <w:szCs w:val="26"/>
          <w:u w:val="single"/>
        </w:rPr>
      </w:pPr>
      <w:r>
        <w:rPr>
          <w:b/>
          <w:sz w:val="26"/>
          <w:szCs w:val="26"/>
          <w:u w:val="single"/>
        </w:rPr>
        <w:t>Discussion</w:t>
      </w:r>
    </w:p>
    <w:p w:rsidR="00AA4E1B" w:rsidRDefault="00AA4E1B" w:rsidP="006A1B45">
      <w:pPr>
        <w:ind w:right="720"/>
        <w:rPr>
          <w:sz w:val="26"/>
          <w:szCs w:val="26"/>
        </w:rPr>
      </w:pPr>
    </w:p>
    <w:p w:rsidR="00AA4E1B" w:rsidRDefault="00AA4E1B" w:rsidP="006A1B45">
      <w:pPr>
        <w:ind w:right="720"/>
        <w:rPr>
          <w:sz w:val="26"/>
          <w:szCs w:val="26"/>
        </w:rPr>
      </w:pPr>
    </w:p>
    <w:p w:rsidR="009F1041" w:rsidRDefault="004010EF" w:rsidP="004010EF">
      <w:pPr>
        <w:spacing w:line="360" w:lineRule="auto"/>
        <w:ind w:right="720"/>
        <w:rPr>
          <w:sz w:val="26"/>
          <w:szCs w:val="26"/>
        </w:rPr>
      </w:pPr>
      <w:r>
        <w:rPr>
          <w:sz w:val="26"/>
          <w:szCs w:val="26"/>
        </w:rPr>
        <w:tab/>
      </w:r>
      <w:r w:rsidR="007B7DEF">
        <w:rPr>
          <w:sz w:val="26"/>
          <w:szCs w:val="26"/>
        </w:rPr>
        <w:t xml:space="preserve">Regarding Norfolk Southern’s first comment requesting that the Commission not reconsider its own order, we reject this comment since it </w:t>
      </w:r>
      <w:r>
        <w:rPr>
          <w:sz w:val="26"/>
          <w:szCs w:val="26"/>
        </w:rPr>
        <w:t xml:space="preserve">is </w:t>
      </w:r>
      <w:r w:rsidR="007B7DEF">
        <w:rPr>
          <w:sz w:val="26"/>
          <w:szCs w:val="26"/>
        </w:rPr>
        <w:t>a</w:t>
      </w:r>
      <w:r>
        <w:rPr>
          <w:sz w:val="26"/>
          <w:szCs w:val="26"/>
        </w:rPr>
        <w:t xml:space="preserve">ppropriate for the Commission to reconsider </w:t>
      </w:r>
      <w:r w:rsidR="00AB1142">
        <w:rPr>
          <w:sz w:val="26"/>
          <w:szCs w:val="26"/>
        </w:rPr>
        <w:t>its</w:t>
      </w:r>
      <w:r>
        <w:rPr>
          <w:sz w:val="26"/>
          <w:szCs w:val="26"/>
        </w:rPr>
        <w:t xml:space="preserve"> 1973 Order</w:t>
      </w:r>
      <w:r w:rsidR="00AB1142">
        <w:rPr>
          <w:sz w:val="26"/>
          <w:szCs w:val="26"/>
        </w:rPr>
        <w:t xml:space="preserve"> given the change in law</w:t>
      </w:r>
      <w:r>
        <w:rPr>
          <w:sz w:val="26"/>
          <w:szCs w:val="26"/>
        </w:rPr>
        <w:t xml:space="preserve">.  </w:t>
      </w:r>
      <w:r w:rsidR="00AB1142">
        <w:rPr>
          <w:sz w:val="26"/>
          <w:szCs w:val="26"/>
        </w:rPr>
        <w:t xml:space="preserve">The Public Utility Code </w:t>
      </w:r>
      <w:r>
        <w:rPr>
          <w:sz w:val="26"/>
          <w:szCs w:val="26"/>
        </w:rPr>
        <w:t xml:space="preserve">provides, in part, that “the Commission may, at any time, after notice and after opportunity to be heard…, rescind or amend any order made by it.” </w:t>
      </w:r>
      <w:r w:rsidR="00FE2FDC">
        <w:rPr>
          <w:sz w:val="26"/>
          <w:szCs w:val="26"/>
        </w:rPr>
        <w:t>66</w:t>
      </w:r>
      <w:r w:rsidR="00FD2672">
        <w:rPr>
          <w:sz w:val="26"/>
          <w:szCs w:val="26"/>
        </w:rPr>
        <w:t xml:space="preserve"> </w:t>
      </w:r>
      <w:r w:rsidR="00FE2FDC">
        <w:rPr>
          <w:sz w:val="26"/>
          <w:szCs w:val="26"/>
        </w:rPr>
        <w:t xml:space="preserve"> Pa.C.S.</w:t>
      </w:r>
      <w:r w:rsidR="00FD2672">
        <w:rPr>
          <w:sz w:val="26"/>
          <w:szCs w:val="26"/>
        </w:rPr>
        <w:t xml:space="preserve"> </w:t>
      </w:r>
      <w:r w:rsidR="00AB1142">
        <w:rPr>
          <w:sz w:val="26"/>
          <w:szCs w:val="26"/>
        </w:rPr>
        <w:t>§</w:t>
      </w:r>
      <w:r w:rsidR="00FE2FDC">
        <w:rPr>
          <w:sz w:val="26"/>
          <w:szCs w:val="26"/>
        </w:rPr>
        <w:t xml:space="preserve"> </w:t>
      </w:r>
      <w:r w:rsidR="00AB1142">
        <w:rPr>
          <w:sz w:val="26"/>
          <w:szCs w:val="26"/>
        </w:rPr>
        <w:t xml:space="preserve">703(g). </w:t>
      </w:r>
      <w:r>
        <w:rPr>
          <w:sz w:val="26"/>
          <w:szCs w:val="26"/>
        </w:rPr>
        <w:t xml:space="preserve"> The Commission provided notice and opportunity to be heard to the successors in interest to the parties involved in the 1973 Order.  Where, as here, the continuing validity of a Commission </w:t>
      </w:r>
      <w:r w:rsidR="00C76996">
        <w:rPr>
          <w:sz w:val="26"/>
          <w:szCs w:val="26"/>
        </w:rPr>
        <w:t xml:space="preserve">adjudication and order </w:t>
      </w:r>
      <w:r>
        <w:rPr>
          <w:sz w:val="26"/>
          <w:szCs w:val="26"/>
        </w:rPr>
        <w:t xml:space="preserve">is questioned due to a change in law, it is proper for the Commission to </w:t>
      </w:r>
      <w:r>
        <w:rPr>
          <w:sz w:val="26"/>
          <w:szCs w:val="26"/>
        </w:rPr>
        <w:lastRenderedPageBreak/>
        <w:t xml:space="preserve">review its </w:t>
      </w:r>
      <w:r w:rsidR="002402FF">
        <w:rPr>
          <w:sz w:val="26"/>
          <w:szCs w:val="26"/>
        </w:rPr>
        <w:t xml:space="preserve">own </w:t>
      </w:r>
      <w:r>
        <w:rPr>
          <w:sz w:val="26"/>
          <w:szCs w:val="26"/>
        </w:rPr>
        <w:t>order</w:t>
      </w:r>
      <w:r w:rsidR="009F1041">
        <w:rPr>
          <w:sz w:val="26"/>
          <w:szCs w:val="26"/>
        </w:rPr>
        <w:t xml:space="preserve"> after first providing the parties to that adjudication notice and an opportunity to be heard</w:t>
      </w:r>
      <w:r>
        <w:rPr>
          <w:sz w:val="26"/>
          <w:szCs w:val="26"/>
        </w:rPr>
        <w:t>.</w:t>
      </w:r>
    </w:p>
    <w:p w:rsidR="005103E5" w:rsidRDefault="005103E5" w:rsidP="004010EF">
      <w:pPr>
        <w:spacing w:line="360" w:lineRule="auto"/>
        <w:ind w:right="720"/>
        <w:rPr>
          <w:sz w:val="26"/>
          <w:szCs w:val="26"/>
        </w:rPr>
      </w:pPr>
    </w:p>
    <w:p w:rsidR="000D3EBD" w:rsidRDefault="00AB1142" w:rsidP="009F1041">
      <w:pPr>
        <w:spacing w:line="360" w:lineRule="auto"/>
        <w:ind w:right="720" w:firstLine="720"/>
        <w:rPr>
          <w:sz w:val="26"/>
          <w:szCs w:val="26"/>
        </w:rPr>
      </w:pPr>
      <w:r>
        <w:rPr>
          <w:sz w:val="26"/>
          <w:szCs w:val="26"/>
        </w:rPr>
        <w:t>Indeed, had the 2008 FRA regulations been in place at the time of issuance of the 1</w:t>
      </w:r>
      <w:r w:rsidR="00BA1070">
        <w:rPr>
          <w:sz w:val="26"/>
          <w:szCs w:val="26"/>
        </w:rPr>
        <w:t>9</w:t>
      </w:r>
      <w:r>
        <w:rPr>
          <w:sz w:val="26"/>
          <w:szCs w:val="26"/>
        </w:rPr>
        <w:t>73 Order, it would have been incumbent upon the Commission to consider the effect of those regulations on th</w:t>
      </w:r>
      <w:r w:rsidR="00A77513">
        <w:rPr>
          <w:sz w:val="26"/>
          <w:szCs w:val="26"/>
        </w:rPr>
        <w:t>at</w:t>
      </w:r>
      <w:r>
        <w:rPr>
          <w:sz w:val="26"/>
          <w:szCs w:val="26"/>
        </w:rPr>
        <w:t xml:space="preserve"> proceeding.  </w:t>
      </w:r>
      <w:r w:rsidR="004010EF">
        <w:rPr>
          <w:sz w:val="26"/>
          <w:szCs w:val="26"/>
        </w:rPr>
        <w:t xml:space="preserve">While Norfolk </w:t>
      </w:r>
    </w:p>
    <w:p w:rsidR="004010EF" w:rsidRDefault="004010EF" w:rsidP="000D3EBD">
      <w:pPr>
        <w:spacing w:line="360" w:lineRule="auto"/>
        <w:ind w:right="720"/>
        <w:rPr>
          <w:sz w:val="26"/>
          <w:szCs w:val="26"/>
        </w:rPr>
      </w:pPr>
      <w:r>
        <w:rPr>
          <w:sz w:val="26"/>
          <w:szCs w:val="26"/>
        </w:rPr>
        <w:t xml:space="preserve">Southern has chosen to file suit in District Court to address this matter, that proceeding is based entirely on our 1973 Order.  The viability of our 1973 Order, given a change in </w:t>
      </w:r>
      <w:r w:rsidR="00BA1070">
        <w:rPr>
          <w:sz w:val="26"/>
          <w:szCs w:val="26"/>
        </w:rPr>
        <w:t>f</w:t>
      </w:r>
      <w:r>
        <w:rPr>
          <w:sz w:val="26"/>
          <w:szCs w:val="26"/>
        </w:rPr>
        <w:t>ederal law that occurred in 2008, is a matter properly before the Commission</w:t>
      </w:r>
      <w:r w:rsidR="00BA1070">
        <w:rPr>
          <w:sz w:val="26"/>
          <w:szCs w:val="26"/>
        </w:rPr>
        <w:t xml:space="preserve"> that should be addressed via reconsideration</w:t>
      </w:r>
      <w:r>
        <w:rPr>
          <w:sz w:val="26"/>
          <w:szCs w:val="26"/>
        </w:rPr>
        <w:t>.</w:t>
      </w:r>
    </w:p>
    <w:p w:rsidR="002402FF" w:rsidRDefault="002402FF" w:rsidP="004010EF">
      <w:pPr>
        <w:spacing w:line="360" w:lineRule="auto"/>
        <w:ind w:right="720"/>
        <w:rPr>
          <w:sz w:val="26"/>
          <w:szCs w:val="26"/>
        </w:rPr>
      </w:pPr>
    </w:p>
    <w:p w:rsidR="002054B8" w:rsidRDefault="004010EF" w:rsidP="002402FF">
      <w:pPr>
        <w:spacing w:line="360" w:lineRule="auto"/>
        <w:ind w:right="720"/>
        <w:rPr>
          <w:sz w:val="26"/>
          <w:szCs w:val="26"/>
        </w:rPr>
      </w:pPr>
      <w:r>
        <w:rPr>
          <w:sz w:val="26"/>
          <w:szCs w:val="26"/>
        </w:rPr>
        <w:tab/>
      </w:r>
      <w:r w:rsidR="00BA1070">
        <w:rPr>
          <w:sz w:val="26"/>
          <w:szCs w:val="26"/>
        </w:rPr>
        <w:t xml:space="preserve">As for Norfolk Southern’s second comment </w:t>
      </w:r>
      <w:r w:rsidR="00E870A6">
        <w:rPr>
          <w:sz w:val="26"/>
          <w:szCs w:val="26"/>
        </w:rPr>
        <w:t xml:space="preserve">and the </w:t>
      </w:r>
      <w:r w:rsidR="00C26C90">
        <w:rPr>
          <w:sz w:val="26"/>
          <w:szCs w:val="26"/>
        </w:rPr>
        <w:t>PSLB UTU</w:t>
      </w:r>
      <w:r w:rsidR="00E870A6">
        <w:rPr>
          <w:sz w:val="26"/>
          <w:szCs w:val="26"/>
        </w:rPr>
        <w:t>’s comment regarding preemption of the 1973 Order</w:t>
      </w:r>
      <w:r w:rsidR="00BA1070">
        <w:rPr>
          <w:sz w:val="26"/>
          <w:szCs w:val="26"/>
        </w:rPr>
        <w:t xml:space="preserve">, </w:t>
      </w:r>
      <w:r w:rsidR="00FD2672">
        <w:rPr>
          <w:sz w:val="26"/>
          <w:szCs w:val="26"/>
        </w:rPr>
        <w:t>§</w:t>
      </w:r>
      <w:r w:rsidR="002054B8">
        <w:rPr>
          <w:sz w:val="26"/>
          <w:szCs w:val="26"/>
        </w:rPr>
        <w:t xml:space="preserve"> 20106 of the Federal Railroad Safety Act of 1970, 49 U.S.C. §§ 20106, provides that laws, regulations, and other orders related to railroad safety shall be nationally uniform to the extent practicable.  </w:t>
      </w:r>
      <w:r w:rsidR="009A6860">
        <w:rPr>
          <w:sz w:val="26"/>
          <w:szCs w:val="26"/>
        </w:rPr>
        <w:t xml:space="preserve">Toward that end, §20106 provides that a state may adopt or </w:t>
      </w:r>
      <w:r w:rsidR="00062516">
        <w:rPr>
          <w:sz w:val="26"/>
          <w:szCs w:val="26"/>
        </w:rPr>
        <w:t xml:space="preserve">continue </w:t>
      </w:r>
      <w:r w:rsidR="00037910">
        <w:rPr>
          <w:sz w:val="26"/>
          <w:szCs w:val="26"/>
        </w:rPr>
        <w:t xml:space="preserve">in </w:t>
      </w:r>
      <w:r w:rsidR="009A6860">
        <w:rPr>
          <w:sz w:val="26"/>
          <w:szCs w:val="26"/>
        </w:rPr>
        <w:t xml:space="preserve">force a law, regulation, or order related to railroad safety until the Secretary of Transportation prescribes a regulation or issues an order covering the subject matter of the state requirement.  </w:t>
      </w:r>
      <w:r w:rsidR="002054B8">
        <w:rPr>
          <w:sz w:val="26"/>
          <w:szCs w:val="26"/>
        </w:rPr>
        <w:t xml:space="preserve">Pursuant to </w:t>
      </w:r>
      <w:r w:rsidR="009A6860">
        <w:rPr>
          <w:sz w:val="26"/>
          <w:szCs w:val="26"/>
        </w:rPr>
        <w:t>§</w:t>
      </w:r>
      <w:r w:rsidR="00FD2672">
        <w:rPr>
          <w:sz w:val="26"/>
          <w:szCs w:val="26"/>
        </w:rPr>
        <w:t xml:space="preserve"> </w:t>
      </w:r>
      <w:r w:rsidR="009A6860">
        <w:rPr>
          <w:sz w:val="26"/>
          <w:szCs w:val="26"/>
        </w:rPr>
        <w:t>20106,</w:t>
      </w:r>
      <w:r w:rsidR="002054B8">
        <w:rPr>
          <w:sz w:val="26"/>
          <w:szCs w:val="26"/>
        </w:rPr>
        <w:t xml:space="preserve"> a state may adopt or continue </w:t>
      </w:r>
      <w:r w:rsidR="00037910">
        <w:rPr>
          <w:sz w:val="26"/>
          <w:szCs w:val="26"/>
        </w:rPr>
        <w:t xml:space="preserve">in </w:t>
      </w:r>
      <w:r w:rsidR="00C76996">
        <w:rPr>
          <w:sz w:val="26"/>
          <w:szCs w:val="26"/>
        </w:rPr>
        <w:t>f</w:t>
      </w:r>
      <w:r w:rsidR="002054B8">
        <w:rPr>
          <w:sz w:val="26"/>
          <w:szCs w:val="26"/>
        </w:rPr>
        <w:t xml:space="preserve">orce an additional or more stringent law, regulation or order related to railroad safety when it is necessary to </w:t>
      </w:r>
      <w:r w:rsidR="00037910">
        <w:rPr>
          <w:sz w:val="26"/>
          <w:szCs w:val="26"/>
        </w:rPr>
        <w:t>eliminate or reduce</w:t>
      </w:r>
      <w:r w:rsidR="002054B8">
        <w:rPr>
          <w:sz w:val="26"/>
          <w:szCs w:val="26"/>
        </w:rPr>
        <w:t xml:space="preserve"> a local safety hazard, is not incompatible with federal law, and does not unreasonably burden interstate commerce.  Pursuant to 49 C.F.R. § 218.4, the shoving regulations, promulgated at §</w:t>
      </w:r>
      <w:r w:rsidR="00A77513">
        <w:rPr>
          <w:sz w:val="26"/>
          <w:szCs w:val="26"/>
        </w:rPr>
        <w:t xml:space="preserve"> </w:t>
      </w:r>
      <w:r w:rsidR="002054B8">
        <w:rPr>
          <w:sz w:val="26"/>
          <w:szCs w:val="26"/>
        </w:rPr>
        <w:t>218.99</w:t>
      </w:r>
      <w:r w:rsidR="00062516">
        <w:rPr>
          <w:sz w:val="26"/>
          <w:szCs w:val="26"/>
        </w:rPr>
        <w:t>,</w:t>
      </w:r>
      <w:r w:rsidR="002054B8">
        <w:rPr>
          <w:sz w:val="26"/>
          <w:szCs w:val="26"/>
        </w:rPr>
        <w:t xml:space="preserve"> are governed by the preemption criteria established by 49 U.S.C.</w:t>
      </w:r>
      <w:r w:rsidR="00997EA0">
        <w:rPr>
          <w:sz w:val="26"/>
          <w:szCs w:val="26"/>
        </w:rPr>
        <w:t xml:space="preserve">           </w:t>
      </w:r>
      <w:r w:rsidR="002054B8">
        <w:rPr>
          <w:sz w:val="26"/>
          <w:szCs w:val="26"/>
        </w:rPr>
        <w:t xml:space="preserve"> § 20106. </w:t>
      </w:r>
    </w:p>
    <w:p w:rsidR="002054B8" w:rsidRDefault="002054B8" w:rsidP="002402FF">
      <w:pPr>
        <w:spacing w:line="360" w:lineRule="auto"/>
        <w:ind w:right="720"/>
        <w:rPr>
          <w:sz w:val="26"/>
          <w:szCs w:val="26"/>
        </w:rPr>
      </w:pPr>
    </w:p>
    <w:p w:rsidR="004010EF" w:rsidRDefault="004010EF" w:rsidP="002054B8">
      <w:pPr>
        <w:spacing w:line="360" w:lineRule="auto"/>
        <w:ind w:right="720" w:firstLine="720"/>
        <w:rPr>
          <w:sz w:val="26"/>
          <w:szCs w:val="26"/>
        </w:rPr>
      </w:pPr>
      <w:r>
        <w:rPr>
          <w:sz w:val="26"/>
          <w:szCs w:val="26"/>
        </w:rPr>
        <w:t xml:space="preserve">As previously noted, the 1973 Order required, </w:t>
      </w:r>
      <w:r w:rsidRPr="00CE1E00">
        <w:rPr>
          <w:i/>
          <w:sz w:val="26"/>
          <w:szCs w:val="26"/>
        </w:rPr>
        <w:t>inter</w:t>
      </w:r>
      <w:r>
        <w:rPr>
          <w:i/>
          <w:sz w:val="26"/>
          <w:szCs w:val="26"/>
        </w:rPr>
        <w:t xml:space="preserve"> </w:t>
      </w:r>
      <w:r w:rsidRPr="00CE1E00">
        <w:rPr>
          <w:i/>
          <w:sz w:val="26"/>
          <w:szCs w:val="26"/>
        </w:rPr>
        <w:t>alia</w:t>
      </w:r>
      <w:r>
        <w:rPr>
          <w:sz w:val="26"/>
          <w:szCs w:val="26"/>
        </w:rPr>
        <w:t xml:space="preserve">, that shoving operations conducted at Norfolk Southern’s Conway Yard may only be conducted when a trainman is positioned on the lead car.  At that point in time, federal </w:t>
      </w:r>
      <w:r>
        <w:rPr>
          <w:sz w:val="26"/>
          <w:szCs w:val="26"/>
        </w:rPr>
        <w:lastRenderedPageBreak/>
        <w:t xml:space="preserve">regulations were silent regarding shoving operations.  In February, 2008, the FRA issued final regulations governing shoving operations.  These regulations were then modified shortly thereafter in June, 2008, to include the provision of shove light systems.  Those regulations </w:t>
      </w:r>
      <w:r w:rsidR="0002088B">
        <w:rPr>
          <w:sz w:val="26"/>
          <w:szCs w:val="26"/>
        </w:rPr>
        <w:t>are set forth in full in Appendix A, attached hereto.</w:t>
      </w:r>
    </w:p>
    <w:p w:rsidR="0002088B" w:rsidRDefault="0002088B" w:rsidP="002054B8">
      <w:pPr>
        <w:spacing w:line="360" w:lineRule="auto"/>
        <w:ind w:right="720" w:firstLine="720"/>
        <w:rPr>
          <w:sz w:val="26"/>
          <w:szCs w:val="26"/>
        </w:rPr>
      </w:pPr>
    </w:p>
    <w:p w:rsidR="0002088B" w:rsidRDefault="0002088B" w:rsidP="008C6C5A">
      <w:pPr>
        <w:spacing w:line="360" w:lineRule="auto"/>
        <w:ind w:right="720" w:firstLine="720"/>
        <w:rPr>
          <w:sz w:val="26"/>
          <w:szCs w:val="26"/>
        </w:rPr>
      </w:pPr>
      <w:r>
        <w:rPr>
          <w:sz w:val="26"/>
          <w:szCs w:val="26"/>
        </w:rPr>
        <w:t>Based on our review of the record</w:t>
      </w:r>
      <w:r w:rsidR="00F7505B">
        <w:rPr>
          <w:sz w:val="26"/>
          <w:szCs w:val="26"/>
        </w:rPr>
        <w:t>,</w:t>
      </w:r>
      <w:r>
        <w:rPr>
          <w:sz w:val="26"/>
          <w:szCs w:val="26"/>
        </w:rPr>
        <w:t xml:space="preserve"> the applicable federal law</w:t>
      </w:r>
      <w:r w:rsidR="00997EA0">
        <w:rPr>
          <w:sz w:val="26"/>
          <w:szCs w:val="26"/>
        </w:rPr>
        <w:t>, and</w:t>
      </w:r>
      <w:r w:rsidR="00F7505B">
        <w:rPr>
          <w:sz w:val="26"/>
          <w:szCs w:val="26"/>
        </w:rPr>
        <w:t xml:space="preserve"> the comments</w:t>
      </w:r>
      <w:r w:rsidR="00D56F01">
        <w:rPr>
          <w:sz w:val="26"/>
          <w:szCs w:val="26"/>
        </w:rPr>
        <w:t>,</w:t>
      </w:r>
      <w:r w:rsidR="00F7505B">
        <w:rPr>
          <w:sz w:val="26"/>
          <w:szCs w:val="26"/>
        </w:rPr>
        <w:t xml:space="preserve"> we believe that further development of the record is required.</w:t>
      </w:r>
      <w:r w:rsidR="00391C6A">
        <w:rPr>
          <w:sz w:val="26"/>
          <w:szCs w:val="26"/>
        </w:rPr>
        <w:t xml:space="preserve">  Comments filed by the </w:t>
      </w:r>
      <w:r w:rsidR="00C26C90">
        <w:rPr>
          <w:sz w:val="26"/>
          <w:szCs w:val="26"/>
        </w:rPr>
        <w:t>PSLB UTU</w:t>
      </w:r>
      <w:r w:rsidR="00391C6A" w:rsidRPr="00391C6A">
        <w:rPr>
          <w:sz w:val="26"/>
          <w:szCs w:val="26"/>
        </w:rPr>
        <w:t xml:space="preserve"> </w:t>
      </w:r>
      <w:r w:rsidR="00391C6A">
        <w:rPr>
          <w:sz w:val="26"/>
          <w:szCs w:val="26"/>
        </w:rPr>
        <w:t>raise legal and factual issues that must be addressed in order to resolve this matter.   Specifically,</w:t>
      </w:r>
      <w:r w:rsidR="00CC1BE4">
        <w:rPr>
          <w:sz w:val="26"/>
          <w:szCs w:val="26"/>
        </w:rPr>
        <w:t xml:space="preserve"> resolution of </w:t>
      </w:r>
      <w:r w:rsidR="00391C6A">
        <w:rPr>
          <w:sz w:val="26"/>
          <w:szCs w:val="26"/>
        </w:rPr>
        <w:t xml:space="preserve">the </w:t>
      </w:r>
      <w:r w:rsidR="00C26C90">
        <w:rPr>
          <w:sz w:val="26"/>
          <w:szCs w:val="26"/>
        </w:rPr>
        <w:t xml:space="preserve">        PSLB UTU</w:t>
      </w:r>
      <w:r w:rsidR="00CC1BE4">
        <w:rPr>
          <w:sz w:val="26"/>
          <w:szCs w:val="26"/>
        </w:rPr>
        <w:t>’s</w:t>
      </w:r>
      <w:r w:rsidR="00391C6A" w:rsidRPr="00391C6A">
        <w:rPr>
          <w:sz w:val="26"/>
          <w:szCs w:val="26"/>
        </w:rPr>
        <w:t xml:space="preserve"> </w:t>
      </w:r>
      <w:r w:rsidR="00391C6A">
        <w:rPr>
          <w:sz w:val="26"/>
          <w:szCs w:val="26"/>
        </w:rPr>
        <w:t xml:space="preserve">allegations that the Federal </w:t>
      </w:r>
      <w:r w:rsidR="00CC1BE4">
        <w:rPr>
          <w:sz w:val="26"/>
          <w:szCs w:val="26"/>
        </w:rPr>
        <w:t>regulations</w:t>
      </w:r>
      <w:r w:rsidR="00391C6A">
        <w:rPr>
          <w:sz w:val="26"/>
          <w:szCs w:val="26"/>
        </w:rPr>
        <w:t xml:space="preserve"> do not occupy the field</w:t>
      </w:r>
      <w:r w:rsidR="00F8623D">
        <w:rPr>
          <w:sz w:val="26"/>
          <w:szCs w:val="26"/>
        </w:rPr>
        <w:t xml:space="preserve"> regarding local safety conditions</w:t>
      </w:r>
      <w:r w:rsidR="00391C6A">
        <w:rPr>
          <w:sz w:val="26"/>
          <w:szCs w:val="26"/>
        </w:rPr>
        <w:t xml:space="preserve"> and that the Conway Yard</w:t>
      </w:r>
      <w:r w:rsidR="00CC1BE4">
        <w:rPr>
          <w:sz w:val="26"/>
          <w:szCs w:val="26"/>
        </w:rPr>
        <w:t xml:space="preserve"> presents unique</w:t>
      </w:r>
      <w:r w:rsidR="00F8623D">
        <w:rPr>
          <w:sz w:val="26"/>
          <w:szCs w:val="26"/>
        </w:rPr>
        <w:t xml:space="preserve"> local</w:t>
      </w:r>
      <w:r w:rsidR="00CC1BE4">
        <w:rPr>
          <w:sz w:val="26"/>
          <w:szCs w:val="26"/>
        </w:rPr>
        <w:t xml:space="preserve"> safety hazards, is</w:t>
      </w:r>
      <w:r w:rsidR="00391C6A">
        <w:rPr>
          <w:sz w:val="26"/>
          <w:szCs w:val="26"/>
        </w:rPr>
        <w:t xml:space="preserve"> critical to a determination of whether our </w:t>
      </w:r>
      <w:r w:rsidR="00CC1BE4">
        <w:rPr>
          <w:sz w:val="26"/>
          <w:szCs w:val="26"/>
        </w:rPr>
        <w:t>1973 Order is preempted.  Therefore, t</w:t>
      </w:r>
      <w:r w:rsidR="00F7505B">
        <w:rPr>
          <w:sz w:val="26"/>
          <w:szCs w:val="26"/>
        </w:rPr>
        <w:t xml:space="preserve">his matter is </w:t>
      </w:r>
      <w:r w:rsidR="00E870A6">
        <w:rPr>
          <w:sz w:val="26"/>
          <w:szCs w:val="26"/>
        </w:rPr>
        <w:t>refer</w:t>
      </w:r>
      <w:r w:rsidR="00F7505B">
        <w:rPr>
          <w:sz w:val="26"/>
          <w:szCs w:val="26"/>
        </w:rPr>
        <w:t>red</w:t>
      </w:r>
      <w:r w:rsidR="00E870A6">
        <w:rPr>
          <w:sz w:val="26"/>
          <w:szCs w:val="26"/>
        </w:rPr>
        <w:t xml:space="preserve"> to our Office of Administrative Law Judge for expedited </w:t>
      </w:r>
      <w:r w:rsidR="008C6C5A">
        <w:rPr>
          <w:sz w:val="26"/>
          <w:szCs w:val="26"/>
        </w:rPr>
        <w:t xml:space="preserve">hearing and issuance of a Recommended Decision.   The </w:t>
      </w:r>
      <w:r w:rsidR="00F8623D">
        <w:rPr>
          <w:sz w:val="26"/>
          <w:szCs w:val="26"/>
        </w:rPr>
        <w:t>fundamental</w:t>
      </w:r>
      <w:r w:rsidR="008C6C5A">
        <w:rPr>
          <w:sz w:val="26"/>
          <w:szCs w:val="26"/>
        </w:rPr>
        <w:t xml:space="preserve"> issue to be determined is whether our 1973 Order is preempted by the Federal Regulation a</w:t>
      </w:r>
      <w:r w:rsidR="00297544">
        <w:rPr>
          <w:sz w:val="26"/>
          <w:szCs w:val="26"/>
        </w:rPr>
        <w:t xml:space="preserve">t 49 CFR § 218.99, which will require </w:t>
      </w:r>
      <w:r w:rsidR="008C6C5A">
        <w:rPr>
          <w:sz w:val="26"/>
          <w:szCs w:val="26"/>
        </w:rPr>
        <w:t xml:space="preserve">an examination of </w:t>
      </w:r>
      <w:r w:rsidR="004026A4">
        <w:rPr>
          <w:sz w:val="26"/>
          <w:szCs w:val="26"/>
        </w:rPr>
        <w:t xml:space="preserve">    </w:t>
      </w:r>
      <w:r w:rsidR="00297544">
        <w:rPr>
          <w:sz w:val="26"/>
          <w:szCs w:val="26"/>
        </w:rPr>
        <w:t xml:space="preserve"> 49 CFR § 218.99</w:t>
      </w:r>
      <w:r w:rsidR="00CC1BE4">
        <w:rPr>
          <w:sz w:val="26"/>
          <w:szCs w:val="26"/>
        </w:rPr>
        <w:t xml:space="preserve"> in its entirety, </w:t>
      </w:r>
      <w:r w:rsidR="008C6C5A">
        <w:rPr>
          <w:sz w:val="26"/>
          <w:szCs w:val="26"/>
        </w:rPr>
        <w:t>whether any local safety or security hazard exists</w:t>
      </w:r>
      <w:r w:rsidR="00997EA0">
        <w:rPr>
          <w:sz w:val="26"/>
          <w:szCs w:val="26"/>
        </w:rPr>
        <w:t xml:space="preserve"> warranting additional State regulation, whether the 1973 Order is incompatible with Federal law</w:t>
      </w:r>
      <w:r w:rsidR="00F8623D">
        <w:rPr>
          <w:sz w:val="26"/>
          <w:szCs w:val="26"/>
        </w:rPr>
        <w:t>, and any other relevant issues</w:t>
      </w:r>
      <w:r w:rsidR="008C6C5A">
        <w:rPr>
          <w:sz w:val="26"/>
          <w:szCs w:val="26"/>
        </w:rPr>
        <w:t xml:space="preserve">.  </w:t>
      </w:r>
      <w:r w:rsidRPr="003D0028">
        <w:rPr>
          <w:b/>
          <w:sz w:val="26"/>
          <w:szCs w:val="26"/>
        </w:rPr>
        <w:t>THEREFORE</w:t>
      </w:r>
      <w:r>
        <w:rPr>
          <w:sz w:val="26"/>
          <w:szCs w:val="26"/>
        </w:rPr>
        <w:t>,</w:t>
      </w:r>
      <w:r>
        <w:rPr>
          <w:sz w:val="26"/>
          <w:szCs w:val="26"/>
        </w:rPr>
        <w:tab/>
      </w:r>
    </w:p>
    <w:p w:rsidR="00FE2FDC" w:rsidRDefault="00FE2FDC" w:rsidP="0002088B">
      <w:pPr>
        <w:spacing w:line="360" w:lineRule="auto"/>
        <w:ind w:right="720" w:firstLine="720"/>
        <w:rPr>
          <w:sz w:val="26"/>
          <w:szCs w:val="26"/>
        </w:rPr>
      </w:pPr>
    </w:p>
    <w:p w:rsidR="0002088B" w:rsidRDefault="0002088B" w:rsidP="0002088B">
      <w:pPr>
        <w:spacing w:line="360" w:lineRule="auto"/>
        <w:ind w:right="720"/>
        <w:rPr>
          <w:b/>
          <w:sz w:val="26"/>
          <w:szCs w:val="26"/>
        </w:rPr>
      </w:pPr>
      <w:r>
        <w:rPr>
          <w:sz w:val="26"/>
          <w:szCs w:val="26"/>
        </w:rPr>
        <w:tab/>
      </w:r>
      <w:r w:rsidRPr="003D0028">
        <w:rPr>
          <w:b/>
          <w:sz w:val="26"/>
          <w:szCs w:val="26"/>
        </w:rPr>
        <w:t>IT IS ORDERED:</w:t>
      </w:r>
    </w:p>
    <w:p w:rsidR="00FE2FDC" w:rsidRDefault="00FE2FDC" w:rsidP="0002088B">
      <w:pPr>
        <w:spacing w:line="360" w:lineRule="auto"/>
        <w:ind w:right="720"/>
        <w:rPr>
          <w:sz w:val="26"/>
          <w:szCs w:val="26"/>
        </w:rPr>
      </w:pPr>
    </w:p>
    <w:p w:rsidR="0002088B" w:rsidRDefault="0002088B" w:rsidP="00297544">
      <w:pPr>
        <w:pStyle w:val="ListParagraph"/>
        <w:numPr>
          <w:ilvl w:val="0"/>
          <w:numId w:val="3"/>
        </w:numPr>
        <w:spacing w:after="200" w:line="360" w:lineRule="auto"/>
        <w:ind w:left="0" w:right="720" w:firstLine="720"/>
      </w:pPr>
      <w:r>
        <w:t xml:space="preserve">That </w:t>
      </w:r>
      <w:r w:rsidR="008C6C5A">
        <w:t xml:space="preserve">this matter is </w:t>
      </w:r>
      <w:r w:rsidR="00297544">
        <w:t>referred</w:t>
      </w:r>
      <w:r w:rsidR="008C6C5A">
        <w:t xml:space="preserve"> t</w:t>
      </w:r>
      <w:r w:rsidR="00297544">
        <w:t>o the Office of Administrative L</w:t>
      </w:r>
      <w:r w:rsidR="008C6C5A">
        <w:t xml:space="preserve">aw Judge for expedited hearing and </w:t>
      </w:r>
      <w:r w:rsidR="002E338A">
        <w:t>issuance of a Recommended Decision.</w:t>
      </w:r>
      <w:r w:rsidR="00D56F01">
        <w:t xml:space="preserve">  The Recommended Decision should be presented for our consideration at the May 6, 2010 public meeting.</w:t>
      </w:r>
    </w:p>
    <w:p w:rsidR="007D43C4" w:rsidRDefault="007D43C4" w:rsidP="00297544">
      <w:pPr>
        <w:pStyle w:val="ListParagraph"/>
        <w:spacing w:line="360" w:lineRule="auto"/>
      </w:pPr>
    </w:p>
    <w:p w:rsidR="000D3EBD" w:rsidRPr="00297544" w:rsidRDefault="0002088B" w:rsidP="00297544">
      <w:pPr>
        <w:pStyle w:val="ListParagraph"/>
        <w:numPr>
          <w:ilvl w:val="0"/>
          <w:numId w:val="3"/>
        </w:numPr>
        <w:spacing w:line="360" w:lineRule="auto"/>
        <w:ind w:left="0" w:right="720" w:firstLine="720"/>
      </w:pPr>
      <w:r>
        <w:lastRenderedPageBreak/>
        <w:t>That a copy of this</w:t>
      </w:r>
      <w:r w:rsidR="005608E8">
        <w:t xml:space="preserve"> </w:t>
      </w:r>
      <w:r w:rsidR="00297544">
        <w:t>O</w:t>
      </w:r>
      <w:r>
        <w:t>rder</w:t>
      </w:r>
      <w:r w:rsidR="00F8623D">
        <w:t xml:space="preserve"> and our November 9, 2009 Reconsideration Order</w:t>
      </w:r>
      <w:r>
        <w:t xml:space="preserve"> shall be served on the Norfolk Southern Transportation Company</w:t>
      </w:r>
      <w:r w:rsidR="005608E8">
        <w:t xml:space="preserve">, </w:t>
      </w:r>
      <w:r>
        <w:t>the United Transportation Union</w:t>
      </w:r>
      <w:r w:rsidR="005608E8">
        <w:t xml:space="preserve">, the </w:t>
      </w:r>
      <w:r w:rsidR="00F40F90">
        <w:t xml:space="preserve">Pennsylvania State </w:t>
      </w:r>
    </w:p>
    <w:p w:rsidR="0002088B" w:rsidRDefault="00F40F90" w:rsidP="00297544">
      <w:pPr>
        <w:pStyle w:val="ListParagraph"/>
        <w:spacing w:line="360" w:lineRule="auto"/>
        <w:ind w:left="0" w:right="720"/>
      </w:pPr>
      <w:r>
        <w:t>Legislative B</w:t>
      </w:r>
      <w:r w:rsidR="005608E8">
        <w:t>oard of the United Transportation Union</w:t>
      </w:r>
      <w:r w:rsidR="00F8623D">
        <w:t>, and</w:t>
      </w:r>
      <w:r w:rsidR="005608E8">
        <w:t xml:space="preserve"> counsel</w:t>
      </w:r>
      <w:r w:rsidR="0002088B">
        <w:t>.</w:t>
      </w:r>
    </w:p>
    <w:p w:rsidR="00C86020" w:rsidRDefault="002D0E49" w:rsidP="00297544">
      <w:pPr>
        <w:pStyle w:val="ListParagraph"/>
        <w:spacing w:line="360" w:lineRule="auto"/>
        <w:ind w:left="0" w:right="720"/>
      </w:pPr>
      <w:r>
        <w:rPr>
          <w:noProof/>
        </w:rPr>
        <w:drawing>
          <wp:anchor distT="0" distB="0" distL="114300" distR="114300" simplePos="0" relativeHeight="251658240" behindDoc="1" locked="0" layoutInCell="1" allowOverlap="1">
            <wp:simplePos x="0" y="0"/>
            <wp:positionH relativeFrom="column">
              <wp:posOffset>2543175</wp:posOffset>
            </wp:positionH>
            <wp:positionV relativeFrom="paragraph">
              <wp:posOffset>175260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02088B" w:rsidRDefault="0002088B" w:rsidP="0002088B">
      <w:pPr>
        <w:spacing w:line="360" w:lineRule="auto"/>
        <w:ind w:left="5040" w:right="720"/>
        <w:rPr>
          <w:sz w:val="26"/>
          <w:szCs w:val="26"/>
        </w:rPr>
      </w:pPr>
      <w:r w:rsidRPr="00ED4A01">
        <w:rPr>
          <w:b/>
          <w:sz w:val="26"/>
          <w:szCs w:val="26"/>
        </w:rPr>
        <w:t>BY THE COMMISSION</w:t>
      </w:r>
    </w:p>
    <w:p w:rsidR="00FE2FDC" w:rsidRDefault="00FE2FDC" w:rsidP="0002088B">
      <w:pPr>
        <w:spacing w:line="360" w:lineRule="auto"/>
        <w:ind w:left="5040" w:right="720"/>
        <w:rPr>
          <w:sz w:val="26"/>
          <w:szCs w:val="26"/>
        </w:rPr>
      </w:pPr>
    </w:p>
    <w:p w:rsidR="00C86020" w:rsidRDefault="00C86020" w:rsidP="0002088B">
      <w:pPr>
        <w:spacing w:line="360" w:lineRule="auto"/>
        <w:ind w:left="5040" w:right="720"/>
        <w:rPr>
          <w:sz w:val="26"/>
          <w:szCs w:val="26"/>
        </w:rPr>
      </w:pPr>
    </w:p>
    <w:p w:rsidR="0002088B" w:rsidRDefault="0002088B" w:rsidP="0002088B">
      <w:pPr>
        <w:ind w:left="5040" w:right="720"/>
        <w:rPr>
          <w:sz w:val="26"/>
          <w:szCs w:val="26"/>
        </w:rPr>
      </w:pPr>
      <w:r>
        <w:rPr>
          <w:sz w:val="26"/>
          <w:szCs w:val="26"/>
        </w:rPr>
        <w:t>James J. McNulty</w:t>
      </w:r>
    </w:p>
    <w:p w:rsidR="0002088B" w:rsidRDefault="0002088B" w:rsidP="0002088B">
      <w:pPr>
        <w:ind w:left="5040" w:right="720"/>
        <w:rPr>
          <w:sz w:val="26"/>
          <w:szCs w:val="26"/>
        </w:rPr>
      </w:pPr>
      <w:r>
        <w:rPr>
          <w:sz w:val="26"/>
          <w:szCs w:val="26"/>
        </w:rPr>
        <w:t xml:space="preserve">Secretary </w:t>
      </w:r>
    </w:p>
    <w:p w:rsidR="00D56F01" w:rsidRDefault="00D56F01" w:rsidP="0002088B">
      <w:pPr>
        <w:ind w:right="720"/>
        <w:rPr>
          <w:sz w:val="26"/>
          <w:szCs w:val="26"/>
        </w:rPr>
      </w:pPr>
    </w:p>
    <w:p w:rsidR="00C86020" w:rsidRDefault="00C86020" w:rsidP="0002088B">
      <w:pPr>
        <w:ind w:right="720"/>
        <w:rPr>
          <w:sz w:val="26"/>
          <w:szCs w:val="26"/>
        </w:rPr>
      </w:pPr>
    </w:p>
    <w:p w:rsidR="00C86020" w:rsidRDefault="00C86020" w:rsidP="0002088B">
      <w:pPr>
        <w:ind w:right="720"/>
        <w:rPr>
          <w:sz w:val="26"/>
          <w:szCs w:val="26"/>
        </w:rPr>
      </w:pPr>
    </w:p>
    <w:p w:rsidR="00C86020" w:rsidRDefault="00C86020" w:rsidP="0002088B">
      <w:pPr>
        <w:ind w:right="720"/>
        <w:rPr>
          <w:sz w:val="26"/>
          <w:szCs w:val="26"/>
        </w:rPr>
      </w:pPr>
    </w:p>
    <w:p w:rsidR="00C86020" w:rsidRDefault="00C86020" w:rsidP="0002088B">
      <w:pPr>
        <w:ind w:right="720"/>
        <w:rPr>
          <w:sz w:val="26"/>
          <w:szCs w:val="26"/>
        </w:rPr>
      </w:pPr>
    </w:p>
    <w:p w:rsidR="00C86020" w:rsidRDefault="00C86020" w:rsidP="0002088B">
      <w:pPr>
        <w:ind w:right="720"/>
        <w:rPr>
          <w:sz w:val="26"/>
          <w:szCs w:val="26"/>
        </w:rPr>
      </w:pPr>
    </w:p>
    <w:p w:rsidR="0002088B" w:rsidRDefault="0002088B" w:rsidP="0002088B">
      <w:pPr>
        <w:ind w:right="720"/>
        <w:rPr>
          <w:sz w:val="26"/>
          <w:szCs w:val="26"/>
        </w:rPr>
      </w:pPr>
      <w:r>
        <w:rPr>
          <w:sz w:val="26"/>
          <w:szCs w:val="26"/>
        </w:rPr>
        <w:t>(SEAL)</w:t>
      </w:r>
    </w:p>
    <w:p w:rsidR="002E5B14" w:rsidRDefault="002E5B14" w:rsidP="0002088B">
      <w:pPr>
        <w:ind w:right="720"/>
        <w:rPr>
          <w:sz w:val="26"/>
          <w:szCs w:val="26"/>
        </w:rPr>
      </w:pPr>
    </w:p>
    <w:p w:rsidR="0002088B" w:rsidRDefault="00FE2FDC" w:rsidP="0002088B">
      <w:pPr>
        <w:ind w:right="720"/>
        <w:rPr>
          <w:sz w:val="26"/>
          <w:szCs w:val="26"/>
        </w:rPr>
      </w:pPr>
      <w:r>
        <w:rPr>
          <w:sz w:val="26"/>
          <w:szCs w:val="26"/>
        </w:rPr>
        <w:t>ORDER ADOPTED:  January 14, 2010</w:t>
      </w:r>
    </w:p>
    <w:p w:rsidR="002E5B14" w:rsidRDefault="002E5B14" w:rsidP="0002088B">
      <w:pPr>
        <w:ind w:right="720"/>
        <w:rPr>
          <w:sz w:val="26"/>
          <w:szCs w:val="26"/>
        </w:rPr>
      </w:pPr>
    </w:p>
    <w:p w:rsidR="0002088B" w:rsidRDefault="0002088B" w:rsidP="003961EE">
      <w:pPr>
        <w:ind w:right="720"/>
        <w:rPr>
          <w:sz w:val="26"/>
          <w:szCs w:val="26"/>
        </w:rPr>
      </w:pPr>
      <w:r>
        <w:rPr>
          <w:sz w:val="26"/>
          <w:szCs w:val="26"/>
        </w:rPr>
        <w:t>ORDER ENTERED:</w:t>
      </w:r>
      <w:r w:rsidR="002D0E49">
        <w:rPr>
          <w:sz w:val="26"/>
          <w:szCs w:val="26"/>
        </w:rPr>
        <w:t xml:space="preserve">  </w:t>
      </w:r>
      <w:r w:rsidR="002D0E49">
        <w:rPr>
          <w:b/>
          <w:sz w:val="26"/>
          <w:szCs w:val="26"/>
        </w:rPr>
        <w:t>January 14, 2010</w:t>
      </w:r>
      <w:r>
        <w:rPr>
          <w:sz w:val="26"/>
          <w:szCs w:val="26"/>
        </w:rPr>
        <w:tab/>
      </w:r>
    </w:p>
    <w:p w:rsidR="00C86020" w:rsidRDefault="00C86020">
      <w:pPr>
        <w:overflowPunct/>
        <w:autoSpaceDE/>
        <w:autoSpaceDN/>
        <w:adjustRightInd/>
        <w:textAlignment w:val="auto"/>
        <w:rPr>
          <w:sz w:val="26"/>
          <w:szCs w:val="26"/>
        </w:rPr>
      </w:pPr>
      <w:r>
        <w:rPr>
          <w:sz w:val="26"/>
          <w:szCs w:val="26"/>
        </w:rPr>
        <w:br w:type="page"/>
      </w:r>
    </w:p>
    <w:p w:rsidR="0002088B" w:rsidRPr="0002088B" w:rsidRDefault="0002088B" w:rsidP="0002088B">
      <w:pPr>
        <w:spacing w:line="360" w:lineRule="auto"/>
        <w:ind w:right="720" w:firstLine="720"/>
        <w:jc w:val="center"/>
        <w:rPr>
          <w:b/>
          <w:sz w:val="26"/>
          <w:szCs w:val="26"/>
        </w:rPr>
      </w:pPr>
      <w:r w:rsidRPr="0002088B">
        <w:rPr>
          <w:b/>
          <w:sz w:val="26"/>
          <w:szCs w:val="26"/>
        </w:rPr>
        <w:lastRenderedPageBreak/>
        <w:t>APPENDIX “A”</w:t>
      </w:r>
    </w:p>
    <w:p w:rsidR="002402FF" w:rsidRDefault="002402FF" w:rsidP="002402FF">
      <w:pPr>
        <w:spacing w:line="360" w:lineRule="auto"/>
        <w:ind w:right="720"/>
        <w:rPr>
          <w:sz w:val="26"/>
          <w:szCs w:val="26"/>
        </w:rPr>
      </w:pPr>
    </w:p>
    <w:p w:rsidR="004010EF" w:rsidRPr="00266DC8" w:rsidRDefault="004010EF" w:rsidP="004010EF">
      <w:pPr>
        <w:ind w:right="720"/>
        <w:rPr>
          <w:sz w:val="26"/>
          <w:szCs w:val="26"/>
        </w:rPr>
      </w:pPr>
      <w:r w:rsidRPr="004010EF">
        <w:rPr>
          <w:b/>
          <w:sz w:val="26"/>
          <w:szCs w:val="26"/>
        </w:rPr>
        <w:t xml:space="preserve">§ 218.99 Shoving or pushing movements. </w:t>
      </w:r>
    </w:p>
    <w:p w:rsidR="004010EF" w:rsidRPr="00266DC8" w:rsidRDefault="004010EF" w:rsidP="004010EF">
      <w:pPr>
        <w:ind w:right="720"/>
        <w:rPr>
          <w:sz w:val="26"/>
          <w:szCs w:val="26"/>
        </w:rPr>
      </w:pPr>
    </w:p>
    <w:p w:rsidR="004010EF" w:rsidRPr="00266DC8" w:rsidRDefault="004010EF" w:rsidP="004010EF">
      <w:pPr>
        <w:ind w:right="720"/>
        <w:rPr>
          <w:sz w:val="26"/>
          <w:szCs w:val="26"/>
        </w:rPr>
      </w:pPr>
      <w:r w:rsidRPr="00266DC8">
        <w:rPr>
          <w:sz w:val="26"/>
          <w:szCs w:val="26"/>
        </w:rPr>
        <w:t>(a)(1) Each railroad shall adopt and comply with an operating rule which</w:t>
      </w:r>
      <w:r>
        <w:rPr>
          <w:sz w:val="26"/>
          <w:szCs w:val="26"/>
        </w:rPr>
        <w:t xml:space="preserve"> </w:t>
      </w:r>
      <w:r w:rsidRPr="00266DC8">
        <w:rPr>
          <w:sz w:val="26"/>
          <w:szCs w:val="26"/>
        </w:rPr>
        <w:t>complies</w:t>
      </w:r>
      <w:r>
        <w:rPr>
          <w:sz w:val="26"/>
          <w:szCs w:val="26"/>
        </w:rPr>
        <w:t xml:space="preserve"> </w:t>
      </w:r>
      <w:r w:rsidRPr="00266DC8">
        <w:rPr>
          <w:sz w:val="26"/>
          <w:szCs w:val="26"/>
        </w:rPr>
        <w:t>with the requirements of this</w:t>
      </w:r>
      <w:r>
        <w:rPr>
          <w:sz w:val="26"/>
          <w:szCs w:val="26"/>
        </w:rPr>
        <w:t xml:space="preserve"> </w:t>
      </w:r>
      <w:r w:rsidRPr="00266DC8">
        <w:rPr>
          <w:sz w:val="26"/>
          <w:szCs w:val="26"/>
        </w:rPr>
        <w:t>section. When any person including,</w:t>
      </w:r>
      <w:r>
        <w:rPr>
          <w:sz w:val="26"/>
          <w:szCs w:val="26"/>
        </w:rPr>
        <w:t xml:space="preserve"> </w:t>
      </w:r>
      <w:r w:rsidRPr="00266DC8">
        <w:rPr>
          <w:sz w:val="26"/>
          <w:szCs w:val="26"/>
        </w:rPr>
        <w:t>but not limited to, each railroad, railroad officer, supervisor, and employee</w:t>
      </w:r>
      <w:r>
        <w:rPr>
          <w:sz w:val="26"/>
          <w:szCs w:val="26"/>
        </w:rPr>
        <w:t xml:space="preserve"> </w:t>
      </w:r>
      <w:r w:rsidRPr="00266DC8">
        <w:rPr>
          <w:sz w:val="26"/>
          <w:szCs w:val="26"/>
        </w:rPr>
        <w:t>violates any</w:t>
      </w:r>
      <w:r>
        <w:rPr>
          <w:sz w:val="26"/>
          <w:szCs w:val="26"/>
        </w:rPr>
        <w:t xml:space="preserve"> </w:t>
      </w:r>
      <w:r w:rsidRPr="00266DC8">
        <w:rPr>
          <w:sz w:val="26"/>
          <w:szCs w:val="26"/>
        </w:rPr>
        <w:t>requirement of an operating</w:t>
      </w:r>
      <w:r>
        <w:rPr>
          <w:sz w:val="26"/>
          <w:szCs w:val="26"/>
        </w:rPr>
        <w:t xml:space="preserve"> </w:t>
      </w:r>
      <w:r w:rsidRPr="00266DC8">
        <w:rPr>
          <w:sz w:val="26"/>
          <w:szCs w:val="26"/>
        </w:rPr>
        <w:t>rule which complies with the requirements of this</w:t>
      </w:r>
      <w:r>
        <w:rPr>
          <w:sz w:val="26"/>
          <w:szCs w:val="26"/>
        </w:rPr>
        <w:t xml:space="preserve"> </w:t>
      </w:r>
      <w:r w:rsidRPr="00266DC8">
        <w:rPr>
          <w:sz w:val="26"/>
          <w:szCs w:val="26"/>
        </w:rPr>
        <w:t>section, that person shall be considered to have violated the</w:t>
      </w:r>
      <w:r>
        <w:rPr>
          <w:sz w:val="26"/>
          <w:szCs w:val="26"/>
        </w:rPr>
        <w:t xml:space="preserve"> </w:t>
      </w:r>
      <w:r w:rsidRPr="00266DC8">
        <w:rPr>
          <w:sz w:val="26"/>
          <w:szCs w:val="26"/>
        </w:rPr>
        <w:t>requirements of this</w:t>
      </w:r>
      <w:r>
        <w:rPr>
          <w:sz w:val="26"/>
          <w:szCs w:val="26"/>
        </w:rPr>
        <w:t xml:space="preserve"> </w:t>
      </w:r>
      <w:r w:rsidRPr="00266DC8">
        <w:rPr>
          <w:sz w:val="26"/>
          <w:szCs w:val="26"/>
        </w:rPr>
        <w:t xml:space="preserve">section. </w:t>
      </w:r>
    </w:p>
    <w:p w:rsidR="004010EF" w:rsidRPr="00266DC8" w:rsidRDefault="004010EF" w:rsidP="004010EF">
      <w:pPr>
        <w:ind w:right="720"/>
        <w:rPr>
          <w:sz w:val="26"/>
          <w:szCs w:val="26"/>
        </w:rPr>
      </w:pPr>
      <w:r w:rsidRPr="00266DC8">
        <w:rPr>
          <w:sz w:val="26"/>
          <w:szCs w:val="26"/>
        </w:rPr>
        <w:t>(2) The following requirements for</w:t>
      </w:r>
      <w:r>
        <w:rPr>
          <w:sz w:val="26"/>
          <w:szCs w:val="26"/>
        </w:rPr>
        <w:t xml:space="preserve"> </w:t>
      </w:r>
      <w:r w:rsidRPr="00266DC8">
        <w:rPr>
          <w:sz w:val="26"/>
          <w:szCs w:val="26"/>
        </w:rPr>
        <w:t>shoving or pushing movements do not</w:t>
      </w:r>
      <w:r>
        <w:rPr>
          <w:sz w:val="26"/>
          <w:szCs w:val="26"/>
        </w:rPr>
        <w:t xml:space="preserve"> </w:t>
      </w:r>
      <w:r w:rsidRPr="00266DC8">
        <w:rPr>
          <w:sz w:val="26"/>
          <w:szCs w:val="26"/>
        </w:rPr>
        <w:t>apply to</w:t>
      </w:r>
      <w:r>
        <w:rPr>
          <w:sz w:val="26"/>
          <w:szCs w:val="26"/>
        </w:rPr>
        <w:t xml:space="preserve"> </w:t>
      </w:r>
      <w:r w:rsidRPr="00266DC8">
        <w:rPr>
          <w:sz w:val="26"/>
          <w:szCs w:val="26"/>
        </w:rPr>
        <w:t>rolling equipment intentionally</w:t>
      </w:r>
      <w:r>
        <w:rPr>
          <w:sz w:val="26"/>
          <w:szCs w:val="26"/>
        </w:rPr>
        <w:t xml:space="preserve"> </w:t>
      </w:r>
      <w:r w:rsidRPr="00266DC8">
        <w:rPr>
          <w:sz w:val="26"/>
          <w:szCs w:val="26"/>
        </w:rPr>
        <w:t>shoved or pushed to permit the</w:t>
      </w:r>
      <w:r>
        <w:rPr>
          <w:sz w:val="26"/>
          <w:szCs w:val="26"/>
        </w:rPr>
        <w:t xml:space="preserve"> </w:t>
      </w:r>
      <w:r w:rsidRPr="00266DC8">
        <w:rPr>
          <w:sz w:val="26"/>
          <w:szCs w:val="26"/>
        </w:rPr>
        <w:t>rolling equipment to roll without</w:t>
      </w:r>
      <w:r>
        <w:rPr>
          <w:sz w:val="26"/>
          <w:szCs w:val="26"/>
        </w:rPr>
        <w:t xml:space="preserve"> </w:t>
      </w:r>
      <w:r w:rsidRPr="00266DC8">
        <w:rPr>
          <w:sz w:val="26"/>
          <w:szCs w:val="26"/>
        </w:rPr>
        <w:t>power attached, i.e., free rolling equipment,</w:t>
      </w:r>
      <w:r>
        <w:rPr>
          <w:sz w:val="26"/>
          <w:szCs w:val="26"/>
        </w:rPr>
        <w:t xml:space="preserve"> </w:t>
      </w:r>
      <w:r w:rsidRPr="00266DC8">
        <w:rPr>
          <w:sz w:val="26"/>
          <w:szCs w:val="26"/>
        </w:rPr>
        <w:t>during switching</w:t>
      </w:r>
      <w:r>
        <w:rPr>
          <w:sz w:val="26"/>
          <w:szCs w:val="26"/>
        </w:rPr>
        <w:t xml:space="preserve"> </w:t>
      </w:r>
      <w:r w:rsidRPr="00266DC8">
        <w:rPr>
          <w:sz w:val="26"/>
          <w:szCs w:val="26"/>
        </w:rPr>
        <w:t>activities</w:t>
      </w:r>
      <w:r w:rsidR="008023AE">
        <w:rPr>
          <w:sz w:val="26"/>
          <w:szCs w:val="26"/>
        </w:rPr>
        <w:t xml:space="preserve"> </w:t>
      </w:r>
      <w:r w:rsidRPr="00266DC8">
        <w:rPr>
          <w:sz w:val="26"/>
          <w:szCs w:val="26"/>
        </w:rPr>
        <w:t>known as kicking, humping, or dropping</w:t>
      </w:r>
      <w:r w:rsidR="008023AE">
        <w:rPr>
          <w:sz w:val="26"/>
          <w:szCs w:val="26"/>
        </w:rPr>
        <w:t xml:space="preserve"> </w:t>
      </w:r>
      <w:r w:rsidRPr="00266DC8">
        <w:rPr>
          <w:sz w:val="26"/>
          <w:szCs w:val="26"/>
        </w:rPr>
        <w:t xml:space="preserve">cars. </w:t>
      </w:r>
    </w:p>
    <w:p w:rsidR="008023AE" w:rsidRDefault="004010EF" w:rsidP="004010EF">
      <w:pPr>
        <w:ind w:right="720"/>
        <w:rPr>
          <w:i/>
          <w:sz w:val="26"/>
          <w:szCs w:val="26"/>
        </w:rPr>
      </w:pPr>
      <w:r w:rsidRPr="008023AE">
        <w:rPr>
          <w:i/>
          <w:sz w:val="26"/>
          <w:szCs w:val="26"/>
        </w:rPr>
        <w:t>(b) General movement requirements</w:t>
      </w:r>
    </w:p>
    <w:p w:rsidR="004010EF" w:rsidRPr="00266DC8" w:rsidRDefault="004010EF" w:rsidP="002402FF">
      <w:pPr>
        <w:ind w:left="720" w:right="720"/>
        <w:rPr>
          <w:sz w:val="26"/>
          <w:szCs w:val="26"/>
        </w:rPr>
      </w:pPr>
      <w:r w:rsidRPr="008023AE">
        <w:rPr>
          <w:i/>
          <w:sz w:val="26"/>
          <w:szCs w:val="26"/>
        </w:rPr>
        <w:t xml:space="preserve">(1)Job briefing. </w:t>
      </w:r>
      <w:r w:rsidRPr="00266DC8">
        <w:rPr>
          <w:sz w:val="26"/>
          <w:szCs w:val="26"/>
        </w:rPr>
        <w:t>Rolling equipment shall</w:t>
      </w:r>
      <w:r w:rsidR="008023AE">
        <w:rPr>
          <w:sz w:val="26"/>
          <w:szCs w:val="26"/>
        </w:rPr>
        <w:t xml:space="preserve"> </w:t>
      </w:r>
      <w:r w:rsidRPr="00266DC8">
        <w:rPr>
          <w:sz w:val="26"/>
          <w:szCs w:val="26"/>
        </w:rPr>
        <w:t>not be shoved or pushed until the</w:t>
      </w:r>
      <w:r w:rsidR="008023AE">
        <w:rPr>
          <w:sz w:val="26"/>
          <w:szCs w:val="26"/>
        </w:rPr>
        <w:t xml:space="preserve"> l</w:t>
      </w:r>
      <w:r w:rsidRPr="00266DC8">
        <w:rPr>
          <w:sz w:val="26"/>
          <w:szCs w:val="26"/>
        </w:rPr>
        <w:t>ocomotive engineer participating in the</w:t>
      </w:r>
      <w:r w:rsidR="008023AE">
        <w:rPr>
          <w:sz w:val="26"/>
          <w:szCs w:val="26"/>
        </w:rPr>
        <w:t xml:space="preserve"> </w:t>
      </w:r>
      <w:r w:rsidRPr="00266DC8">
        <w:rPr>
          <w:sz w:val="26"/>
          <w:szCs w:val="26"/>
        </w:rPr>
        <w:t>move has been briefed by the employee who will direct the move. The job briefing</w:t>
      </w:r>
      <w:r w:rsidR="008023AE">
        <w:rPr>
          <w:sz w:val="26"/>
          <w:szCs w:val="26"/>
        </w:rPr>
        <w:t xml:space="preserve"> </w:t>
      </w:r>
      <w:r w:rsidRPr="00266DC8">
        <w:rPr>
          <w:sz w:val="26"/>
          <w:szCs w:val="26"/>
        </w:rPr>
        <w:t>shall include the means of</w:t>
      </w:r>
      <w:r w:rsidR="008023AE">
        <w:rPr>
          <w:sz w:val="26"/>
          <w:szCs w:val="26"/>
        </w:rPr>
        <w:t xml:space="preserve"> c</w:t>
      </w:r>
      <w:r w:rsidRPr="00266DC8">
        <w:rPr>
          <w:sz w:val="26"/>
          <w:szCs w:val="26"/>
        </w:rPr>
        <w:t>ommunication</w:t>
      </w:r>
      <w:r w:rsidR="008023AE">
        <w:rPr>
          <w:sz w:val="26"/>
          <w:szCs w:val="26"/>
        </w:rPr>
        <w:t xml:space="preserve"> </w:t>
      </w:r>
      <w:r w:rsidRPr="00266DC8">
        <w:rPr>
          <w:sz w:val="26"/>
          <w:szCs w:val="26"/>
        </w:rPr>
        <w:t>to be used between the locomotive</w:t>
      </w:r>
      <w:r w:rsidR="008023AE">
        <w:rPr>
          <w:sz w:val="26"/>
          <w:szCs w:val="26"/>
        </w:rPr>
        <w:t xml:space="preserve"> </w:t>
      </w:r>
      <w:r w:rsidRPr="00266DC8">
        <w:rPr>
          <w:sz w:val="26"/>
          <w:szCs w:val="26"/>
        </w:rPr>
        <w:t>engineer and the employee directing the move and how point protection</w:t>
      </w:r>
      <w:r w:rsidR="008023AE">
        <w:rPr>
          <w:sz w:val="26"/>
          <w:szCs w:val="26"/>
        </w:rPr>
        <w:t xml:space="preserve"> </w:t>
      </w:r>
      <w:r w:rsidRPr="00266DC8">
        <w:rPr>
          <w:sz w:val="26"/>
          <w:szCs w:val="26"/>
        </w:rPr>
        <w:t xml:space="preserve">will be provided. </w:t>
      </w:r>
    </w:p>
    <w:p w:rsidR="004010EF" w:rsidRPr="00266DC8" w:rsidRDefault="004010EF" w:rsidP="002402FF">
      <w:pPr>
        <w:ind w:left="720" w:right="720"/>
        <w:rPr>
          <w:sz w:val="26"/>
          <w:szCs w:val="26"/>
        </w:rPr>
      </w:pPr>
      <w:r w:rsidRPr="008023AE">
        <w:rPr>
          <w:i/>
          <w:sz w:val="26"/>
          <w:szCs w:val="26"/>
        </w:rPr>
        <w:t>(2) No unrelated tasks.</w:t>
      </w:r>
      <w:r w:rsidRPr="00266DC8">
        <w:rPr>
          <w:sz w:val="26"/>
          <w:szCs w:val="26"/>
        </w:rPr>
        <w:t xml:space="preserve"> During the</w:t>
      </w:r>
      <w:r w:rsidR="008023AE">
        <w:rPr>
          <w:sz w:val="26"/>
          <w:szCs w:val="26"/>
        </w:rPr>
        <w:t xml:space="preserve"> </w:t>
      </w:r>
      <w:r w:rsidRPr="00266DC8">
        <w:rPr>
          <w:sz w:val="26"/>
          <w:szCs w:val="26"/>
        </w:rPr>
        <w:t>shoving or pushing movement, the employee directing the movement shall not engage in any task unrelated to</w:t>
      </w:r>
      <w:r w:rsidR="008023AE">
        <w:rPr>
          <w:sz w:val="26"/>
          <w:szCs w:val="26"/>
        </w:rPr>
        <w:t xml:space="preserve"> </w:t>
      </w:r>
      <w:r w:rsidRPr="00266DC8">
        <w:rPr>
          <w:sz w:val="26"/>
          <w:szCs w:val="26"/>
        </w:rPr>
        <w:t xml:space="preserve">the oversight of the shoving or pushing movement. </w:t>
      </w:r>
    </w:p>
    <w:p w:rsidR="004010EF" w:rsidRPr="00266DC8" w:rsidRDefault="004010EF" w:rsidP="002402FF">
      <w:pPr>
        <w:ind w:left="720" w:right="720"/>
        <w:rPr>
          <w:sz w:val="26"/>
          <w:szCs w:val="26"/>
        </w:rPr>
      </w:pPr>
      <w:r w:rsidRPr="00C065C5">
        <w:rPr>
          <w:i/>
          <w:sz w:val="26"/>
          <w:szCs w:val="26"/>
        </w:rPr>
        <w:t>(3) Point protection.</w:t>
      </w:r>
      <w:r w:rsidRPr="00266DC8">
        <w:rPr>
          <w:sz w:val="26"/>
          <w:szCs w:val="26"/>
        </w:rPr>
        <w:t xml:space="preserve"> When rolling</w:t>
      </w:r>
      <w:r w:rsidR="00C065C5">
        <w:rPr>
          <w:sz w:val="26"/>
          <w:szCs w:val="26"/>
        </w:rPr>
        <w:t xml:space="preserve"> </w:t>
      </w:r>
      <w:r w:rsidRPr="00266DC8">
        <w:rPr>
          <w:sz w:val="26"/>
          <w:szCs w:val="26"/>
        </w:rPr>
        <w:t>equipment or a lite locomotive consist</w:t>
      </w:r>
      <w:r w:rsidR="00C065C5">
        <w:rPr>
          <w:sz w:val="26"/>
          <w:szCs w:val="26"/>
        </w:rPr>
        <w:t xml:space="preserve"> </w:t>
      </w:r>
      <w:r w:rsidRPr="00266DC8">
        <w:rPr>
          <w:sz w:val="26"/>
          <w:szCs w:val="26"/>
        </w:rPr>
        <w:t>is</w:t>
      </w:r>
      <w:r w:rsidR="00C065C5">
        <w:rPr>
          <w:sz w:val="26"/>
          <w:szCs w:val="26"/>
        </w:rPr>
        <w:t xml:space="preserve"> </w:t>
      </w:r>
      <w:r w:rsidRPr="00266DC8">
        <w:rPr>
          <w:sz w:val="26"/>
          <w:szCs w:val="26"/>
        </w:rPr>
        <w:t>shoved or pushed, point protection</w:t>
      </w:r>
      <w:r w:rsidR="00C065C5">
        <w:rPr>
          <w:sz w:val="26"/>
          <w:szCs w:val="26"/>
        </w:rPr>
        <w:t xml:space="preserve"> </w:t>
      </w:r>
      <w:r w:rsidRPr="00266DC8">
        <w:rPr>
          <w:sz w:val="26"/>
          <w:szCs w:val="26"/>
        </w:rPr>
        <w:t>shall be provided by a crewmember or</w:t>
      </w:r>
      <w:r w:rsidR="00C065C5">
        <w:rPr>
          <w:sz w:val="26"/>
          <w:szCs w:val="26"/>
        </w:rPr>
        <w:t xml:space="preserve"> </w:t>
      </w:r>
      <w:r w:rsidRPr="00266DC8">
        <w:rPr>
          <w:sz w:val="26"/>
          <w:szCs w:val="26"/>
        </w:rPr>
        <w:t xml:space="preserve">other qualified employee by: </w:t>
      </w:r>
    </w:p>
    <w:p w:rsidR="004010EF" w:rsidRPr="00266DC8" w:rsidRDefault="004010EF" w:rsidP="002402FF">
      <w:pPr>
        <w:ind w:left="1440" w:right="720"/>
        <w:rPr>
          <w:sz w:val="26"/>
          <w:szCs w:val="26"/>
        </w:rPr>
      </w:pPr>
      <w:r w:rsidRPr="00266DC8">
        <w:rPr>
          <w:sz w:val="26"/>
          <w:szCs w:val="26"/>
        </w:rPr>
        <w:t xml:space="preserve">(i) Visually determining that the track is clear. The determination that the track is clear may be made with the aid of monitored cameras or other </w:t>
      </w:r>
      <w:r w:rsidR="00C065C5">
        <w:rPr>
          <w:sz w:val="26"/>
          <w:szCs w:val="26"/>
        </w:rPr>
        <w:t>t</w:t>
      </w:r>
      <w:r w:rsidRPr="00266DC8">
        <w:rPr>
          <w:sz w:val="26"/>
          <w:szCs w:val="26"/>
        </w:rPr>
        <w:t xml:space="preserve">echnological means, provided that it and the procedures for use provide an equivalent level of protection to that of a direct visual determination by a crewmember or other qualified employee properly positioned to make the observation as prescribed in this section and appendix D to this part; and </w:t>
      </w:r>
    </w:p>
    <w:p w:rsidR="004010EF" w:rsidRPr="00266DC8" w:rsidRDefault="004010EF" w:rsidP="002402FF">
      <w:pPr>
        <w:ind w:left="1440" w:right="720"/>
        <w:rPr>
          <w:sz w:val="26"/>
          <w:szCs w:val="26"/>
        </w:rPr>
      </w:pPr>
      <w:r w:rsidRPr="00266DC8">
        <w:rPr>
          <w:sz w:val="26"/>
          <w:szCs w:val="26"/>
        </w:rPr>
        <w:t xml:space="preserve">(ii) Giving signals or instructions necessary to control the </w:t>
      </w:r>
      <w:r w:rsidR="002402FF">
        <w:rPr>
          <w:sz w:val="26"/>
          <w:szCs w:val="26"/>
        </w:rPr>
        <w:t>m</w:t>
      </w:r>
      <w:r w:rsidRPr="00266DC8">
        <w:rPr>
          <w:sz w:val="26"/>
          <w:szCs w:val="26"/>
        </w:rPr>
        <w:t xml:space="preserve">ovement. </w:t>
      </w:r>
    </w:p>
    <w:p w:rsidR="004010EF" w:rsidRPr="00266DC8" w:rsidRDefault="004010EF" w:rsidP="004010EF">
      <w:pPr>
        <w:ind w:right="720"/>
        <w:rPr>
          <w:sz w:val="26"/>
          <w:szCs w:val="26"/>
        </w:rPr>
      </w:pPr>
      <w:r w:rsidRPr="00C065C5">
        <w:rPr>
          <w:i/>
          <w:sz w:val="26"/>
          <w:szCs w:val="26"/>
        </w:rPr>
        <w:t>(c) Additional requirements for remote control movements.</w:t>
      </w:r>
      <w:r w:rsidRPr="00266DC8">
        <w:rPr>
          <w:sz w:val="26"/>
          <w:szCs w:val="26"/>
        </w:rPr>
        <w:t xml:space="preserve"> All remote control movements are considered shoving or pushing movements, except when the </w:t>
      </w:r>
    </w:p>
    <w:p w:rsidR="004010EF" w:rsidRPr="00266DC8" w:rsidRDefault="004010EF" w:rsidP="004010EF">
      <w:pPr>
        <w:ind w:right="720"/>
        <w:rPr>
          <w:sz w:val="26"/>
          <w:szCs w:val="26"/>
        </w:rPr>
      </w:pPr>
      <w:r w:rsidRPr="00266DC8">
        <w:rPr>
          <w:sz w:val="26"/>
          <w:szCs w:val="26"/>
        </w:rPr>
        <w:t xml:space="preserve">remote control operator controlling the movement is riding the leading end </w:t>
      </w:r>
    </w:p>
    <w:p w:rsidR="004010EF" w:rsidRPr="00266DC8" w:rsidRDefault="004010EF" w:rsidP="004010EF">
      <w:pPr>
        <w:ind w:right="720"/>
        <w:rPr>
          <w:sz w:val="26"/>
          <w:szCs w:val="26"/>
        </w:rPr>
      </w:pPr>
      <w:r w:rsidRPr="00266DC8">
        <w:rPr>
          <w:sz w:val="26"/>
          <w:szCs w:val="26"/>
        </w:rPr>
        <w:t xml:space="preserve">of the leading locomotive in a position to visually determine conditions in the </w:t>
      </w:r>
    </w:p>
    <w:p w:rsidR="004010EF" w:rsidRPr="00266DC8" w:rsidRDefault="004010EF" w:rsidP="004010EF">
      <w:pPr>
        <w:ind w:right="720"/>
        <w:rPr>
          <w:sz w:val="26"/>
          <w:szCs w:val="26"/>
        </w:rPr>
      </w:pPr>
      <w:r w:rsidRPr="00266DC8">
        <w:rPr>
          <w:sz w:val="26"/>
          <w:szCs w:val="26"/>
        </w:rPr>
        <w:t xml:space="preserve">direction of movement. In addition to the other requirements of this section, </w:t>
      </w:r>
    </w:p>
    <w:p w:rsidR="004010EF" w:rsidRDefault="004010EF" w:rsidP="002402FF">
      <w:pPr>
        <w:ind w:right="720" w:firstLine="720"/>
        <w:rPr>
          <w:sz w:val="26"/>
          <w:szCs w:val="26"/>
        </w:rPr>
      </w:pPr>
      <w:r w:rsidRPr="00266DC8">
        <w:rPr>
          <w:sz w:val="26"/>
          <w:szCs w:val="26"/>
        </w:rPr>
        <w:t>(1) When initiating a remote control shoving or pushing movement:</w:t>
      </w:r>
    </w:p>
    <w:p w:rsidR="00281357" w:rsidRPr="0050259A" w:rsidRDefault="00281357" w:rsidP="002402FF">
      <w:pPr>
        <w:ind w:left="1440" w:right="720"/>
        <w:rPr>
          <w:sz w:val="26"/>
          <w:szCs w:val="26"/>
        </w:rPr>
      </w:pPr>
      <w:r w:rsidRPr="0050259A">
        <w:rPr>
          <w:sz w:val="26"/>
          <w:szCs w:val="26"/>
        </w:rPr>
        <w:lastRenderedPageBreak/>
        <w:t xml:space="preserve">(i) The remote control operator shall visually determine the direction the equipment moves; or </w:t>
      </w:r>
    </w:p>
    <w:p w:rsidR="00B974D9" w:rsidRPr="0050259A" w:rsidRDefault="00281357" w:rsidP="00481A5A">
      <w:pPr>
        <w:ind w:left="720" w:right="720" w:firstLine="720"/>
        <w:rPr>
          <w:sz w:val="26"/>
          <w:szCs w:val="26"/>
        </w:rPr>
      </w:pPr>
      <w:r w:rsidRPr="0050259A">
        <w:rPr>
          <w:sz w:val="26"/>
          <w:szCs w:val="26"/>
        </w:rPr>
        <w:t xml:space="preserve">(ii) A member of the crew shall visually determine the direction the </w:t>
      </w:r>
      <w:r w:rsidR="00BD2E14">
        <w:rPr>
          <w:sz w:val="26"/>
          <w:szCs w:val="26"/>
        </w:rPr>
        <w:tab/>
      </w:r>
      <w:r w:rsidRPr="0050259A">
        <w:rPr>
          <w:sz w:val="26"/>
          <w:szCs w:val="26"/>
        </w:rPr>
        <w:t xml:space="preserve">equipment moves and confirm the direction with the remote control </w:t>
      </w:r>
      <w:r w:rsidR="00BD2E14">
        <w:rPr>
          <w:sz w:val="26"/>
          <w:szCs w:val="26"/>
        </w:rPr>
        <w:tab/>
      </w:r>
      <w:r w:rsidRPr="0050259A">
        <w:rPr>
          <w:sz w:val="26"/>
          <w:szCs w:val="26"/>
        </w:rPr>
        <w:t xml:space="preserve">operator. If no </w:t>
      </w:r>
      <w:r>
        <w:rPr>
          <w:sz w:val="26"/>
          <w:szCs w:val="26"/>
        </w:rPr>
        <w:t>c</w:t>
      </w:r>
      <w:r w:rsidRPr="0050259A">
        <w:rPr>
          <w:sz w:val="26"/>
          <w:szCs w:val="26"/>
        </w:rPr>
        <w:t xml:space="preserve">onfirmation is received, the movement shall be </w:t>
      </w:r>
      <w:r w:rsidR="00BD2E14">
        <w:rPr>
          <w:sz w:val="26"/>
          <w:szCs w:val="26"/>
        </w:rPr>
        <w:tab/>
      </w:r>
      <w:r w:rsidRPr="0050259A">
        <w:rPr>
          <w:sz w:val="26"/>
          <w:szCs w:val="26"/>
        </w:rPr>
        <w:t xml:space="preserve">immediately stopped; and </w:t>
      </w:r>
    </w:p>
    <w:p w:rsidR="00281357" w:rsidRPr="0050259A" w:rsidRDefault="00281357" w:rsidP="00314CAD">
      <w:pPr>
        <w:ind w:right="720" w:firstLine="720"/>
        <w:rPr>
          <w:sz w:val="26"/>
          <w:szCs w:val="26"/>
        </w:rPr>
      </w:pPr>
      <w:r w:rsidRPr="0050259A">
        <w:rPr>
          <w:sz w:val="26"/>
          <w:szCs w:val="26"/>
        </w:rPr>
        <w:t xml:space="preserve">(2) If technology is relied upon, whether primarily or as a safeguard, to </w:t>
      </w:r>
    </w:p>
    <w:p w:rsidR="00281357" w:rsidRPr="0050259A" w:rsidRDefault="00281357" w:rsidP="00314CAD">
      <w:pPr>
        <w:ind w:left="720" w:right="720"/>
        <w:rPr>
          <w:sz w:val="26"/>
          <w:szCs w:val="26"/>
        </w:rPr>
      </w:pPr>
      <w:r w:rsidRPr="0050259A">
        <w:rPr>
          <w:sz w:val="26"/>
          <w:szCs w:val="26"/>
        </w:rPr>
        <w:t xml:space="preserve">provide pull-out protection by preventing the movement from exceeding the limits of a remote control zone, the technology shall be demonstrated </w:t>
      </w:r>
    </w:p>
    <w:p w:rsidR="00281357" w:rsidRPr="0050259A" w:rsidRDefault="00281357" w:rsidP="00314CAD">
      <w:pPr>
        <w:ind w:left="720" w:right="720" w:firstLine="720"/>
        <w:rPr>
          <w:sz w:val="26"/>
          <w:szCs w:val="26"/>
        </w:rPr>
      </w:pPr>
      <w:r w:rsidRPr="0050259A">
        <w:rPr>
          <w:sz w:val="26"/>
          <w:szCs w:val="26"/>
        </w:rPr>
        <w:t xml:space="preserve">(i) To be failsafe; or </w:t>
      </w:r>
    </w:p>
    <w:p w:rsidR="00281357" w:rsidRPr="0050259A" w:rsidRDefault="00281357" w:rsidP="00314CAD">
      <w:pPr>
        <w:ind w:left="720" w:right="720" w:firstLine="720"/>
        <w:rPr>
          <w:sz w:val="26"/>
          <w:szCs w:val="26"/>
        </w:rPr>
      </w:pPr>
      <w:r w:rsidRPr="0050259A">
        <w:rPr>
          <w:sz w:val="26"/>
          <w:szCs w:val="26"/>
        </w:rPr>
        <w:t xml:space="preserve">(ii) To provide suitable redundancy to prevent unsafe failure. </w:t>
      </w:r>
    </w:p>
    <w:p w:rsidR="00B974D9" w:rsidRDefault="00281357" w:rsidP="00281357">
      <w:pPr>
        <w:ind w:right="720"/>
        <w:rPr>
          <w:sz w:val="26"/>
          <w:szCs w:val="26"/>
        </w:rPr>
      </w:pPr>
      <w:r w:rsidRPr="00B974D9">
        <w:rPr>
          <w:i/>
          <w:sz w:val="26"/>
          <w:szCs w:val="26"/>
        </w:rPr>
        <w:t>(d) Remote control zone, exception to track is clear requirements.</w:t>
      </w:r>
      <w:r w:rsidRPr="0050259A">
        <w:rPr>
          <w:sz w:val="26"/>
          <w:szCs w:val="26"/>
        </w:rPr>
        <w:t xml:space="preserve"> After an initial track is clear determination has been made in an activated remote control zone, it is not necessary to make a new determination prior to each subsequent shoving or pushing movement provided that: </w:t>
      </w:r>
    </w:p>
    <w:p w:rsidR="00281357" w:rsidRPr="0050259A" w:rsidRDefault="00281357" w:rsidP="00560492">
      <w:pPr>
        <w:ind w:left="720" w:right="720"/>
        <w:rPr>
          <w:sz w:val="26"/>
          <w:szCs w:val="26"/>
        </w:rPr>
      </w:pPr>
      <w:r w:rsidRPr="0050259A">
        <w:rPr>
          <w:sz w:val="26"/>
          <w:szCs w:val="26"/>
        </w:rPr>
        <w:t xml:space="preserve">(1) The controlling locomotive of the remote control movement is on the leading end in the direction of movement, i.e., the movement occurs on the pull-out end; </w:t>
      </w:r>
    </w:p>
    <w:p w:rsidR="00281357" w:rsidRPr="0050259A" w:rsidRDefault="00281357" w:rsidP="00560492">
      <w:pPr>
        <w:ind w:right="720" w:firstLine="720"/>
        <w:rPr>
          <w:sz w:val="26"/>
          <w:szCs w:val="26"/>
        </w:rPr>
      </w:pPr>
      <w:r w:rsidRPr="0050259A">
        <w:rPr>
          <w:sz w:val="26"/>
          <w:szCs w:val="26"/>
        </w:rPr>
        <w:t xml:space="preserve">(2) The remote control zone is not jointly occupied; and </w:t>
      </w:r>
    </w:p>
    <w:p w:rsidR="00281357" w:rsidRPr="0050259A" w:rsidRDefault="00281357" w:rsidP="00560492">
      <w:pPr>
        <w:ind w:right="720" w:firstLine="720"/>
        <w:rPr>
          <w:sz w:val="26"/>
          <w:szCs w:val="26"/>
        </w:rPr>
      </w:pPr>
      <w:r w:rsidRPr="0050259A">
        <w:rPr>
          <w:sz w:val="26"/>
          <w:szCs w:val="26"/>
        </w:rPr>
        <w:t xml:space="preserve">(3) The initial determination was made by a crewmember of either: </w:t>
      </w:r>
    </w:p>
    <w:p w:rsidR="00281357" w:rsidRPr="0050259A" w:rsidRDefault="00281357" w:rsidP="00560492">
      <w:pPr>
        <w:ind w:left="720" w:right="720" w:firstLine="720"/>
        <w:rPr>
          <w:sz w:val="26"/>
          <w:szCs w:val="26"/>
        </w:rPr>
      </w:pPr>
      <w:r w:rsidRPr="0050259A">
        <w:rPr>
          <w:sz w:val="26"/>
          <w:szCs w:val="26"/>
        </w:rPr>
        <w:t xml:space="preserve">(i) The remote control crew; </w:t>
      </w:r>
    </w:p>
    <w:p w:rsidR="00281357" w:rsidRPr="0050259A" w:rsidRDefault="00281357" w:rsidP="00560492">
      <w:pPr>
        <w:ind w:left="1440" w:right="720"/>
        <w:rPr>
          <w:sz w:val="26"/>
          <w:szCs w:val="26"/>
        </w:rPr>
      </w:pPr>
      <w:r w:rsidRPr="0050259A">
        <w:rPr>
          <w:sz w:val="26"/>
          <w:szCs w:val="26"/>
        </w:rPr>
        <w:t xml:space="preserve">(ii) A relieved remote control crew who has transferred the remote control zone directly to the relieving crew; or </w:t>
      </w:r>
    </w:p>
    <w:p w:rsidR="00281357" w:rsidRPr="0050259A" w:rsidRDefault="00281357" w:rsidP="00560492">
      <w:pPr>
        <w:ind w:left="1440" w:right="720"/>
        <w:rPr>
          <w:sz w:val="26"/>
          <w:szCs w:val="26"/>
        </w:rPr>
      </w:pPr>
      <w:r w:rsidRPr="0050259A">
        <w:rPr>
          <w:sz w:val="26"/>
          <w:szCs w:val="26"/>
        </w:rPr>
        <w:t xml:space="preserve">(iii) The last jointly occupying crew who directly communicates, i.e., not through a third party, to a remote control crewmember that the remote control zone is no longer jointly occupied and meets the requirements for track is clear. </w:t>
      </w:r>
    </w:p>
    <w:p w:rsidR="00281357" w:rsidRPr="0050259A" w:rsidRDefault="00281357" w:rsidP="00281357">
      <w:pPr>
        <w:ind w:right="720"/>
        <w:rPr>
          <w:sz w:val="26"/>
          <w:szCs w:val="26"/>
        </w:rPr>
      </w:pPr>
      <w:r w:rsidRPr="00B776DC">
        <w:rPr>
          <w:i/>
          <w:sz w:val="26"/>
          <w:szCs w:val="26"/>
        </w:rPr>
        <w:t>(e) Operational exceptions.</w:t>
      </w:r>
      <w:r w:rsidRPr="0050259A">
        <w:rPr>
          <w:sz w:val="26"/>
          <w:szCs w:val="26"/>
        </w:rPr>
        <w:t xml:space="preserve"> A railroad does not need to comply with paragraphs (b) through (d) of this section in the following circumstances: </w:t>
      </w:r>
    </w:p>
    <w:p w:rsidR="00281357" w:rsidRPr="0050259A" w:rsidRDefault="00281357" w:rsidP="00560492">
      <w:pPr>
        <w:ind w:left="720" w:right="720"/>
        <w:rPr>
          <w:sz w:val="26"/>
          <w:szCs w:val="26"/>
        </w:rPr>
      </w:pPr>
      <w:r w:rsidRPr="0050259A">
        <w:rPr>
          <w:sz w:val="26"/>
          <w:szCs w:val="26"/>
        </w:rPr>
        <w:t xml:space="preserve">(1) Push-pull operations when operated from the leading end in the direction of movement, i.e., push mode; </w:t>
      </w:r>
    </w:p>
    <w:p w:rsidR="00281357" w:rsidRPr="0050259A" w:rsidRDefault="00281357" w:rsidP="00560492">
      <w:pPr>
        <w:ind w:left="720" w:right="720"/>
        <w:rPr>
          <w:sz w:val="26"/>
          <w:szCs w:val="26"/>
        </w:rPr>
      </w:pPr>
      <w:r w:rsidRPr="0050259A">
        <w:rPr>
          <w:sz w:val="26"/>
          <w:szCs w:val="26"/>
        </w:rPr>
        <w:t xml:space="preserve">(2) Shoving or pushing operations with manned helper locomotives or distributed power locomotives assisting a train when the train is being operated from the </w:t>
      </w:r>
      <w:r w:rsidR="00A516B6">
        <w:rPr>
          <w:sz w:val="26"/>
          <w:szCs w:val="26"/>
        </w:rPr>
        <w:t>l</w:t>
      </w:r>
      <w:r w:rsidRPr="0050259A">
        <w:rPr>
          <w:sz w:val="26"/>
          <w:szCs w:val="26"/>
        </w:rPr>
        <w:t xml:space="preserve">eading end in the direction of movement; </w:t>
      </w:r>
    </w:p>
    <w:p w:rsidR="00281357" w:rsidRPr="0050259A" w:rsidRDefault="00281357" w:rsidP="00560492">
      <w:pPr>
        <w:ind w:left="720" w:right="720"/>
        <w:rPr>
          <w:sz w:val="26"/>
          <w:szCs w:val="26"/>
        </w:rPr>
      </w:pPr>
      <w:r w:rsidRPr="0050259A">
        <w:rPr>
          <w:sz w:val="26"/>
          <w:szCs w:val="26"/>
        </w:rPr>
        <w:t xml:space="preserve">(3) During the performance of roadway maintenance activity under the direct control of a roadway worker performing work in accordance with railroad operating rules specific to roadway workers; or </w:t>
      </w:r>
    </w:p>
    <w:p w:rsidR="00281357" w:rsidRPr="0050259A" w:rsidRDefault="00281357" w:rsidP="00560492">
      <w:pPr>
        <w:ind w:left="720" w:right="720"/>
        <w:rPr>
          <w:sz w:val="26"/>
          <w:szCs w:val="26"/>
        </w:rPr>
      </w:pPr>
      <w:r w:rsidRPr="0050259A">
        <w:rPr>
          <w:sz w:val="26"/>
          <w:szCs w:val="26"/>
        </w:rPr>
        <w:t xml:space="preserve">(4) When the leading end of a shoving movement is on a main track or signaled siding, under the following conditions: </w:t>
      </w:r>
    </w:p>
    <w:p w:rsidR="00281357" w:rsidRPr="0050259A" w:rsidRDefault="00281357" w:rsidP="00560492">
      <w:pPr>
        <w:ind w:left="1440" w:right="720"/>
        <w:rPr>
          <w:sz w:val="26"/>
          <w:szCs w:val="26"/>
        </w:rPr>
      </w:pPr>
      <w:r w:rsidRPr="0050259A">
        <w:rPr>
          <w:sz w:val="26"/>
          <w:szCs w:val="26"/>
        </w:rPr>
        <w:t xml:space="preserve">(i) The train dispatcher gives authority or permission to make the movement and verifies that: </w:t>
      </w:r>
    </w:p>
    <w:p w:rsidR="00281357" w:rsidRPr="0050259A" w:rsidRDefault="00281357" w:rsidP="00560492">
      <w:pPr>
        <w:ind w:left="2160" w:right="720"/>
        <w:rPr>
          <w:sz w:val="26"/>
          <w:szCs w:val="26"/>
        </w:rPr>
      </w:pPr>
      <w:r w:rsidRPr="0050259A">
        <w:rPr>
          <w:sz w:val="26"/>
          <w:szCs w:val="26"/>
        </w:rPr>
        <w:lastRenderedPageBreak/>
        <w:t xml:space="preserve">(A) Another movement or work authority is not in effect within the same or overlapping limits unless conflicting movements are protected; and </w:t>
      </w:r>
    </w:p>
    <w:p w:rsidR="00281357" w:rsidRPr="0050259A" w:rsidRDefault="00281357" w:rsidP="00560492">
      <w:pPr>
        <w:ind w:left="2160" w:right="720"/>
        <w:rPr>
          <w:sz w:val="26"/>
          <w:szCs w:val="26"/>
        </w:rPr>
      </w:pPr>
      <w:r w:rsidRPr="0050259A">
        <w:rPr>
          <w:sz w:val="26"/>
          <w:szCs w:val="26"/>
        </w:rPr>
        <w:t xml:space="preserve">(B) A main track is not removed from service by a work authority within the same or overlapping limits; </w:t>
      </w:r>
    </w:p>
    <w:p w:rsidR="00281357" w:rsidRPr="0050259A" w:rsidRDefault="00281357" w:rsidP="00560492">
      <w:pPr>
        <w:ind w:left="720" w:right="720" w:firstLine="720"/>
        <w:rPr>
          <w:sz w:val="26"/>
          <w:szCs w:val="26"/>
        </w:rPr>
      </w:pPr>
      <w:r w:rsidRPr="0050259A">
        <w:rPr>
          <w:sz w:val="26"/>
          <w:szCs w:val="26"/>
        </w:rPr>
        <w:t xml:space="preserve">(ii) Movement is limited to the train’s authority; </w:t>
      </w:r>
    </w:p>
    <w:p w:rsidR="00281357" w:rsidRPr="0050259A" w:rsidRDefault="00281357" w:rsidP="00560492">
      <w:pPr>
        <w:ind w:left="1440" w:right="720"/>
        <w:rPr>
          <w:sz w:val="26"/>
          <w:szCs w:val="26"/>
        </w:rPr>
      </w:pPr>
      <w:r w:rsidRPr="0050259A">
        <w:rPr>
          <w:sz w:val="26"/>
          <w:szCs w:val="26"/>
        </w:rPr>
        <w:t xml:space="preserve">(iii) Movement shall not be made into or within yard limits, restricted limits, drawbridges, or work authority limits; </w:t>
      </w:r>
    </w:p>
    <w:p w:rsidR="00281357" w:rsidRPr="0050259A" w:rsidRDefault="00281357" w:rsidP="00560492">
      <w:pPr>
        <w:ind w:left="1440" w:right="720"/>
        <w:rPr>
          <w:sz w:val="26"/>
          <w:szCs w:val="26"/>
        </w:rPr>
      </w:pPr>
      <w:r w:rsidRPr="0050259A">
        <w:rPr>
          <w:sz w:val="26"/>
          <w:szCs w:val="26"/>
        </w:rPr>
        <w:t xml:space="preserve">(iv) Movement shall not enter or foul a highway-rail grade crossing or pedestrian crossing except when: </w:t>
      </w:r>
    </w:p>
    <w:p w:rsidR="00281357" w:rsidRPr="0050259A" w:rsidRDefault="00281357" w:rsidP="00560492">
      <w:pPr>
        <w:ind w:left="1440" w:right="720" w:firstLine="720"/>
        <w:rPr>
          <w:sz w:val="26"/>
          <w:szCs w:val="26"/>
        </w:rPr>
      </w:pPr>
      <w:r w:rsidRPr="0050259A">
        <w:rPr>
          <w:sz w:val="26"/>
          <w:szCs w:val="26"/>
        </w:rPr>
        <w:t xml:space="preserve">(A) Crossing gates are in the fully lowered position; or </w:t>
      </w:r>
    </w:p>
    <w:p w:rsidR="00281357" w:rsidRPr="0050259A" w:rsidRDefault="00281357" w:rsidP="00560492">
      <w:pPr>
        <w:ind w:left="2160" w:right="720"/>
        <w:rPr>
          <w:sz w:val="26"/>
          <w:szCs w:val="26"/>
        </w:rPr>
      </w:pPr>
      <w:r w:rsidRPr="0050259A">
        <w:rPr>
          <w:sz w:val="26"/>
          <w:szCs w:val="26"/>
        </w:rPr>
        <w:t xml:space="preserve">(B) A designated and qualified employee is stationed at the crossing and has the ability to communicate with trains; or </w:t>
      </w:r>
    </w:p>
    <w:p w:rsidR="00281357" w:rsidRPr="0050259A" w:rsidRDefault="00281357" w:rsidP="00560492">
      <w:pPr>
        <w:ind w:left="2160" w:right="720"/>
        <w:rPr>
          <w:sz w:val="26"/>
          <w:szCs w:val="26"/>
        </w:rPr>
      </w:pPr>
      <w:r w:rsidRPr="0050259A">
        <w:rPr>
          <w:sz w:val="26"/>
          <w:szCs w:val="26"/>
        </w:rPr>
        <w:t xml:space="preserve">(C) At crossings equipped only with flashing lights or passive warning devices, when it is clearly seen that no traffic is approaching or stopped at the crossing and the leading end of the movement over the crossing does not exceed 15 miles per hour; and </w:t>
      </w:r>
    </w:p>
    <w:p w:rsidR="00281357" w:rsidRPr="0050259A" w:rsidRDefault="00281357" w:rsidP="00560492">
      <w:pPr>
        <w:ind w:left="1440" w:right="720"/>
        <w:rPr>
          <w:sz w:val="26"/>
          <w:szCs w:val="26"/>
        </w:rPr>
      </w:pPr>
      <w:r w:rsidRPr="0050259A">
        <w:rPr>
          <w:sz w:val="26"/>
          <w:szCs w:val="26"/>
        </w:rPr>
        <w:t xml:space="preserve">(v) Movement shall not be made into or within interlocking limits or controlled point limits unless the following conditions are met: </w:t>
      </w:r>
    </w:p>
    <w:p w:rsidR="00281357" w:rsidRPr="0050259A" w:rsidRDefault="00281357" w:rsidP="00F65D79">
      <w:pPr>
        <w:ind w:left="2160" w:right="720"/>
        <w:rPr>
          <w:sz w:val="26"/>
          <w:szCs w:val="26"/>
        </w:rPr>
      </w:pPr>
      <w:r w:rsidRPr="0050259A">
        <w:rPr>
          <w:sz w:val="26"/>
          <w:szCs w:val="26"/>
        </w:rPr>
        <w:t xml:space="preserve">(A) The signal governing movement is more favorable than restricting aspect; </w:t>
      </w:r>
    </w:p>
    <w:p w:rsidR="00281357" w:rsidRPr="0050259A" w:rsidRDefault="00281357" w:rsidP="00F65D79">
      <w:pPr>
        <w:ind w:left="2160" w:right="720"/>
        <w:rPr>
          <w:sz w:val="26"/>
          <w:szCs w:val="26"/>
        </w:rPr>
      </w:pPr>
      <w:r w:rsidRPr="0050259A">
        <w:rPr>
          <w:sz w:val="26"/>
          <w:szCs w:val="26"/>
        </w:rPr>
        <w:t xml:space="preserve">(B) Each signal governing movement into and through interlocking limits or controlled point limits shall be continuously observed by a member of that crew who is in a position to determine that the train’s movement has occupied the circuit controlling that signal as evidenced by that signal assuming its most restrictive aspect; and </w:t>
      </w:r>
    </w:p>
    <w:p w:rsidR="00281357" w:rsidRPr="0050259A" w:rsidRDefault="00281357" w:rsidP="00F65D79">
      <w:pPr>
        <w:ind w:left="1440" w:right="720" w:firstLine="720"/>
        <w:rPr>
          <w:sz w:val="26"/>
          <w:szCs w:val="26"/>
        </w:rPr>
      </w:pPr>
      <w:r w:rsidRPr="0050259A">
        <w:rPr>
          <w:sz w:val="26"/>
          <w:szCs w:val="26"/>
        </w:rPr>
        <w:t xml:space="preserve">(C) The movement does not exceed the train’s length. </w:t>
      </w:r>
    </w:p>
    <w:p w:rsidR="00281357" w:rsidRPr="0050259A" w:rsidRDefault="00281357" w:rsidP="00F65D79">
      <w:pPr>
        <w:ind w:right="720" w:firstLine="720"/>
        <w:rPr>
          <w:sz w:val="26"/>
          <w:szCs w:val="26"/>
        </w:rPr>
      </w:pPr>
      <w:r w:rsidRPr="0050259A">
        <w:rPr>
          <w:sz w:val="26"/>
          <w:szCs w:val="26"/>
        </w:rPr>
        <w:t xml:space="preserve">(5) Shoving or pushing movements made in the direction of the circuited </w:t>
      </w:r>
    </w:p>
    <w:p w:rsidR="00281357" w:rsidRPr="0050259A" w:rsidRDefault="00281357" w:rsidP="00F65D79">
      <w:pPr>
        <w:ind w:right="720" w:firstLine="720"/>
        <w:rPr>
          <w:sz w:val="26"/>
          <w:szCs w:val="26"/>
        </w:rPr>
      </w:pPr>
      <w:r w:rsidRPr="0050259A">
        <w:rPr>
          <w:sz w:val="26"/>
          <w:szCs w:val="26"/>
        </w:rPr>
        <w:t xml:space="preserve">end of a designated departure track equipped with a shove light system, if </w:t>
      </w:r>
    </w:p>
    <w:p w:rsidR="00281357" w:rsidRPr="0050259A" w:rsidRDefault="00281357" w:rsidP="00F65D79">
      <w:pPr>
        <w:ind w:right="720" w:firstLine="720"/>
        <w:rPr>
          <w:sz w:val="26"/>
          <w:szCs w:val="26"/>
        </w:rPr>
      </w:pPr>
      <w:r w:rsidRPr="0050259A">
        <w:rPr>
          <w:sz w:val="26"/>
          <w:szCs w:val="26"/>
        </w:rPr>
        <w:t xml:space="preserve">all of the following conditions are met: </w:t>
      </w:r>
    </w:p>
    <w:p w:rsidR="00281357" w:rsidRPr="0050259A" w:rsidRDefault="00281357" w:rsidP="00F65D79">
      <w:pPr>
        <w:ind w:left="720" w:right="720" w:firstLine="720"/>
        <w:rPr>
          <w:sz w:val="26"/>
          <w:szCs w:val="26"/>
        </w:rPr>
      </w:pPr>
      <w:r w:rsidRPr="0050259A">
        <w:rPr>
          <w:sz w:val="26"/>
          <w:szCs w:val="26"/>
        </w:rPr>
        <w:t xml:space="preserve">(i) The shove light system is demonstrated to be failsafe; </w:t>
      </w:r>
    </w:p>
    <w:p w:rsidR="00281357" w:rsidRPr="0050259A" w:rsidRDefault="00281357" w:rsidP="00F65D79">
      <w:pPr>
        <w:ind w:left="1440" w:right="720"/>
        <w:rPr>
          <w:sz w:val="26"/>
          <w:szCs w:val="26"/>
        </w:rPr>
      </w:pPr>
      <w:r w:rsidRPr="0050259A">
        <w:rPr>
          <w:sz w:val="26"/>
          <w:szCs w:val="26"/>
        </w:rPr>
        <w:t xml:space="preserve">(ii) The shove light system is arranged to display a less favorable aspect when the circuited section of the track is occupied; </w:t>
      </w:r>
    </w:p>
    <w:p w:rsidR="00281357" w:rsidRPr="0050259A" w:rsidRDefault="00281357" w:rsidP="00F65D79">
      <w:pPr>
        <w:ind w:left="1440" w:right="720"/>
        <w:rPr>
          <w:sz w:val="26"/>
          <w:szCs w:val="26"/>
        </w:rPr>
      </w:pPr>
      <w:r w:rsidRPr="0050259A">
        <w:rPr>
          <w:sz w:val="26"/>
          <w:szCs w:val="26"/>
        </w:rPr>
        <w:t xml:space="preserve">(iii) Written procedures are adopted and complied with that provide for a reliable means of determining track occupancy prior to commencing a shoving or pushing movement; </w:t>
      </w:r>
    </w:p>
    <w:p w:rsidR="00281357" w:rsidRPr="0050259A" w:rsidRDefault="00281357" w:rsidP="00F65D79">
      <w:pPr>
        <w:ind w:left="720" w:right="720" w:firstLine="720"/>
        <w:rPr>
          <w:sz w:val="26"/>
          <w:szCs w:val="26"/>
        </w:rPr>
      </w:pPr>
      <w:r w:rsidRPr="0050259A">
        <w:rPr>
          <w:sz w:val="26"/>
          <w:szCs w:val="26"/>
        </w:rPr>
        <w:t xml:space="preserve">(iv) The track is designated in writing; </w:t>
      </w:r>
    </w:p>
    <w:p w:rsidR="00281357" w:rsidRPr="0050259A" w:rsidRDefault="00281357" w:rsidP="00F65D79">
      <w:pPr>
        <w:ind w:left="1440" w:right="720"/>
        <w:rPr>
          <w:sz w:val="26"/>
          <w:szCs w:val="26"/>
        </w:rPr>
      </w:pPr>
      <w:r w:rsidRPr="0050259A">
        <w:rPr>
          <w:sz w:val="26"/>
          <w:szCs w:val="26"/>
        </w:rPr>
        <w:t xml:space="preserve">(v) The track is under the exclusive and continuous control of a yardmaster or other qualified employee; </w:t>
      </w:r>
    </w:p>
    <w:p w:rsidR="00281357" w:rsidRPr="0050259A" w:rsidRDefault="00281357" w:rsidP="00F65D79">
      <w:pPr>
        <w:ind w:left="1440" w:right="720"/>
        <w:rPr>
          <w:sz w:val="26"/>
          <w:szCs w:val="26"/>
        </w:rPr>
      </w:pPr>
      <w:r w:rsidRPr="0050259A">
        <w:rPr>
          <w:sz w:val="26"/>
          <w:szCs w:val="26"/>
        </w:rPr>
        <w:t xml:space="preserve">(vi) The train crewmember or other qualified employee directing the shoving or pushing movement complies with the general movement </w:t>
      </w:r>
      <w:r w:rsidRPr="0050259A">
        <w:rPr>
          <w:sz w:val="26"/>
          <w:szCs w:val="26"/>
        </w:rPr>
        <w:lastRenderedPageBreak/>
        <w:t xml:space="preserve">requirements contained in paragraphs (b)(1) and (b)(2) of this </w:t>
      </w:r>
      <w:r w:rsidR="00F65D79">
        <w:rPr>
          <w:sz w:val="26"/>
          <w:szCs w:val="26"/>
        </w:rPr>
        <w:t>s</w:t>
      </w:r>
      <w:r w:rsidRPr="0050259A">
        <w:rPr>
          <w:sz w:val="26"/>
          <w:szCs w:val="26"/>
        </w:rPr>
        <w:t xml:space="preserve">ection; </w:t>
      </w:r>
    </w:p>
    <w:p w:rsidR="00281357" w:rsidRPr="0050259A" w:rsidRDefault="00281357" w:rsidP="00F65D79">
      <w:pPr>
        <w:ind w:left="1440" w:right="720"/>
        <w:rPr>
          <w:sz w:val="26"/>
          <w:szCs w:val="26"/>
        </w:rPr>
      </w:pPr>
      <w:r w:rsidRPr="0050259A">
        <w:rPr>
          <w:sz w:val="26"/>
          <w:szCs w:val="26"/>
        </w:rPr>
        <w:t xml:space="preserve">(vii) All remote control shoving or pushing movements comply with the requirements contained in paragraph (c)(1) of this section; and </w:t>
      </w:r>
    </w:p>
    <w:p w:rsidR="00281357" w:rsidRDefault="00281357" w:rsidP="00013716">
      <w:pPr>
        <w:ind w:left="1440" w:right="720"/>
        <w:rPr>
          <w:sz w:val="26"/>
          <w:szCs w:val="26"/>
        </w:rPr>
      </w:pPr>
      <w:r w:rsidRPr="0050259A">
        <w:rPr>
          <w:sz w:val="26"/>
          <w:szCs w:val="26"/>
        </w:rPr>
        <w:t xml:space="preserve">(viii) The shove light system is continuously illuminated when the circuited section of the track is unoccupied. </w:t>
      </w:r>
    </w:p>
    <w:p w:rsidR="00F65D79" w:rsidRPr="0050259A" w:rsidRDefault="00F65D79" w:rsidP="00F65D79">
      <w:pPr>
        <w:ind w:left="720" w:right="720" w:firstLine="720"/>
        <w:rPr>
          <w:sz w:val="26"/>
          <w:szCs w:val="26"/>
        </w:rPr>
      </w:pPr>
    </w:p>
    <w:p w:rsidR="00281357" w:rsidRPr="0050259A" w:rsidRDefault="00281357" w:rsidP="00281357">
      <w:pPr>
        <w:ind w:right="720"/>
        <w:rPr>
          <w:sz w:val="26"/>
          <w:szCs w:val="26"/>
        </w:rPr>
      </w:pPr>
      <w:r w:rsidRPr="0050259A">
        <w:rPr>
          <w:sz w:val="26"/>
          <w:szCs w:val="26"/>
        </w:rPr>
        <w:t xml:space="preserve">[73 FR 8498, Feb. 13, 2008, as amended at 73 FR 33902, June 16, 2008] </w:t>
      </w:r>
    </w:p>
    <w:p w:rsidR="00281357" w:rsidRDefault="00281357" w:rsidP="004010EF">
      <w:pPr>
        <w:spacing w:line="360" w:lineRule="auto"/>
        <w:ind w:right="720"/>
        <w:rPr>
          <w:sz w:val="26"/>
          <w:szCs w:val="26"/>
        </w:rPr>
      </w:pPr>
    </w:p>
    <w:p w:rsidR="004010EF" w:rsidRPr="00ED4A01" w:rsidRDefault="004010EF" w:rsidP="0002088B">
      <w:pPr>
        <w:spacing w:line="360" w:lineRule="auto"/>
        <w:ind w:right="720"/>
        <w:rPr>
          <w:sz w:val="26"/>
          <w:szCs w:val="26"/>
        </w:rPr>
      </w:pPr>
      <w:r>
        <w:rPr>
          <w:sz w:val="26"/>
          <w:szCs w:val="26"/>
        </w:rPr>
        <w:tab/>
      </w:r>
    </w:p>
    <w:sectPr w:rsidR="004010EF" w:rsidRPr="00ED4A01" w:rsidSect="00D8318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97B" w:rsidRDefault="0015297B">
      <w:r>
        <w:separator/>
      </w:r>
    </w:p>
  </w:endnote>
  <w:endnote w:type="continuationSeparator" w:id="0">
    <w:p w:rsidR="0015297B" w:rsidRDefault="00152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12" w:rsidRDefault="00512377">
    <w:pPr>
      <w:pStyle w:val="Footer"/>
      <w:framePr w:wrap="around" w:vAnchor="text" w:hAnchor="margin" w:xAlign="center" w:y="1"/>
      <w:rPr>
        <w:rStyle w:val="PageNumber"/>
      </w:rPr>
    </w:pPr>
    <w:r>
      <w:rPr>
        <w:rStyle w:val="PageNumber"/>
      </w:rPr>
      <w:fldChar w:fldCharType="begin"/>
    </w:r>
    <w:r w:rsidR="00DF3B12">
      <w:rPr>
        <w:rStyle w:val="PageNumber"/>
      </w:rPr>
      <w:instrText xml:space="preserve">PAGE  </w:instrText>
    </w:r>
    <w:r>
      <w:rPr>
        <w:rStyle w:val="PageNumber"/>
      </w:rPr>
      <w:fldChar w:fldCharType="end"/>
    </w:r>
  </w:p>
  <w:p w:rsidR="00DF3B12" w:rsidRDefault="00DF3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12" w:rsidRDefault="00512377">
    <w:pPr>
      <w:pStyle w:val="Footer"/>
      <w:framePr w:wrap="around" w:vAnchor="text" w:hAnchor="margin" w:xAlign="center" w:y="1"/>
      <w:rPr>
        <w:rStyle w:val="PageNumber"/>
      </w:rPr>
    </w:pPr>
    <w:r>
      <w:rPr>
        <w:rStyle w:val="PageNumber"/>
      </w:rPr>
      <w:fldChar w:fldCharType="begin"/>
    </w:r>
    <w:r w:rsidR="00DF3B12">
      <w:rPr>
        <w:rStyle w:val="PageNumber"/>
      </w:rPr>
      <w:instrText xml:space="preserve">PAGE  </w:instrText>
    </w:r>
    <w:r>
      <w:rPr>
        <w:rStyle w:val="PageNumber"/>
      </w:rPr>
      <w:fldChar w:fldCharType="separate"/>
    </w:r>
    <w:r w:rsidR="002D0E49">
      <w:rPr>
        <w:rStyle w:val="PageNumber"/>
        <w:noProof/>
      </w:rPr>
      <w:t>2</w:t>
    </w:r>
    <w:r>
      <w:rPr>
        <w:rStyle w:val="PageNumber"/>
      </w:rPr>
      <w:fldChar w:fldCharType="end"/>
    </w:r>
  </w:p>
  <w:p w:rsidR="00DF3B12" w:rsidRDefault="00DF3B12" w:rsidP="00FA5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97B" w:rsidRDefault="0015297B">
      <w:r>
        <w:separator/>
      </w:r>
    </w:p>
  </w:footnote>
  <w:footnote w:type="continuationSeparator" w:id="0">
    <w:p w:rsidR="0015297B" w:rsidRDefault="0015297B">
      <w:r>
        <w:continuationSeparator/>
      </w:r>
    </w:p>
  </w:footnote>
  <w:footnote w:id="1">
    <w:p w:rsidR="004010EF" w:rsidRPr="00DD7793" w:rsidRDefault="004010EF" w:rsidP="004010EF">
      <w:pPr>
        <w:pStyle w:val="FootnoteText"/>
        <w:rPr>
          <w:sz w:val="22"/>
          <w:szCs w:val="22"/>
        </w:rPr>
      </w:pPr>
      <w:r w:rsidRPr="00DD7793">
        <w:rPr>
          <w:rStyle w:val="FootnoteReference"/>
          <w:sz w:val="22"/>
          <w:szCs w:val="22"/>
        </w:rPr>
        <w:footnoteRef/>
      </w:r>
      <w:r w:rsidRPr="00DD7793">
        <w:rPr>
          <w:sz w:val="22"/>
          <w:szCs w:val="22"/>
        </w:rPr>
        <w:t xml:space="preserve"> The UTU was not named as a defendant.</w:t>
      </w:r>
    </w:p>
  </w:footnote>
  <w:footnote w:id="2">
    <w:p w:rsidR="004010EF" w:rsidRPr="00DD7793" w:rsidRDefault="004010EF" w:rsidP="004010EF">
      <w:pPr>
        <w:pStyle w:val="FootnoteText"/>
        <w:rPr>
          <w:sz w:val="22"/>
          <w:szCs w:val="22"/>
        </w:rPr>
      </w:pPr>
      <w:r w:rsidRPr="00DD7793">
        <w:rPr>
          <w:rStyle w:val="FootnoteReference"/>
          <w:sz w:val="22"/>
          <w:szCs w:val="22"/>
        </w:rPr>
        <w:footnoteRef/>
      </w:r>
      <w:r w:rsidRPr="00DD7793">
        <w:rPr>
          <w:sz w:val="22"/>
          <w:szCs w:val="22"/>
        </w:rPr>
        <w:t xml:space="preserve"> This staff meeting took place on June 25, 2009, at which time staff advised Norfolk Southern representatives that it could seek reconsideration </w:t>
      </w:r>
      <w:r>
        <w:rPr>
          <w:sz w:val="22"/>
          <w:szCs w:val="22"/>
        </w:rPr>
        <w:t>of the 1973 O</w:t>
      </w:r>
      <w:r w:rsidRPr="00DD7793">
        <w:rPr>
          <w:sz w:val="22"/>
          <w:szCs w:val="22"/>
        </w:rPr>
        <w:t>rder</w:t>
      </w:r>
      <w:r>
        <w:rPr>
          <w:sz w:val="22"/>
          <w:szCs w:val="22"/>
        </w:rPr>
        <w:t xml:space="preserve"> </w:t>
      </w:r>
      <w:r w:rsidRPr="00DD7793">
        <w:rPr>
          <w:sz w:val="22"/>
          <w:szCs w:val="22"/>
        </w:rPr>
        <w:t>before the Commission</w:t>
      </w:r>
      <w:r>
        <w:rPr>
          <w:sz w:val="22"/>
          <w:szCs w:val="22"/>
        </w:rPr>
        <w:t>.</w:t>
      </w:r>
      <w:r w:rsidRPr="00DD7793">
        <w:rPr>
          <w:sz w:val="22"/>
          <w:szCs w:val="22"/>
        </w:rPr>
        <w:t xml:space="preserve">  Later that day, Norfolk Southern filed its complaint in District Court.</w:t>
      </w:r>
    </w:p>
  </w:footnote>
  <w:footnote w:id="3">
    <w:p w:rsidR="004010EF" w:rsidRPr="00621EF7" w:rsidRDefault="004010EF" w:rsidP="004010EF">
      <w:pPr>
        <w:pStyle w:val="FootnoteText"/>
        <w:rPr>
          <w:sz w:val="22"/>
          <w:szCs w:val="22"/>
        </w:rPr>
      </w:pPr>
      <w:r>
        <w:rPr>
          <w:rStyle w:val="FootnoteReference"/>
        </w:rPr>
        <w:footnoteRef/>
      </w:r>
      <w:r>
        <w:t xml:space="preserve"> </w:t>
      </w:r>
      <w:r w:rsidRPr="00621EF7">
        <w:rPr>
          <w:sz w:val="22"/>
          <w:szCs w:val="22"/>
        </w:rPr>
        <w:t>The UTU was not named as a defendant.</w:t>
      </w:r>
    </w:p>
  </w:footnote>
  <w:footnote w:id="4">
    <w:p w:rsidR="004010EF" w:rsidRPr="00DD7793" w:rsidRDefault="004010EF" w:rsidP="004010EF">
      <w:pPr>
        <w:pStyle w:val="FootnoteText"/>
        <w:rPr>
          <w:sz w:val="22"/>
          <w:szCs w:val="22"/>
        </w:rPr>
      </w:pPr>
      <w:r w:rsidRPr="00DD7793">
        <w:rPr>
          <w:rStyle w:val="FootnoteReference"/>
          <w:sz w:val="22"/>
          <w:szCs w:val="22"/>
        </w:rPr>
        <w:footnoteRef/>
      </w:r>
      <w:r w:rsidRPr="00DD7793">
        <w:rPr>
          <w:sz w:val="22"/>
          <w:szCs w:val="22"/>
        </w:rPr>
        <w:t xml:space="preserve"> U.S. Const. art. VI, cl. 2.</w:t>
      </w:r>
    </w:p>
  </w:footnote>
  <w:footnote w:id="5">
    <w:p w:rsidR="004010EF" w:rsidRPr="00DD7793" w:rsidRDefault="004010EF" w:rsidP="004010EF">
      <w:pPr>
        <w:pStyle w:val="FootnoteText"/>
        <w:rPr>
          <w:i/>
          <w:sz w:val="22"/>
          <w:szCs w:val="22"/>
        </w:rPr>
      </w:pPr>
      <w:r w:rsidRPr="00DD7793">
        <w:rPr>
          <w:rStyle w:val="FootnoteReference"/>
          <w:sz w:val="22"/>
          <w:szCs w:val="22"/>
        </w:rPr>
        <w:footnoteRef/>
      </w:r>
      <w:r w:rsidRPr="00DD7793">
        <w:rPr>
          <w:sz w:val="22"/>
          <w:szCs w:val="22"/>
        </w:rPr>
        <w:t xml:space="preserve"> 49 U.S.C. §§ 20101</w:t>
      </w:r>
      <w:r w:rsidRPr="00DD7793">
        <w:rPr>
          <w:i/>
          <w:sz w:val="22"/>
          <w:szCs w:val="22"/>
        </w:rPr>
        <w:t>, et. seq.</w:t>
      </w:r>
    </w:p>
  </w:footnote>
  <w:footnote w:id="6">
    <w:p w:rsidR="004010EF" w:rsidRPr="00DD7793" w:rsidRDefault="004010EF" w:rsidP="004010EF">
      <w:pPr>
        <w:pStyle w:val="FootnoteText"/>
        <w:rPr>
          <w:sz w:val="22"/>
          <w:szCs w:val="22"/>
        </w:rPr>
      </w:pPr>
      <w:r w:rsidRPr="00DD7793">
        <w:rPr>
          <w:rStyle w:val="FootnoteReference"/>
          <w:sz w:val="22"/>
          <w:szCs w:val="22"/>
        </w:rPr>
        <w:footnoteRef/>
      </w:r>
      <w:r w:rsidRPr="00DD7793">
        <w:rPr>
          <w:sz w:val="22"/>
          <w:szCs w:val="22"/>
        </w:rPr>
        <w:t xml:space="preserve"> 49 U.S.C. § 20106; </w:t>
      </w:r>
      <w:r w:rsidRPr="00DD7793">
        <w:rPr>
          <w:i/>
          <w:sz w:val="22"/>
          <w:szCs w:val="22"/>
        </w:rPr>
        <w:t>see, e.g</w:t>
      </w:r>
      <w:r w:rsidRPr="00DD7793">
        <w:rPr>
          <w:sz w:val="22"/>
          <w:szCs w:val="22"/>
        </w:rPr>
        <w:t xml:space="preserve">., </w:t>
      </w:r>
      <w:r w:rsidRPr="00DD7793">
        <w:rPr>
          <w:i/>
          <w:sz w:val="22"/>
          <w:szCs w:val="22"/>
        </w:rPr>
        <w:t>National Association of Regulatory Utility Commissioners v. Coleman</w:t>
      </w:r>
      <w:r w:rsidRPr="00DD7793">
        <w:rPr>
          <w:sz w:val="22"/>
          <w:szCs w:val="22"/>
        </w:rPr>
        <w:t xml:space="preserve">, </w:t>
      </w:r>
      <w:r>
        <w:rPr>
          <w:sz w:val="22"/>
          <w:szCs w:val="22"/>
        </w:rPr>
        <w:t xml:space="preserve">   </w:t>
      </w:r>
      <w:r w:rsidRPr="00DD7793">
        <w:rPr>
          <w:sz w:val="22"/>
          <w:szCs w:val="22"/>
        </w:rPr>
        <w:t>542 F.2d 11 (3d Cir. 1976).</w:t>
      </w:r>
    </w:p>
  </w:footnote>
  <w:footnote w:id="7">
    <w:p w:rsidR="00D239A5" w:rsidRDefault="00D239A5">
      <w:pPr>
        <w:pStyle w:val="FootnoteText"/>
      </w:pPr>
      <w:r>
        <w:rPr>
          <w:rStyle w:val="FootnoteReference"/>
        </w:rPr>
        <w:footnoteRef/>
      </w:r>
      <w:r>
        <w:t xml:space="preserve"> </w:t>
      </w:r>
      <w:r w:rsidRPr="00D239A5">
        <w:t>The PSLB</w:t>
      </w:r>
      <w:r w:rsidR="007334D8">
        <w:t xml:space="preserve"> </w:t>
      </w:r>
      <w:r w:rsidRPr="00D239A5">
        <w:t xml:space="preserve">UTU prefaced its comments with questions regarding notice of this proceeding.  </w:t>
      </w:r>
      <w:r w:rsidR="00F7505B">
        <w:t>Notw</w:t>
      </w:r>
      <w:r w:rsidRPr="00D239A5">
        <w:t xml:space="preserve">ithstanding the </w:t>
      </w:r>
      <w:r>
        <w:t xml:space="preserve">    </w:t>
      </w:r>
      <w:r w:rsidRPr="00D239A5">
        <w:t>PSLB</w:t>
      </w:r>
      <w:r w:rsidR="007334D8">
        <w:t xml:space="preserve"> </w:t>
      </w:r>
      <w:r w:rsidRPr="00D239A5">
        <w:t>UTU’s argument, we find that proper notice of this proceeding ha</w:t>
      </w:r>
      <w:r w:rsidR="00F7505B">
        <w:t>s</w:t>
      </w:r>
      <w:r w:rsidRPr="00D239A5">
        <w:t xml:space="preserve"> been provided</w:t>
      </w:r>
      <w:r w:rsidR="007334D8">
        <w:t xml:space="preserve"> to the Union</w:t>
      </w:r>
      <w:r w:rsidRPr="00D239A5">
        <w:t xml:space="preserve">.   </w:t>
      </w:r>
      <w:r w:rsidR="007334D8">
        <w:t>In any event, PSLB UTU has had actual notice since at least December 17, 2009 and has had the opportunity to respond to the Reconsideration Order.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4E0F48"/>
    <w:lvl w:ilvl="0">
      <w:numFmt w:val="bullet"/>
      <w:lvlText w:val="*"/>
      <w:lvlJc w:val="left"/>
      <w:pPr>
        <w:ind w:left="0" w:firstLine="0"/>
      </w:pPr>
    </w:lvl>
  </w:abstractNum>
  <w:abstractNum w:abstractNumId="1">
    <w:nsid w:val="2D3E4EDA"/>
    <w:multiLevelType w:val="hybridMultilevel"/>
    <w:tmpl w:val="C7D2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440CC2"/>
    <w:multiLevelType w:val="hybridMultilevel"/>
    <w:tmpl w:val="D3D88F1A"/>
    <w:lvl w:ilvl="0" w:tplc="C40449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D850D4"/>
    <w:rsid w:val="0000186B"/>
    <w:rsid w:val="000050FA"/>
    <w:rsid w:val="000073BD"/>
    <w:rsid w:val="00013716"/>
    <w:rsid w:val="00014C48"/>
    <w:rsid w:val="0002088B"/>
    <w:rsid w:val="00025B5C"/>
    <w:rsid w:val="00037910"/>
    <w:rsid w:val="00062516"/>
    <w:rsid w:val="00080C1F"/>
    <w:rsid w:val="000811B9"/>
    <w:rsid w:val="00082758"/>
    <w:rsid w:val="00092C0A"/>
    <w:rsid w:val="000A6AC7"/>
    <w:rsid w:val="000A6CB0"/>
    <w:rsid w:val="000D3EBD"/>
    <w:rsid w:val="000E0BF4"/>
    <w:rsid w:val="000E3ECD"/>
    <w:rsid w:val="001119EF"/>
    <w:rsid w:val="00113A4D"/>
    <w:rsid w:val="001170DD"/>
    <w:rsid w:val="00127ACF"/>
    <w:rsid w:val="001320BE"/>
    <w:rsid w:val="00140811"/>
    <w:rsid w:val="00142828"/>
    <w:rsid w:val="0015083D"/>
    <w:rsid w:val="0015297B"/>
    <w:rsid w:val="001548F8"/>
    <w:rsid w:val="0015549B"/>
    <w:rsid w:val="00161944"/>
    <w:rsid w:val="00175324"/>
    <w:rsid w:val="001762CE"/>
    <w:rsid w:val="001969E7"/>
    <w:rsid w:val="001B7588"/>
    <w:rsid w:val="001C1979"/>
    <w:rsid w:val="001C2C48"/>
    <w:rsid w:val="001D2344"/>
    <w:rsid w:val="001E427C"/>
    <w:rsid w:val="002040B6"/>
    <w:rsid w:val="002054B8"/>
    <w:rsid w:val="00206F82"/>
    <w:rsid w:val="00207417"/>
    <w:rsid w:val="00207A06"/>
    <w:rsid w:val="00214C36"/>
    <w:rsid w:val="00217EF7"/>
    <w:rsid w:val="00225E92"/>
    <w:rsid w:val="002402FF"/>
    <w:rsid w:val="00247752"/>
    <w:rsid w:val="00250087"/>
    <w:rsid w:val="00250626"/>
    <w:rsid w:val="00251C6E"/>
    <w:rsid w:val="00262EE6"/>
    <w:rsid w:val="00267C4B"/>
    <w:rsid w:val="00281357"/>
    <w:rsid w:val="00285546"/>
    <w:rsid w:val="00290A3D"/>
    <w:rsid w:val="00297544"/>
    <w:rsid w:val="002A0884"/>
    <w:rsid w:val="002A23AC"/>
    <w:rsid w:val="002A5F7A"/>
    <w:rsid w:val="002A7377"/>
    <w:rsid w:val="002B18E0"/>
    <w:rsid w:val="002B3874"/>
    <w:rsid w:val="002B49E8"/>
    <w:rsid w:val="002C30F7"/>
    <w:rsid w:val="002C7630"/>
    <w:rsid w:val="002C7AD2"/>
    <w:rsid w:val="002D0E49"/>
    <w:rsid w:val="002E2B14"/>
    <w:rsid w:val="002E338A"/>
    <w:rsid w:val="002E5B14"/>
    <w:rsid w:val="002F7691"/>
    <w:rsid w:val="00300419"/>
    <w:rsid w:val="00314CAD"/>
    <w:rsid w:val="00331134"/>
    <w:rsid w:val="003401B0"/>
    <w:rsid w:val="00347523"/>
    <w:rsid w:val="00347F87"/>
    <w:rsid w:val="0035040B"/>
    <w:rsid w:val="00353A13"/>
    <w:rsid w:val="00391C6A"/>
    <w:rsid w:val="00394FC8"/>
    <w:rsid w:val="003961EE"/>
    <w:rsid w:val="003B38DE"/>
    <w:rsid w:val="003D11E1"/>
    <w:rsid w:val="003E2D65"/>
    <w:rsid w:val="003E4F13"/>
    <w:rsid w:val="003E52D2"/>
    <w:rsid w:val="004010EF"/>
    <w:rsid w:val="0040176A"/>
    <w:rsid w:val="004026A4"/>
    <w:rsid w:val="00405B36"/>
    <w:rsid w:val="00462275"/>
    <w:rsid w:val="0046432D"/>
    <w:rsid w:val="004768B5"/>
    <w:rsid w:val="00481A5A"/>
    <w:rsid w:val="004969F2"/>
    <w:rsid w:val="004A611C"/>
    <w:rsid w:val="004C204F"/>
    <w:rsid w:val="004C24F0"/>
    <w:rsid w:val="004E12AE"/>
    <w:rsid w:val="004F370A"/>
    <w:rsid w:val="005103E5"/>
    <w:rsid w:val="00512377"/>
    <w:rsid w:val="00520427"/>
    <w:rsid w:val="00523A8C"/>
    <w:rsid w:val="00524B6D"/>
    <w:rsid w:val="005529E9"/>
    <w:rsid w:val="00560492"/>
    <w:rsid w:val="005608E8"/>
    <w:rsid w:val="00571027"/>
    <w:rsid w:val="00572CCC"/>
    <w:rsid w:val="00580531"/>
    <w:rsid w:val="005817D2"/>
    <w:rsid w:val="00595999"/>
    <w:rsid w:val="005A25F6"/>
    <w:rsid w:val="005A7356"/>
    <w:rsid w:val="005D03E0"/>
    <w:rsid w:val="005D7BC3"/>
    <w:rsid w:val="005E21D5"/>
    <w:rsid w:val="005E399E"/>
    <w:rsid w:val="005F1C61"/>
    <w:rsid w:val="005F3889"/>
    <w:rsid w:val="005F6B9F"/>
    <w:rsid w:val="00600A17"/>
    <w:rsid w:val="006027A7"/>
    <w:rsid w:val="00621EEE"/>
    <w:rsid w:val="00622AFA"/>
    <w:rsid w:val="00664271"/>
    <w:rsid w:val="0067427D"/>
    <w:rsid w:val="00676BBE"/>
    <w:rsid w:val="006828BC"/>
    <w:rsid w:val="00684B85"/>
    <w:rsid w:val="0069524A"/>
    <w:rsid w:val="00697266"/>
    <w:rsid w:val="006A01F9"/>
    <w:rsid w:val="006A1B45"/>
    <w:rsid w:val="006A3F9A"/>
    <w:rsid w:val="006A3FFB"/>
    <w:rsid w:val="006B1962"/>
    <w:rsid w:val="006B2984"/>
    <w:rsid w:val="006B77BE"/>
    <w:rsid w:val="006E7A61"/>
    <w:rsid w:val="00703292"/>
    <w:rsid w:val="00713A81"/>
    <w:rsid w:val="007334D8"/>
    <w:rsid w:val="00735D46"/>
    <w:rsid w:val="00747283"/>
    <w:rsid w:val="0075327B"/>
    <w:rsid w:val="007632B0"/>
    <w:rsid w:val="00780253"/>
    <w:rsid w:val="007816BA"/>
    <w:rsid w:val="00781771"/>
    <w:rsid w:val="007948FA"/>
    <w:rsid w:val="007B27C9"/>
    <w:rsid w:val="007B3DA6"/>
    <w:rsid w:val="007B744C"/>
    <w:rsid w:val="007B7DEF"/>
    <w:rsid w:val="007C4185"/>
    <w:rsid w:val="007D43C4"/>
    <w:rsid w:val="007E6598"/>
    <w:rsid w:val="007F20F0"/>
    <w:rsid w:val="007F37C1"/>
    <w:rsid w:val="00801DA8"/>
    <w:rsid w:val="008023AE"/>
    <w:rsid w:val="00816287"/>
    <w:rsid w:val="0081730F"/>
    <w:rsid w:val="00835BE7"/>
    <w:rsid w:val="00873B5A"/>
    <w:rsid w:val="008A0576"/>
    <w:rsid w:val="008A3A5A"/>
    <w:rsid w:val="008A4653"/>
    <w:rsid w:val="008B3DA1"/>
    <w:rsid w:val="008B5653"/>
    <w:rsid w:val="008B58A4"/>
    <w:rsid w:val="008C6C5A"/>
    <w:rsid w:val="008C7ABF"/>
    <w:rsid w:val="008D10A2"/>
    <w:rsid w:val="008E4EF9"/>
    <w:rsid w:val="008E7FDF"/>
    <w:rsid w:val="008F6706"/>
    <w:rsid w:val="00904CD2"/>
    <w:rsid w:val="00907428"/>
    <w:rsid w:val="00913197"/>
    <w:rsid w:val="009205C7"/>
    <w:rsid w:val="009248F5"/>
    <w:rsid w:val="00941451"/>
    <w:rsid w:val="0094179B"/>
    <w:rsid w:val="009479DC"/>
    <w:rsid w:val="00951AD3"/>
    <w:rsid w:val="00981EE0"/>
    <w:rsid w:val="00985472"/>
    <w:rsid w:val="00987203"/>
    <w:rsid w:val="00997EA0"/>
    <w:rsid w:val="009A52F5"/>
    <w:rsid w:val="009A6860"/>
    <w:rsid w:val="009B07D2"/>
    <w:rsid w:val="009D5F04"/>
    <w:rsid w:val="009F1041"/>
    <w:rsid w:val="00A20BE8"/>
    <w:rsid w:val="00A24556"/>
    <w:rsid w:val="00A2704D"/>
    <w:rsid w:val="00A279E7"/>
    <w:rsid w:val="00A508B3"/>
    <w:rsid w:val="00A516B6"/>
    <w:rsid w:val="00A6303D"/>
    <w:rsid w:val="00A715E4"/>
    <w:rsid w:val="00A758CB"/>
    <w:rsid w:val="00A764D9"/>
    <w:rsid w:val="00A77513"/>
    <w:rsid w:val="00A77D01"/>
    <w:rsid w:val="00A82B74"/>
    <w:rsid w:val="00A82FC9"/>
    <w:rsid w:val="00A9040A"/>
    <w:rsid w:val="00AA4E1B"/>
    <w:rsid w:val="00AB1142"/>
    <w:rsid w:val="00AC1766"/>
    <w:rsid w:val="00AD5F40"/>
    <w:rsid w:val="00AE30AC"/>
    <w:rsid w:val="00AE3E24"/>
    <w:rsid w:val="00AF79DC"/>
    <w:rsid w:val="00B0122B"/>
    <w:rsid w:val="00B036D1"/>
    <w:rsid w:val="00B3246D"/>
    <w:rsid w:val="00B374FF"/>
    <w:rsid w:val="00B57713"/>
    <w:rsid w:val="00B755FC"/>
    <w:rsid w:val="00B776DC"/>
    <w:rsid w:val="00B77D55"/>
    <w:rsid w:val="00B85257"/>
    <w:rsid w:val="00B9643A"/>
    <w:rsid w:val="00B974D9"/>
    <w:rsid w:val="00BA1070"/>
    <w:rsid w:val="00BB02BC"/>
    <w:rsid w:val="00BB739D"/>
    <w:rsid w:val="00BC3E69"/>
    <w:rsid w:val="00BC68E1"/>
    <w:rsid w:val="00BD2E14"/>
    <w:rsid w:val="00BD3BAE"/>
    <w:rsid w:val="00BD4D8C"/>
    <w:rsid w:val="00BD7C30"/>
    <w:rsid w:val="00BE2339"/>
    <w:rsid w:val="00BE499A"/>
    <w:rsid w:val="00C01D96"/>
    <w:rsid w:val="00C065C5"/>
    <w:rsid w:val="00C14B6E"/>
    <w:rsid w:val="00C26C90"/>
    <w:rsid w:val="00C33660"/>
    <w:rsid w:val="00C410FE"/>
    <w:rsid w:val="00C5353F"/>
    <w:rsid w:val="00C6154A"/>
    <w:rsid w:val="00C66A9C"/>
    <w:rsid w:val="00C76996"/>
    <w:rsid w:val="00C86020"/>
    <w:rsid w:val="00C940EA"/>
    <w:rsid w:val="00CC1BE4"/>
    <w:rsid w:val="00CC5BC3"/>
    <w:rsid w:val="00CC7DA0"/>
    <w:rsid w:val="00CD6C97"/>
    <w:rsid w:val="00D233F4"/>
    <w:rsid w:val="00D239A5"/>
    <w:rsid w:val="00D359A7"/>
    <w:rsid w:val="00D375B9"/>
    <w:rsid w:val="00D53CF7"/>
    <w:rsid w:val="00D56F01"/>
    <w:rsid w:val="00D61F9F"/>
    <w:rsid w:val="00D83182"/>
    <w:rsid w:val="00D850D4"/>
    <w:rsid w:val="00D90A16"/>
    <w:rsid w:val="00DA4F7F"/>
    <w:rsid w:val="00DB623A"/>
    <w:rsid w:val="00DC14EC"/>
    <w:rsid w:val="00DD1703"/>
    <w:rsid w:val="00DF0470"/>
    <w:rsid w:val="00DF282B"/>
    <w:rsid w:val="00DF3B12"/>
    <w:rsid w:val="00E048E7"/>
    <w:rsid w:val="00E065D6"/>
    <w:rsid w:val="00E11258"/>
    <w:rsid w:val="00E11510"/>
    <w:rsid w:val="00E20A75"/>
    <w:rsid w:val="00E22ADC"/>
    <w:rsid w:val="00E24BD1"/>
    <w:rsid w:val="00E430F8"/>
    <w:rsid w:val="00E51F9E"/>
    <w:rsid w:val="00E52E18"/>
    <w:rsid w:val="00E53F3C"/>
    <w:rsid w:val="00E56ACA"/>
    <w:rsid w:val="00E870A6"/>
    <w:rsid w:val="00E94413"/>
    <w:rsid w:val="00E96680"/>
    <w:rsid w:val="00EA78E6"/>
    <w:rsid w:val="00ED17BD"/>
    <w:rsid w:val="00ED7274"/>
    <w:rsid w:val="00F15A31"/>
    <w:rsid w:val="00F35398"/>
    <w:rsid w:val="00F40F53"/>
    <w:rsid w:val="00F40F90"/>
    <w:rsid w:val="00F649E4"/>
    <w:rsid w:val="00F65D79"/>
    <w:rsid w:val="00F742AD"/>
    <w:rsid w:val="00F7505B"/>
    <w:rsid w:val="00F80429"/>
    <w:rsid w:val="00F80F9B"/>
    <w:rsid w:val="00F84BB0"/>
    <w:rsid w:val="00F8617D"/>
    <w:rsid w:val="00F8623D"/>
    <w:rsid w:val="00F90A66"/>
    <w:rsid w:val="00F94C2E"/>
    <w:rsid w:val="00FA29A2"/>
    <w:rsid w:val="00FA40BB"/>
    <w:rsid w:val="00FA58EC"/>
    <w:rsid w:val="00FD2672"/>
    <w:rsid w:val="00FD37F5"/>
    <w:rsid w:val="00FE2FDC"/>
    <w:rsid w:val="00FF7A33"/>
    <w:rsid w:val="00FF7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DF282B"/>
  </w:style>
  <w:style w:type="paragraph" w:styleId="FootnoteText">
    <w:name w:val="footnote text"/>
    <w:basedOn w:val="Normal"/>
    <w:link w:val="FootnoteTextChar"/>
    <w:uiPriority w:val="99"/>
    <w:semiHidden/>
    <w:rsid w:val="009248F5"/>
    <w:rPr>
      <w:sz w:val="20"/>
    </w:rPr>
  </w:style>
  <w:style w:type="character" w:styleId="FootnoteReference">
    <w:name w:val="footnote reference"/>
    <w:basedOn w:val="DefaultParagraphFont"/>
    <w:uiPriority w:val="99"/>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34"/>
    <w:qFormat/>
    <w:rsid w:val="00A24556"/>
    <w:pPr>
      <w:overflowPunct/>
      <w:autoSpaceDE/>
      <w:autoSpaceDN/>
      <w:adjustRightInd/>
      <w:ind w:left="720"/>
      <w:contextualSpacing/>
      <w:textAlignment w:val="auto"/>
    </w:pPr>
    <w:rPr>
      <w:rFonts w:eastAsiaTheme="minorHAnsi"/>
      <w:sz w:val="26"/>
      <w:szCs w:val="26"/>
    </w:rPr>
  </w:style>
  <w:style w:type="character" w:customStyle="1" w:styleId="FootnoteTextChar">
    <w:name w:val="Footnote Text Char"/>
    <w:basedOn w:val="DefaultParagraphFont"/>
    <w:link w:val="FootnoteText"/>
    <w:uiPriority w:val="99"/>
    <w:semiHidden/>
    <w:rsid w:val="004010EF"/>
  </w:style>
</w:styles>
</file>

<file path=word/webSettings.xml><?xml version="1.0" encoding="utf-8"?>
<w:webSettings xmlns:r="http://schemas.openxmlformats.org/officeDocument/2006/relationships" xmlns:w="http://schemas.openxmlformats.org/wordprocessingml/2006/main">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EAD1C-8D9B-46A8-9C06-01E91CDA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19455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joyce marie farner</cp:lastModifiedBy>
  <cp:revision>3</cp:revision>
  <cp:lastPrinted>2010-01-14T16:36:00Z</cp:lastPrinted>
  <dcterms:created xsi:type="dcterms:W3CDTF">2010-01-12T14:34:00Z</dcterms:created>
  <dcterms:modified xsi:type="dcterms:W3CDTF">2010-01-14T16:37:00Z</dcterms:modified>
</cp:coreProperties>
</file>