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02A" w:rsidRDefault="00C3102A">
      <w:pPr>
        <w:pStyle w:val="Title"/>
      </w:pPr>
      <w:smartTag w:uri="urn:schemas-microsoft-com:office:smarttags" w:element="place">
        <w:smartTag w:uri="urn:schemas-microsoft-com:office:smarttags" w:element="State">
          <w:r>
            <w:t>PENNSYLVANIA</w:t>
          </w:r>
        </w:smartTag>
      </w:smartTag>
    </w:p>
    <w:p w:rsidR="00C3102A" w:rsidRDefault="00C3102A">
      <w:pPr>
        <w:jc w:val="center"/>
        <w:rPr>
          <w:b/>
          <w:sz w:val="26"/>
        </w:rPr>
      </w:pPr>
      <w:r>
        <w:rPr>
          <w:b/>
          <w:sz w:val="26"/>
        </w:rPr>
        <w:t>PUBLIC UTILITY COMMISSION</w:t>
      </w:r>
    </w:p>
    <w:p w:rsidR="00C3102A" w:rsidRDefault="00C3102A">
      <w:pPr>
        <w:jc w:val="center"/>
        <w:rPr>
          <w:b/>
          <w:sz w:val="26"/>
        </w:rPr>
      </w:pPr>
      <w:smartTag w:uri="urn:schemas-microsoft-com:office:smarttags" w:element="place">
        <w:smartTag w:uri="urn:schemas-microsoft-com:office:smarttags" w:element="PostalCode">
          <w:smartTag w:uri="urn:schemas-microsoft-com:office:smarttags" w:element="City">
            <w:r>
              <w:rPr>
                <w:b/>
                <w:sz w:val="26"/>
              </w:rPr>
              <w:t>Harrisburg</w:t>
            </w:r>
          </w:smartTag>
          <w:r>
            <w:rPr>
              <w:b/>
              <w:sz w:val="26"/>
            </w:rPr>
            <w:t xml:space="preserve">, </w:t>
          </w:r>
          <w:smartTag w:uri="urn:schemas-microsoft-com:office:smarttags" w:element="State">
            <w:r>
              <w:rPr>
                <w:b/>
                <w:sz w:val="26"/>
              </w:rPr>
              <w:t>PA</w:t>
            </w:r>
          </w:smartTag>
          <w:r>
            <w:rPr>
              <w:b/>
              <w:sz w:val="26"/>
            </w:rPr>
            <w:t xml:space="preserve"> </w:t>
          </w:r>
          <w:smartTag w:uri="urn:schemas-microsoft-com:office:smarttags" w:element="PostalCode">
            <w:smartTag w:uri="urn:schemas:contacts" w:element="middlename">
              <w:r>
                <w:rPr>
                  <w:b/>
                  <w:sz w:val="26"/>
                </w:rPr>
                <w:t>17105-3265</w:t>
              </w:r>
            </w:smartTag>
          </w:smartTag>
        </w:smartTag>
      </w:smartTag>
    </w:p>
    <w:p w:rsidR="00C3102A" w:rsidRDefault="00C3102A">
      <w:pPr>
        <w:jc w:val="center"/>
        <w:rPr>
          <w:sz w:val="26"/>
        </w:rPr>
      </w:pPr>
    </w:p>
    <w:p w:rsidR="00C3102A" w:rsidRDefault="00712D91" w:rsidP="00A57882">
      <w:pPr>
        <w:jc w:val="right"/>
        <w:rPr>
          <w:sz w:val="26"/>
        </w:rPr>
      </w:pPr>
      <w:r>
        <w:rPr>
          <w:sz w:val="26"/>
        </w:rPr>
        <w:t>P</w:t>
      </w:r>
      <w:r w:rsidR="00C3102A">
        <w:rPr>
          <w:sz w:val="26"/>
        </w:rPr>
        <w:t xml:space="preserve">ublic Meeting held </w:t>
      </w:r>
      <w:r w:rsidR="00E779E4">
        <w:rPr>
          <w:sz w:val="26"/>
        </w:rPr>
        <w:t>January 14</w:t>
      </w:r>
      <w:r w:rsidR="0070177C">
        <w:rPr>
          <w:sz w:val="26"/>
        </w:rPr>
        <w:t>, 2010</w:t>
      </w:r>
    </w:p>
    <w:p w:rsidR="00C3102A" w:rsidRDefault="00C3102A">
      <w:pPr>
        <w:rPr>
          <w:sz w:val="26"/>
        </w:rPr>
      </w:pPr>
      <w:r>
        <w:rPr>
          <w:sz w:val="26"/>
        </w:rPr>
        <w:t>Commissioners Present:</w:t>
      </w:r>
    </w:p>
    <w:p w:rsidR="00C3102A" w:rsidRDefault="00C3102A">
      <w:pPr>
        <w:rPr>
          <w:sz w:val="26"/>
        </w:rPr>
      </w:pPr>
    </w:p>
    <w:p w:rsidR="00C3102A" w:rsidRDefault="00977315">
      <w:pPr>
        <w:pStyle w:val="Heading1"/>
      </w:pPr>
      <w:r>
        <w:tab/>
        <w:t>James H. Cawley</w:t>
      </w:r>
      <w:r w:rsidR="00C3102A">
        <w:t>, Chairman</w:t>
      </w:r>
    </w:p>
    <w:p w:rsidR="00A57882" w:rsidRDefault="00504888">
      <w:pPr>
        <w:rPr>
          <w:sz w:val="26"/>
        </w:rPr>
      </w:pPr>
      <w:r>
        <w:rPr>
          <w:sz w:val="26"/>
        </w:rPr>
        <w:tab/>
      </w:r>
      <w:r w:rsidR="00977315">
        <w:rPr>
          <w:sz w:val="26"/>
        </w:rPr>
        <w:t>Tyrone J. Christy</w:t>
      </w:r>
      <w:r w:rsidR="005264E9">
        <w:rPr>
          <w:sz w:val="26"/>
        </w:rPr>
        <w:t>, Vice Chairman</w:t>
      </w:r>
    </w:p>
    <w:p w:rsidR="00C3102A" w:rsidRDefault="00350B31">
      <w:pPr>
        <w:rPr>
          <w:sz w:val="26"/>
        </w:rPr>
      </w:pPr>
      <w:r>
        <w:rPr>
          <w:sz w:val="26"/>
        </w:rPr>
        <w:tab/>
      </w:r>
      <w:r w:rsidR="00156034">
        <w:rPr>
          <w:sz w:val="26"/>
        </w:rPr>
        <w:t>Kim Pizzingrilli</w:t>
      </w:r>
    </w:p>
    <w:p w:rsidR="00156034" w:rsidRDefault="00977315">
      <w:pPr>
        <w:rPr>
          <w:sz w:val="26"/>
        </w:rPr>
      </w:pPr>
      <w:r>
        <w:rPr>
          <w:sz w:val="26"/>
        </w:rPr>
        <w:tab/>
        <w:t>Wayne E. Gardner</w:t>
      </w:r>
    </w:p>
    <w:p w:rsidR="00977315" w:rsidRDefault="0070177C">
      <w:pPr>
        <w:rPr>
          <w:sz w:val="26"/>
        </w:rPr>
      </w:pPr>
      <w:r>
        <w:rPr>
          <w:sz w:val="26"/>
        </w:rPr>
        <w:tab/>
        <w:t>Robert F. Powelson</w:t>
      </w:r>
    </w:p>
    <w:p w:rsidR="0070177C" w:rsidRDefault="0070177C">
      <w:pPr>
        <w:rPr>
          <w:sz w:val="26"/>
        </w:rPr>
      </w:pPr>
    </w:p>
    <w:p w:rsidR="00504888" w:rsidRDefault="00504888">
      <w:pPr>
        <w:rPr>
          <w:sz w:val="26"/>
        </w:rPr>
      </w:pPr>
    </w:p>
    <w:tbl>
      <w:tblPr>
        <w:tblW w:w="0" w:type="auto"/>
        <w:tblLayout w:type="fixed"/>
        <w:tblLook w:val="0000"/>
      </w:tblPr>
      <w:tblGrid>
        <w:gridCol w:w="5778"/>
        <w:gridCol w:w="3798"/>
      </w:tblGrid>
      <w:tr w:rsidR="00C3102A">
        <w:tc>
          <w:tcPr>
            <w:tcW w:w="5778" w:type="dxa"/>
          </w:tcPr>
          <w:p w:rsidR="00C3102A" w:rsidRDefault="004D7C32">
            <w:pPr>
              <w:rPr>
                <w:sz w:val="26"/>
              </w:rPr>
            </w:pPr>
            <w:r>
              <w:rPr>
                <w:sz w:val="26"/>
              </w:rPr>
              <w:t>White Haven Borough</w:t>
            </w:r>
          </w:p>
          <w:p w:rsidR="00C3102A" w:rsidRDefault="00C3102A">
            <w:pPr>
              <w:rPr>
                <w:sz w:val="26"/>
              </w:rPr>
            </w:pPr>
          </w:p>
          <w:p w:rsidR="00C3102A" w:rsidRDefault="00C3102A">
            <w:pPr>
              <w:rPr>
                <w:sz w:val="26"/>
              </w:rPr>
            </w:pPr>
            <w:r>
              <w:rPr>
                <w:sz w:val="26"/>
              </w:rPr>
              <w:t xml:space="preserve">                  v.</w:t>
            </w:r>
          </w:p>
          <w:p w:rsidR="00C3102A" w:rsidRDefault="00C3102A">
            <w:pPr>
              <w:rPr>
                <w:sz w:val="26"/>
              </w:rPr>
            </w:pPr>
          </w:p>
          <w:p w:rsidR="004F0D3E" w:rsidRDefault="004D7C32">
            <w:pPr>
              <w:rPr>
                <w:sz w:val="26"/>
              </w:rPr>
            </w:pPr>
            <w:r>
              <w:rPr>
                <w:sz w:val="26"/>
              </w:rPr>
              <w:t>Reading</w:t>
            </w:r>
            <w:r w:rsidR="00FD30DA">
              <w:rPr>
                <w:sz w:val="26"/>
              </w:rPr>
              <w:t xml:space="preserve">, Blue </w:t>
            </w:r>
            <w:r>
              <w:rPr>
                <w:sz w:val="26"/>
              </w:rPr>
              <w:t>Mountain &amp; Northern</w:t>
            </w:r>
          </w:p>
          <w:p w:rsidR="004D7C32" w:rsidRDefault="004D7C32">
            <w:pPr>
              <w:rPr>
                <w:sz w:val="26"/>
              </w:rPr>
            </w:pPr>
            <w:r>
              <w:rPr>
                <w:sz w:val="26"/>
              </w:rPr>
              <w:t>Railroad</w:t>
            </w:r>
            <w:r w:rsidR="00FD30DA">
              <w:rPr>
                <w:sz w:val="26"/>
              </w:rPr>
              <w:t xml:space="preserve"> Company</w:t>
            </w:r>
          </w:p>
        </w:tc>
        <w:tc>
          <w:tcPr>
            <w:tcW w:w="3798" w:type="dxa"/>
          </w:tcPr>
          <w:p w:rsidR="0029035A" w:rsidRDefault="00072BFB">
            <w:pPr>
              <w:jc w:val="right"/>
              <w:rPr>
                <w:sz w:val="26"/>
              </w:rPr>
            </w:pPr>
            <w:r>
              <w:rPr>
                <w:sz w:val="26"/>
              </w:rPr>
              <w:t>C-00004204</w:t>
            </w:r>
          </w:p>
          <w:p w:rsidR="00C3102A" w:rsidRDefault="00C3102A">
            <w:pPr>
              <w:jc w:val="right"/>
              <w:rPr>
                <w:sz w:val="26"/>
              </w:rPr>
            </w:pPr>
          </w:p>
          <w:p w:rsidR="00C3102A" w:rsidRDefault="00C3102A">
            <w:pPr>
              <w:jc w:val="right"/>
              <w:rPr>
                <w:sz w:val="26"/>
              </w:rPr>
            </w:pPr>
          </w:p>
        </w:tc>
      </w:tr>
      <w:tr w:rsidR="00C3102A">
        <w:tc>
          <w:tcPr>
            <w:tcW w:w="5778" w:type="dxa"/>
          </w:tcPr>
          <w:p w:rsidR="00C3102A" w:rsidRDefault="00C3102A">
            <w:pPr>
              <w:rPr>
                <w:sz w:val="26"/>
              </w:rPr>
            </w:pPr>
          </w:p>
        </w:tc>
        <w:tc>
          <w:tcPr>
            <w:tcW w:w="3798" w:type="dxa"/>
          </w:tcPr>
          <w:p w:rsidR="00C3102A" w:rsidRDefault="00C3102A">
            <w:pPr>
              <w:jc w:val="right"/>
              <w:rPr>
                <w:sz w:val="26"/>
              </w:rPr>
            </w:pPr>
          </w:p>
        </w:tc>
      </w:tr>
    </w:tbl>
    <w:p w:rsidR="00C3102A" w:rsidRDefault="00C3102A">
      <w:pPr>
        <w:rPr>
          <w:sz w:val="26"/>
        </w:rPr>
      </w:pPr>
    </w:p>
    <w:p w:rsidR="005572A6" w:rsidRDefault="005572A6">
      <w:pPr>
        <w:rPr>
          <w:sz w:val="26"/>
        </w:rPr>
      </w:pPr>
    </w:p>
    <w:p w:rsidR="00C3102A" w:rsidRDefault="00C3102A">
      <w:pPr>
        <w:jc w:val="center"/>
        <w:rPr>
          <w:b/>
          <w:sz w:val="26"/>
        </w:rPr>
      </w:pPr>
      <w:r>
        <w:rPr>
          <w:b/>
          <w:sz w:val="26"/>
        </w:rPr>
        <w:t>OPINION AND ORDER</w:t>
      </w:r>
    </w:p>
    <w:p w:rsidR="00C3102A" w:rsidRDefault="00C3102A">
      <w:pPr>
        <w:spacing w:line="360" w:lineRule="auto"/>
        <w:rPr>
          <w:sz w:val="26"/>
        </w:rPr>
      </w:pPr>
    </w:p>
    <w:p w:rsidR="00C3102A" w:rsidRDefault="00C3102A">
      <w:pPr>
        <w:rPr>
          <w:sz w:val="26"/>
        </w:rPr>
      </w:pPr>
      <w:r>
        <w:rPr>
          <w:b/>
          <w:sz w:val="26"/>
        </w:rPr>
        <w:t xml:space="preserve">BY THE COMMISSION: </w:t>
      </w:r>
      <w:r>
        <w:rPr>
          <w:sz w:val="26"/>
        </w:rPr>
        <w:t xml:space="preserve"> </w:t>
      </w:r>
    </w:p>
    <w:p w:rsidR="00C3102A" w:rsidRDefault="00C3102A">
      <w:pPr>
        <w:spacing w:line="360" w:lineRule="auto"/>
        <w:rPr>
          <w:sz w:val="26"/>
        </w:rPr>
      </w:pPr>
    </w:p>
    <w:p w:rsidR="00C3102A" w:rsidRDefault="00C3102A">
      <w:pPr>
        <w:pStyle w:val="BodyText3"/>
        <w:tabs>
          <w:tab w:val="clear" w:pos="-720"/>
        </w:tabs>
        <w:suppressAutoHyphens w:val="0"/>
      </w:pPr>
      <w:r>
        <w:tab/>
      </w:r>
      <w:r>
        <w:tab/>
        <w:t>Before us for consid</w:t>
      </w:r>
      <w:r w:rsidR="0014307E">
        <w:t>e</w:t>
      </w:r>
      <w:r>
        <w:t xml:space="preserve">ration </w:t>
      </w:r>
      <w:r w:rsidR="00301050">
        <w:t xml:space="preserve">and disposition </w:t>
      </w:r>
      <w:r w:rsidR="00B14F55">
        <w:t>is the Petition for Time Extension</w:t>
      </w:r>
      <w:r w:rsidR="002C353C">
        <w:t xml:space="preserve"> </w:t>
      </w:r>
      <w:r w:rsidR="0054582C">
        <w:t>(</w:t>
      </w:r>
      <w:r>
        <w:t>Petition)</w:t>
      </w:r>
      <w:r w:rsidR="00B14F55" w:rsidRPr="00B14F55">
        <w:rPr>
          <w:rStyle w:val="FootnoteReference"/>
          <w:sz w:val="20"/>
        </w:rPr>
        <w:footnoteReference w:id="1"/>
      </w:r>
      <w:r>
        <w:t xml:space="preserve"> f</w:t>
      </w:r>
      <w:r w:rsidR="00BB3BAE">
        <w:t>i</w:t>
      </w:r>
      <w:r>
        <w:t xml:space="preserve">led </w:t>
      </w:r>
      <w:r w:rsidR="00CC756D">
        <w:t xml:space="preserve">on </w:t>
      </w:r>
      <w:r w:rsidR="00FD30DA">
        <w:t>November 12</w:t>
      </w:r>
      <w:r w:rsidR="009C54D8">
        <w:t>, 200</w:t>
      </w:r>
      <w:r w:rsidR="00475BCC">
        <w:t>9</w:t>
      </w:r>
      <w:r w:rsidR="00356520">
        <w:t>,</w:t>
      </w:r>
      <w:r w:rsidR="00CC756D">
        <w:t xml:space="preserve"> </w:t>
      </w:r>
      <w:r w:rsidR="00A958A5">
        <w:t xml:space="preserve">by </w:t>
      </w:r>
      <w:r w:rsidR="00FD30DA">
        <w:t>Reading, Blue Mountain &amp; Northern Railroad</w:t>
      </w:r>
      <w:r w:rsidR="00073ACE">
        <w:t xml:space="preserve"> </w:t>
      </w:r>
      <w:r w:rsidR="00FD30DA">
        <w:t xml:space="preserve">Company </w:t>
      </w:r>
      <w:r>
        <w:t>(</w:t>
      </w:r>
      <w:r w:rsidR="00FD30DA">
        <w:t>Railroad</w:t>
      </w:r>
      <w:r>
        <w:t>)</w:t>
      </w:r>
      <w:r w:rsidR="00A943F1">
        <w:t>.</w:t>
      </w:r>
      <w:r w:rsidR="006B5307">
        <w:t xml:space="preserve">  </w:t>
      </w:r>
      <w:r w:rsidR="00B14F55">
        <w:t xml:space="preserve">On </w:t>
      </w:r>
      <w:r w:rsidR="006B5307">
        <w:t>November 23</w:t>
      </w:r>
      <w:r w:rsidR="005E4295">
        <w:t xml:space="preserve">, 2009, </w:t>
      </w:r>
      <w:r w:rsidR="006B5307">
        <w:t>Law Bureau Prosecutory Staff</w:t>
      </w:r>
      <w:r w:rsidR="005E4295">
        <w:t xml:space="preserve"> (</w:t>
      </w:r>
      <w:r w:rsidR="00C34202">
        <w:t>Prosecutory Staff</w:t>
      </w:r>
      <w:r w:rsidR="005E4295">
        <w:t>)</w:t>
      </w:r>
      <w:r w:rsidR="0001046F">
        <w:t xml:space="preserve"> filed a</w:t>
      </w:r>
      <w:r w:rsidR="006B5307">
        <w:t>n Answer to the Petition.  On December 7, 2009, White Haven Borough (Borough) filed an Answer to</w:t>
      </w:r>
      <w:r w:rsidR="0001046F">
        <w:t xml:space="preserve"> the Petition.</w:t>
      </w:r>
      <w:r>
        <w:t xml:space="preserve"> </w:t>
      </w:r>
    </w:p>
    <w:p w:rsidR="00C3102A" w:rsidRDefault="00C3102A">
      <w:pPr>
        <w:pStyle w:val="BodyText3"/>
        <w:tabs>
          <w:tab w:val="clear" w:pos="-720"/>
        </w:tabs>
        <w:suppressAutoHyphens w:val="0"/>
      </w:pPr>
    </w:p>
    <w:p w:rsidR="00C3102A" w:rsidRDefault="00C3102A" w:rsidP="00C63119">
      <w:pPr>
        <w:keepNext/>
        <w:keepLines/>
        <w:spacing w:line="360" w:lineRule="auto"/>
        <w:jc w:val="center"/>
        <w:rPr>
          <w:sz w:val="26"/>
        </w:rPr>
      </w:pPr>
      <w:r>
        <w:rPr>
          <w:b/>
          <w:sz w:val="26"/>
          <w:u w:val="single"/>
        </w:rPr>
        <w:lastRenderedPageBreak/>
        <w:t>History of the Proceeding</w:t>
      </w:r>
    </w:p>
    <w:p w:rsidR="00C3102A" w:rsidRDefault="00C3102A" w:rsidP="00C63119">
      <w:pPr>
        <w:keepNext/>
        <w:keepLines/>
        <w:spacing w:line="360" w:lineRule="auto"/>
        <w:rPr>
          <w:sz w:val="26"/>
        </w:rPr>
      </w:pPr>
    </w:p>
    <w:p w:rsidR="009B0010" w:rsidRPr="00C22630" w:rsidRDefault="009B0010" w:rsidP="009B0010">
      <w:pPr>
        <w:tabs>
          <w:tab w:val="left" w:pos="-720"/>
          <w:tab w:val="left" w:pos="720"/>
          <w:tab w:val="left" w:pos="1440"/>
          <w:tab w:val="left" w:pos="6480"/>
        </w:tabs>
        <w:suppressAutoHyphens/>
        <w:spacing w:line="360" w:lineRule="auto"/>
        <w:rPr>
          <w:sz w:val="26"/>
        </w:rPr>
      </w:pPr>
      <w:r>
        <w:rPr>
          <w:sz w:val="26"/>
        </w:rPr>
        <w:tab/>
      </w:r>
      <w:r>
        <w:rPr>
          <w:sz w:val="26"/>
        </w:rPr>
        <w:tab/>
        <w:t xml:space="preserve">The history of this proceeding dates back to September 18, 2000, when the Borough filed a Formal Complaint against the Railroad concerning two specific areas along the Railroad’s tracks.  One of the areas involved the railroad trestle bridge at </w:t>
      </w:r>
      <w:smartTag w:uri="urn:schemas-microsoft-com:office:smarttags" w:element="Street">
        <w:smartTag w:uri="urn:schemas-microsoft-com:office:smarttags" w:element="address">
          <w:r>
            <w:rPr>
              <w:sz w:val="26"/>
            </w:rPr>
            <w:t>Susquehanna Street</w:t>
          </w:r>
        </w:smartTag>
      </w:smartTag>
      <w:r>
        <w:rPr>
          <w:sz w:val="26"/>
        </w:rPr>
        <w:t xml:space="preserve"> and the associated retaining walls.  </w:t>
      </w:r>
    </w:p>
    <w:p w:rsidR="009B0010" w:rsidRDefault="009B0010" w:rsidP="009B0010">
      <w:pPr>
        <w:spacing w:line="360" w:lineRule="auto"/>
        <w:rPr>
          <w:sz w:val="26"/>
        </w:rPr>
      </w:pPr>
    </w:p>
    <w:p w:rsidR="009B0010" w:rsidRDefault="009B0010" w:rsidP="009B0010">
      <w:pPr>
        <w:pStyle w:val="CommentText"/>
        <w:spacing w:line="360" w:lineRule="auto"/>
        <w:ind w:firstLine="1440"/>
        <w:rPr>
          <w:sz w:val="26"/>
          <w:szCs w:val="24"/>
        </w:rPr>
      </w:pPr>
      <w:r>
        <w:rPr>
          <w:sz w:val="26"/>
          <w:szCs w:val="24"/>
        </w:rPr>
        <w:t xml:space="preserve">After hearings, the Recommended Decision of ALJ Richard Lovenwirth was issued on October 10, 2001.  By Opinion and Order entered February 8, 2002, the Commission, </w:t>
      </w:r>
      <w:r w:rsidRPr="00D13C36">
        <w:rPr>
          <w:i/>
          <w:sz w:val="26"/>
          <w:szCs w:val="24"/>
        </w:rPr>
        <w:t>inter alia</w:t>
      </w:r>
      <w:r>
        <w:rPr>
          <w:sz w:val="26"/>
          <w:szCs w:val="24"/>
        </w:rPr>
        <w:t xml:space="preserve">, sustained the Complaint relative to the </w:t>
      </w:r>
      <w:smartTag w:uri="urn:schemas-microsoft-com:office:smarttags" w:element="Street">
        <w:smartTag w:uri="urn:schemas-microsoft-com:office:smarttags" w:element="address">
          <w:r>
            <w:rPr>
              <w:sz w:val="26"/>
              <w:szCs w:val="24"/>
            </w:rPr>
            <w:t>Susquehanna Street</w:t>
          </w:r>
        </w:smartTag>
      </w:smartTag>
      <w:r>
        <w:rPr>
          <w:sz w:val="26"/>
          <w:szCs w:val="24"/>
        </w:rPr>
        <w:t xml:space="preserve"> below-grade crossing and associated retaining walls</w:t>
      </w:r>
      <w:r w:rsidRPr="00E21D5D">
        <w:rPr>
          <w:sz w:val="26"/>
          <w:szCs w:val="24"/>
        </w:rPr>
        <w:t>.</w:t>
      </w:r>
      <w:r>
        <w:rPr>
          <w:sz w:val="26"/>
          <w:szCs w:val="24"/>
        </w:rPr>
        <w:t xml:space="preserve">  That Opinion and Order also directed, in pertinent part, as follows:</w:t>
      </w:r>
    </w:p>
    <w:p w:rsidR="009B0010" w:rsidRDefault="009B0010" w:rsidP="009B0010">
      <w:pPr>
        <w:pStyle w:val="CommentText"/>
        <w:spacing w:line="360" w:lineRule="auto"/>
        <w:rPr>
          <w:sz w:val="26"/>
          <w:szCs w:val="24"/>
        </w:rPr>
      </w:pPr>
    </w:p>
    <w:p w:rsidR="009B0010" w:rsidRDefault="009B0010" w:rsidP="009B0010">
      <w:pPr>
        <w:pStyle w:val="CommentText"/>
        <w:ind w:left="1440" w:right="1440"/>
        <w:rPr>
          <w:sz w:val="26"/>
          <w:szCs w:val="24"/>
        </w:rPr>
      </w:pPr>
      <w:r>
        <w:rPr>
          <w:sz w:val="26"/>
          <w:szCs w:val="24"/>
        </w:rPr>
        <w:t>5.</w:t>
      </w:r>
      <w:r>
        <w:rPr>
          <w:sz w:val="26"/>
          <w:szCs w:val="24"/>
        </w:rPr>
        <w:tab/>
        <w:t>[The Railroad] shall, within nine months of the entry of this Opinion and Order, furnish all material and do all work necessary to cut and remove all trees growing around the Susquehanna Street Bridge and between its tracks and the retaining walls along the track approaching the bridge.</w:t>
      </w:r>
    </w:p>
    <w:p w:rsidR="009B0010" w:rsidRDefault="009B0010" w:rsidP="009B0010">
      <w:pPr>
        <w:pStyle w:val="CommentText"/>
        <w:spacing w:line="360" w:lineRule="auto"/>
        <w:rPr>
          <w:sz w:val="26"/>
          <w:szCs w:val="24"/>
        </w:rPr>
      </w:pPr>
    </w:p>
    <w:p w:rsidR="009B0010" w:rsidRDefault="009B0010" w:rsidP="009B0010">
      <w:pPr>
        <w:pStyle w:val="CommentText"/>
        <w:spacing w:line="360" w:lineRule="auto"/>
        <w:rPr>
          <w:sz w:val="26"/>
          <w:szCs w:val="24"/>
        </w:rPr>
      </w:pPr>
      <w:r>
        <w:rPr>
          <w:sz w:val="26"/>
          <w:szCs w:val="24"/>
        </w:rPr>
        <w:tab/>
      </w:r>
      <w:r>
        <w:rPr>
          <w:sz w:val="26"/>
          <w:szCs w:val="24"/>
        </w:rPr>
        <w:tab/>
      </w:r>
      <w:r>
        <w:rPr>
          <w:sz w:val="26"/>
          <w:szCs w:val="24"/>
        </w:rPr>
        <w:tab/>
      </w:r>
      <w:r>
        <w:rPr>
          <w:sz w:val="26"/>
          <w:szCs w:val="24"/>
        </w:rPr>
        <w:tab/>
      </w:r>
      <w:r>
        <w:rPr>
          <w:sz w:val="26"/>
          <w:szCs w:val="24"/>
        </w:rPr>
        <w:tab/>
        <w:t xml:space="preserve"> *</w:t>
      </w:r>
      <w:r>
        <w:rPr>
          <w:sz w:val="26"/>
          <w:szCs w:val="24"/>
        </w:rPr>
        <w:tab/>
        <w:t>*</w:t>
      </w:r>
      <w:r>
        <w:rPr>
          <w:sz w:val="26"/>
          <w:szCs w:val="24"/>
        </w:rPr>
        <w:tab/>
        <w:t>*</w:t>
      </w:r>
    </w:p>
    <w:p w:rsidR="009B0010" w:rsidRDefault="009B0010" w:rsidP="009B0010">
      <w:pPr>
        <w:pStyle w:val="CommentText"/>
        <w:spacing w:line="360" w:lineRule="auto"/>
        <w:rPr>
          <w:sz w:val="26"/>
          <w:szCs w:val="24"/>
        </w:rPr>
      </w:pPr>
    </w:p>
    <w:p w:rsidR="009B0010" w:rsidRDefault="009B0010" w:rsidP="009B0010">
      <w:pPr>
        <w:pStyle w:val="CommentText"/>
        <w:ind w:left="1440" w:right="1440"/>
        <w:rPr>
          <w:sz w:val="26"/>
          <w:szCs w:val="24"/>
        </w:rPr>
      </w:pPr>
      <w:r>
        <w:rPr>
          <w:sz w:val="26"/>
          <w:szCs w:val="24"/>
        </w:rPr>
        <w:t>9.</w:t>
      </w:r>
      <w:r>
        <w:rPr>
          <w:sz w:val="26"/>
          <w:szCs w:val="24"/>
        </w:rPr>
        <w:tab/>
        <w:t>[The Railroad] shall, within twelve months . . . perform an in-depth inspection and evaluation of the stone retaining walls along its tracks leading from the Susquehanna Street railroad bridge and prepare and submit to this Commission and each party of record a written report of its in-depth inspection and evaluation of the retaining walls including an evaluation of the stability of the stone walls, locations of failures or potential failures, reasons for failures or bulges in the walls, recommendations for prevention of future problems and recommendations for any necessary repairs including cost estimates for said work.</w:t>
      </w:r>
    </w:p>
    <w:p w:rsidR="009B0010" w:rsidRPr="00E21D5D" w:rsidRDefault="009B0010" w:rsidP="009B0010">
      <w:pPr>
        <w:pStyle w:val="CommentText"/>
        <w:spacing w:line="360" w:lineRule="auto"/>
        <w:rPr>
          <w:sz w:val="26"/>
          <w:szCs w:val="24"/>
        </w:rPr>
      </w:pPr>
    </w:p>
    <w:p w:rsidR="009B0010" w:rsidRDefault="009B0010" w:rsidP="009B0010">
      <w:pPr>
        <w:pStyle w:val="CommentText"/>
        <w:spacing w:line="360" w:lineRule="auto"/>
        <w:ind w:left="3600"/>
        <w:rPr>
          <w:sz w:val="26"/>
          <w:szCs w:val="24"/>
        </w:rPr>
      </w:pPr>
      <w:r>
        <w:rPr>
          <w:sz w:val="26"/>
          <w:szCs w:val="24"/>
        </w:rPr>
        <w:t>*</w:t>
      </w:r>
      <w:r>
        <w:rPr>
          <w:sz w:val="26"/>
          <w:szCs w:val="24"/>
        </w:rPr>
        <w:tab/>
        <w:t>*</w:t>
      </w:r>
      <w:r>
        <w:rPr>
          <w:sz w:val="26"/>
          <w:szCs w:val="24"/>
        </w:rPr>
        <w:tab/>
        <w:t>*</w:t>
      </w:r>
    </w:p>
    <w:p w:rsidR="009B0010" w:rsidRDefault="009B0010" w:rsidP="009B0010">
      <w:pPr>
        <w:pStyle w:val="CommentText"/>
        <w:ind w:left="1440" w:right="1440"/>
        <w:rPr>
          <w:sz w:val="26"/>
          <w:szCs w:val="24"/>
        </w:rPr>
      </w:pPr>
      <w:r>
        <w:rPr>
          <w:sz w:val="26"/>
          <w:szCs w:val="24"/>
        </w:rPr>
        <w:lastRenderedPageBreak/>
        <w:t>19.</w:t>
      </w:r>
      <w:r>
        <w:rPr>
          <w:sz w:val="26"/>
          <w:szCs w:val="24"/>
        </w:rPr>
        <w:tab/>
        <w:t>That, upon the submission of the in-depth inspection and load rating analysis report of the bridge and the in-depth inspection and evaluation report of the retaining walls, a further hearing be held to consider the reports and their recommendations and any other issues involved.</w:t>
      </w:r>
    </w:p>
    <w:p w:rsidR="009B0010" w:rsidRDefault="009B0010" w:rsidP="009B0010">
      <w:pPr>
        <w:suppressAutoHyphens/>
        <w:spacing w:line="360" w:lineRule="auto"/>
        <w:ind w:firstLine="1440"/>
        <w:rPr>
          <w:spacing w:val="-3"/>
          <w:sz w:val="26"/>
          <w:szCs w:val="24"/>
        </w:rPr>
      </w:pPr>
    </w:p>
    <w:p w:rsidR="009B0010" w:rsidRPr="00DC3224" w:rsidRDefault="009B0010" w:rsidP="009B0010">
      <w:pPr>
        <w:suppressAutoHyphens/>
        <w:spacing w:line="360" w:lineRule="auto"/>
        <w:ind w:firstLine="1440"/>
        <w:rPr>
          <w:sz w:val="26"/>
          <w:szCs w:val="24"/>
        </w:rPr>
      </w:pPr>
      <w:r>
        <w:rPr>
          <w:spacing w:val="-3"/>
          <w:sz w:val="26"/>
          <w:szCs w:val="24"/>
        </w:rPr>
        <w:t>The Railroad employed an engineer, Mr. Timothy S. Benner, P.E., to inspect the retaining wall and to make recommendations as to how to maintain the integrity of the wall during its remaining service life.  The engineer’s report (the Benner Report), dated June 21, 2004, was provided to the Railroad and to the other Parties of record.  The Benner Report indicated that the retaining wall was decrepit and in need of repair and/or replacement.</w:t>
      </w:r>
      <w:r w:rsidRPr="00E21D5D">
        <w:rPr>
          <w:spacing w:val="-3"/>
          <w:sz w:val="26"/>
          <w:szCs w:val="24"/>
        </w:rPr>
        <w:t xml:space="preserve">  </w:t>
      </w:r>
    </w:p>
    <w:p w:rsidR="009B0010" w:rsidRDefault="009B0010" w:rsidP="009B0010">
      <w:pPr>
        <w:spacing w:line="360" w:lineRule="auto"/>
        <w:rPr>
          <w:sz w:val="26"/>
        </w:rPr>
      </w:pPr>
    </w:p>
    <w:p w:rsidR="009B0010" w:rsidRDefault="009B0010" w:rsidP="009B0010">
      <w:pPr>
        <w:spacing w:line="360" w:lineRule="auto"/>
        <w:rPr>
          <w:sz w:val="26"/>
        </w:rPr>
      </w:pPr>
      <w:r>
        <w:rPr>
          <w:sz w:val="26"/>
        </w:rPr>
        <w:tab/>
      </w:r>
      <w:r>
        <w:rPr>
          <w:sz w:val="26"/>
        </w:rPr>
        <w:tab/>
        <w:t xml:space="preserve">When efforts to resolve the issues proved unsuccessful, Prosecutory </w:t>
      </w:r>
      <w:r w:rsidR="00C34202">
        <w:rPr>
          <w:sz w:val="26"/>
        </w:rPr>
        <w:t>Staff</w:t>
      </w:r>
      <w:r>
        <w:rPr>
          <w:sz w:val="26"/>
        </w:rPr>
        <w:t>, on behalf of the Bureau of Transportation and Safety (</w:t>
      </w:r>
      <w:r w:rsidR="00C34202">
        <w:rPr>
          <w:sz w:val="26"/>
        </w:rPr>
        <w:t>BTS), submitted a Letter to ALJ </w:t>
      </w:r>
      <w:r>
        <w:rPr>
          <w:sz w:val="26"/>
        </w:rPr>
        <w:t>Jandebeur which averred that the Railroad had failed to make the necessary repairs in order to comply with the Commission’s order.  The Letter also recommended that a hearing be scheduled.</w:t>
      </w:r>
    </w:p>
    <w:p w:rsidR="009B0010" w:rsidRDefault="009B0010" w:rsidP="009B0010">
      <w:pPr>
        <w:spacing w:line="360" w:lineRule="auto"/>
        <w:rPr>
          <w:sz w:val="26"/>
        </w:rPr>
      </w:pPr>
    </w:p>
    <w:p w:rsidR="009B0010" w:rsidRDefault="009B0010" w:rsidP="009B0010">
      <w:pPr>
        <w:spacing w:line="360" w:lineRule="auto"/>
        <w:rPr>
          <w:sz w:val="26"/>
        </w:rPr>
      </w:pPr>
      <w:r>
        <w:rPr>
          <w:sz w:val="26"/>
        </w:rPr>
        <w:tab/>
      </w:r>
      <w:r>
        <w:rPr>
          <w:sz w:val="26"/>
        </w:rPr>
        <w:tab/>
        <w:t xml:space="preserve">On October 18, 2006, a hearing was held attended by the Borough, Prosecutory Staff, </w:t>
      </w:r>
      <w:r w:rsidR="00042765">
        <w:rPr>
          <w:sz w:val="26"/>
        </w:rPr>
        <w:t>Pennsylvania Department of Transportation (</w:t>
      </w:r>
      <w:r>
        <w:rPr>
          <w:sz w:val="26"/>
        </w:rPr>
        <w:t>PennDOT</w:t>
      </w:r>
      <w:r w:rsidR="00042765">
        <w:rPr>
          <w:sz w:val="26"/>
        </w:rPr>
        <w:t>)</w:t>
      </w:r>
      <w:r>
        <w:rPr>
          <w:sz w:val="26"/>
        </w:rPr>
        <w:t xml:space="preserve">, and the Railroad.  PennDOT was subsequently released from this proceeding with respect to the issues related to the retaining wall.  Tr. at 103.    </w:t>
      </w:r>
    </w:p>
    <w:p w:rsidR="009B0010" w:rsidRDefault="009B0010" w:rsidP="009B0010">
      <w:pPr>
        <w:spacing w:line="360" w:lineRule="auto"/>
        <w:rPr>
          <w:sz w:val="26"/>
        </w:rPr>
      </w:pPr>
    </w:p>
    <w:p w:rsidR="009B0010" w:rsidRDefault="009B0010" w:rsidP="009B0010">
      <w:pPr>
        <w:spacing w:line="360" w:lineRule="auto"/>
        <w:ind w:firstLine="1440"/>
        <w:rPr>
          <w:sz w:val="26"/>
        </w:rPr>
      </w:pPr>
      <w:r>
        <w:rPr>
          <w:sz w:val="26"/>
        </w:rPr>
        <w:t>At the hearing, the Borough, Prosecutory Staff and the Railroad agreed that the retaining wall was the sole issue which needed to be addressed.  The Borough and Prosecutory Staff agreed that the recommendations contained in the Benner Report had not been implemented and that the Railroad should immediately undertake to do the recommended work.  The Railroad took the position that the retaining wall is sufficient as it stands and that continued monitoring is all that is necessary.</w:t>
      </w:r>
    </w:p>
    <w:p w:rsidR="009B0010" w:rsidRDefault="009B0010" w:rsidP="009B0010">
      <w:pPr>
        <w:spacing w:line="360" w:lineRule="auto"/>
        <w:rPr>
          <w:sz w:val="26"/>
        </w:rPr>
      </w:pPr>
    </w:p>
    <w:p w:rsidR="009B0010" w:rsidRDefault="009B0010" w:rsidP="009B0010">
      <w:pPr>
        <w:spacing w:line="360" w:lineRule="auto"/>
        <w:ind w:firstLine="1440"/>
        <w:rPr>
          <w:sz w:val="26"/>
        </w:rPr>
      </w:pPr>
      <w:r>
        <w:rPr>
          <w:sz w:val="26"/>
        </w:rPr>
        <w:t xml:space="preserve">In her Recommended Decision, issued on November 8, 2007, the ALJ concluded, </w:t>
      </w:r>
      <w:r w:rsidRPr="00CB5B4D">
        <w:rPr>
          <w:i/>
          <w:sz w:val="26"/>
        </w:rPr>
        <w:t>inter alia</w:t>
      </w:r>
      <w:r>
        <w:rPr>
          <w:sz w:val="26"/>
        </w:rPr>
        <w:t xml:space="preserve">, </w:t>
      </w:r>
      <w:r w:rsidR="008B2415">
        <w:rPr>
          <w:sz w:val="26"/>
        </w:rPr>
        <w:t>that</w:t>
      </w:r>
      <w:r>
        <w:rPr>
          <w:sz w:val="26"/>
        </w:rPr>
        <w:t xml:space="preserve"> the Railroad should prepare complete and detailed construction plans for the replacement of the retaining wall and that the Railroad should, thereafter, be directed to do the necessary work at its sole cost and expense.  R.D. at 19.  Prosecutory Staff and the Railroad filed Exceptions to the Recommended Decision, and the Borough filed Reply Exceptions to the Exceptions of the other Parties.</w:t>
      </w:r>
    </w:p>
    <w:p w:rsidR="009B0010" w:rsidRDefault="009B0010" w:rsidP="009B0010">
      <w:pPr>
        <w:spacing w:line="360" w:lineRule="auto"/>
        <w:ind w:firstLine="1440"/>
        <w:rPr>
          <w:sz w:val="26"/>
        </w:rPr>
      </w:pPr>
    </w:p>
    <w:p w:rsidR="00141316" w:rsidRDefault="009B0010" w:rsidP="009B0010">
      <w:pPr>
        <w:spacing w:line="360" w:lineRule="auto"/>
        <w:ind w:firstLine="1440"/>
        <w:rPr>
          <w:sz w:val="26"/>
        </w:rPr>
      </w:pPr>
      <w:r>
        <w:rPr>
          <w:sz w:val="26"/>
        </w:rPr>
        <w:t xml:space="preserve">By Order entered herein on February 19, 2008, the Commission, </w:t>
      </w:r>
      <w:r w:rsidRPr="00B103C7">
        <w:rPr>
          <w:i/>
          <w:sz w:val="26"/>
        </w:rPr>
        <w:t>inter alia</w:t>
      </w:r>
      <w:r>
        <w:rPr>
          <w:sz w:val="26"/>
        </w:rPr>
        <w:t xml:space="preserve">, adopted the Recommended Decision of ALJ Jandebeur, as modified, and denied the Railroad’s Exceptions thereto.  </w:t>
      </w:r>
    </w:p>
    <w:p w:rsidR="00141316" w:rsidRDefault="00141316" w:rsidP="009B0010">
      <w:pPr>
        <w:spacing w:line="360" w:lineRule="auto"/>
        <w:ind w:firstLine="1440"/>
        <w:rPr>
          <w:sz w:val="26"/>
        </w:rPr>
      </w:pPr>
    </w:p>
    <w:p w:rsidR="008B2415" w:rsidRDefault="00141316" w:rsidP="008B2415">
      <w:pPr>
        <w:spacing w:line="360" w:lineRule="auto"/>
        <w:ind w:firstLine="1440"/>
        <w:rPr>
          <w:sz w:val="26"/>
        </w:rPr>
      </w:pPr>
      <w:r>
        <w:rPr>
          <w:sz w:val="26"/>
        </w:rPr>
        <w:t>On August 1, 2008, the Railroad filed a</w:t>
      </w:r>
      <w:r w:rsidR="009B0010">
        <w:rPr>
          <w:sz w:val="26"/>
        </w:rPr>
        <w:t xml:space="preserve"> Petition </w:t>
      </w:r>
      <w:r>
        <w:rPr>
          <w:sz w:val="26"/>
        </w:rPr>
        <w:t>for Reconsideration, to which the Borough filed a Reply.  In its Petition for Reconsideration, the Railroad sought relief from the Commission’s February 19, 2008 Order</w:t>
      </w:r>
      <w:r w:rsidR="001C072A">
        <w:rPr>
          <w:sz w:val="26"/>
        </w:rPr>
        <w:t xml:space="preserve"> which, as noted above, directed the Railroad to replace, at its sole cost and expense, the 171-foot retaining wall approaching the Susquehanna Street Bridge in the Borough.  That Order also instructed the Railroad to submit, simultaneously with the construction plans for the replacement project, at its sole cost and expense, to all parties for </w:t>
      </w:r>
      <w:r w:rsidR="008B2415">
        <w:rPr>
          <w:sz w:val="26"/>
        </w:rPr>
        <w:t>examination, and to the Commission for approval, a structural engineer’s evaluation and report of the timber bin wall (TBW Report), as referenced at page five of the Benner Report.  The work on the retaining wall was to be completed within one year of the date of entry of the Order, that is, by February 19, 2009.</w:t>
      </w:r>
    </w:p>
    <w:p w:rsidR="008B2415" w:rsidRDefault="008B2415" w:rsidP="008B2415">
      <w:pPr>
        <w:spacing w:line="360" w:lineRule="auto"/>
        <w:ind w:firstLine="1440"/>
        <w:rPr>
          <w:sz w:val="26"/>
        </w:rPr>
      </w:pPr>
    </w:p>
    <w:p w:rsidR="00CC3625" w:rsidRDefault="008B2415" w:rsidP="008B2415">
      <w:pPr>
        <w:spacing w:line="360" w:lineRule="auto"/>
        <w:ind w:firstLine="1440"/>
        <w:rPr>
          <w:sz w:val="26"/>
        </w:rPr>
      </w:pPr>
      <w:r>
        <w:rPr>
          <w:sz w:val="26"/>
        </w:rPr>
        <w:t xml:space="preserve">By Order entered on April </w:t>
      </w:r>
      <w:r w:rsidR="00B97853">
        <w:rPr>
          <w:sz w:val="26"/>
        </w:rPr>
        <w:t>30, 2009, the Commission denied the Railroad’s Petition for Reconsideration.  However, due to an administrative oversight, the April 30, 2009 Order was not timely served on the parties to this proceeding.  The April 30, 2009 Order directed that the relevant work be completed by August 31, 2009</w:t>
      </w:r>
      <w:r w:rsidR="00CC3625">
        <w:rPr>
          <w:sz w:val="26"/>
        </w:rPr>
        <w:t xml:space="preserve">.  To remedy the oversight, the April 30, 2009 Order was served on the parties </w:t>
      </w:r>
      <w:r w:rsidR="00CC3625" w:rsidRPr="00CC3625">
        <w:rPr>
          <w:i/>
          <w:sz w:val="26"/>
        </w:rPr>
        <w:t>via</w:t>
      </w:r>
      <w:r w:rsidR="00CC3625">
        <w:rPr>
          <w:sz w:val="26"/>
        </w:rPr>
        <w:t xml:space="preserve"> Secretarial Letter dated </w:t>
      </w:r>
      <w:r w:rsidR="00CC3625">
        <w:rPr>
          <w:sz w:val="26"/>
        </w:rPr>
        <w:lastRenderedPageBreak/>
        <w:t>October 21, 2009.  The Secretarial Letter directed that, in view of the lack of timely service of the April 30, 2009 Order, the deadline to complete the relevant work was extended until February 26, 2010.</w:t>
      </w:r>
    </w:p>
    <w:p w:rsidR="00CC3625" w:rsidRDefault="00CC3625" w:rsidP="008B2415">
      <w:pPr>
        <w:spacing w:line="360" w:lineRule="auto"/>
        <w:ind w:firstLine="1440"/>
        <w:rPr>
          <w:sz w:val="26"/>
        </w:rPr>
      </w:pPr>
    </w:p>
    <w:p w:rsidR="00A062E9" w:rsidRDefault="00CC3625" w:rsidP="008B2415">
      <w:pPr>
        <w:spacing w:line="360" w:lineRule="auto"/>
        <w:ind w:firstLine="1440"/>
        <w:rPr>
          <w:sz w:val="26"/>
        </w:rPr>
      </w:pPr>
      <w:r>
        <w:rPr>
          <w:sz w:val="26"/>
        </w:rPr>
        <w:t>The Railroad filed the instant Petition seeking an extension of time as above noted.</w:t>
      </w:r>
      <w:r w:rsidR="001C6142">
        <w:rPr>
          <w:sz w:val="26"/>
        </w:rPr>
        <w:t xml:space="preserve">  Prosecutory Staff and the Borough each filed Answers to the Petition.</w:t>
      </w:r>
      <w:r w:rsidR="000C3DB3">
        <w:rPr>
          <w:sz w:val="26"/>
        </w:rPr>
        <w:t xml:space="preserve">  </w:t>
      </w:r>
    </w:p>
    <w:p w:rsidR="00C3102A" w:rsidRDefault="0014399B" w:rsidP="005D6B2D">
      <w:pPr>
        <w:pStyle w:val="BodyText3"/>
        <w:tabs>
          <w:tab w:val="clear" w:pos="-720"/>
        </w:tabs>
        <w:suppressAutoHyphens w:val="0"/>
        <w:ind w:firstLine="720"/>
      </w:pPr>
      <w:r>
        <w:tab/>
      </w:r>
      <w:r>
        <w:tab/>
      </w:r>
    </w:p>
    <w:p w:rsidR="00C3102A" w:rsidRDefault="00C3102A">
      <w:pPr>
        <w:spacing w:line="360" w:lineRule="auto"/>
        <w:jc w:val="center"/>
        <w:rPr>
          <w:b/>
          <w:sz w:val="26"/>
          <w:u w:val="single"/>
        </w:rPr>
      </w:pPr>
      <w:r>
        <w:rPr>
          <w:b/>
          <w:sz w:val="26"/>
          <w:u w:val="single"/>
        </w:rPr>
        <w:t>Discussion</w:t>
      </w:r>
    </w:p>
    <w:p w:rsidR="00C3102A" w:rsidRDefault="00C3102A">
      <w:pPr>
        <w:spacing w:line="360" w:lineRule="auto"/>
        <w:ind w:firstLine="90"/>
        <w:rPr>
          <w:sz w:val="26"/>
        </w:rPr>
      </w:pPr>
    </w:p>
    <w:p w:rsidR="007A7877" w:rsidRDefault="007A7877" w:rsidP="007A7877">
      <w:pPr>
        <w:tabs>
          <w:tab w:val="left" w:pos="-720"/>
        </w:tabs>
        <w:suppressAutoHyphens/>
        <w:spacing w:line="360" w:lineRule="auto"/>
        <w:rPr>
          <w:sz w:val="26"/>
        </w:rPr>
      </w:pPr>
      <w:r>
        <w:rPr>
          <w:sz w:val="26"/>
        </w:rPr>
        <w:tab/>
      </w:r>
      <w:r>
        <w:rPr>
          <w:sz w:val="26"/>
        </w:rPr>
        <w:tab/>
        <w:t>We note that Section 1.15 of our Regulations, 52 Pa. Code § 1.15, confers upon us the authority and discretion to grant an extension of time.  Section 1.15 provides, in pertinent part, as follows:</w:t>
      </w:r>
    </w:p>
    <w:p w:rsidR="007A7877" w:rsidRDefault="007A7877" w:rsidP="007A7877">
      <w:pPr>
        <w:tabs>
          <w:tab w:val="left" w:pos="-720"/>
          <w:tab w:val="left" w:pos="0"/>
          <w:tab w:val="left" w:pos="720"/>
        </w:tabs>
        <w:suppressAutoHyphens/>
        <w:ind w:left="1440" w:right="1440" w:hanging="1440"/>
        <w:rPr>
          <w:b/>
          <w:sz w:val="26"/>
        </w:rPr>
      </w:pPr>
    </w:p>
    <w:p w:rsidR="007A7877" w:rsidRDefault="007A7877" w:rsidP="00D93C34">
      <w:pPr>
        <w:tabs>
          <w:tab w:val="left" w:pos="-720"/>
          <w:tab w:val="left" w:pos="0"/>
          <w:tab w:val="left" w:pos="720"/>
        </w:tabs>
        <w:suppressAutoHyphens/>
        <w:ind w:left="1440" w:right="1440" w:hanging="1440"/>
        <w:rPr>
          <w:sz w:val="26"/>
        </w:rPr>
      </w:pPr>
      <w:r>
        <w:rPr>
          <w:b/>
          <w:sz w:val="26"/>
        </w:rPr>
        <w:tab/>
      </w:r>
      <w:r>
        <w:rPr>
          <w:b/>
          <w:sz w:val="26"/>
        </w:rPr>
        <w:tab/>
        <w:t>§ 1.15.  Extensions of time and continuances</w:t>
      </w:r>
    </w:p>
    <w:p w:rsidR="007A7877" w:rsidRDefault="007A7877" w:rsidP="00D93C34">
      <w:pPr>
        <w:tabs>
          <w:tab w:val="left" w:pos="-720"/>
        </w:tabs>
        <w:suppressAutoHyphens/>
        <w:ind w:right="1440"/>
        <w:rPr>
          <w:sz w:val="26"/>
        </w:rPr>
      </w:pPr>
    </w:p>
    <w:p w:rsidR="007A7877" w:rsidRDefault="007A7877" w:rsidP="00D93C34">
      <w:pPr>
        <w:tabs>
          <w:tab w:val="left" w:pos="-720"/>
          <w:tab w:val="left" w:pos="0"/>
          <w:tab w:val="left" w:pos="720"/>
          <w:tab w:val="left" w:pos="1440"/>
        </w:tabs>
        <w:suppressAutoHyphens/>
        <w:ind w:left="2160" w:right="1440" w:hanging="2160"/>
        <w:rPr>
          <w:sz w:val="26"/>
        </w:rPr>
      </w:pPr>
      <w:r>
        <w:rPr>
          <w:sz w:val="26"/>
        </w:rPr>
        <w:tab/>
      </w:r>
      <w:r>
        <w:rPr>
          <w:sz w:val="26"/>
        </w:rPr>
        <w:tab/>
        <w:t>(a)</w:t>
      </w:r>
      <w:r>
        <w:rPr>
          <w:sz w:val="26"/>
        </w:rPr>
        <w:tab/>
        <w:t>Extensions of time shall be governed by the following:</w:t>
      </w:r>
    </w:p>
    <w:p w:rsidR="007A7877" w:rsidRDefault="007A7877" w:rsidP="00D93C34">
      <w:pPr>
        <w:tabs>
          <w:tab w:val="left" w:pos="-720"/>
        </w:tabs>
        <w:suppressAutoHyphens/>
        <w:ind w:right="1440"/>
        <w:rPr>
          <w:sz w:val="26"/>
        </w:rPr>
      </w:pPr>
    </w:p>
    <w:p w:rsidR="007A7877" w:rsidRDefault="007A7877" w:rsidP="00D93C34">
      <w:pPr>
        <w:tabs>
          <w:tab w:val="left" w:pos="-720"/>
          <w:tab w:val="left" w:pos="0"/>
          <w:tab w:val="left" w:pos="720"/>
          <w:tab w:val="left" w:pos="1440"/>
        </w:tabs>
        <w:suppressAutoHyphens/>
        <w:ind w:left="2160" w:right="1440" w:hanging="2160"/>
        <w:rPr>
          <w:sz w:val="26"/>
        </w:rPr>
      </w:pPr>
      <w:r>
        <w:rPr>
          <w:sz w:val="26"/>
        </w:rPr>
        <w:tab/>
      </w:r>
      <w:r>
        <w:rPr>
          <w:sz w:val="26"/>
        </w:rPr>
        <w:tab/>
      </w:r>
      <w:r>
        <w:rPr>
          <w:sz w:val="26"/>
        </w:rPr>
        <w:tab/>
        <w:t xml:space="preserve">Except as otherwise provided by statute, whenever under this title or by order of the Commission, . . . an act is required or allowed to be done at or within a specified time, the time fixed or the period of time prescribed may, by the Commission, the presiding officer or other authorized person, for good cause be extended upon motion made before the expiration of the period originally prescribed or as previously extended.  Upon motion made after the expiration of the specified period, the act may be permitted to be done where reasonable grounds are shown for the failure to act. </w:t>
      </w:r>
    </w:p>
    <w:p w:rsidR="007A7877" w:rsidRDefault="007A7877">
      <w:pPr>
        <w:spacing w:line="360" w:lineRule="auto"/>
        <w:ind w:firstLine="90"/>
        <w:rPr>
          <w:sz w:val="26"/>
        </w:rPr>
      </w:pPr>
    </w:p>
    <w:p w:rsidR="008D2FEA" w:rsidRDefault="00863253" w:rsidP="00BD7DAE">
      <w:pPr>
        <w:spacing w:line="360" w:lineRule="auto"/>
        <w:ind w:firstLine="1440"/>
        <w:rPr>
          <w:sz w:val="26"/>
        </w:rPr>
      </w:pPr>
      <w:r>
        <w:rPr>
          <w:sz w:val="26"/>
        </w:rPr>
        <w:t xml:space="preserve">As noted above, </w:t>
      </w:r>
      <w:r w:rsidR="00BD7DAE">
        <w:rPr>
          <w:sz w:val="26"/>
        </w:rPr>
        <w:t xml:space="preserve">our Secretarial Letter of October 21, 2009, extended the deadline to complete the relevant work herein until February 26, 2010.  In its Petition, the Railroad avers that </w:t>
      </w:r>
      <w:r w:rsidR="000223E7">
        <w:rPr>
          <w:sz w:val="26"/>
        </w:rPr>
        <w:t xml:space="preserve">the </w:t>
      </w:r>
      <w:r w:rsidR="00BD7DAE">
        <w:rPr>
          <w:sz w:val="26"/>
        </w:rPr>
        <w:t xml:space="preserve">inclement weather </w:t>
      </w:r>
      <w:r w:rsidR="000223E7">
        <w:rPr>
          <w:sz w:val="26"/>
        </w:rPr>
        <w:t xml:space="preserve">of winter </w:t>
      </w:r>
      <w:r w:rsidR="00BD7DAE">
        <w:rPr>
          <w:sz w:val="26"/>
        </w:rPr>
        <w:t>will not permit the work to be completed</w:t>
      </w:r>
      <w:r w:rsidR="000223E7">
        <w:rPr>
          <w:sz w:val="26"/>
        </w:rPr>
        <w:t xml:space="preserve"> by the deadline date.  Further, the Railroad offered an engineer’s opinion that </w:t>
      </w:r>
      <w:r w:rsidR="000223E7">
        <w:rPr>
          <w:sz w:val="26"/>
        </w:rPr>
        <w:lastRenderedPageBreak/>
        <w:t>“undertaking this project in the dead of winter would expose the construction crew to unne</w:t>
      </w:r>
      <w:r w:rsidR="004C2EDB">
        <w:rPr>
          <w:sz w:val="26"/>
        </w:rPr>
        <w:t>cessary danger</w:t>
      </w:r>
      <w:r w:rsidR="00D042D3">
        <w:rPr>
          <w:sz w:val="26"/>
        </w:rPr>
        <w:t xml:space="preserve">, making the undertaking far more expensive than would be the case if construction proceeded in the late spring.”  Petition at </w:t>
      </w:r>
      <w:r w:rsidR="008D2FEA">
        <w:rPr>
          <w:sz w:val="26"/>
        </w:rPr>
        <w:t xml:space="preserve">2; Railroad Exh. “A.”  </w:t>
      </w:r>
    </w:p>
    <w:p w:rsidR="008D2FEA" w:rsidRDefault="008D2FEA" w:rsidP="00BD7DAE">
      <w:pPr>
        <w:spacing w:line="360" w:lineRule="auto"/>
        <w:ind w:firstLine="1440"/>
        <w:rPr>
          <w:sz w:val="26"/>
        </w:rPr>
      </w:pPr>
    </w:p>
    <w:p w:rsidR="006D7B0A" w:rsidRDefault="008D2FEA" w:rsidP="00BD7DAE">
      <w:pPr>
        <w:spacing w:line="360" w:lineRule="auto"/>
        <w:ind w:firstLine="1440"/>
        <w:rPr>
          <w:sz w:val="26"/>
        </w:rPr>
      </w:pPr>
      <w:r>
        <w:rPr>
          <w:sz w:val="26"/>
        </w:rPr>
        <w:t>T</w:t>
      </w:r>
      <w:r w:rsidR="00863253">
        <w:rPr>
          <w:sz w:val="26"/>
        </w:rPr>
        <w:t xml:space="preserve">he </w:t>
      </w:r>
      <w:r>
        <w:rPr>
          <w:sz w:val="26"/>
        </w:rPr>
        <w:t>engineer’s opinion emphasized that a winter project would greatly increase the probability of construction failure because of the impact</w:t>
      </w:r>
      <w:r w:rsidR="002950FE">
        <w:rPr>
          <w:sz w:val="26"/>
        </w:rPr>
        <w:t xml:space="preserve"> of low temperatures upon the curing action of the very large quantity of concrete which this project will require.  The engineer concluded that </w:t>
      </w:r>
      <w:r w:rsidR="00D9475D">
        <w:rPr>
          <w:sz w:val="26"/>
        </w:rPr>
        <w:t>construction could take place in March through April.  Railroad Exh. “A.”  The Railroad opines that the relevant work could commence on or about April 15, 2010, and that it could be completed no later than October 15, 2010.  Petition at 2.  Accordingly, the Railroad requests that the deadline for the instant project be extended until October 15, 2010.</w:t>
      </w:r>
    </w:p>
    <w:p w:rsidR="00A25D55" w:rsidRDefault="00A25D55" w:rsidP="00673354">
      <w:pPr>
        <w:spacing w:line="360" w:lineRule="auto"/>
        <w:rPr>
          <w:sz w:val="26"/>
        </w:rPr>
      </w:pPr>
    </w:p>
    <w:p w:rsidR="004A3BCC" w:rsidRDefault="00A25D55" w:rsidP="00673354">
      <w:pPr>
        <w:spacing w:line="360" w:lineRule="auto"/>
        <w:rPr>
          <w:sz w:val="26"/>
        </w:rPr>
      </w:pPr>
      <w:r>
        <w:rPr>
          <w:sz w:val="26"/>
        </w:rPr>
        <w:tab/>
      </w:r>
      <w:r>
        <w:rPr>
          <w:sz w:val="26"/>
        </w:rPr>
        <w:tab/>
      </w:r>
      <w:r w:rsidR="00E540CE">
        <w:rPr>
          <w:sz w:val="26"/>
        </w:rPr>
        <w:t>In its Answer, Prosecutory Staff submits that an extension until October 15, 2010, would create an unnecessary delay in the completion of the project.  Pro</w:t>
      </w:r>
      <w:r w:rsidR="000A78CA">
        <w:rPr>
          <w:sz w:val="26"/>
        </w:rPr>
        <w:t>secutory Staff avers that it would instead agree to an extension until May 1, 2010.</w:t>
      </w:r>
      <w:r w:rsidR="00EB039F">
        <w:rPr>
          <w:sz w:val="26"/>
        </w:rPr>
        <w:t xml:space="preserve">  Answer at ¶ 4.  Prosecutory Staff also points out that the Railroad’s request for an extension of time to complete construction due to inclement weather should have no impact on its obligation to submit to all parties for examination, and to the Commission for approval,</w:t>
      </w:r>
      <w:r w:rsidR="00464D83">
        <w:rPr>
          <w:sz w:val="26"/>
        </w:rPr>
        <w:t xml:space="preserve"> the TBW Report, as referenced at page five of the Benner Report.  The deadline for that Report </w:t>
      </w:r>
      <w:r w:rsidR="004A3BCC">
        <w:rPr>
          <w:sz w:val="26"/>
        </w:rPr>
        <w:t xml:space="preserve">should remain February 26, 2010.  </w:t>
      </w:r>
      <w:r w:rsidR="000B01CE">
        <w:rPr>
          <w:sz w:val="26"/>
        </w:rPr>
        <w:t xml:space="preserve">Prosecutory Staff </w:t>
      </w:r>
      <w:r w:rsidR="004A3BCC">
        <w:rPr>
          <w:sz w:val="26"/>
        </w:rPr>
        <w:t>Answer at ¶ 5.</w:t>
      </w:r>
    </w:p>
    <w:p w:rsidR="004A3BCC" w:rsidRDefault="004A3BCC" w:rsidP="00673354">
      <w:pPr>
        <w:spacing w:line="360" w:lineRule="auto"/>
        <w:rPr>
          <w:sz w:val="26"/>
        </w:rPr>
      </w:pPr>
    </w:p>
    <w:p w:rsidR="00A90A32" w:rsidRDefault="004A3BCC" w:rsidP="00673354">
      <w:pPr>
        <w:spacing w:line="360" w:lineRule="auto"/>
        <w:rPr>
          <w:sz w:val="26"/>
        </w:rPr>
      </w:pPr>
      <w:r>
        <w:rPr>
          <w:sz w:val="26"/>
        </w:rPr>
        <w:tab/>
      </w:r>
      <w:r>
        <w:rPr>
          <w:sz w:val="26"/>
        </w:rPr>
        <w:tab/>
        <w:t xml:space="preserve">In its Answer, the Borough </w:t>
      </w:r>
      <w:r w:rsidR="000B01CE">
        <w:rPr>
          <w:sz w:val="26"/>
        </w:rPr>
        <w:t>agrees with Prosecutory Staff’s position that extending the deadline to complete the work until October 15, 2010, would create an unnecessary delay in the completion of construction.  The Borough also agrees with Prosecutory Staff that an extension until May 1, 2010, would be reasonable.  Borough Answer at ¶ 4.</w:t>
      </w:r>
    </w:p>
    <w:p w:rsidR="00A90A32" w:rsidRDefault="00A90A32" w:rsidP="00673354">
      <w:pPr>
        <w:spacing w:line="360" w:lineRule="auto"/>
        <w:rPr>
          <w:sz w:val="26"/>
        </w:rPr>
      </w:pPr>
    </w:p>
    <w:p w:rsidR="004401BE" w:rsidRDefault="00A90A32" w:rsidP="00673354">
      <w:pPr>
        <w:spacing w:line="360" w:lineRule="auto"/>
        <w:rPr>
          <w:sz w:val="26"/>
        </w:rPr>
      </w:pPr>
      <w:r>
        <w:rPr>
          <w:sz w:val="26"/>
        </w:rPr>
        <w:lastRenderedPageBreak/>
        <w:tab/>
      </w:r>
      <w:r>
        <w:rPr>
          <w:sz w:val="26"/>
        </w:rPr>
        <w:tab/>
        <w:t>On review, we conclude that Prosecutory Staff’s proposed deadlines for this project are reasonable, and they will be adopted.  We note that this project commenced in 2000, and should be completed as soon as practicable.  Preparation work can be undertaken in the winter.  Giving due respect to the concerns expressed in the engineer’s report (Railroad’s Exhibit “A”</w:t>
      </w:r>
      <w:r w:rsidR="004401BE">
        <w:rPr>
          <w:sz w:val="26"/>
        </w:rPr>
        <w:t>), we note that an extension until May 1, 2010, would allow for the construction crew not to have to pour concrete in the winter.</w:t>
      </w:r>
    </w:p>
    <w:p w:rsidR="004401BE" w:rsidRDefault="004401BE" w:rsidP="00673354">
      <w:pPr>
        <w:spacing w:line="360" w:lineRule="auto"/>
        <w:rPr>
          <w:sz w:val="26"/>
        </w:rPr>
      </w:pPr>
    </w:p>
    <w:p w:rsidR="00FE28BE" w:rsidRDefault="004401BE" w:rsidP="00FE28BE">
      <w:pPr>
        <w:spacing w:line="360" w:lineRule="auto"/>
        <w:rPr>
          <w:b/>
          <w:snapToGrid w:val="0"/>
          <w:sz w:val="26"/>
          <w:szCs w:val="26"/>
        </w:rPr>
      </w:pPr>
      <w:r>
        <w:rPr>
          <w:sz w:val="26"/>
        </w:rPr>
        <w:tab/>
      </w:r>
      <w:r>
        <w:rPr>
          <w:sz w:val="26"/>
        </w:rPr>
        <w:tab/>
        <w:t xml:space="preserve">Inclement weather, however, is not a concern relative to the deadline for the submission of the TBW Report.  Accordingly, there is no reason for the deadline </w:t>
      </w:r>
      <w:r w:rsidR="009F24B9">
        <w:rPr>
          <w:sz w:val="26"/>
        </w:rPr>
        <w:t xml:space="preserve">for that Report not to remain February 26, 2010.  The </w:t>
      </w:r>
      <w:r w:rsidR="006523B2">
        <w:rPr>
          <w:sz w:val="26"/>
        </w:rPr>
        <w:t xml:space="preserve">instant Petition, </w:t>
      </w:r>
      <w:r w:rsidR="009F24B9">
        <w:rPr>
          <w:sz w:val="26"/>
        </w:rPr>
        <w:t>therefore, will be granted, in part, and denied, in part</w:t>
      </w:r>
      <w:r w:rsidR="006C17ED" w:rsidRPr="00FE28BE">
        <w:rPr>
          <w:sz w:val="26"/>
          <w:szCs w:val="26"/>
        </w:rPr>
        <w:t xml:space="preserve">; </w:t>
      </w:r>
      <w:r w:rsidR="006C17ED" w:rsidRPr="00FE28BE">
        <w:rPr>
          <w:b/>
          <w:snapToGrid w:val="0"/>
          <w:sz w:val="26"/>
          <w:szCs w:val="26"/>
        </w:rPr>
        <w:t>THEREFORE,</w:t>
      </w:r>
    </w:p>
    <w:p w:rsidR="00FE28BE" w:rsidRDefault="00FE28BE" w:rsidP="00FE28BE">
      <w:pPr>
        <w:spacing w:line="360" w:lineRule="auto"/>
        <w:rPr>
          <w:b/>
          <w:snapToGrid w:val="0"/>
          <w:sz w:val="26"/>
          <w:szCs w:val="26"/>
        </w:rPr>
      </w:pPr>
    </w:p>
    <w:p w:rsidR="00767D05" w:rsidRPr="00FE28BE" w:rsidRDefault="00C3102A" w:rsidP="00F56C47">
      <w:pPr>
        <w:spacing w:line="360" w:lineRule="auto"/>
        <w:ind w:left="720" w:firstLine="720"/>
        <w:rPr>
          <w:b/>
          <w:sz w:val="26"/>
          <w:szCs w:val="26"/>
        </w:rPr>
      </w:pPr>
      <w:r w:rsidRPr="00FE28BE">
        <w:rPr>
          <w:b/>
          <w:sz w:val="26"/>
          <w:szCs w:val="26"/>
        </w:rPr>
        <w:t>IT IS ORDERED:</w:t>
      </w:r>
    </w:p>
    <w:p w:rsidR="00F062F1" w:rsidRDefault="00F062F1" w:rsidP="00767D05">
      <w:pPr>
        <w:pStyle w:val="BodyTextIndent2"/>
        <w:rPr>
          <w:b/>
        </w:rPr>
      </w:pPr>
    </w:p>
    <w:p w:rsidR="004513FA" w:rsidRPr="00767D05" w:rsidRDefault="00767D05" w:rsidP="00C1508C">
      <w:pPr>
        <w:pStyle w:val="BodyTextIndent2"/>
        <w:rPr>
          <w:b/>
        </w:rPr>
      </w:pPr>
      <w:r w:rsidRPr="00767D05">
        <w:t>1.</w:t>
      </w:r>
      <w:r>
        <w:rPr>
          <w:b/>
        </w:rPr>
        <w:tab/>
      </w:r>
      <w:r w:rsidR="00B92DDE" w:rsidRPr="00B92DDE">
        <w:t>That</w:t>
      </w:r>
      <w:r w:rsidR="003C7AA3">
        <w:t xml:space="preserve"> the Petition for </w:t>
      </w:r>
      <w:r w:rsidR="00D210BC">
        <w:t>Extension of Time</w:t>
      </w:r>
      <w:r w:rsidR="00DF2A66">
        <w:t xml:space="preserve"> </w:t>
      </w:r>
      <w:r w:rsidR="000900E3">
        <w:t>file</w:t>
      </w:r>
      <w:r w:rsidR="009F24B9">
        <w:t>d by Reading, Blue Mountain &amp; Northern Railroad Company</w:t>
      </w:r>
      <w:r w:rsidR="00F062F1">
        <w:t xml:space="preserve"> on </w:t>
      </w:r>
      <w:r w:rsidR="003C70D3">
        <w:t>November 12</w:t>
      </w:r>
      <w:r w:rsidR="00314505">
        <w:t>, 200</w:t>
      </w:r>
      <w:r w:rsidR="000900E3">
        <w:t>9</w:t>
      </w:r>
      <w:r w:rsidR="00DF2A66">
        <w:t xml:space="preserve">, is </w:t>
      </w:r>
      <w:r w:rsidR="00F062F1">
        <w:t>granted</w:t>
      </w:r>
      <w:r w:rsidR="003C70D3">
        <w:t>, in part, and denied, in part, as outlined in this Opinion and Order</w:t>
      </w:r>
      <w:r w:rsidR="00E03AC5">
        <w:t>.</w:t>
      </w:r>
      <w:r w:rsidR="00EF601B">
        <w:t xml:space="preserve"> </w:t>
      </w:r>
      <w:r w:rsidR="00B92DDE" w:rsidRPr="00B92DDE">
        <w:t xml:space="preserve"> </w:t>
      </w:r>
    </w:p>
    <w:p w:rsidR="00C3102A" w:rsidRDefault="00C3102A" w:rsidP="00C1508C">
      <w:pPr>
        <w:pStyle w:val="Heading2"/>
        <w:keepNext w:val="0"/>
        <w:spacing w:line="360" w:lineRule="auto"/>
        <w:ind w:firstLine="0"/>
      </w:pPr>
      <w:r>
        <w:tab/>
      </w:r>
    </w:p>
    <w:p w:rsidR="00AC4D6A" w:rsidRDefault="00B34C3F" w:rsidP="00B34C3F">
      <w:pPr>
        <w:spacing w:line="360" w:lineRule="auto"/>
        <w:rPr>
          <w:sz w:val="26"/>
        </w:rPr>
      </w:pPr>
      <w:r>
        <w:tab/>
      </w:r>
      <w:r>
        <w:tab/>
      </w:r>
      <w:r w:rsidR="000C1FB5">
        <w:rPr>
          <w:sz w:val="26"/>
        </w:rPr>
        <w:t>2.</w:t>
      </w:r>
      <w:r w:rsidR="000C1FB5">
        <w:rPr>
          <w:sz w:val="26"/>
        </w:rPr>
        <w:tab/>
      </w:r>
      <w:r w:rsidR="009868B8">
        <w:rPr>
          <w:sz w:val="26"/>
        </w:rPr>
        <w:t xml:space="preserve">That Reading, Blue Mountain &amp; Northern Railroad Company </w:t>
      </w:r>
      <w:r w:rsidR="00E701DA">
        <w:rPr>
          <w:sz w:val="26"/>
        </w:rPr>
        <w:t xml:space="preserve">shall </w:t>
      </w:r>
      <w:r w:rsidR="009868B8">
        <w:rPr>
          <w:sz w:val="26"/>
        </w:rPr>
        <w:t>submit</w:t>
      </w:r>
      <w:r w:rsidR="00E701DA">
        <w:rPr>
          <w:sz w:val="26"/>
        </w:rPr>
        <w:t>,</w:t>
      </w:r>
      <w:r w:rsidR="009868B8">
        <w:rPr>
          <w:sz w:val="26"/>
        </w:rPr>
        <w:t xml:space="preserve"> at its sole cost and expense, to all parties for review, and to the Commission for approval, a structural engineer’s evaluation and report of the timber bin wall, as referenced at page 5 of the Benner Report</w:t>
      </w:r>
      <w:r w:rsidR="00C9556C">
        <w:rPr>
          <w:sz w:val="26"/>
        </w:rPr>
        <w:t>, by February 26, 2010.</w:t>
      </w:r>
    </w:p>
    <w:p w:rsidR="00D93C34" w:rsidRDefault="00D93C34" w:rsidP="00B34C3F">
      <w:pPr>
        <w:spacing w:line="360" w:lineRule="auto"/>
        <w:rPr>
          <w:sz w:val="26"/>
        </w:rPr>
      </w:pPr>
    </w:p>
    <w:p w:rsidR="001B298E" w:rsidRPr="00E0326B" w:rsidRDefault="00AC4D6A" w:rsidP="00D93C34">
      <w:pPr>
        <w:keepNext/>
        <w:spacing w:line="360" w:lineRule="auto"/>
        <w:ind w:firstLine="1440"/>
        <w:rPr>
          <w:sz w:val="26"/>
        </w:rPr>
      </w:pPr>
      <w:r>
        <w:rPr>
          <w:sz w:val="26"/>
        </w:rPr>
        <w:lastRenderedPageBreak/>
        <w:t>3.</w:t>
      </w:r>
      <w:r>
        <w:rPr>
          <w:sz w:val="26"/>
        </w:rPr>
        <w:tab/>
      </w:r>
      <w:r w:rsidR="000C1FB5">
        <w:rPr>
          <w:sz w:val="26"/>
        </w:rPr>
        <w:t xml:space="preserve">That </w:t>
      </w:r>
      <w:r w:rsidR="006D4F3C">
        <w:rPr>
          <w:sz w:val="26"/>
        </w:rPr>
        <w:t>Reading, Blue Mountain &amp; Northern Railroad Company</w:t>
      </w:r>
      <w:r w:rsidR="00E701DA">
        <w:rPr>
          <w:sz w:val="26"/>
        </w:rPr>
        <w:t xml:space="preserve"> shall</w:t>
      </w:r>
      <w:r w:rsidR="006D4F3C">
        <w:rPr>
          <w:sz w:val="26"/>
        </w:rPr>
        <w:t>, at its sole cost and expense, complete work on the replacement of the 171 foot retaining wall approaching the Susquehanna Street Bridge, i</w:t>
      </w:r>
      <w:r w:rsidR="002B2280">
        <w:rPr>
          <w:sz w:val="26"/>
        </w:rPr>
        <w:t>n White Haven Borough, by May 1, 2010.</w:t>
      </w:r>
    </w:p>
    <w:p w:rsidR="00E0326B" w:rsidRPr="002E016D" w:rsidRDefault="00673730" w:rsidP="00D93C34">
      <w:pPr>
        <w:keepNext/>
        <w:rPr>
          <w:sz w:val="26"/>
        </w:rPr>
      </w:pPr>
      <w:r>
        <w:rPr>
          <w:noProof/>
          <w:sz w:val="26"/>
        </w:rPr>
        <w:drawing>
          <wp:anchor distT="0" distB="0" distL="114300" distR="114300" simplePos="0" relativeHeight="251658240" behindDoc="1" locked="0" layoutInCell="1" allowOverlap="1">
            <wp:simplePos x="0" y="0"/>
            <wp:positionH relativeFrom="column">
              <wp:posOffset>2486025</wp:posOffset>
            </wp:positionH>
            <wp:positionV relativeFrom="paragraph">
              <wp:posOffset>3810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p>
    <w:p w:rsidR="00C3102A" w:rsidRPr="002E016D" w:rsidRDefault="00C3102A" w:rsidP="00D93C34">
      <w:pPr>
        <w:keepNext/>
        <w:ind w:left="4320" w:firstLine="720"/>
        <w:rPr>
          <w:sz w:val="26"/>
        </w:rPr>
      </w:pPr>
      <w:r w:rsidRPr="002E016D">
        <w:rPr>
          <w:b/>
          <w:sz w:val="26"/>
        </w:rPr>
        <w:t>BY THE COMMISSION,</w:t>
      </w:r>
    </w:p>
    <w:p w:rsidR="00C3102A" w:rsidRPr="002E016D" w:rsidRDefault="00C3102A" w:rsidP="00D93C34">
      <w:pPr>
        <w:rPr>
          <w:sz w:val="26"/>
        </w:rPr>
      </w:pPr>
    </w:p>
    <w:p w:rsidR="00C3102A" w:rsidRDefault="00C3102A" w:rsidP="00D93C34">
      <w:pPr>
        <w:rPr>
          <w:sz w:val="26"/>
        </w:rPr>
      </w:pPr>
    </w:p>
    <w:p w:rsidR="00C3102A" w:rsidRDefault="00C3102A" w:rsidP="00D93C34">
      <w:pPr>
        <w:rPr>
          <w:sz w:val="26"/>
        </w:rPr>
      </w:pPr>
    </w:p>
    <w:p w:rsidR="00C3102A" w:rsidRDefault="00C3102A" w:rsidP="00D93C34">
      <w:pPr>
        <w:rPr>
          <w:sz w:val="26"/>
        </w:rPr>
      </w:pPr>
      <w:r>
        <w:rPr>
          <w:sz w:val="26"/>
        </w:rPr>
        <w:tab/>
      </w:r>
      <w:r>
        <w:rPr>
          <w:sz w:val="26"/>
        </w:rPr>
        <w:tab/>
      </w:r>
      <w:r>
        <w:rPr>
          <w:sz w:val="26"/>
        </w:rPr>
        <w:tab/>
      </w:r>
      <w:r>
        <w:rPr>
          <w:sz w:val="26"/>
        </w:rPr>
        <w:tab/>
      </w:r>
      <w:r>
        <w:rPr>
          <w:sz w:val="26"/>
        </w:rPr>
        <w:tab/>
      </w:r>
      <w:r>
        <w:rPr>
          <w:sz w:val="26"/>
        </w:rPr>
        <w:tab/>
      </w:r>
      <w:r>
        <w:rPr>
          <w:sz w:val="26"/>
        </w:rPr>
        <w:tab/>
        <w:t>James J. McNulty</w:t>
      </w:r>
    </w:p>
    <w:p w:rsidR="00C3102A" w:rsidRDefault="00C3102A" w:rsidP="00D93C34">
      <w:pPr>
        <w:rPr>
          <w:sz w:val="26"/>
        </w:rPr>
      </w:pPr>
      <w:r>
        <w:rPr>
          <w:sz w:val="26"/>
        </w:rPr>
        <w:tab/>
      </w:r>
      <w:r>
        <w:rPr>
          <w:sz w:val="26"/>
        </w:rPr>
        <w:tab/>
      </w:r>
      <w:r>
        <w:rPr>
          <w:sz w:val="26"/>
        </w:rPr>
        <w:tab/>
      </w:r>
      <w:r>
        <w:rPr>
          <w:sz w:val="26"/>
        </w:rPr>
        <w:tab/>
      </w:r>
      <w:r>
        <w:rPr>
          <w:sz w:val="26"/>
        </w:rPr>
        <w:tab/>
      </w:r>
      <w:r>
        <w:rPr>
          <w:sz w:val="26"/>
        </w:rPr>
        <w:tab/>
      </w:r>
      <w:r>
        <w:rPr>
          <w:sz w:val="26"/>
        </w:rPr>
        <w:tab/>
        <w:t>Secretary</w:t>
      </w:r>
    </w:p>
    <w:p w:rsidR="00C3102A" w:rsidRDefault="00C3102A" w:rsidP="00D93C34">
      <w:pPr>
        <w:rPr>
          <w:sz w:val="26"/>
        </w:rPr>
      </w:pPr>
    </w:p>
    <w:p w:rsidR="00C3102A" w:rsidRDefault="00C3102A" w:rsidP="00D93C34">
      <w:pPr>
        <w:rPr>
          <w:sz w:val="26"/>
        </w:rPr>
      </w:pPr>
      <w:r>
        <w:rPr>
          <w:sz w:val="26"/>
        </w:rPr>
        <w:t>(SEAL)</w:t>
      </w:r>
    </w:p>
    <w:p w:rsidR="00C3102A" w:rsidRDefault="00C3102A" w:rsidP="00D93C34">
      <w:pPr>
        <w:rPr>
          <w:sz w:val="26"/>
        </w:rPr>
      </w:pPr>
    </w:p>
    <w:p w:rsidR="00C3102A" w:rsidRDefault="00C3102A" w:rsidP="00D93C34">
      <w:pPr>
        <w:pStyle w:val="Heading1"/>
        <w:keepNext w:val="0"/>
      </w:pPr>
      <w:r>
        <w:t xml:space="preserve">ORDER ADOPTED: </w:t>
      </w:r>
      <w:r w:rsidR="00E779E4">
        <w:t>January 14</w:t>
      </w:r>
      <w:r>
        <w:t>,</w:t>
      </w:r>
      <w:r w:rsidR="006C4E21">
        <w:t xml:space="preserve"> 2010</w:t>
      </w:r>
    </w:p>
    <w:p w:rsidR="00C3102A" w:rsidRDefault="00C3102A" w:rsidP="00D93C34">
      <w:pPr>
        <w:rPr>
          <w:sz w:val="26"/>
        </w:rPr>
      </w:pPr>
    </w:p>
    <w:p w:rsidR="00C3102A" w:rsidRPr="00673730" w:rsidRDefault="00C3102A" w:rsidP="00D93C34">
      <w:pPr>
        <w:rPr>
          <w:b/>
          <w:sz w:val="26"/>
        </w:rPr>
      </w:pPr>
      <w:r>
        <w:rPr>
          <w:sz w:val="26"/>
        </w:rPr>
        <w:t xml:space="preserve">ORDER ENTERED:  </w:t>
      </w:r>
      <w:r w:rsidR="00673730">
        <w:rPr>
          <w:b/>
          <w:sz w:val="26"/>
        </w:rPr>
        <w:t>January 14, 2010</w:t>
      </w:r>
    </w:p>
    <w:p w:rsidR="00C3102A" w:rsidRDefault="00C3102A" w:rsidP="00D93C34">
      <w:pPr>
        <w:pStyle w:val="FootnoteText"/>
        <w:rPr>
          <w:sz w:val="26"/>
        </w:rPr>
      </w:pPr>
    </w:p>
    <w:sectPr w:rsidR="00C3102A" w:rsidSect="00D36EE1">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436" w:rsidRDefault="00570436">
      <w:r>
        <w:separator/>
      </w:r>
    </w:p>
  </w:endnote>
  <w:endnote w:type="continuationSeparator" w:id="0">
    <w:p w:rsidR="00570436" w:rsidRDefault="005704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38" w:rsidRDefault="00411A44">
    <w:pPr>
      <w:pStyle w:val="Footer"/>
      <w:framePr w:wrap="around" w:vAnchor="text" w:hAnchor="margin" w:xAlign="center" w:y="1"/>
      <w:rPr>
        <w:rStyle w:val="PageNumber"/>
      </w:rPr>
    </w:pPr>
    <w:r>
      <w:rPr>
        <w:rStyle w:val="PageNumber"/>
      </w:rPr>
      <w:fldChar w:fldCharType="begin"/>
    </w:r>
    <w:r w:rsidR="00B13838">
      <w:rPr>
        <w:rStyle w:val="PageNumber"/>
      </w:rPr>
      <w:instrText xml:space="preserve">PAGE  </w:instrText>
    </w:r>
    <w:r>
      <w:rPr>
        <w:rStyle w:val="PageNumber"/>
      </w:rPr>
      <w:fldChar w:fldCharType="separate"/>
    </w:r>
    <w:r w:rsidR="00B13838">
      <w:rPr>
        <w:rStyle w:val="PageNumber"/>
        <w:noProof/>
      </w:rPr>
      <w:t>4</w:t>
    </w:r>
    <w:r>
      <w:rPr>
        <w:rStyle w:val="PageNumber"/>
      </w:rPr>
      <w:fldChar w:fldCharType="end"/>
    </w:r>
  </w:p>
  <w:p w:rsidR="00B13838" w:rsidRDefault="00B138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38" w:rsidRPr="00FF627D" w:rsidRDefault="00411A44" w:rsidP="00FF627D">
    <w:pPr>
      <w:pStyle w:val="Footer"/>
      <w:framePr w:wrap="around" w:vAnchor="text" w:hAnchor="page" w:x="6202" w:y="11"/>
      <w:rPr>
        <w:rStyle w:val="PageNumber"/>
        <w:sz w:val="26"/>
        <w:szCs w:val="16"/>
      </w:rPr>
    </w:pPr>
    <w:r w:rsidRPr="00FF627D">
      <w:rPr>
        <w:rStyle w:val="PageNumber"/>
        <w:sz w:val="26"/>
        <w:szCs w:val="16"/>
      </w:rPr>
      <w:fldChar w:fldCharType="begin"/>
    </w:r>
    <w:r w:rsidR="00B13838" w:rsidRPr="00FF627D">
      <w:rPr>
        <w:rStyle w:val="PageNumber"/>
        <w:sz w:val="26"/>
        <w:szCs w:val="16"/>
      </w:rPr>
      <w:instrText xml:space="preserve">PAGE  </w:instrText>
    </w:r>
    <w:r w:rsidRPr="00FF627D">
      <w:rPr>
        <w:rStyle w:val="PageNumber"/>
        <w:sz w:val="26"/>
        <w:szCs w:val="16"/>
      </w:rPr>
      <w:fldChar w:fldCharType="separate"/>
    </w:r>
    <w:r w:rsidR="00673730">
      <w:rPr>
        <w:rStyle w:val="PageNumber"/>
        <w:noProof/>
        <w:sz w:val="26"/>
        <w:szCs w:val="16"/>
      </w:rPr>
      <w:t>8</w:t>
    </w:r>
    <w:r w:rsidRPr="00FF627D">
      <w:rPr>
        <w:rStyle w:val="PageNumber"/>
        <w:sz w:val="26"/>
        <w:szCs w:val="16"/>
      </w:rPr>
      <w:fldChar w:fldCharType="end"/>
    </w:r>
  </w:p>
  <w:p w:rsidR="00B13838" w:rsidRDefault="00B13838">
    <w:pPr>
      <w:pStyle w:val="Foo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436" w:rsidRDefault="00570436">
      <w:pPr>
        <w:pStyle w:val="Title"/>
        <w:jc w:val="left"/>
        <w:rPr>
          <w:b w:val="0"/>
          <w:sz w:val="20"/>
        </w:rPr>
      </w:pPr>
      <w:r>
        <w:separator/>
      </w:r>
    </w:p>
  </w:footnote>
  <w:footnote w:type="continuationSeparator" w:id="0">
    <w:p w:rsidR="00570436" w:rsidRDefault="00570436">
      <w:r>
        <w:continuationSeparator/>
      </w:r>
    </w:p>
  </w:footnote>
  <w:footnote w:id="1">
    <w:p w:rsidR="00B14F55" w:rsidRPr="00B14F55" w:rsidRDefault="00B14F55" w:rsidP="00B14F55">
      <w:pPr>
        <w:pStyle w:val="FootnoteText"/>
        <w:ind w:firstLine="720"/>
        <w:rPr>
          <w:sz w:val="26"/>
        </w:rPr>
      </w:pPr>
      <w:r>
        <w:rPr>
          <w:rStyle w:val="FootnoteReference"/>
        </w:rPr>
        <w:footnoteRef/>
      </w:r>
      <w:r w:rsidR="00D93C34">
        <w:tab/>
      </w:r>
      <w:r w:rsidR="00FD30DA">
        <w:rPr>
          <w:sz w:val="26"/>
        </w:rPr>
        <w:t>The Railroad</w:t>
      </w:r>
      <w:r w:rsidRPr="00B14F55">
        <w:rPr>
          <w:sz w:val="26"/>
        </w:rPr>
        <w:t xml:space="preserve"> filed </w:t>
      </w:r>
      <w:r>
        <w:rPr>
          <w:sz w:val="26"/>
        </w:rPr>
        <w:t>a document enti</w:t>
      </w:r>
      <w:r w:rsidR="00FD30DA">
        <w:rPr>
          <w:sz w:val="26"/>
        </w:rPr>
        <w:t>tled “Petition for Reconsideration and/or Stay of Order Pending Appeal</w:t>
      </w:r>
      <w:r>
        <w:rPr>
          <w:sz w:val="26"/>
        </w:rPr>
        <w:t>.”  For reasons that will be outlined below, this Petition will be considered as a Petition for Time Extension.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612B8"/>
    <w:multiLevelType w:val="hybridMultilevel"/>
    <w:tmpl w:val="481CB66E"/>
    <w:lvl w:ilvl="0" w:tplc="BB0060A0">
      <w:start w:val="6"/>
      <w:numFmt w:val="decimal"/>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
    <w:nsid w:val="2A791C96"/>
    <w:multiLevelType w:val="singleLevel"/>
    <w:tmpl w:val="AB22E838"/>
    <w:lvl w:ilvl="0">
      <w:start w:val="1"/>
      <w:numFmt w:val="decimal"/>
      <w:lvlText w:val="%1."/>
      <w:lvlJc w:val="left"/>
      <w:pPr>
        <w:tabs>
          <w:tab w:val="num" w:pos="2160"/>
        </w:tabs>
        <w:ind w:left="2160" w:hanging="720"/>
      </w:pPr>
      <w:rPr>
        <w:rFonts w:hint="default"/>
      </w:rPr>
    </w:lvl>
  </w:abstractNum>
  <w:abstractNum w:abstractNumId="2">
    <w:nsid w:val="41FA64BB"/>
    <w:multiLevelType w:val="singleLevel"/>
    <w:tmpl w:val="36245F9A"/>
    <w:lvl w:ilvl="0">
      <w:start w:val="3"/>
      <w:numFmt w:val="lowerLetter"/>
      <w:lvlText w:val="(%1)"/>
      <w:lvlJc w:val="left"/>
      <w:pPr>
        <w:tabs>
          <w:tab w:val="num" w:pos="1800"/>
        </w:tabs>
        <w:ind w:left="1800" w:hanging="360"/>
      </w:pPr>
      <w:rPr>
        <w:rFonts w:hint="default"/>
      </w:rPr>
    </w:lvl>
  </w:abstractNum>
  <w:abstractNum w:abstractNumId="3">
    <w:nsid w:val="620C40A6"/>
    <w:multiLevelType w:val="singleLevel"/>
    <w:tmpl w:val="A2C6376C"/>
    <w:lvl w:ilvl="0">
      <w:start w:val="1"/>
      <w:numFmt w:val="lowerLetter"/>
      <w:lvlText w:val="(%1)"/>
      <w:lvlJc w:val="left"/>
      <w:pPr>
        <w:tabs>
          <w:tab w:val="num" w:pos="2160"/>
        </w:tabs>
        <w:ind w:left="2160" w:hanging="720"/>
      </w:pPr>
      <w:rPr>
        <w:rFonts w:hint="default"/>
      </w:rPr>
    </w:lvl>
  </w:abstractNum>
  <w:abstractNum w:abstractNumId="4">
    <w:nsid w:val="63835457"/>
    <w:multiLevelType w:val="hybridMultilevel"/>
    <w:tmpl w:val="C98EE56E"/>
    <w:lvl w:ilvl="0" w:tplc="B11AABC8">
      <w:start w:val="1"/>
      <w:numFmt w:val="decimal"/>
      <w:lvlText w:val="%1."/>
      <w:lvlJc w:val="left"/>
      <w:pPr>
        <w:ind w:left="2355" w:hanging="360"/>
      </w:pPr>
      <w:rPr>
        <w:rFonts w:hint="default"/>
        <w:b w:val="0"/>
      </w:r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3102A"/>
    <w:rsid w:val="00001F98"/>
    <w:rsid w:val="00002249"/>
    <w:rsid w:val="0000693D"/>
    <w:rsid w:val="0001046F"/>
    <w:rsid w:val="000169AC"/>
    <w:rsid w:val="000218CD"/>
    <w:rsid w:val="000223E7"/>
    <w:rsid w:val="0002365A"/>
    <w:rsid w:val="00026060"/>
    <w:rsid w:val="00026824"/>
    <w:rsid w:val="00031EF7"/>
    <w:rsid w:val="00032BEE"/>
    <w:rsid w:val="0003627E"/>
    <w:rsid w:val="00037E46"/>
    <w:rsid w:val="00041D62"/>
    <w:rsid w:val="00041EC3"/>
    <w:rsid w:val="00042319"/>
    <w:rsid w:val="00042765"/>
    <w:rsid w:val="00042F7F"/>
    <w:rsid w:val="000471DD"/>
    <w:rsid w:val="00047F59"/>
    <w:rsid w:val="00052A73"/>
    <w:rsid w:val="000578B8"/>
    <w:rsid w:val="00061349"/>
    <w:rsid w:val="00062D9A"/>
    <w:rsid w:val="000650F8"/>
    <w:rsid w:val="00071862"/>
    <w:rsid w:val="00072BFB"/>
    <w:rsid w:val="00073ACE"/>
    <w:rsid w:val="0007636E"/>
    <w:rsid w:val="00077530"/>
    <w:rsid w:val="000900E3"/>
    <w:rsid w:val="00091DCF"/>
    <w:rsid w:val="00094592"/>
    <w:rsid w:val="0009633E"/>
    <w:rsid w:val="000A03F2"/>
    <w:rsid w:val="000A2F6B"/>
    <w:rsid w:val="000A7546"/>
    <w:rsid w:val="000A78CA"/>
    <w:rsid w:val="000B01CE"/>
    <w:rsid w:val="000B0EC7"/>
    <w:rsid w:val="000B1AEB"/>
    <w:rsid w:val="000C1FB5"/>
    <w:rsid w:val="000C2022"/>
    <w:rsid w:val="000C3DB3"/>
    <w:rsid w:val="000C5162"/>
    <w:rsid w:val="000C7775"/>
    <w:rsid w:val="000C7AB6"/>
    <w:rsid w:val="000D6226"/>
    <w:rsid w:val="000E0271"/>
    <w:rsid w:val="000E525F"/>
    <w:rsid w:val="000F4BA2"/>
    <w:rsid w:val="000F5389"/>
    <w:rsid w:val="000F5BD8"/>
    <w:rsid w:val="00100D3C"/>
    <w:rsid w:val="0010107F"/>
    <w:rsid w:val="00106732"/>
    <w:rsid w:val="00115242"/>
    <w:rsid w:val="00116173"/>
    <w:rsid w:val="00122476"/>
    <w:rsid w:val="0012389B"/>
    <w:rsid w:val="0013183E"/>
    <w:rsid w:val="0014005F"/>
    <w:rsid w:val="00141316"/>
    <w:rsid w:val="0014307E"/>
    <w:rsid w:val="0014399B"/>
    <w:rsid w:val="00144FB2"/>
    <w:rsid w:val="00145350"/>
    <w:rsid w:val="001539D3"/>
    <w:rsid w:val="00156034"/>
    <w:rsid w:val="00161679"/>
    <w:rsid w:val="0016424D"/>
    <w:rsid w:val="001645CC"/>
    <w:rsid w:val="00164B16"/>
    <w:rsid w:val="00176807"/>
    <w:rsid w:val="0017738D"/>
    <w:rsid w:val="00177DC6"/>
    <w:rsid w:val="0018176A"/>
    <w:rsid w:val="00184686"/>
    <w:rsid w:val="0019321A"/>
    <w:rsid w:val="001A01E2"/>
    <w:rsid w:val="001B298E"/>
    <w:rsid w:val="001C072A"/>
    <w:rsid w:val="001C6142"/>
    <w:rsid w:val="001C72A1"/>
    <w:rsid w:val="001D5C6B"/>
    <w:rsid w:val="001E541E"/>
    <w:rsid w:val="001F023F"/>
    <w:rsid w:val="001F0C85"/>
    <w:rsid w:val="001F4A26"/>
    <w:rsid w:val="002005F6"/>
    <w:rsid w:val="00201B85"/>
    <w:rsid w:val="00202E9B"/>
    <w:rsid w:val="0021136F"/>
    <w:rsid w:val="00215F3E"/>
    <w:rsid w:val="00216DFF"/>
    <w:rsid w:val="00217835"/>
    <w:rsid w:val="00222B61"/>
    <w:rsid w:val="0022773A"/>
    <w:rsid w:val="00233279"/>
    <w:rsid w:val="00234040"/>
    <w:rsid w:val="00236B88"/>
    <w:rsid w:val="0023717E"/>
    <w:rsid w:val="00237E74"/>
    <w:rsid w:val="00245BF0"/>
    <w:rsid w:val="00250770"/>
    <w:rsid w:val="002533D9"/>
    <w:rsid w:val="00273416"/>
    <w:rsid w:val="00281E1A"/>
    <w:rsid w:val="00282EE5"/>
    <w:rsid w:val="0028364C"/>
    <w:rsid w:val="0028509D"/>
    <w:rsid w:val="00285FFB"/>
    <w:rsid w:val="00286C95"/>
    <w:rsid w:val="0029035A"/>
    <w:rsid w:val="00290BC3"/>
    <w:rsid w:val="002950FE"/>
    <w:rsid w:val="00297E6E"/>
    <w:rsid w:val="002A2002"/>
    <w:rsid w:val="002A3B40"/>
    <w:rsid w:val="002A70E1"/>
    <w:rsid w:val="002B0AC5"/>
    <w:rsid w:val="002B2280"/>
    <w:rsid w:val="002B5F7F"/>
    <w:rsid w:val="002B600E"/>
    <w:rsid w:val="002C353C"/>
    <w:rsid w:val="002D34A0"/>
    <w:rsid w:val="002D3D04"/>
    <w:rsid w:val="002D7110"/>
    <w:rsid w:val="002E016D"/>
    <w:rsid w:val="002E3686"/>
    <w:rsid w:val="002F2662"/>
    <w:rsid w:val="002F526B"/>
    <w:rsid w:val="00301050"/>
    <w:rsid w:val="00301458"/>
    <w:rsid w:val="00303E5D"/>
    <w:rsid w:val="00310074"/>
    <w:rsid w:val="00314505"/>
    <w:rsid w:val="0031596C"/>
    <w:rsid w:val="0031682D"/>
    <w:rsid w:val="003233E6"/>
    <w:rsid w:val="00332380"/>
    <w:rsid w:val="00332CFB"/>
    <w:rsid w:val="003347CE"/>
    <w:rsid w:val="00334B53"/>
    <w:rsid w:val="003357D3"/>
    <w:rsid w:val="00335CE9"/>
    <w:rsid w:val="00336369"/>
    <w:rsid w:val="00344079"/>
    <w:rsid w:val="0034574C"/>
    <w:rsid w:val="00350B31"/>
    <w:rsid w:val="00353DAD"/>
    <w:rsid w:val="00356520"/>
    <w:rsid w:val="00360B82"/>
    <w:rsid w:val="00362F6F"/>
    <w:rsid w:val="00367F31"/>
    <w:rsid w:val="003764CA"/>
    <w:rsid w:val="00380CC4"/>
    <w:rsid w:val="00381EA7"/>
    <w:rsid w:val="0038411A"/>
    <w:rsid w:val="00385C56"/>
    <w:rsid w:val="00385D5A"/>
    <w:rsid w:val="0038669D"/>
    <w:rsid w:val="00392F4C"/>
    <w:rsid w:val="003A2591"/>
    <w:rsid w:val="003C011C"/>
    <w:rsid w:val="003C44D7"/>
    <w:rsid w:val="003C54BC"/>
    <w:rsid w:val="003C5816"/>
    <w:rsid w:val="003C70D3"/>
    <w:rsid w:val="003C7284"/>
    <w:rsid w:val="003C7AA3"/>
    <w:rsid w:val="003E09FD"/>
    <w:rsid w:val="003E1F9E"/>
    <w:rsid w:val="003E2669"/>
    <w:rsid w:val="003E2985"/>
    <w:rsid w:val="003E417C"/>
    <w:rsid w:val="003E4618"/>
    <w:rsid w:val="003E5BC4"/>
    <w:rsid w:val="00411A44"/>
    <w:rsid w:val="00420E65"/>
    <w:rsid w:val="004218F8"/>
    <w:rsid w:val="004220CA"/>
    <w:rsid w:val="00422E98"/>
    <w:rsid w:val="0043162C"/>
    <w:rsid w:val="004319EB"/>
    <w:rsid w:val="004401BE"/>
    <w:rsid w:val="00443A96"/>
    <w:rsid w:val="004513FA"/>
    <w:rsid w:val="0046431E"/>
    <w:rsid w:val="00464D83"/>
    <w:rsid w:val="004662A1"/>
    <w:rsid w:val="00475BCC"/>
    <w:rsid w:val="00482E6B"/>
    <w:rsid w:val="00483449"/>
    <w:rsid w:val="0048740D"/>
    <w:rsid w:val="0049131C"/>
    <w:rsid w:val="00492005"/>
    <w:rsid w:val="00495445"/>
    <w:rsid w:val="00497504"/>
    <w:rsid w:val="00497D9A"/>
    <w:rsid w:val="004A3BCC"/>
    <w:rsid w:val="004A72E3"/>
    <w:rsid w:val="004B0487"/>
    <w:rsid w:val="004C0BD6"/>
    <w:rsid w:val="004C1ABA"/>
    <w:rsid w:val="004C2EDB"/>
    <w:rsid w:val="004C408F"/>
    <w:rsid w:val="004D06D6"/>
    <w:rsid w:val="004D1B8E"/>
    <w:rsid w:val="004D2D0D"/>
    <w:rsid w:val="004D580B"/>
    <w:rsid w:val="004D750A"/>
    <w:rsid w:val="004D7C32"/>
    <w:rsid w:val="004E4D4C"/>
    <w:rsid w:val="004F0ADE"/>
    <w:rsid w:val="004F0D3E"/>
    <w:rsid w:val="004F4F29"/>
    <w:rsid w:val="004F55B9"/>
    <w:rsid w:val="004F7E81"/>
    <w:rsid w:val="00503492"/>
    <w:rsid w:val="00504888"/>
    <w:rsid w:val="00510C6F"/>
    <w:rsid w:val="00512434"/>
    <w:rsid w:val="005170E1"/>
    <w:rsid w:val="005222E7"/>
    <w:rsid w:val="005264E9"/>
    <w:rsid w:val="0052675F"/>
    <w:rsid w:val="005313D8"/>
    <w:rsid w:val="00540C2F"/>
    <w:rsid w:val="005412D0"/>
    <w:rsid w:val="00542A98"/>
    <w:rsid w:val="00544D2D"/>
    <w:rsid w:val="0054582C"/>
    <w:rsid w:val="005459DE"/>
    <w:rsid w:val="00554CCC"/>
    <w:rsid w:val="005572A6"/>
    <w:rsid w:val="0056242A"/>
    <w:rsid w:val="00565EA3"/>
    <w:rsid w:val="005669BA"/>
    <w:rsid w:val="005670E9"/>
    <w:rsid w:val="00570436"/>
    <w:rsid w:val="00571D7D"/>
    <w:rsid w:val="00573E8E"/>
    <w:rsid w:val="00586D46"/>
    <w:rsid w:val="00587D44"/>
    <w:rsid w:val="00590CD5"/>
    <w:rsid w:val="00592317"/>
    <w:rsid w:val="00596C85"/>
    <w:rsid w:val="005970F7"/>
    <w:rsid w:val="00597CA5"/>
    <w:rsid w:val="005A0901"/>
    <w:rsid w:val="005A2A80"/>
    <w:rsid w:val="005A3966"/>
    <w:rsid w:val="005A57DE"/>
    <w:rsid w:val="005A5A2C"/>
    <w:rsid w:val="005B02FF"/>
    <w:rsid w:val="005B2E8D"/>
    <w:rsid w:val="005B4852"/>
    <w:rsid w:val="005B4A6F"/>
    <w:rsid w:val="005C0C81"/>
    <w:rsid w:val="005C1452"/>
    <w:rsid w:val="005D5024"/>
    <w:rsid w:val="005D5054"/>
    <w:rsid w:val="005D6B2D"/>
    <w:rsid w:val="005E41E2"/>
    <w:rsid w:val="005E4295"/>
    <w:rsid w:val="005E4E79"/>
    <w:rsid w:val="005F2BD3"/>
    <w:rsid w:val="00604C3A"/>
    <w:rsid w:val="0060612F"/>
    <w:rsid w:val="0061134C"/>
    <w:rsid w:val="006127EA"/>
    <w:rsid w:val="00612D38"/>
    <w:rsid w:val="00616D63"/>
    <w:rsid w:val="006203D8"/>
    <w:rsid w:val="00620D5E"/>
    <w:rsid w:val="00624947"/>
    <w:rsid w:val="0064179F"/>
    <w:rsid w:val="00644997"/>
    <w:rsid w:val="00651030"/>
    <w:rsid w:val="00651A2E"/>
    <w:rsid w:val="006523B2"/>
    <w:rsid w:val="00653472"/>
    <w:rsid w:val="00653882"/>
    <w:rsid w:val="0065670E"/>
    <w:rsid w:val="00660743"/>
    <w:rsid w:val="00660E56"/>
    <w:rsid w:val="00673354"/>
    <w:rsid w:val="00673730"/>
    <w:rsid w:val="00674DC7"/>
    <w:rsid w:val="00680329"/>
    <w:rsid w:val="0068443A"/>
    <w:rsid w:val="00686FC5"/>
    <w:rsid w:val="0069210F"/>
    <w:rsid w:val="00693234"/>
    <w:rsid w:val="006972E2"/>
    <w:rsid w:val="00697E7E"/>
    <w:rsid w:val="006A140C"/>
    <w:rsid w:val="006A2A7F"/>
    <w:rsid w:val="006A54D8"/>
    <w:rsid w:val="006A7674"/>
    <w:rsid w:val="006B351A"/>
    <w:rsid w:val="006B5307"/>
    <w:rsid w:val="006B5A92"/>
    <w:rsid w:val="006C17ED"/>
    <w:rsid w:val="006C22AC"/>
    <w:rsid w:val="006C4536"/>
    <w:rsid w:val="006C482E"/>
    <w:rsid w:val="006C4E21"/>
    <w:rsid w:val="006C6A14"/>
    <w:rsid w:val="006D180B"/>
    <w:rsid w:val="006D348A"/>
    <w:rsid w:val="006D45F8"/>
    <w:rsid w:val="006D4F3C"/>
    <w:rsid w:val="006D7B0A"/>
    <w:rsid w:val="006E0ABC"/>
    <w:rsid w:val="006E35CB"/>
    <w:rsid w:val="006E4973"/>
    <w:rsid w:val="006E5810"/>
    <w:rsid w:val="006E7455"/>
    <w:rsid w:val="006F1334"/>
    <w:rsid w:val="006F21A1"/>
    <w:rsid w:val="006F3C50"/>
    <w:rsid w:val="006F6442"/>
    <w:rsid w:val="0070177C"/>
    <w:rsid w:val="007023AA"/>
    <w:rsid w:val="007032AB"/>
    <w:rsid w:val="00703671"/>
    <w:rsid w:val="0070416E"/>
    <w:rsid w:val="007063BE"/>
    <w:rsid w:val="007107F2"/>
    <w:rsid w:val="0071130F"/>
    <w:rsid w:val="00712D91"/>
    <w:rsid w:val="007133F1"/>
    <w:rsid w:val="00716317"/>
    <w:rsid w:val="007200EB"/>
    <w:rsid w:val="0073019C"/>
    <w:rsid w:val="007344C0"/>
    <w:rsid w:val="007402DE"/>
    <w:rsid w:val="007442EA"/>
    <w:rsid w:val="0074742B"/>
    <w:rsid w:val="00747796"/>
    <w:rsid w:val="007534A5"/>
    <w:rsid w:val="00754C2F"/>
    <w:rsid w:val="0076273B"/>
    <w:rsid w:val="0076549C"/>
    <w:rsid w:val="00767D05"/>
    <w:rsid w:val="00770C7B"/>
    <w:rsid w:val="00776392"/>
    <w:rsid w:val="00781E40"/>
    <w:rsid w:val="00784DDA"/>
    <w:rsid w:val="0078574F"/>
    <w:rsid w:val="00785D74"/>
    <w:rsid w:val="00791672"/>
    <w:rsid w:val="00792BB9"/>
    <w:rsid w:val="0079555D"/>
    <w:rsid w:val="007A04C4"/>
    <w:rsid w:val="007A1A5C"/>
    <w:rsid w:val="007A2A5D"/>
    <w:rsid w:val="007A34E9"/>
    <w:rsid w:val="007A75FE"/>
    <w:rsid w:val="007A7877"/>
    <w:rsid w:val="007B2C0D"/>
    <w:rsid w:val="007B3C92"/>
    <w:rsid w:val="007C0517"/>
    <w:rsid w:val="007D118A"/>
    <w:rsid w:val="007D1DA3"/>
    <w:rsid w:val="007D369C"/>
    <w:rsid w:val="007D44E5"/>
    <w:rsid w:val="007D6866"/>
    <w:rsid w:val="007E0059"/>
    <w:rsid w:val="007E10A0"/>
    <w:rsid w:val="007E49FF"/>
    <w:rsid w:val="007E610C"/>
    <w:rsid w:val="007F0BE1"/>
    <w:rsid w:val="007F1495"/>
    <w:rsid w:val="007F3221"/>
    <w:rsid w:val="007F5019"/>
    <w:rsid w:val="007F589B"/>
    <w:rsid w:val="00804630"/>
    <w:rsid w:val="0081211D"/>
    <w:rsid w:val="0081696B"/>
    <w:rsid w:val="00817D04"/>
    <w:rsid w:val="0082508E"/>
    <w:rsid w:val="0082648D"/>
    <w:rsid w:val="00836914"/>
    <w:rsid w:val="008414C0"/>
    <w:rsid w:val="00845734"/>
    <w:rsid w:val="00847F52"/>
    <w:rsid w:val="008522B2"/>
    <w:rsid w:val="008523CA"/>
    <w:rsid w:val="008554DF"/>
    <w:rsid w:val="0085785F"/>
    <w:rsid w:val="00862EE9"/>
    <w:rsid w:val="008631CB"/>
    <w:rsid w:val="00863253"/>
    <w:rsid w:val="00870138"/>
    <w:rsid w:val="00870718"/>
    <w:rsid w:val="00870C92"/>
    <w:rsid w:val="00872886"/>
    <w:rsid w:val="0087311F"/>
    <w:rsid w:val="008749CA"/>
    <w:rsid w:val="00874E75"/>
    <w:rsid w:val="00894B18"/>
    <w:rsid w:val="0089794B"/>
    <w:rsid w:val="008A0E19"/>
    <w:rsid w:val="008A23A0"/>
    <w:rsid w:val="008A2B0D"/>
    <w:rsid w:val="008B0644"/>
    <w:rsid w:val="008B183A"/>
    <w:rsid w:val="008B2415"/>
    <w:rsid w:val="008B6C15"/>
    <w:rsid w:val="008D2FEA"/>
    <w:rsid w:val="008D3754"/>
    <w:rsid w:val="008D4C96"/>
    <w:rsid w:val="008E5960"/>
    <w:rsid w:val="008F3643"/>
    <w:rsid w:val="008F5392"/>
    <w:rsid w:val="00912C76"/>
    <w:rsid w:val="00913E8D"/>
    <w:rsid w:val="009141C9"/>
    <w:rsid w:val="00922DD6"/>
    <w:rsid w:val="009324EB"/>
    <w:rsid w:val="009410DA"/>
    <w:rsid w:val="00941E3A"/>
    <w:rsid w:val="009433CA"/>
    <w:rsid w:val="00952130"/>
    <w:rsid w:val="009523B9"/>
    <w:rsid w:val="00952BC5"/>
    <w:rsid w:val="009533E5"/>
    <w:rsid w:val="00954474"/>
    <w:rsid w:val="00957AF9"/>
    <w:rsid w:val="00960A76"/>
    <w:rsid w:val="00961996"/>
    <w:rsid w:val="00967828"/>
    <w:rsid w:val="00970D96"/>
    <w:rsid w:val="009728A0"/>
    <w:rsid w:val="0097452A"/>
    <w:rsid w:val="00974AC9"/>
    <w:rsid w:val="00977315"/>
    <w:rsid w:val="009774A6"/>
    <w:rsid w:val="00977A7D"/>
    <w:rsid w:val="009803F4"/>
    <w:rsid w:val="009807FE"/>
    <w:rsid w:val="009809FE"/>
    <w:rsid w:val="00981AC0"/>
    <w:rsid w:val="009854F0"/>
    <w:rsid w:val="009868B8"/>
    <w:rsid w:val="00987953"/>
    <w:rsid w:val="00997DB7"/>
    <w:rsid w:val="009A0A75"/>
    <w:rsid w:val="009A3952"/>
    <w:rsid w:val="009A4694"/>
    <w:rsid w:val="009B0010"/>
    <w:rsid w:val="009B4CFF"/>
    <w:rsid w:val="009C46BA"/>
    <w:rsid w:val="009C54D8"/>
    <w:rsid w:val="009C63F8"/>
    <w:rsid w:val="009E10FA"/>
    <w:rsid w:val="009E46D4"/>
    <w:rsid w:val="009F24B9"/>
    <w:rsid w:val="009F45B7"/>
    <w:rsid w:val="009F4916"/>
    <w:rsid w:val="009F75FF"/>
    <w:rsid w:val="00A00986"/>
    <w:rsid w:val="00A032DC"/>
    <w:rsid w:val="00A060D4"/>
    <w:rsid w:val="00A062E9"/>
    <w:rsid w:val="00A10CE3"/>
    <w:rsid w:val="00A10F13"/>
    <w:rsid w:val="00A1617B"/>
    <w:rsid w:val="00A20A19"/>
    <w:rsid w:val="00A213AF"/>
    <w:rsid w:val="00A24640"/>
    <w:rsid w:val="00A25D55"/>
    <w:rsid w:val="00A31704"/>
    <w:rsid w:val="00A3393E"/>
    <w:rsid w:val="00A43852"/>
    <w:rsid w:val="00A53AE4"/>
    <w:rsid w:val="00A55248"/>
    <w:rsid w:val="00A57882"/>
    <w:rsid w:val="00A62658"/>
    <w:rsid w:val="00A62CFC"/>
    <w:rsid w:val="00A65185"/>
    <w:rsid w:val="00A70C43"/>
    <w:rsid w:val="00A80786"/>
    <w:rsid w:val="00A86E3E"/>
    <w:rsid w:val="00A90A32"/>
    <w:rsid w:val="00A92FE3"/>
    <w:rsid w:val="00A9406D"/>
    <w:rsid w:val="00A943F1"/>
    <w:rsid w:val="00A94D37"/>
    <w:rsid w:val="00A958A5"/>
    <w:rsid w:val="00A95C49"/>
    <w:rsid w:val="00A96D12"/>
    <w:rsid w:val="00AB5CED"/>
    <w:rsid w:val="00AC4A63"/>
    <w:rsid w:val="00AC4D6A"/>
    <w:rsid w:val="00AD675F"/>
    <w:rsid w:val="00AE4478"/>
    <w:rsid w:val="00AE63C4"/>
    <w:rsid w:val="00AF238A"/>
    <w:rsid w:val="00AF5CE1"/>
    <w:rsid w:val="00AF7F85"/>
    <w:rsid w:val="00B00A36"/>
    <w:rsid w:val="00B10910"/>
    <w:rsid w:val="00B10E45"/>
    <w:rsid w:val="00B13838"/>
    <w:rsid w:val="00B147F8"/>
    <w:rsid w:val="00B14F55"/>
    <w:rsid w:val="00B1654D"/>
    <w:rsid w:val="00B17130"/>
    <w:rsid w:val="00B20CC8"/>
    <w:rsid w:val="00B25CAB"/>
    <w:rsid w:val="00B310C0"/>
    <w:rsid w:val="00B3301E"/>
    <w:rsid w:val="00B33C3C"/>
    <w:rsid w:val="00B34C3F"/>
    <w:rsid w:val="00B42F89"/>
    <w:rsid w:val="00B4349D"/>
    <w:rsid w:val="00B4730A"/>
    <w:rsid w:val="00B51877"/>
    <w:rsid w:val="00B51B0A"/>
    <w:rsid w:val="00B535BF"/>
    <w:rsid w:val="00B56994"/>
    <w:rsid w:val="00B60495"/>
    <w:rsid w:val="00B61631"/>
    <w:rsid w:val="00B6498B"/>
    <w:rsid w:val="00B67CBE"/>
    <w:rsid w:val="00B70A82"/>
    <w:rsid w:val="00B77B6A"/>
    <w:rsid w:val="00B812DE"/>
    <w:rsid w:val="00B85945"/>
    <w:rsid w:val="00B85DB4"/>
    <w:rsid w:val="00B86D21"/>
    <w:rsid w:val="00B92DDE"/>
    <w:rsid w:val="00B93A58"/>
    <w:rsid w:val="00B93ACE"/>
    <w:rsid w:val="00B94342"/>
    <w:rsid w:val="00B974FD"/>
    <w:rsid w:val="00B97853"/>
    <w:rsid w:val="00B97CC0"/>
    <w:rsid w:val="00BA1484"/>
    <w:rsid w:val="00BA1BC3"/>
    <w:rsid w:val="00BA28C2"/>
    <w:rsid w:val="00BA35F3"/>
    <w:rsid w:val="00BA4AA9"/>
    <w:rsid w:val="00BA4F49"/>
    <w:rsid w:val="00BA5AA3"/>
    <w:rsid w:val="00BA5DDF"/>
    <w:rsid w:val="00BB3BAE"/>
    <w:rsid w:val="00BB4A7E"/>
    <w:rsid w:val="00BC194F"/>
    <w:rsid w:val="00BC2597"/>
    <w:rsid w:val="00BC4426"/>
    <w:rsid w:val="00BD0515"/>
    <w:rsid w:val="00BD3ECF"/>
    <w:rsid w:val="00BD7DAE"/>
    <w:rsid w:val="00BF17FA"/>
    <w:rsid w:val="00BF261F"/>
    <w:rsid w:val="00BF374A"/>
    <w:rsid w:val="00BF6BDA"/>
    <w:rsid w:val="00C00645"/>
    <w:rsid w:val="00C023F7"/>
    <w:rsid w:val="00C042A8"/>
    <w:rsid w:val="00C05749"/>
    <w:rsid w:val="00C0654E"/>
    <w:rsid w:val="00C076CB"/>
    <w:rsid w:val="00C122E9"/>
    <w:rsid w:val="00C1508C"/>
    <w:rsid w:val="00C21C1E"/>
    <w:rsid w:val="00C22A19"/>
    <w:rsid w:val="00C2739F"/>
    <w:rsid w:val="00C3102A"/>
    <w:rsid w:val="00C34202"/>
    <w:rsid w:val="00C36452"/>
    <w:rsid w:val="00C3746D"/>
    <w:rsid w:val="00C41839"/>
    <w:rsid w:val="00C42B92"/>
    <w:rsid w:val="00C45FCE"/>
    <w:rsid w:val="00C50061"/>
    <w:rsid w:val="00C540F5"/>
    <w:rsid w:val="00C551EA"/>
    <w:rsid w:val="00C5617B"/>
    <w:rsid w:val="00C56AF1"/>
    <w:rsid w:val="00C62C4E"/>
    <w:rsid w:val="00C63119"/>
    <w:rsid w:val="00C63B1C"/>
    <w:rsid w:val="00C71171"/>
    <w:rsid w:val="00C72439"/>
    <w:rsid w:val="00C73BFF"/>
    <w:rsid w:val="00C7460F"/>
    <w:rsid w:val="00C7676D"/>
    <w:rsid w:val="00C7758B"/>
    <w:rsid w:val="00C81011"/>
    <w:rsid w:val="00C82A76"/>
    <w:rsid w:val="00C85F61"/>
    <w:rsid w:val="00C85F71"/>
    <w:rsid w:val="00C85FDE"/>
    <w:rsid w:val="00C92EBF"/>
    <w:rsid w:val="00C9530A"/>
    <w:rsid w:val="00C9556C"/>
    <w:rsid w:val="00CA13C7"/>
    <w:rsid w:val="00CA1BEB"/>
    <w:rsid w:val="00CA32EF"/>
    <w:rsid w:val="00CA476E"/>
    <w:rsid w:val="00CA7E3C"/>
    <w:rsid w:val="00CB6BED"/>
    <w:rsid w:val="00CB703F"/>
    <w:rsid w:val="00CB7393"/>
    <w:rsid w:val="00CB77A1"/>
    <w:rsid w:val="00CB7844"/>
    <w:rsid w:val="00CC3625"/>
    <w:rsid w:val="00CC756D"/>
    <w:rsid w:val="00CD498C"/>
    <w:rsid w:val="00CE58FC"/>
    <w:rsid w:val="00CF2B33"/>
    <w:rsid w:val="00CF370C"/>
    <w:rsid w:val="00CF51FE"/>
    <w:rsid w:val="00CF58CE"/>
    <w:rsid w:val="00D03BF7"/>
    <w:rsid w:val="00D042D3"/>
    <w:rsid w:val="00D0663B"/>
    <w:rsid w:val="00D11758"/>
    <w:rsid w:val="00D210BC"/>
    <w:rsid w:val="00D26F2A"/>
    <w:rsid w:val="00D3020F"/>
    <w:rsid w:val="00D3094C"/>
    <w:rsid w:val="00D33346"/>
    <w:rsid w:val="00D349FC"/>
    <w:rsid w:val="00D36387"/>
    <w:rsid w:val="00D36EE1"/>
    <w:rsid w:val="00D5378B"/>
    <w:rsid w:val="00D667DE"/>
    <w:rsid w:val="00D90946"/>
    <w:rsid w:val="00D93C34"/>
    <w:rsid w:val="00D9475D"/>
    <w:rsid w:val="00D967A0"/>
    <w:rsid w:val="00D97B22"/>
    <w:rsid w:val="00D97D01"/>
    <w:rsid w:val="00DA08CF"/>
    <w:rsid w:val="00DA7537"/>
    <w:rsid w:val="00DB0A41"/>
    <w:rsid w:val="00DC4342"/>
    <w:rsid w:val="00DD059B"/>
    <w:rsid w:val="00DD073E"/>
    <w:rsid w:val="00DD1913"/>
    <w:rsid w:val="00DD1FB4"/>
    <w:rsid w:val="00DD56B2"/>
    <w:rsid w:val="00DD5AE6"/>
    <w:rsid w:val="00DE1CC7"/>
    <w:rsid w:val="00DE2116"/>
    <w:rsid w:val="00DF0EFB"/>
    <w:rsid w:val="00DF1E41"/>
    <w:rsid w:val="00DF2A66"/>
    <w:rsid w:val="00DF7663"/>
    <w:rsid w:val="00E00FF1"/>
    <w:rsid w:val="00E0326B"/>
    <w:rsid w:val="00E03A97"/>
    <w:rsid w:val="00E03AC5"/>
    <w:rsid w:val="00E0430F"/>
    <w:rsid w:val="00E126A8"/>
    <w:rsid w:val="00E227A0"/>
    <w:rsid w:val="00E258BC"/>
    <w:rsid w:val="00E26A82"/>
    <w:rsid w:val="00E31FDC"/>
    <w:rsid w:val="00E322CC"/>
    <w:rsid w:val="00E375FD"/>
    <w:rsid w:val="00E42F4E"/>
    <w:rsid w:val="00E45EFA"/>
    <w:rsid w:val="00E50545"/>
    <w:rsid w:val="00E53208"/>
    <w:rsid w:val="00E540CE"/>
    <w:rsid w:val="00E55F77"/>
    <w:rsid w:val="00E57D45"/>
    <w:rsid w:val="00E62A34"/>
    <w:rsid w:val="00E64287"/>
    <w:rsid w:val="00E646FB"/>
    <w:rsid w:val="00E66565"/>
    <w:rsid w:val="00E66FC3"/>
    <w:rsid w:val="00E676F1"/>
    <w:rsid w:val="00E701DA"/>
    <w:rsid w:val="00E70414"/>
    <w:rsid w:val="00E741F2"/>
    <w:rsid w:val="00E74633"/>
    <w:rsid w:val="00E779E4"/>
    <w:rsid w:val="00E83DEC"/>
    <w:rsid w:val="00E865FF"/>
    <w:rsid w:val="00E93257"/>
    <w:rsid w:val="00E965D3"/>
    <w:rsid w:val="00E96927"/>
    <w:rsid w:val="00EA4725"/>
    <w:rsid w:val="00EA6F4C"/>
    <w:rsid w:val="00EB039F"/>
    <w:rsid w:val="00EB319C"/>
    <w:rsid w:val="00EC0444"/>
    <w:rsid w:val="00EC1AF0"/>
    <w:rsid w:val="00ED1A73"/>
    <w:rsid w:val="00ED3E7C"/>
    <w:rsid w:val="00ED4CEC"/>
    <w:rsid w:val="00ED77D1"/>
    <w:rsid w:val="00EE3D89"/>
    <w:rsid w:val="00EE5E64"/>
    <w:rsid w:val="00EF1B4F"/>
    <w:rsid w:val="00EF297C"/>
    <w:rsid w:val="00EF3A18"/>
    <w:rsid w:val="00EF49A9"/>
    <w:rsid w:val="00EF601B"/>
    <w:rsid w:val="00F03C7A"/>
    <w:rsid w:val="00F05A9A"/>
    <w:rsid w:val="00F060F9"/>
    <w:rsid w:val="00F062F1"/>
    <w:rsid w:val="00F109FC"/>
    <w:rsid w:val="00F15ECD"/>
    <w:rsid w:val="00F17DC9"/>
    <w:rsid w:val="00F268CF"/>
    <w:rsid w:val="00F26A04"/>
    <w:rsid w:val="00F40620"/>
    <w:rsid w:val="00F50C46"/>
    <w:rsid w:val="00F52336"/>
    <w:rsid w:val="00F55576"/>
    <w:rsid w:val="00F56C47"/>
    <w:rsid w:val="00F67C03"/>
    <w:rsid w:val="00F734B7"/>
    <w:rsid w:val="00F742DF"/>
    <w:rsid w:val="00F76B61"/>
    <w:rsid w:val="00F776B8"/>
    <w:rsid w:val="00F87A1A"/>
    <w:rsid w:val="00F9265E"/>
    <w:rsid w:val="00F97722"/>
    <w:rsid w:val="00FA24DC"/>
    <w:rsid w:val="00FA29E6"/>
    <w:rsid w:val="00FA4FE1"/>
    <w:rsid w:val="00FA64A2"/>
    <w:rsid w:val="00FB37AA"/>
    <w:rsid w:val="00FB573A"/>
    <w:rsid w:val="00FB5DEF"/>
    <w:rsid w:val="00FC3176"/>
    <w:rsid w:val="00FC57D3"/>
    <w:rsid w:val="00FC639E"/>
    <w:rsid w:val="00FD01A1"/>
    <w:rsid w:val="00FD30DA"/>
    <w:rsid w:val="00FD52B0"/>
    <w:rsid w:val="00FE28BE"/>
    <w:rsid w:val="00FE294B"/>
    <w:rsid w:val="00FF5C1F"/>
    <w:rsid w:val="00FF627D"/>
    <w:rsid w:val="00FF72DE"/>
    <w:rsid w:val="00FF76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contacts" w:name="middlename"/>
  <w:smartTagType w:namespaceuri="urn:schemas-microsoft-com:office:smarttags" w:name="City"/>
  <w:smartTagType w:namespaceuri="urn:schemas-microsoft-com:office:smarttags" w:name="place"/>
  <w:smartTagType w:namespaceuri="urn:schemas-microsoft-com:office:smarttags" w:name="St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EE1"/>
  </w:style>
  <w:style w:type="paragraph" w:styleId="Heading1">
    <w:name w:val="heading 1"/>
    <w:basedOn w:val="Normal"/>
    <w:next w:val="Normal"/>
    <w:qFormat/>
    <w:rsid w:val="00D36EE1"/>
    <w:pPr>
      <w:keepNext/>
      <w:outlineLvl w:val="0"/>
    </w:pPr>
    <w:rPr>
      <w:sz w:val="26"/>
    </w:rPr>
  </w:style>
  <w:style w:type="paragraph" w:styleId="Heading2">
    <w:name w:val="heading 2"/>
    <w:basedOn w:val="Normal"/>
    <w:next w:val="Normal"/>
    <w:qFormat/>
    <w:rsid w:val="00D36EE1"/>
    <w:pPr>
      <w:keepNext/>
      <w:ind w:hanging="1440"/>
      <w:outlineLvl w:val="1"/>
    </w:pPr>
    <w:rPr>
      <w:sz w:val="26"/>
    </w:rPr>
  </w:style>
  <w:style w:type="paragraph" w:styleId="Heading7">
    <w:name w:val="heading 7"/>
    <w:basedOn w:val="Normal"/>
    <w:next w:val="Normal"/>
    <w:qFormat/>
    <w:rsid w:val="00D36EE1"/>
    <w:pPr>
      <w:keepNext/>
      <w:tabs>
        <w:tab w:val="left" w:pos="-720"/>
      </w:tabs>
      <w:suppressAutoHyphens/>
      <w:spacing w:line="360" w:lineRule="auto"/>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36EE1"/>
  </w:style>
  <w:style w:type="character" w:styleId="FootnoteReference">
    <w:name w:val="footnote reference"/>
    <w:basedOn w:val="DefaultParagraphFont"/>
    <w:semiHidden/>
    <w:rsid w:val="00D36EE1"/>
    <w:rPr>
      <w:vertAlign w:val="superscript"/>
    </w:rPr>
  </w:style>
  <w:style w:type="paragraph" w:styleId="Footer">
    <w:name w:val="footer"/>
    <w:basedOn w:val="Normal"/>
    <w:rsid w:val="00D36EE1"/>
    <w:pPr>
      <w:tabs>
        <w:tab w:val="center" w:pos="4320"/>
        <w:tab w:val="right" w:pos="8640"/>
      </w:tabs>
    </w:pPr>
  </w:style>
  <w:style w:type="character" w:styleId="PageNumber">
    <w:name w:val="page number"/>
    <w:basedOn w:val="DefaultParagraphFont"/>
    <w:rsid w:val="00D36EE1"/>
  </w:style>
  <w:style w:type="paragraph" w:styleId="Header">
    <w:name w:val="header"/>
    <w:basedOn w:val="Normal"/>
    <w:rsid w:val="00D36EE1"/>
    <w:pPr>
      <w:tabs>
        <w:tab w:val="center" w:pos="4320"/>
        <w:tab w:val="right" w:pos="8640"/>
      </w:tabs>
    </w:pPr>
  </w:style>
  <w:style w:type="paragraph" w:styleId="BodyText3">
    <w:name w:val="Body Text 3"/>
    <w:basedOn w:val="Normal"/>
    <w:rsid w:val="00D36EE1"/>
    <w:pPr>
      <w:tabs>
        <w:tab w:val="left" w:pos="-720"/>
      </w:tabs>
      <w:suppressAutoHyphens/>
      <w:spacing w:line="360" w:lineRule="auto"/>
    </w:pPr>
    <w:rPr>
      <w:sz w:val="26"/>
    </w:rPr>
  </w:style>
  <w:style w:type="paragraph" w:styleId="Title">
    <w:name w:val="Title"/>
    <w:basedOn w:val="Normal"/>
    <w:qFormat/>
    <w:rsid w:val="00D36EE1"/>
    <w:pPr>
      <w:jc w:val="center"/>
    </w:pPr>
    <w:rPr>
      <w:b/>
      <w:sz w:val="26"/>
    </w:rPr>
  </w:style>
  <w:style w:type="paragraph" w:styleId="BodyTextIndent">
    <w:name w:val="Body Text Indent"/>
    <w:basedOn w:val="Normal"/>
    <w:rsid w:val="00D36EE1"/>
    <w:pPr>
      <w:ind w:left="720" w:firstLine="720"/>
    </w:pPr>
    <w:rPr>
      <w:sz w:val="26"/>
    </w:rPr>
  </w:style>
  <w:style w:type="paragraph" w:styleId="BlockText">
    <w:name w:val="Block Text"/>
    <w:basedOn w:val="Normal"/>
    <w:rsid w:val="00D36EE1"/>
    <w:pPr>
      <w:ind w:left="2160" w:right="2160"/>
    </w:pPr>
    <w:rPr>
      <w:sz w:val="26"/>
    </w:rPr>
  </w:style>
  <w:style w:type="paragraph" w:styleId="BodyTextIndent2">
    <w:name w:val="Body Text Indent 2"/>
    <w:basedOn w:val="Normal"/>
    <w:rsid w:val="00D36EE1"/>
    <w:pPr>
      <w:spacing w:line="360" w:lineRule="auto"/>
      <w:ind w:firstLine="1440"/>
    </w:pPr>
    <w:rPr>
      <w:sz w:val="26"/>
    </w:rPr>
  </w:style>
  <w:style w:type="character" w:styleId="Hyperlink">
    <w:name w:val="Hyperlink"/>
    <w:basedOn w:val="DefaultParagraphFont"/>
    <w:rsid w:val="00D36EE1"/>
    <w:rPr>
      <w:color w:val="0000FF"/>
      <w:u w:val="single"/>
    </w:rPr>
  </w:style>
  <w:style w:type="paragraph" w:styleId="BalloonText">
    <w:name w:val="Balloon Text"/>
    <w:basedOn w:val="Normal"/>
    <w:semiHidden/>
    <w:rsid w:val="000E525F"/>
    <w:rPr>
      <w:rFonts w:ascii="Tahoma" w:hAnsi="Tahoma" w:cs="Tahoma"/>
      <w:sz w:val="16"/>
      <w:szCs w:val="16"/>
    </w:rPr>
  </w:style>
  <w:style w:type="paragraph" w:styleId="CommentText">
    <w:name w:val="annotation text"/>
    <w:basedOn w:val="Normal"/>
    <w:link w:val="CommentTextChar"/>
    <w:rsid w:val="009B0010"/>
  </w:style>
  <w:style w:type="character" w:customStyle="1" w:styleId="CommentTextChar">
    <w:name w:val="Comment Text Char"/>
    <w:basedOn w:val="DefaultParagraphFont"/>
    <w:link w:val="CommentText"/>
    <w:rsid w:val="009B00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A-00076589F2.o; H.E. Fox, Inc./PetforReconsid</vt:lpstr>
    </vt:vector>
  </TitlesOfParts>
  <Company>PA PUC</Company>
  <LinksUpToDate>false</LinksUpToDate>
  <CharactersWithSpaces>11483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A-00076589F2.o; H.E. Fox, Inc./PetforReconsid</dc:title>
  <dc:subject/>
  <dc:creator>DSA</dc:creator>
  <cp:keywords/>
  <cp:lastModifiedBy>joyce marie farner</cp:lastModifiedBy>
  <cp:revision>3</cp:revision>
  <cp:lastPrinted>2010-01-14T17:39:00Z</cp:lastPrinted>
  <dcterms:created xsi:type="dcterms:W3CDTF">2009-12-21T20:31:00Z</dcterms:created>
  <dcterms:modified xsi:type="dcterms:W3CDTF">2010-01-14T17:41:00Z</dcterms:modified>
</cp:coreProperties>
</file>