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8A7" w:rsidRDefault="003B58A7" w:rsidP="003B58A7">
      <w:pPr>
        <w:jc w:val="center"/>
        <w:rPr>
          <w:b/>
        </w:rPr>
      </w:pPr>
      <w:smartTag w:uri="urn:schemas-microsoft-com:office:smarttags" w:element="place">
        <w:smartTag w:uri="urn:schemas-microsoft-com:office:smarttags" w:element="State">
          <w:r>
            <w:rPr>
              <w:b/>
            </w:rPr>
            <w:t>PENNSYLVANIA</w:t>
          </w:r>
        </w:smartTag>
      </w:smartTag>
    </w:p>
    <w:p w:rsidR="003B58A7" w:rsidRDefault="003B58A7" w:rsidP="003B58A7">
      <w:pPr>
        <w:jc w:val="center"/>
        <w:rPr>
          <w:b/>
        </w:rPr>
      </w:pPr>
      <w:r>
        <w:rPr>
          <w:b/>
        </w:rPr>
        <w:t>PUBLIC UTILITY COMMISSION</w:t>
      </w:r>
    </w:p>
    <w:p w:rsidR="003B58A7" w:rsidRDefault="003B58A7" w:rsidP="003B58A7">
      <w:pPr>
        <w:jc w:val="center"/>
        <w:rPr>
          <w:b/>
        </w:rPr>
      </w:pPr>
      <w:smartTag w:uri="urn:schemas-microsoft-com:office:smarttags" w:element="place">
        <w:smartTag w:uri="urn:schemas-microsoft-com:office:smarttags" w:element="City">
          <w:r>
            <w:rPr>
              <w:b/>
            </w:rPr>
            <w:t>Harrisburg</w:t>
          </w:r>
        </w:smartTag>
        <w:r>
          <w:rPr>
            <w:b/>
          </w:rPr>
          <w:t xml:space="preserve">, </w:t>
        </w:r>
        <w:smartTag w:uri="urn:schemas-microsoft-com:office:smarttags" w:element="State">
          <w:r>
            <w:rPr>
              <w:b/>
            </w:rPr>
            <w:t>PA</w:t>
          </w:r>
        </w:smartTag>
        <w:r>
          <w:rPr>
            <w:b/>
          </w:rPr>
          <w:t xml:space="preserve">  </w:t>
        </w:r>
        <w:smartTag w:uri="urn:schemas-microsoft-com:office:smarttags" w:element="PostalCode">
          <w:r>
            <w:rPr>
              <w:b/>
            </w:rPr>
            <w:t>17105-3265</w:t>
          </w:r>
        </w:smartTag>
      </w:smartTag>
    </w:p>
    <w:p w:rsidR="003B58A7" w:rsidRDefault="003B58A7" w:rsidP="003B58A7">
      <w:pPr>
        <w:jc w:val="center"/>
        <w:rPr>
          <w:b/>
        </w:rPr>
      </w:pPr>
    </w:p>
    <w:p w:rsidR="003B58A7" w:rsidRDefault="003B58A7" w:rsidP="003B58A7">
      <w:pPr>
        <w:jc w:val="center"/>
        <w:rPr>
          <w:b/>
        </w:rPr>
      </w:pPr>
    </w:p>
    <w:p w:rsidR="003B58A7" w:rsidRPr="00DB4AB4" w:rsidRDefault="003B58A7" w:rsidP="003B58A7">
      <w:r>
        <w:rPr>
          <w:b/>
        </w:rPr>
        <w:tab/>
      </w:r>
      <w:r>
        <w:rPr>
          <w:b/>
        </w:rPr>
        <w:tab/>
      </w:r>
      <w:r>
        <w:rPr>
          <w:b/>
        </w:rPr>
        <w:tab/>
      </w:r>
      <w:r>
        <w:rPr>
          <w:b/>
        </w:rPr>
        <w:tab/>
      </w:r>
      <w:r>
        <w:rPr>
          <w:b/>
        </w:rPr>
        <w:tab/>
      </w:r>
      <w:r w:rsidR="00143A14">
        <w:rPr>
          <w:b/>
        </w:rPr>
        <w:tab/>
      </w:r>
      <w:r>
        <w:rPr>
          <w:b/>
        </w:rPr>
        <w:tab/>
      </w:r>
      <w:r>
        <w:t xml:space="preserve">Public Meeting held </w:t>
      </w:r>
      <w:r w:rsidR="00646CEC" w:rsidRPr="00DB4AB4">
        <w:t xml:space="preserve">January </w:t>
      </w:r>
      <w:r w:rsidR="00DB4AB4">
        <w:t>14</w:t>
      </w:r>
      <w:r w:rsidR="00646CEC" w:rsidRPr="00DB4AB4">
        <w:t>, 2010</w:t>
      </w:r>
      <w:r w:rsidRPr="00DB4AB4">
        <w:t xml:space="preserve"> </w:t>
      </w:r>
    </w:p>
    <w:p w:rsidR="003B58A7" w:rsidRDefault="003B58A7" w:rsidP="003B58A7">
      <w:r>
        <w:t>Commissioners Present:</w:t>
      </w:r>
    </w:p>
    <w:p w:rsidR="003B58A7" w:rsidRDefault="003B58A7" w:rsidP="003B58A7"/>
    <w:p w:rsidR="00D153BF" w:rsidRDefault="003B58A7" w:rsidP="003B58A7">
      <w:r>
        <w:tab/>
      </w:r>
      <w:r w:rsidR="00646CEC">
        <w:t xml:space="preserve">James H. Cawley, </w:t>
      </w:r>
      <w:r>
        <w:t>Chairman</w:t>
      </w:r>
    </w:p>
    <w:p w:rsidR="003B58A7" w:rsidRDefault="003B58A7" w:rsidP="003B58A7">
      <w:r>
        <w:tab/>
      </w:r>
      <w:r w:rsidR="00646CEC">
        <w:t>Tyrone J. Christ</w:t>
      </w:r>
      <w:r>
        <w:t>y, Vice-Chairman</w:t>
      </w:r>
    </w:p>
    <w:p w:rsidR="003B58A7" w:rsidRDefault="003B58A7" w:rsidP="003B58A7">
      <w:pPr>
        <w:ind w:firstLine="720"/>
      </w:pPr>
      <w:r>
        <w:t>Kim Pizzingrilli</w:t>
      </w:r>
      <w:r w:rsidR="00EB0637">
        <w:t>, Joint Statement</w:t>
      </w:r>
    </w:p>
    <w:p w:rsidR="00646CEC" w:rsidRDefault="00646CEC" w:rsidP="003B58A7">
      <w:pPr>
        <w:ind w:firstLine="720"/>
      </w:pPr>
      <w:r>
        <w:t>Wayne E. Gardner</w:t>
      </w:r>
      <w:r w:rsidR="00EB0637">
        <w:t>, Joint Statement</w:t>
      </w:r>
    </w:p>
    <w:p w:rsidR="003B58A7" w:rsidRDefault="00646CEC" w:rsidP="003B58A7">
      <w:pPr>
        <w:ind w:firstLine="720"/>
      </w:pPr>
      <w:r>
        <w:t>Robert F. Powelson</w:t>
      </w:r>
    </w:p>
    <w:p w:rsidR="003B58A7" w:rsidRDefault="003B58A7" w:rsidP="003B58A7">
      <w:pPr>
        <w:ind w:firstLine="720"/>
      </w:pPr>
    </w:p>
    <w:p w:rsidR="003B58A7" w:rsidRDefault="003B58A7" w:rsidP="003B58A7">
      <w:smartTag w:uri="urn:schemas-microsoft-com:office:smarttags" w:element="place">
        <w:smartTag w:uri="urn:schemas-microsoft-com:office:smarttags" w:element="State">
          <w:r>
            <w:t>Pennsylvania</w:t>
          </w:r>
        </w:smartTag>
      </w:smartTag>
      <w:r>
        <w:t xml:space="preserve"> Public Utility Commission</w:t>
      </w:r>
      <w:r>
        <w:tab/>
      </w:r>
      <w:r>
        <w:tab/>
      </w:r>
      <w:r>
        <w:tab/>
      </w:r>
      <w:r>
        <w:tab/>
      </w:r>
      <w:r>
        <w:tab/>
      </w:r>
    </w:p>
    <w:p w:rsidR="003B58A7" w:rsidRDefault="003B58A7" w:rsidP="003B58A7">
      <w:r>
        <w:t xml:space="preserve">Law Bureau Prosecutory Staff </w:t>
      </w:r>
      <w:r>
        <w:tab/>
      </w:r>
      <w:r>
        <w:tab/>
      </w:r>
      <w:r>
        <w:tab/>
      </w:r>
      <w:r>
        <w:tab/>
      </w:r>
      <w:r>
        <w:tab/>
      </w:r>
      <w:r>
        <w:tab/>
      </w:r>
      <w:r>
        <w:rPr>
          <w:noProof/>
        </w:rPr>
        <w:t>C-20042415</w:t>
      </w:r>
    </w:p>
    <w:p w:rsidR="003B58A7" w:rsidRDefault="003B58A7" w:rsidP="003B58A7"/>
    <w:p w:rsidR="003B58A7" w:rsidRDefault="003B58A7" w:rsidP="003B58A7">
      <w:r>
        <w:tab/>
      </w:r>
      <w:r>
        <w:tab/>
        <w:t>v.</w:t>
      </w:r>
    </w:p>
    <w:p w:rsidR="003B58A7" w:rsidRDefault="003B58A7" w:rsidP="003B58A7"/>
    <w:tbl>
      <w:tblPr>
        <w:tblW w:w="0" w:type="auto"/>
        <w:tblLayout w:type="fixed"/>
        <w:tblLook w:val="0000"/>
      </w:tblPr>
      <w:tblGrid>
        <w:gridCol w:w="7218"/>
        <w:gridCol w:w="2358"/>
      </w:tblGrid>
      <w:tr w:rsidR="003B58A7" w:rsidTr="0061557F">
        <w:tc>
          <w:tcPr>
            <w:tcW w:w="7218" w:type="dxa"/>
          </w:tcPr>
          <w:p w:rsidR="003B58A7" w:rsidRDefault="003B58A7" w:rsidP="0061557F">
            <w:r>
              <w:rPr>
                <w:noProof/>
              </w:rPr>
              <w:t xml:space="preserve">Able Co., </w:t>
            </w:r>
            <w:r w:rsidR="00143A14">
              <w:rPr>
                <w:noProof/>
              </w:rPr>
              <w:t>LTD</w:t>
            </w:r>
            <w:r>
              <w:rPr>
                <w:noProof/>
              </w:rPr>
              <w:t>.</w:t>
            </w:r>
            <w:r>
              <w:t xml:space="preserve"> </w:t>
            </w:r>
          </w:p>
          <w:p w:rsidR="003B58A7" w:rsidRDefault="003B58A7" w:rsidP="0061557F">
            <w:r>
              <w:tab/>
            </w:r>
            <w:r>
              <w:tab/>
            </w:r>
            <w:r>
              <w:tab/>
            </w:r>
            <w:r>
              <w:tab/>
            </w:r>
            <w:r>
              <w:tab/>
            </w:r>
            <w:r>
              <w:tab/>
            </w:r>
            <w:r>
              <w:tab/>
            </w:r>
            <w:r>
              <w:tab/>
            </w:r>
          </w:p>
        </w:tc>
        <w:tc>
          <w:tcPr>
            <w:tcW w:w="2358" w:type="dxa"/>
          </w:tcPr>
          <w:p w:rsidR="003B58A7" w:rsidRDefault="003B58A7" w:rsidP="0061557F">
            <w:r>
              <w:t>A-</w:t>
            </w:r>
            <w:r>
              <w:rPr>
                <w:noProof/>
              </w:rPr>
              <w:t>120025</w:t>
            </w:r>
          </w:p>
        </w:tc>
      </w:tr>
    </w:tbl>
    <w:p w:rsidR="003B58A7" w:rsidRDefault="003B58A7" w:rsidP="003B58A7">
      <w:pPr>
        <w:spacing w:line="360" w:lineRule="auto"/>
        <w:jc w:val="center"/>
        <w:rPr>
          <w:b/>
        </w:rPr>
      </w:pPr>
    </w:p>
    <w:p w:rsidR="003B58A7" w:rsidRDefault="00104AE1" w:rsidP="003B58A7">
      <w:pPr>
        <w:spacing w:line="360" w:lineRule="auto"/>
        <w:jc w:val="center"/>
        <w:rPr>
          <w:b/>
        </w:rPr>
      </w:pPr>
      <w:r>
        <w:rPr>
          <w:b/>
        </w:rPr>
        <w:t xml:space="preserve">TENTATIVE </w:t>
      </w:r>
      <w:r w:rsidR="003B58A7">
        <w:rPr>
          <w:b/>
        </w:rPr>
        <w:t>DEFAULT ORDER</w:t>
      </w:r>
    </w:p>
    <w:p w:rsidR="003B58A7" w:rsidRDefault="003B58A7" w:rsidP="003B58A7">
      <w:pPr>
        <w:jc w:val="center"/>
        <w:rPr>
          <w:b/>
        </w:rPr>
      </w:pPr>
    </w:p>
    <w:p w:rsidR="003B58A7" w:rsidRDefault="003B58A7" w:rsidP="003B58A7">
      <w:pPr>
        <w:spacing w:line="360" w:lineRule="auto"/>
      </w:pPr>
      <w:r>
        <w:rPr>
          <w:b/>
        </w:rPr>
        <w:t>BY THE COMMISSION:</w:t>
      </w:r>
    </w:p>
    <w:p w:rsidR="003B58A7" w:rsidRDefault="003B58A7" w:rsidP="003B58A7"/>
    <w:p w:rsidR="000F63B9" w:rsidRDefault="003B58A7" w:rsidP="003B58A7">
      <w:pPr>
        <w:spacing w:line="360" w:lineRule="auto"/>
        <w:sectPr w:rsidR="000F63B9" w:rsidSect="0001455A">
          <w:footerReference w:type="default" r:id="rId7"/>
          <w:pgSz w:w="12240" w:h="15840"/>
          <w:pgMar w:top="1440" w:right="1440" w:bottom="1440" w:left="1440" w:header="720" w:footer="720" w:gutter="0"/>
          <w:cols w:space="720"/>
          <w:docGrid w:linePitch="360"/>
        </w:sectPr>
      </w:pPr>
      <w:r>
        <w:tab/>
        <w:t xml:space="preserve">On </w:t>
      </w:r>
      <w:r w:rsidR="00A7171B">
        <w:t xml:space="preserve">July </w:t>
      </w:r>
      <w:r w:rsidR="00143A14">
        <w:t>31</w:t>
      </w:r>
      <w:r w:rsidR="00A7171B">
        <w:t>, 2009</w:t>
      </w:r>
      <w:r>
        <w:t>, the Law Bureau Prosecutory Staff filed a</w:t>
      </w:r>
      <w:r w:rsidR="00143A14">
        <w:t>n Amended</w:t>
      </w:r>
      <w:r>
        <w:t xml:space="preserve"> Formal Complaint against </w:t>
      </w:r>
      <w:r>
        <w:rPr>
          <w:noProof/>
        </w:rPr>
        <w:t xml:space="preserve">Able Co., </w:t>
      </w:r>
      <w:r w:rsidR="00143A14">
        <w:rPr>
          <w:noProof/>
        </w:rPr>
        <w:t>LTD</w:t>
      </w:r>
      <w:r>
        <w:rPr>
          <w:noProof/>
        </w:rPr>
        <w:t>.</w:t>
      </w:r>
      <w:r>
        <w:t xml:space="preserve"> (the Respondent), </w:t>
      </w:r>
      <w:r w:rsidRPr="003E5B2E">
        <w:rPr>
          <w:noProof/>
        </w:rPr>
        <w:t xml:space="preserve">a </w:t>
      </w:r>
      <w:r>
        <w:rPr>
          <w:noProof/>
        </w:rPr>
        <w:t xml:space="preserve">gas utility </w:t>
      </w:r>
      <w:r>
        <w:t>certificated at A</w:t>
      </w:r>
      <w:r>
        <w:noBreakHyphen/>
      </w:r>
      <w:r>
        <w:rPr>
          <w:noProof/>
        </w:rPr>
        <w:t>120025</w:t>
      </w:r>
      <w:r>
        <w:t xml:space="preserve">.  In the Complaint, Prosecutory Staff </w:t>
      </w:r>
      <w:r w:rsidR="007D066E">
        <w:t xml:space="preserve">charged </w:t>
      </w:r>
      <w:r w:rsidR="00F91A5E">
        <w:t xml:space="preserve">that the Respondent committed </w:t>
      </w:r>
      <w:r w:rsidR="00A7171B">
        <w:t>numerous violations of the Public Utility Code</w:t>
      </w:r>
      <w:r w:rsidR="00634BD4">
        <w:t>, the Commission’s regulations</w:t>
      </w:r>
      <w:r w:rsidR="00A7171B">
        <w:t xml:space="preserve"> and gas safety </w:t>
      </w:r>
      <w:r w:rsidR="00F91A5E">
        <w:t xml:space="preserve">regulations contained in </w:t>
      </w:r>
      <w:r w:rsidR="00A7171B">
        <w:t>the Code of Federal Regulations</w:t>
      </w:r>
      <w:r w:rsidR="00143A14">
        <w:t xml:space="preserve"> (CFR)</w:t>
      </w:r>
      <w:r w:rsidR="00A7171B">
        <w:t xml:space="preserve">.  </w:t>
      </w:r>
      <w:r w:rsidR="009078B7">
        <w:t xml:space="preserve">The CFR violations were </w:t>
      </w:r>
      <w:r w:rsidR="00104AE1">
        <w:t xml:space="preserve">discovered </w:t>
      </w:r>
      <w:r w:rsidR="009078B7">
        <w:t xml:space="preserve">during a gas safety inspection on September 9, 2003.  Since that time, the Respondent has yet to advise the Commission that it has </w:t>
      </w:r>
      <w:r w:rsidR="00701CE8">
        <w:t>completed any of the directives contained in the Gas Safety Division’s non-compliance letter.  In addition, th</w:t>
      </w:r>
      <w:r w:rsidR="004466CE">
        <w:t xml:space="preserve">e Formal </w:t>
      </w:r>
      <w:r w:rsidR="00701CE8">
        <w:t>Complaint alleged that the Re</w:t>
      </w:r>
      <w:r w:rsidR="0001517D">
        <w:t>s</w:t>
      </w:r>
      <w:r w:rsidR="00701CE8">
        <w:t xml:space="preserve">pondent has failed </w:t>
      </w:r>
      <w:r w:rsidR="006C2EF1">
        <w:t xml:space="preserve">to </w:t>
      </w:r>
      <w:r w:rsidR="0001517D">
        <w:t xml:space="preserve">pay outstanding assessments and has failed to file annual assessment reports since 1990.  </w:t>
      </w:r>
      <w:r w:rsidR="004466CE">
        <w:t xml:space="preserve">Lastly, </w:t>
      </w:r>
      <w:r w:rsidR="0001517D">
        <w:t xml:space="preserve">the </w:t>
      </w:r>
    </w:p>
    <w:p w:rsidR="00646CEC" w:rsidRDefault="0001517D" w:rsidP="003B58A7">
      <w:pPr>
        <w:spacing w:line="360" w:lineRule="auto"/>
      </w:pPr>
      <w:r>
        <w:lastRenderedPageBreak/>
        <w:t>Respondent has failed to file annual reports since 1995</w:t>
      </w:r>
      <w:r w:rsidR="00361723">
        <w:t xml:space="preserve"> and </w:t>
      </w:r>
      <w:r w:rsidR="00BA2DCF">
        <w:t xml:space="preserve">pay </w:t>
      </w:r>
      <w:r w:rsidR="00361723">
        <w:t xml:space="preserve">the accompanying </w:t>
      </w:r>
      <w:r w:rsidR="00BA2DCF">
        <w:t>penalties assessed in previous</w:t>
      </w:r>
      <w:r w:rsidR="00361723">
        <w:t xml:space="preserve"> default orders</w:t>
      </w:r>
      <w:r w:rsidR="00BA2DCF">
        <w:t xml:space="preserve"> relating to Respondent’s failure to file annual reports</w:t>
      </w:r>
      <w:r w:rsidR="00361723">
        <w:t xml:space="preserve">. </w:t>
      </w:r>
    </w:p>
    <w:p w:rsidR="00DB4AB4" w:rsidRDefault="00DB4AB4" w:rsidP="00646CEC">
      <w:pPr>
        <w:spacing w:line="360" w:lineRule="auto"/>
        <w:ind w:firstLine="720"/>
      </w:pPr>
    </w:p>
    <w:p w:rsidR="00F7455C" w:rsidRDefault="00761D4B" w:rsidP="00646CEC">
      <w:pPr>
        <w:spacing w:line="360" w:lineRule="auto"/>
        <w:ind w:firstLine="720"/>
      </w:pPr>
      <w:r>
        <w:t xml:space="preserve">As a result of Respondent’s numerous and persistent violations, Prosecutory Staff sought a </w:t>
      </w:r>
      <w:r w:rsidR="008A0110">
        <w:t xml:space="preserve">total </w:t>
      </w:r>
      <w:r>
        <w:t>civil penalty in the amount of $16</w:t>
      </w:r>
      <w:r w:rsidR="008A0110">
        <w:t>7</w:t>
      </w:r>
      <w:r>
        <w:t xml:space="preserve">,000 as well as </w:t>
      </w:r>
      <w:r w:rsidR="008A0110">
        <w:t>$3,</w:t>
      </w:r>
      <w:r w:rsidR="009C5F4B">
        <w:t>1</w:t>
      </w:r>
      <w:r w:rsidR="008A0110">
        <w:t>00 in outstanding penalties.  In addition</w:t>
      </w:r>
      <w:r w:rsidR="00324CAE">
        <w:t>,</w:t>
      </w:r>
      <w:r w:rsidR="008A0110">
        <w:t xml:space="preserve"> the Prosecutory Staff </w:t>
      </w:r>
      <w:r w:rsidR="00581864">
        <w:t xml:space="preserve">sought an order directing Respondent to </w:t>
      </w:r>
      <w:r>
        <w:t>fil</w:t>
      </w:r>
      <w:r w:rsidR="00581864">
        <w:t>e</w:t>
      </w:r>
      <w:r>
        <w:t xml:space="preserve"> all outstanding annual and assessment reports.  </w:t>
      </w:r>
      <w:r w:rsidR="00F7455C">
        <w:t xml:space="preserve">Respondent was given 20 days </w:t>
      </w:r>
      <w:r w:rsidR="00AA210C">
        <w:t>f</w:t>
      </w:r>
      <w:r w:rsidR="00F7455C">
        <w:t xml:space="preserve">rom the date of service </w:t>
      </w:r>
      <w:r w:rsidR="00AA210C">
        <w:t xml:space="preserve">of the Complaint </w:t>
      </w:r>
      <w:r w:rsidR="00F7455C">
        <w:t>to file its answer</w:t>
      </w:r>
      <w:r>
        <w:t>.</w:t>
      </w:r>
      <w:r w:rsidR="00F7455C">
        <w:t xml:space="preserve">  </w:t>
      </w:r>
    </w:p>
    <w:p w:rsidR="00E906F0" w:rsidRDefault="00E906F0" w:rsidP="00646CEC">
      <w:pPr>
        <w:spacing w:line="360" w:lineRule="auto"/>
        <w:ind w:firstLine="720"/>
      </w:pPr>
    </w:p>
    <w:p w:rsidR="00E906F0" w:rsidRDefault="00E906F0" w:rsidP="00646CEC">
      <w:pPr>
        <w:spacing w:line="360" w:lineRule="auto"/>
        <w:ind w:firstLine="720"/>
      </w:pPr>
      <w:r>
        <w:t xml:space="preserve">It is important to mention that in addition to the </w:t>
      </w:r>
      <w:r w:rsidR="00972295">
        <w:t xml:space="preserve">outstanding complaints and penalties mentioned in the </w:t>
      </w:r>
      <w:r w:rsidR="00505693">
        <w:t>F</w:t>
      </w:r>
      <w:r w:rsidR="00972295">
        <w:t xml:space="preserve">ormal Complaint, </w:t>
      </w:r>
      <w:r>
        <w:t>Respondent’s compliance history includes a Default Order at C-2008-</w:t>
      </w:r>
      <w:r w:rsidR="00972295">
        <w:t>2036244 which resulted in a $1,000 civil penalty for Respondent’s failure to file its 2006 Annual Report. In addition, at C-2009-2130646</w:t>
      </w:r>
      <w:r w:rsidR="00C82B9E">
        <w:t xml:space="preserve">, </w:t>
      </w:r>
      <w:r w:rsidR="00E5582D">
        <w:t xml:space="preserve">a Formal Complaint was instituted against Respondent for failure to file its 2007 annual Report.  The Commission first attempted to serve Respondent on September 17, 2009.  The </w:t>
      </w:r>
      <w:r w:rsidR="00505693">
        <w:t xml:space="preserve">Commission’s </w:t>
      </w:r>
      <w:r w:rsidR="00E5582D">
        <w:t>second attempt to re-serve R</w:t>
      </w:r>
      <w:r w:rsidR="00505693">
        <w:t>e</w:t>
      </w:r>
      <w:r w:rsidR="00E5582D">
        <w:t>spondent</w:t>
      </w:r>
      <w:r w:rsidR="00505693">
        <w:t xml:space="preserve"> is dated November 19, 2009.  </w:t>
      </w:r>
    </w:p>
    <w:p w:rsidR="00DB4AB4" w:rsidRDefault="00DB4AB4" w:rsidP="00F7455C">
      <w:pPr>
        <w:spacing w:line="360" w:lineRule="auto"/>
        <w:ind w:firstLine="720"/>
      </w:pPr>
    </w:p>
    <w:p w:rsidR="00E64426" w:rsidRDefault="00A95ED3" w:rsidP="00F7455C">
      <w:pPr>
        <w:spacing w:line="360" w:lineRule="auto"/>
        <w:ind w:firstLine="720"/>
      </w:pPr>
      <w:r>
        <w:t>On July 27, 2009, t</w:t>
      </w:r>
      <w:r w:rsidR="00F91A5E">
        <w:t>he Deputy Sheriff of Jefferson County made p</w:t>
      </w:r>
      <w:r w:rsidR="00AA210C">
        <w:t xml:space="preserve">ersonal service of the </w:t>
      </w:r>
      <w:r w:rsidR="00E64426">
        <w:t>C</w:t>
      </w:r>
      <w:r w:rsidR="00AA210C">
        <w:t xml:space="preserve">omplaint </w:t>
      </w:r>
      <w:r w:rsidR="00D538D4">
        <w:t xml:space="preserve">and Notice to Plead </w:t>
      </w:r>
      <w:r w:rsidR="00AA210C">
        <w:t xml:space="preserve">on Michael Harju, </w:t>
      </w:r>
      <w:r w:rsidR="005913F9">
        <w:t xml:space="preserve">chief executive officer </w:t>
      </w:r>
      <w:r w:rsidR="00581864">
        <w:t xml:space="preserve">and statutory agent </w:t>
      </w:r>
      <w:r w:rsidR="00AA210C">
        <w:t>of the Respondent.</w:t>
      </w:r>
      <w:r w:rsidR="007D066E">
        <w:t xml:space="preserve">  In addition, the Commission attempted to serve the Respondent by certified mail</w:t>
      </w:r>
      <w:r w:rsidR="00E6656A">
        <w:t xml:space="preserve"> on or about August 6, 2009</w:t>
      </w:r>
      <w:r w:rsidR="00DB4AB4">
        <w:t xml:space="preserve">, which </w:t>
      </w:r>
      <w:r w:rsidR="007D066E">
        <w:t>was returned unclaimed</w:t>
      </w:r>
      <w:r w:rsidR="00B90FBE">
        <w:t xml:space="preserve"> on September 2, 2009</w:t>
      </w:r>
      <w:r w:rsidR="007D066E">
        <w:t>.  The Commission then re</w:t>
      </w:r>
      <w:r w:rsidR="00581864">
        <w:noBreakHyphen/>
      </w:r>
      <w:r w:rsidR="007D066E">
        <w:t>se</w:t>
      </w:r>
      <w:r w:rsidR="00581864">
        <w:t>rved</w:t>
      </w:r>
      <w:r w:rsidR="007D066E">
        <w:t xml:space="preserve"> the Complaint to the Respondent by First Class Mail</w:t>
      </w:r>
      <w:r w:rsidR="00E6656A">
        <w:t xml:space="preserve"> on or about September 11, 2009</w:t>
      </w:r>
      <w:r w:rsidR="007D066E">
        <w:t xml:space="preserve">, which was not returned.  </w:t>
      </w:r>
    </w:p>
    <w:p w:rsidR="005913F9" w:rsidRDefault="005913F9" w:rsidP="00F7455C">
      <w:pPr>
        <w:spacing w:line="360" w:lineRule="auto"/>
        <w:ind w:firstLine="720"/>
      </w:pPr>
    </w:p>
    <w:p w:rsidR="00E906F0" w:rsidRDefault="00E906F0" w:rsidP="00F7455C">
      <w:pPr>
        <w:spacing w:line="360" w:lineRule="auto"/>
        <w:ind w:firstLine="720"/>
      </w:pPr>
      <w:r>
        <w:t xml:space="preserve">We note that the only address for Respondent on file with the Commission is a P.O. Box.  A physical address is not listed for Respondent.  Several Formal Complaints and Default Orders sent by certified mail to Respondent for various violations have been </w:t>
      </w:r>
      <w:r>
        <w:lastRenderedPageBreak/>
        <w:t>returned to the Commission by the post office as unclaimed. Th</w:t>
      </w:r>
      <w:r w:rsidR="00505693">
        <w:t xml:space="preserve">e fact that Respondent has a </w:t>
      </w:r>
      <w:r w:rsidR="00AA1806">
        <w:t xml:space="preserve">long </w:t>
      </w:r>
      <w:r w:rsidR="00505693">
        <w:t xml:space="preserve">history of </w:t>
      </w:r>
      <w:r w:rsidR="00AA1806">
        <w:t xml:space="preserve">refusing to claim certified mail necessitated </w:t>
      </w:r>
      <w:r>
        <w:t>personal service in this case.</w:t>
      </w:r>
    </w:p>
    <w:p w:rsidR="00E906F0" w:rsidRDefault="00E906F0" w:rsidP="00F7455C">
      <w:pPr>
        <w:spacing w:line="360" w:lineRule="auto"/>
        <w:ind w:firstLine="720"/>
      </w:pPr>
    </w:p>
    <w:p w:rsidR="005913F9" w:rsidRDefault="005913F9" w:rsidP="00F7455C">
      <w:pPr>
        <w:spacing w:line="360" w:lineRule="auto"/>
        <w:ind w:firstLine="720"/>
      </w:pPr>
      <w:r>
        <w:t>To date, more than 20 days have passed</w:t>
      </w:r>
      <w:r w:rsidR="0013044E">
        <w:t xml:space="preserve"> since service of the Complaint.  No answer </w:t>
      </w:r>
      <w:r w:rsidR="00D538D4">
        <w:t xml:space="preserve">to the Complaint </w:t>
      </w:r>
      <w:r w:rsidR="0013044E">
        <w:t>has been filed.  No civil penalties or assessments have been paid and no annual or assessment reports have been filed</w:t>
      </w:r>
      <w:r w:rsidR="00D538D4">
        <w:t xml:space="preserve"> on behalf of the Respondent</w:t>
      </w:r>
      <w:r w:rsidR="0013044E">
        <w:t>.</w:t>
      </w:r>
      <w:r w:rsidR="004466CE">
        <w:t xml:space="preserve">  Accordingly, a </w:t>
      </w:r>
      <w:r w:rsidR="00FC4085">
        <w:t xml:space="preserve">Tentative </w:t>
      </w:r>
      <w:r w:rsidR="004466CE">
        <w:t xml:space="preserve">Default Order </w:t>
      </w:r>
      <w:r w:rsidR="00E131D9">
        <w:t xml:space="preserve">sustaining </w:t>
      </w:r>
      <w:r w:rsidR="004466CE">
        <w:t xml:space="preserve">Prosecutory Staff’s </w:t>
      </w:r>
      <w:r w:rsidR="00D538D4">
        <w:t xml:space="preserve">Amended </w:t>
      </w:r>
      <w:r w:rsidR="00E131D9">
        <w:t>Formal Complaint and granting the requested remedy is appropriate in this case.</w:t>
      </w:r>
      <w:r w:rsidR="004466CE">
        <w:t xml:space="preserve"> </w:t>
      </w:r>
      <w:r w:rsidR="0013044E">
        <w:t xml:space="preserve"> </w:t>
      </w:r>
    </w:p>
    <w:p w:rsidR="003D7808" w:rsidRDefault="003D7808" w:rsidP="00F7455C">
      <w:pPr>
        <w:spacing w:line="360" w:lineRule="auto"/>
        <w:ind w:firstLine="720"/>
      </w:pPr>
    </w:p>
    <w:p w:rsidR="003D7808" w:rsidRDefault="003D7808" w:rsidP="003D7808">
      <w:pPr>
        <w:spacing w:line="360" w:lineRule="auto"/>
        <w:ind w:firstLine="720"/>
      </w:pPr>
      <w:r>
        <w:t>The Commission puts the industry on notice that we will not hesitate to invoke our authority under the Public Utility Code to ensure timely compliance with our regulations and orders including the ordering of such other remedy as the Commission may deem appropriate.  66 Pa.C.S. §§</w:t>
      </w:r>
      <w:r w:rsidR="00A54971">
        <w:t xml:space="preserve"> </w:t>
      </w:r>
      <w:r>
        <w:t>504, 505, 506, and 3301.  Based on Respondent’s failure to file an answer to the Complaint or file its outstanding annual and assessment reports, we conclude that a civil penalty in the amount of $1</w:t>
      </w:r>
      <w:r w:rsidR="001651BE">
        <w:t>70</w:t>
      </w:r>
      <w:r>
        <w:t>,</w:t>
      </w:r>
      <w:r w:rsidR="001651BE">
        <w:t>1</w:t>
      </w:r>
      <w:r>
        <w:t>00 is in the public interest.  Furthermore, the Commission may take other appropriate action, including the imposition of further penalties under Section 3301</w:t>
      </w:r>
      <w:r w:rsidR="00A54971">
        <w:t xml:space="preserve"> of the Pennsylvania Public Utility Code</w:t>
      </w:r>
      <w:r>
        <w:t xml:space="preserve">, if Respondent seeks relief from this Default Order; </w:t>
      </w:r>
      <w:r>
        <w:rPr>
          <w:b/>
        </w:rPr>
        <w:t>THEREFORE</w:t>
      </w:r>
      <w:r>
        <w:t>,</w:t>
      </w:r>
    </w:p>
    <w:p w:rsidR="00A54971" w:rsidRDefault="00A54971" w:rsidP="003D7808">
      <w:pPr>
        <w:spacing w:line="360" w:lineRule="auto"/>
        <w:ind w:firstLine="720"/>
      </w:pPr>
    </w:p>
    <w:p w:rsidR="003D7808" w:rsidRDefault="003D7808" w:rsidP="005D6A84">
      <w:pPr>
        <w:spacing w:line="360" w:lineRule="auto"/>
        <w:ind w:firstLine="720"/>
      </w:pPr>
      <w:r>
        <w:rPr>
          <w:b/>
        </w:rPr>
        <w:t>IT IS ORDERED</w:t>
      </w:r>
      <w:r>
        <w:t>:</w:t>
      </w:r>
    </w:p>
    <w:p w:rsidR="00A54971" w:rsidRDefault="00A54971" w:rsidP="003D7808">
      <w:pPr>
        <w:spacing w:line="360" w:lineRule="auto"/>
      </w:pPr>
    </w:p>
    <w:p w:rsidR="003D7808" w:rsidRDefault="003D7808" w:rsidP="003D7808">
      <w:pPr>
        <w:spacing w:line="360" w:lineRule="auto"/>
      </w:pPr>
      <w:r>
        <w:tab/>
        <w:t xml:space="preserve">1.   That the allegations in the Law Bureau Prosecutory Staff’s </w:t>
      </w:r>
      <w:r w:rsidR="00A54971">
        <w:t xml:space="preserve">Amended Formal </w:t>
      </w:r>
      <w:r>
        <w:t xml:space="preserve">Complaint </w:t>
      </w:r>
      <w:r w:rsidR="00A54971">
        <w:t>filed on July 31, 200</w:t>
      </w:r>
      <w:r w:rsidR="00FE13E5">
        <w:t>9</w:t>
      </w:r>
      <w:r w:rsidR="00A54971">
        <w:t xml:space="preserve">, </w:t>
      </w:r>
      <w:r>
        <w:t xml:space="preserve">are deemed admitted and the </w:t>
      </w:r>
      <w:r w:rsidR="00A54971">
        <w:t xml:space="preserve">said </w:t>
      </w:r>
      <w:r>
        <w:t>Complaint is thereby sustained.</w:t>
      </w:r>
    </w:p>
    <w:p w:rsidR="003D7808" w:rsidRDefault="003D7808" w:rsidP="003D7808"/>
    <w:p w:rsidR="0046503E" w:rsidRDefault="003D7808" w:rsidP="00A54971">
      <w:pPr>
        <w:spacing w:line="360" w:lineRule="auto"/>
      </w:pPr>
      <w:r>
        <w:tab/>
        <w:t>2.</w:t>
      </w:r>
      <w:r>
        <w:tab/>
        <w:t xml:space="preserve">That </w:t>
      </w:r>
      <w:r>
        <w:rPr>
          <w:noProof/>
        </w:rPr>
        <w:t xml:space="preserve">Able Co., </w:t>
      </w:r>
      <w:r w:rsidR="00A54971">
        <w:rPr>
          <w:noProof/>
        </w:rPr>
        <w:t>LTD</w:t>
      </w:r>
      <w:r>
        <w:rPr>
          <w:noProof/>
        </w:rPr>
        <w:t>.</w:t>
      </w:r>
      <w:r>
        <w:t xml:space="preserve"> is hereby directed to file </w:t>
      </w:r>
      <w:r w:rsidR="001651BE">
        <w:t xml:space="preserve">all of </w:t>
      </w:r>
      <w:r>
        <w:t xml:space="preserve">its </w:t>
      </w:r>
      <w:r w:rsidR="0046503E">
        <w:t>outstanding annual and assessment r</w:t>
      </w:r>
      <w:r>
        <w:t>eport</w:t>
      </w:r>
      <w:r w:rsidR="0046503E">
        <w:t>s.</w:t>
      </w:r>
    </w:p>
    <w:p w:rsidR="00A54971" w:rsidRDefault="00A54971" w:rsidP="00A54971">
      <w:pPr>
        <w:spacing w:line="360" w:lineRule="auto"/>
      </w:pPr>
    </w:p>
    <w:p w:rsidR="000D3F15" w:rsidRDefault="0046503E" w:rsidP="00A54971">
      <w:pPr>
        <w:spacing w:line="360" w:lineRule="auto"/>
        <w:ind w:firstLine="720"/>
      </w:pPr>
      <w:r>
        <w:lastRenderedPageBreak/>
        <w:t>3.</w:t>
      </w:r>
      <w:r>
        <w:tab/>
        <w:t xml:space="preserve">That Able Co., </w:t>
      </w:r>
      <w:r w:rsidR="00A54971">
        <w:t>LTD</w:t>
      </w:r>
      <w:r>
        <w:t>. is hereby directed to pay the outstanding fine</w:t>
      </w:r>
      <w:r w:rsidR="000D3F15">
        <w:t>s instituted at C-20027732, C-20066097 and C-20077707</w:t>
      </w:r>
      <w:r>
        <w:t xml:space="preserve"> in the amount of $3,000.  Said payment shall be made by certified check </w:t>
      </w:r>
      <w:r w:rsidR="00803B9C">
        <w:t xml:space="preserve">payable </w:t>
      </w:r>
      <w:r>
        <w:t xml:space="preserve">to the Commonwealth of Pennsylvania and presented to the Commission </w:t>
      </w:r>
      <w:r w:rsidR="000D3F15">
        <w:t>within (20) twenty days of the date of the entry date of the Commission’s order.</w:t>
      </w:r>
    </w:p>
    <w:p w:rsidR="00A54971" w:rsidRDefault="00A54971" w:rsidP="00A54971">
      <w:pPr>
        <w:spacing w:line="360" w:lineRule="auto"/>
        <w:ind w:firstLine="720"/>
      </w:pPr>
    </w:p>
    <w:p w:rsidR="007B6302" w:rsidRDefault="000D3F15" w:rsidP="00A54971">
      <w:pPr>
        <w:spacing w:line="360" w:lineRule="auto"/>
        <w:ind w:firstLine="720"/>
      </w:pPr>
      <w:r>
        <w:t>4.</w:t>
      </w:r>
      <w:r>
        <w:tab/>
        <w:t xml:space="preserve">That Able Co., </w:t>
      </w:r>
      <w:r w:rsidR="00A54971">
        <w:t>LTD</w:t>
      </w:r>
      <w:r>
        <w:t xml:space="preserve">. is hereby directed to pay a civil penalty in the amount of $3,000 for failure to file its annual assessment reports since 1990 in violation of </w:t>
      </w:r>
    </w:p>
    <w:p w:rsidR="0065647D" w:rsidRDefault="000D3F15">
      <w:pPr>
        <w:spacing w:line="360" w:lineRule="auto"/>
      </w:pPr>
      <w:r>
        <w:t xml:space="preserve">66 </w:t>
      </w:r>
      <w:r w:rsidR="00803B9C">
        <w:t>P</w:t>
      </w:r>
      <w:r>
        <w:t>a.C.</w:t>
      </w:r>
      <w:r w:rsidR="00803B9C">
        <w:t>S</w:t>
      </w:r>
      <w:r>
        <w:t>. § 501(</w:t>
      </w:r>
      <w:r w:rsidR="00803B9C">
        <w:t>c)</w:t>
      </w:r>
      <w:r>
        <w:t>.</w:t>
      </w:r>
      <w:r w:rsidR="00803B9C">
        <w:t xml:space="preserve">  Said payment shall be made by certified check payable to the Commonwealth of Pennsylvania and presented to the Commission within (20) twenty days of the date of the entry date of the Commission’s order.</w:t>
      </w:r>
    </w:p>
    <w:p w:rsidR="00A54971" w:rsidRDefault="00A54971" w:rsidP="00A54971">
      <w:pPr>
        <w:spacing w:line="360" w:lineRule="auto"/>
        <w:ind w:firstLine="720"/>
      </w:pPr>
    </w:p>
    <w:p w:rsidR="00A54971" w:rsidRDefault="00803B9C" w:rsidP="00A54971">
      <w:pPr>
        <w:spacing w:line="360" w:lineRule="auto"/>
        <w:ind w:firstLine="720"/>
      </w:pPr>
      <w:r>
        <w:t>5.</w:t>
      </w:r>
      <w:r>
        <w:tab/>
        <w:t>That Able Co.,</w:t>
      </w:r>
      <w:r w:rsidR="00A54971">
        <w:t xml:space="preserve"> LTD.</w:t>
      </w:r>
      <w:r>
        <w:t xml:space="preserve"> is hereby directed to pay a civil penalty in the amount of $3,000 for failure to file its annual reports since 1995 in violation of 66 Pa.C.S. § 504.  Said payment shall be made by certified check payable to the Commonwealth of Pennsylvania and presented to the Commission within (20) twenty days of the date of the entry date of the Commission’s order. </w:t>
      </w:r>
    </w:p>
    <w:p w:rsidR="003547FD" w:rsidRDefault="003547FD" w:rsidP="00A54971">
      <w:pPr>
        <w:spacing w:line="360" w:lineRule="auto"/>
        <w:ind w:firstLine="720"/>
      </w:pPr>
    </w:p>
    <w:p w:rsidR="003D7808" w:rsidRDefault="003547FD" w:rsidP="00A54971">
      <w:pPr>
        <w:spacing w:line="360" w:lineRule="auto"/>
        <w:ind w:firstLine="720"/>
      </w:pPr>
      <w:r>
        <w:t>6.</w:t>
      </w:r>
      <w:r>
        <w:tab/>
        <w:t>That Able Co.,</w:t>
      </w:r>
      <w:r w:rsidR="00A54971">
        <w:t xml:space="preserve"> LTD.</w:t>
      </w:r>
      <w:r>
        <w:t xml:space="preserve"> is hereby directed to pay a civil penalty in </w:t>
      </w:r>
      <w:r w:rsidR="003D7808">
        <w:t xml:space="preserve">the amount of $1,000 </w:t>
      </w:r>
      <w:r>
        <w:t>for failure to comply with a Commission order directing payment of a penalty in the amount of $100 at C-00014930 in violation of 66 Pa.C.S. §</w:t>
      </w:r>
      <w:r w:rsidR="00727F2C">
        <w:t>§</w:t>
      </w:r>
      <w:r>
        <w:t xml:space="preserve"> </w:t>
      </w:r>
      <w:r w:rsidR="00BD458F">
        <w:t xml:space="preserve"> </w:t>
      </w:r>
      <w:r>
        <w:t>510</w:t>
      </w:r>
      <w:r w:rsidR="00727F2C">
        <w:t>(c) and 3301.  Said payment shall be made by certified check payable to the Commonwealth of Pennsylvania and presented to the Commission within (20) twenty days of the date of the entry date of the Commission’s order.</w:t>
      </w:r>
    </w:p>
    <w:p w:rsidR="009C5F4B" w:rsidRDefault="009C5F4B" w:rsidP="00A54971">
      <w:pPr>
        <w:spacing w:line="360" w:lineRule="auto"/>
        <w:ind w:firstLine="720"/>
      </w:pPr>
    </w:p>
    <w:p w:rsidR="009C5F4B" w:rsidRDefault="009C5F4B" w:rsidP="00A54971">
      <w:pPr>
        <w:spacing w:line="360" w:lineRule="auto"/>
        <w:ind w:firstLine="720"/>
      </w:pPr>
      <w:r>
        <w:t>7.</w:t>
      </w:r>
      <w:r>
        <w:tab/>
        <w:t xml:space="preserve">That Able Co., LTD. is hereby directed to pay a civil penalty in the amount of $160,000 </w:t>
      </w:r>
      <w:r w:rsidR="00A40D89">
        <w:t xml:space="preserve">for the various violations to the Commission’s </w:t>
      </w:r>
      <w:r w:rsidR="00570524">
        <w:t xml:space="preserve">Gas Service </w:t>
      </w:r>
      <w:r w:rsidR="00A40D89">
        <w:t xml:space="preserve">regulations </w:t>
      </w:r>
      <w:r w:rsidR="00570524">
        <w:t>committed by Able Co., LTD as delineated in the Amended Formal Complaint filed under this Docket.</w:t>
      </w:r>
    </w:p>
    <w:p w:rsidR="00001FAF" w:rsidRDefault="00570524" w:rsidP="00A54971">
      <w:pPr>
        <w:spacing w:line="360" w:lineRule="auto"/>
        <w:ind w:firstLine="720"/>
      </w:pPr>
      <w:r>
        <w:lastRenderedPageBreak/>
        <w:t>8</w:t>
      </w:r>
      <w:r w:rsidR="00001FAF">
        <w:t>.</w:t>
      </w:r>
      <w:r w:rsidR="00001FAF">
        <w:tab/>
        <w:t xml:space="preserve">That the total civil penalty that Able Co., </w:t>
      </w:r>
      <w:r>
        <w:t>LTD</w:t>
      </w:r>
      <w:r w:rsidR="00001FAF">
        <w:t>. is directed to remit to the Commonwealth of Pennsylvania is $170,100.</w:t>
      </w:r>
    </w:p>
    <w:p w:rsidR="00570524" w:rsidRDefault="00570524" w:rsidP="00A54971">
      <w:pPr>
        <w:spacing w:line="360" w:lineRule="auto"/>
        <w:ind w:firstLine="720"/>
      </w:pPr>
    </w:p>
    <w:p w:rsidR="003D7808" w:rsidRDefault="00570524" w:rsidP="00A54971">
      <w:pPr>
        <w:spacing w:line="360" w:lineRule="auto"/>
        <w:ind w:firstLine="720"/>
      </w:pPr>
      <w:r>
        <w:t>9</w:t>
      </w:r>
      <w:r w:rsidR="00727F2C">
        <w:t>.</w:t>
      </w:r>
      <w:r w:rsidR="00EE3B37">
        <w:tab/>
      </w:r>
      <w:r w:rsidR="00727F2C">
        <w:t xml:space="preserve">That Able Co., </w:t>
      </w:r>
      <w:r>
        <w:t>LTD</w:t>
      </w:r>
      <w:r w:rsidR="00727F2C">
        <w:t xml:space="preserve">. may not claim or include any amounts imposed under this </w:t>
      </w:r>
      <w:r w:rsidR="00EE3B37">
        <w:t xml:space="preserve">Default Order </w:t>
      </w:r>
      <w:r w:rsidR="00727F2C">
        <w:t>as a recoverable expense in any future rate proceeding.</w:t>
      </w:r>
    </w:p>
    <w:p w:rsidR="00570524" w:rsidRDefault="00570524" w:rsidP="00A54971">
      <w:pPr>
        <w:spacing w:line="360" w:lineRule="auto"/>
        <w:ind w:firstLine="720"/>
      </w:pPr>
    </w:p>
    <w:p w:rsidR="003D7808" w:rsidRDefault="003D7808" w:rsidP="00A54971">
      <w:pPr>
        <w:spacing w:line="360" w:lineRule="auto"/>
      </w:pPr>
      <w:r>
        <w:tab/>
      </w:r>
      <w:r w:rsidR="00570524">
        <w:t>10</w:t>
      </w:r>
      <w:r>
        <w:t xml:space="preserve">.   </w:t>
      </w:r>
      <w:r w:rsidR="00EE3B37">
        <w:tab/>
      </w:r>
      <w:r>
        <w:t xml:space="preserve">That the Secretary serve a copy of this Default Order upon the Office of Consumer Advocate, the Office of Small Business Advocate, the Office of Trial Staff, and the Attorney General’s Bureau of Consumer Protection, and also cause a copy of this Default Order to be published in the </w:t>
      </w:r>
      <w:r>
        <w:rPr>
          <w:i/>
        </w:rPr>
        <w:t>Pennsylvania Bulletin</w:t>
      </w:r>
      <w:r>
        <w:t xml:space="preserve"> with a 20-day comment period.</w:t>
      </w:r>
    </w:p>
    <w:p w:rsidR="00AA1806" w:rsidRDefault="00AA1806" w:rsidP="00A54971">
      <w:pPr>
        <w:spacing w:line="360" w:lineRule="auto"/>
      </w:pPr>
    </w:p>
    <w:p w:rsidR="003D7808" w:rsidRDefault="00001FAF" w:rsidP="00A54971">
      <w:pPr>
        <w:spacing w:line="360" w:lineRule="auto"/>
      </w:pPr>
      <w:r>
        <w:tab/>
      </w:r>
      <w:r w:rsidR="0061557F">
        <w:t>11</w:t>
      </w:r>
      <w:r>
        <w:t>.</w:t>
      </w:r>
      <w:r>
        <w:tab/>
        <w:t xml:space="preserve">That if no objection </w:t>
      </w:r>
      <w:r w:rsidR="001C1A1F">
        <w:t xml:space="preserve">or comments are filed with the Commission </w:t>
      </w:r>
      <w:r w:rsidR="0061557F">
        <w:t xml:space="preserve">under this Docket </w:t>
      </w:r>
      <w:r w:rsidR="001C1A1F">
        <w:t xml:space="preserve">within the 20-day comment period, the Default Order shall become final. </w:t>
      </w:r>
    </w:p>
    <w:p w:rsidR="00A9175D" w:rsidRDefault="005103E0" w:rsidP="003D7808">
      <w:pPr>
        <w:spacing w:line="360" w:lineRule="auto"/>
      </w:pPr>
      <w:r>
        <w:rPr>
          <w:noProof/>
        </w:rPr>
        <w:drawing>
          <wp:anchor distT="0" distB="0" distL="114300" distR="114300" simplePos="0" relativeHeight="251658240" behindDoc="1" locked="0" layoutInCell="1" allowOverlap="1">
            <wp:simplePos x="0" y="0"/>
            <wp:positionH relativeFrom="column">
              <wp:posOffset>2733675</wp:posOffset>
            </wp:positionH>
            <wp:positionV relativeFrom="paragraph">
              <wp:posOffset>166370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3D7808" w:rsidRPr="005D6A84" w:rsidRDefault="003D7808" w:rsidP="003D7808">
      <w:pPr>
        <w:spacing w:line="480" w:lineRule="auto"/>
        <w:rPr>
          <w:b/>
        </w:rPr>
      </w:pPr>
      <w:r>
        <w:tab/>
      </w:r>
      <w:r>
        <w:tab/>
      </w:r>
      <w:r>
        <w:tab/>
      </w:r>
      <w:r>
        <w:tab/>
      </w:r>
      <w:r>
        <w:tab/>
      </w:r>
      <w:r>
        <w:tab/>
      </w:r>
      <w:r>
        <w:tab/>
      </w:r>
      <w:r w:rsidRPr="005D6A84">
        <w:rPr>
          <w:b/>
        </w:rPr>
        <w:t>BY THE COMMISSION,</w:t>
      </w:r>
    </w:p>
    <w:p w:rsidR="003D7808" w:rsidRDefault="003D7808" w:rsidP="003D7808"/>
    <w:p w:rsidR="003D7808" w:rsidRDefault="003D7808" w:rsidP="003D7808"/>
    <w:p w:rsidR="003D7808" w:rsidRDefault="003D7808" w:rsidP="003D7808">
      <w:r>
        <w:tab/>
      </w:r>
      <w:r>
        <w:tab/>
      </w:r>
      <w:r>
        <w:tab/>
      </w:r>
      <w:r>
        <w:tab/>
      </w:r>
      <w:r>
        <w:tab/>
      </w:r>
      <w:r>
        <w:tab/>
      </w:r>
      <w:r>
        <w:tab/>
        <w:t>James J. McNulty</w:t>
      </w:r>
    </w:p>
    <w:p w:rsidR="003D7808" w:rsidRDefault="003D7808" w:rsidP="003D7808">
      <w:r>
        <w:tab/>
      </w:r>
      <w:r>
        <w:tab/>
      </w:r>
      <w:r>
        <w:tab/>
      </w:r>
      <w:r>
        <w:tab/>
      </w:r>
      <w:r>
        <w:tab/>
      </w:r>
      <w:r>
        <w:tab/>
      </w:r>
      <w:r>
        <w:tab/>
        <w:t>Secretary</w:t>
      </w:r>
    </w:p>
    <w:p w:rsidR="00BD458F" w:rsidRDefault="00BD458F" w:rsidP="003D7808"/>
    <w:p w:rsidR="00BD458F" w:rsidRDefault="00BD458F" w:rsidP="003D7808"/>
    <w:p w:rsidR="00BD458F" w:rsidRDefault="00BD458F" w:rsidP="003D7808"/>
    <w:p w:rsidR="00BD458F" w:rsidRDefault="00BD458F" w:rsidP="003D7808"/>
    <w:p w:rsidR="003D7808" w:rsidRDefault="003D7808" w:rsidP="003D7808">
      <w:r>
        <w:t>(SEAL)</w:t>
      </w:r>
    </w:p>
    <w:p w:rsidR="003D7808" w:rsidRDefault="003D7808" w:rsidP="003D7808"/>
    <w:p w:rsidR="003D7808" w:rsidRDefault="003D7808" w:rsidP="00A9175D">
      <w:r>
        <w:t>ORDER ADOPTED:  January 14, 2010</w:t>
      </w:r>
    </w:p>
    <w:p w:rsidR="003D7808" w:rsidRDefault="003D7808" w:rsidP="00A9175D"/>
    <w:p w:rsidR="00E64426" w:rsidRDefault="003D7808" w:rsidP="00A9175D">
      <w:r>
        <w:t xml:space="preserve">ORDER ENTERED:  </w:t>
      </w:r>
      <w:r w:rsidR="005103E0">
        <w:t>January 15, 2010</w:t>
      </w:r>
    </w:p>
    <w:sectPr w:rsidR="00E64426" w:rsidSect="0001455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3DF" w:rsidRDefault="006033DF" w:rsidP="000F63B9">
      <w:r>
        <w:separator/>
      </w:r>
    </w:p>
  </w:endnote>
  <w:endnote w:type="continuationSeparator" w:id="0">
    <w:p w:rsidR="006033DF" w:rsidRDefault="006033DF" w:rsidP="000F6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2D" w:rsidRDefault="00E5582D">
    <w:pPr>
      <w:pStyle w:val="Footer"/>
      <w:jc w:val="center"/>
    </w:pPr>
  </w:p>
  <w:p w:rsidR="00E5582D" w:rsidRDefault="00E558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69611"/>
      <w:docPartObj>
        <w:docPartGallery w:val="Page Numbers (Bottom of Page)"/>
        <w:docPartUnique/>
      </w:docPartObj>
    </w:sdtPr>
    <w:sdtContent>
      <w:p w:rsidR="00E5582D" w:rsidRDefault="00DE6A92">
        <w:pPr>
          <w:pStyle w:val="Footer"/>
          <w:jc w:val="center"/>
        </w:pPr>
        <w:fldSimple w:instr=" PAGE   \* MERGEFORMAT ">
          <w:r w:rsidR="005103E0">
            <w:rPr>
              <w:noProof/>
            </w:rPr>
            <w:t>5</w:t>
          </w:r>
        </w:fldSimple>
      </w:p>
    </w:sdtContent>
  </w:sdt>
  <w:p w:rsidR="00E5582D" w:rsidRDefault="00E55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3DF" w:rsidRDefault="006033DF" w:rsidP="000F63B9">
      <w:r>
        <w:separator/>
      </w:r>
    </w:p>
  </w:footnote>
  <w:footnote w:type="continuationSeparator" w:id="0">
    <w:p w:rsidR="006033DF" w:rsidRDefault="006033DF" w:rsidP="000F63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B58A7"/>
    <w:rsid w:val="00001FAF"/>
    <w:rsid w:val="0001455A"/>
    <w:rsid w:val="00014A06"/>
    <w:rsid w:val="00014B84"/>
    <w:rsid w:val="0001517D"/>
    <w:rsid w:val="0001549C"/>
    <w:rsid w:val="00021F66"/>
    <w:rsid w:val="000244B5"/>
    <w:rsid w:val="000401FC"/>
    <w:rsid w:val="000412EE"/>
    <w:rsid w:val="00055FCF"/>
    <w:rsid w:val="000629DA"/>
    <w:rsid w:val="00062BA2"/>
    <w:rsid w:val="00062CFF"/>
    <w:rsid w:val="000642DA"/>
    <w:rsid w:val="000666B1"/>
    <w:rsid w:val="00067FDF"/>
    <w:rsid w:val="00082DF6"/>
    <w:rsid w:val="00083BAE"/>
    <w:rsid w:val="00086A8F"/>
    <w:rsid w:val="0009039F"/>
    <w:rsid w:val="0009207B"/>
    <w:rsid w:val="000A4F02"/>
    <w:rsid w:val="000A50A6"/>
    <w:rsid w:val="000B391B"/>
    <w:rsid w:val="000B43C9"/>
    <w:rsid w:val="000C06C4"/>
    <w:rsid w:val="000C0B17"/>
    <w:rsid w:val="000D1912"/>
    <w:rsid w:val="000D3F15"/>
    <w:rsid w:val="000D6C5C"/>
    <w:rsid w:val="000E4702"/>
    <w:rsid w:val="000F45BB"/>
    <w:rsid w:val="000F58A9"/>
    <w:rsid w:val="000F63B9"/>
    <w:rsid w:val="00104AE1"/>
    <w:rsid w:val="00107290"/>
    <w:rsid w:val="00110F1E"/>
    <w:rsid w:val="001151E1"/>
    <w:rsid w:val="001164BC"/>
    <w:rsid w:val="00121091"/>
    <w:rsid w:val="001269DC"/>
    <w:rsid w:val="00127240"/>
    <w:rsid w:val="0013044E"/>
    <w:rsid w:val="00132393"/>
    <w:rsid w:val="00133F48"/>
    <w:rsid w:val="00143A14"/>
    <w:rsid w:val="001639B3"/>
    <w:rsid w:val="00163B2A"/>
    <w:rsid w:val="001651BE"/>
    <w:rsid w:val="0018768B"/>
    <w:rsid w:val="00197871"/>
    <w:rsid w:val="001A092A"/>
    <w:rsid w:val="001A1576"/>
    <w:rsid w:val="001A172C"/>
    <w:rsid w:val="001A2460"/>
    <w:rsid w:val="001C0C71"/>
    <w:rsid w:val="001C1A1F"/>
    <w:rsid w:val="001C5E39"/>
    <w:rsid w:val="001E2E8C"/>
    <w:rsid w:val="001E2F3B"/>
    <w:rsid w:val="001E37C6"/>
    <w:rsid w:val="001E421D"/>
    <w:rsid w:val="001E61C9"/>
    <w:rsid w:val="001E7C71"/>
    <w:rsid w:val="002200DD"/>
    <w:rsid w:val="002251EE"/>
    <w:rsid w:val="002252EC"/>
    <w:rsid w:val="0022792E"/>
    <w:rsid w:val="00237E02"/>
    <w:rsid w:val="0024125C"/>
    <w:rsid w:val="002444B0"/>
    <w:rsid w:val="0025066D"/>
    <w:rsid w:val="0026254A"/>
    <w:rsid w:val="00265052"/>
    <w:rsid w:val="00266240"/>
    <w:rsid w:val="00267B7D"/>
    <w:rsid w:val="00270D46"/>
    <w:rsid w:val="00271104"/>
    <w:rsid w:val="002722F5"/>
    <w:rsid w:val="00274DDF"/>
    <w:rsid w:val="00284C7E"/>
    <w:rsid w:val="00294A7B"/>
    <w:rsid w:val="002A4D78"/>
    <w:rsid w:val="002B77FC"/>
    <w:rsid w:val="002C225D"/>
    <w:rsid w:val="002C35A4"/>
    <w:rsid w:val="002D2FE4"/>
    <w:rsid w:val="002D6ED9"/>
    <w:rsid w:val="002E323E"/>
    <w:rsid w:val="002F10BE"/>
    <w:rsid w:val="002F38F0"/>
    <w:rsid w:val="002F4D65"/>
    <w:rsid w:val="003046D9"/>
    <w:rsid w:val="00315C28"/>
    <w:rsid w:val="00324CAE"/>
    <w:rsid w:val="00325EDA"/>
    <w:rsid w:val="003279C6"/>
    <w:rsid w:val="003547FD"/>
    <w:rsid w:val="00356250"/>
    <w:rsid w:val="00361723"/>
    <w:rsid w:val="0036462A"/>
    <w:rsid w:val="0036644E"/>
    <w:rsid w:val="00370D42"/>
    <w:rsid w:val="00375781"/>
    <w:rsid w:val="00377DF6"/>
    <w:rsid w:val="003802C3"/>
    <w:rsid w:val="00384AC1"/>
    <w:rsid w:val="0038734E"/>
    <w:rsid w:val="003A6E04"/>
    <w:rsid w:val="003B0018"/>
    <w:rsid w:val="003B01C1"/>
    <w:rsid w:val="003B57A3"/>
    <w:rsid w:val="003B58A7"/>
    <w:rsid w:val="003C199A"/>
    <w:rsid w:val="003D0BB0"/>
    <w:rsid w:val="003D143E"/>
    <w:rsid w:val="003D2191"/>
    <w:rsid w:val="003D6462"/>
    <w:rsid w:val="003D7808"/>
    <w:rsid w:val="003E32B5"/>
    <w:rsid w:val="003E4DAC"/>
    <w:rsid w:val="003E516D"/>
    <w:rsid w:val="003F50B2"/>
    <w:rsid w:val="004008DE"/>
    <w:rsid w:val="00401C98"/>
    <w:rsid w:val="00405B70"/>
    <w:rsid w:val="004127C2"/>
    <w:rsid w:val="00413F40"/>
    <w:rsid w:val="00424F1B"/>
    <w:rsid w:val="004277A8"/>
    <w:rsid w:val="00431EBD"/>
    <w:rsid w:val="00433BB6"/>
    <w:rsid w:val="004466CE"/>
    <w:rsid w:val="0045470C"/>
    <w:rsid w:val="00460781"/>
    <w:rsid w:val="0046503E"/>
    <w:rsid w:val="004671D0"/>
    <w:rsid w:val="00474DF2"/>
    <w:rsid w:val="004811E2"/>
    <w:rsid w:val="00485890"/>
    <w:rsid w:val="00486108"/>
    <w:rsid w:val="00487D79"/>
    <w:rsid w:val="00491103"/>
    <w:rsid w:val="00495626"/>
    <w:rsid w:val="004A6AB7"/>
    <w:rsid w:val="004A6C8A"/>
    <w:rsid w:val="004C1875"/>
    <w:rsid w:val="004D1C2E"/>
    <w:rsid w:val="004D5381"/>
    <w:rsid w:val="004F133D"/>
    <w:rsid w:val="00505693"/>
    <w:rsid w:val="005071EF"/>
    <w:rsid w:val="005103E0"/>
    <w:rsid w:val="005121AF"/>
    <w:rsid w:val="00512BC1"/>
    <w:rsid w:val="0051746D"/>
    <w:rsid w:val="00517881"/>
    <w:rsid w:val="00520A99"/>
    <w:rsid w:val="00522509"/>
    <w:rsid w:val="00523567"/>
    <w:rsid w:val="005258B4"/>
    <w:rsid w:val="005413BB"/>
    <w:rsid w:val="0054178D"/>
    <w:rsid w:val="00541BFA"/>
    <w:rsid w:val="005553CC"/>
    <w:rsid w:val="0055557F"/>
    <w:rsid w:val="00560313"/>
    <w:rsid w:val="00560DCB"/>
    <w:rsid w:val="00570524"/>
    <w:rsid w:val="00572DB6"/>
    <w:rsid w:val="00575722"/>
    <w:rsid w:val="00576F62"/>
    <w:rsid w:val="00581864"/>
    <w:rsid w:val="0059036A"/>
    <w:rsid w:val="00590D71"/>
    <w:rsid w:val="0059114A"/>
    <w:rsid w:val="005913F9"/>
    <w:rsid w:val="005916F0"/>
    <w:rsid w:val="005A2271"/>
    <w:rsid w:val="005A265A"/>
    <w:rsid w:val="005A3CD4"/>
    <w:rsid w:val="005A46D4"/>
    <w:rsid w:val="005A4D2C"/>
    <w:rsid w:val="005B00C7"/>
    <w:rsid w:val="005B2365"/>
    <w:rsid w:val="005B61D3"/>
    <w:rsid w:val="005C21E9"/>
    <w:rsid w:val="005C4E9C"/>
    <w:rsid w:val="005D463E"/>
    <w:rsid w:val="005D6A84"/>
    <w:rsid w:val="005D7258"/>
    <w:rsid w:val="005E1524"/>
    <w:rsid w:val="005E43A7"/>
    <w:rsid w:val="005E5986"/>
    <w:rsid w:val="005F4659"/>
    <w:rsid w:val="005F4837"/>
    <w:rsid w:val="005F6FD2"/>
    <w:rsid w:val="005F74EE"/>
    <w:rsid w:val="00600B41"/>
    <w:rsid w:val="006033DF"/>
    <w:rsid w:val="00603E94"/>
    <w:rsid w:val="00614313"/>
    <w:rsid w:val="0061557F"/>
    <w:rsid w:val="00634BD4"/>
    <w:rsid w:val="00640DBC"/>
    <w:rsid w:val="00646A0A"/>
    <w:rsid w:val="00646CEC"/>
    <w:rsid w:val="006509F8"/>
    <w:rsid w:val="00651698"/>
    <w:rsid w:val="00652C8E"/>
    <w:rsid w:val="00654D68"/>
    <w:rsid w:val="0065647D"/>
    <w:rsid w:val="00660AF5"/>
    <w:rsid w:val="0069150D"/>
    <w:rsid w:val="006A052E"/>
    <w:rsid w:val="006A13FC"/>
    <w:rsid w:val="006A27DF"/>
    <w:rsid w:val="006A338E"/>
    <w:rsid w:val="006B32A4"/>
    <w:rsid w:val="006C2EF1"/>
    <w:rsid w:val="006C6513"/>
    <w:rsid w:val="006E0745"/>
    <w:rsid w:val="006E6CEB"/>
    <w:rsid w:val="006F5D92"/>
    <w:rsid w:val="00701CE8"/>
    <w:rsid w:val="00707793"/>
    <w:rsid w:val="00715EBE"/>
    <w:rsid w:val="00725E51"/>
    <w:rsid w:val="00727F2C"/>
    <w:rsid w:val="00737297"/>
    <w:rsid w:val="007468D5"/>
    <w:rsid w:val="00755A18"/>
    <w:rsid w:val="00761D4B"/>
    <w:rsid w:val="00762DB6"/>
    <w:rsid w:val="00762E5A"/>
    <w:rsid w:val="007639A2"/>
    <w:rsid w:val="00793075"/>
    <w:rsid w:val="00797AD7"/>
    <w:rsid w:val="007A01EC"/>
    <w:rsid w:val="007A5B10"/>
    <w:rsid w:val="007B6302"/>
    <w:rsid w:val="007D066E"/>
    <w:rsid w:val="007F6356"/>
    <w:rsid w:val="00803B9C"/>
    <w:rsid w:val="008058B0"/>
    <w:rsid w:val="00811424"/>
    <w:rsid w:val="008136C5"/>
    <w:rsid w:val="0081508A"/>
    <w:rsid w:val="0081562E"/>
    <w:rsid w:val="00825448"/>
    <w:rsid w:val="00835EDC"/>
    <w:rsid w:val="008438E5"/>
    <w:rsid w:val="008455A1"/>
    <w:rsid w:val="00870044"/>
    <w:rsid w:val="00881F2F"/>
    <w:rsid w:val="00882754"/>
    <w:rsid w:val="008858CD"/>
    <w:rsid w:val="008946BC"/>
    <w:rsid w:val="008A0110"/>
    <w:rsid w:val="008A36AC"/>
    <w:rsid w:val="008A7940"/>
    <w:rsid w:val="008C1F28"/>
    <w:rsid w:val="008C5526"/>
    <w:rsid w:val="008D057B"/>
    <w:rsid w:val="008D0C66"/>
    <w:rsid w:val="008E2816"/>
    <w:rsid w:val="008E289C"/>
    <w:rsid w:val="008E4AE2"/>
    <w:rsid w:val="008E736A"/>
    <w:rsid w:val="008F2C3A"/>
    <w:rsid w:val="008F5E98"/>
    <w:rsid w:val="009001C0"/>
    <w:rsid w:val="009078B7"/>
    <w:rsid w:val="00911745"/>
    <w:rsid w:val="00917F49"/>
    <w:rsid w:val="00922928"/>
    <w:rsid w:val="00924C63"/>
    <w:rsid w:val="0093524D"/>
    <w:rsid w:val="00937B33"/>
    <w:rsid w:val="00941F57"/>
    <w:rsid w:val="00956FFD"/>
    <w:rsid w:val="0096482C"/>
    <w:rsid w:val="009660C4"/>
    <w:rsid w:val="009665B8"/>
    <w:rsid w:val="00966EC7"/>
    <w:rsid w:val="00972295"/>
    <w:rsid w:val="00973436"/>
    <w:rsid w:val="00985BCF"/>
    <w:rsid w:val="009973E7"/>
    <w:rsid w:val="009A53D5"/>
    <w:rsid w:val="009B0D88"/>
    <w:rsid w:val="009B1959"/>
    <w:rsid w:val="009B39F2"/>
    <w:rsid w:val="009B6DE3"/>
    <w:rsid w:val="009B7DB6"/>
    <w:rsid w:val="009C1F8C"/>
    <w:rsid w:val="009C4422"/>
    <w:rsid w:val="009C5254"/>
    <w:rsid w:val="009C5F4B"/>
    <w:rsid w:val="009E24C0"/>
    <w:rsid w:val="009E7996"/>
    <w:rsid w:val="009F0DA7"/>
    <w:rsid w:val="00A03E75"/>
    <w:rsid w:val="00A15BC8"/>
    <w:rsid w:val="00A17A36"/>
    <w:rsid w:val="00A26907"/>
    <w:rsid w:val="00A32555"/>
    <w:rsid w:val="00A33D09"/>
    <w:rsid w:val="00A40D89"/>
    <w:rsid w:val="00A4417F"/>
    <w:rsid w:val="00A47C69"/>
    <w:rsid w:val="00A54971"/>
    <w:rsid w:val="00A559B7"/>
    <w:rsid w:val="00A55B86"/>
    <w:rsid w:val="00A6538B"/>
    <w:rsid w:val="00A6681F"/>
    <w:rsid w:val="00A7171B"/>
    <w:rsid w:val="00A71CE7"/>
    <w:rsid w:val="00A777B1"/>
    <w:rsid w:val="00A9175D"/>
    <w:rsid w:val="00A95ED3"/>
    <w:rsid w:val="00AA1806"/>
    <w:rsid w:val="00AA210C"/>
    <w:rsid w:val="00AA4D00"/>
    <w:rsid w:val="00AC134C"/>
    <w:rsid w:val="00AC4D89"/>
    <w:rsid w:val="00AC730C"/>
    <w:rsid w:val="00AD193C"/>
    <w:rsid w:val="00AE0AF1"/>
    <w:rsid w:val="00AE3E77"/>
    <w:rsid w:val="00B01884"/>
    <w:rsid w:val="00B0646C"/>
    <w:rsid w:val="00B078C8"/>
    <w:rsid w:val="00B169CB"/>
    <w:rsid w:val="00B3183B"/>
    <w:rsid w:val="00B33D9E"/>
    <w:rsid w:val="00B34C57"/>
    <w:rsid w:val="00B43330"/>
    <w:rsid w:val="00B52E0C"/>
    <w:rsid w:val="00B532EC"/>
    <w:rsid w:val="00B6539D"/>
    <w:rsid w:val="00B66BDB"/>
    <w:rsid w:val="00B71E9D"/>
    <w:rsid w:val="00B83B1A"/>
    <w:rsid w:val="00B84617"/>
    <w:rsid w:val="00B86D59"/>
    <w:rsid w:val="00B90FBE"/>
    <w:rsid w:val="00B9145D"/>
    <w:rsid w:val="00B929BC"/>
    <w:rsid w:val="00BA2DCF"/>
    <w:rsid w:val="00BB3CA1"/>
    <w:rsid w:val="00BB5931"/>
    <w:rsid w:val="00BC135D"/>
    <w:rsid w:val="00BC6200"/>
    <w:rsid w:val="00BD1928"/>
    <w:rsid w:val="00BD458F"/>
    <w:rsid w:val="00BE3652"/>
    <w:rsid w:val="00BE5216"/>
    <w:rsid w:val="00BE6C99"/>
    <w:rsid w:val="00BF6BE9"/>
    <w:rsid w:val="00C13A82"/>
    <w:rsid w:val="00C13DB5"/>
    <w:rsid w:val="00C162BE"/>
    <w:rsid w:val="00C41E72"/>
    <w:rsid w:val="00C42BC2"/>
    <w:rsid w:val="00C43FEE"/>
    <w:rsid w:val="00C4660F"/>
    <w:rsid w:val="00C55AD3"/>
    <w:rsid w:val="00C64543"/>
    <w:rsid w:val="00C758A2"/>
    <w:rsid w:val="00C82B9E"/>
    <w:rsid w:val="00C8320B"/>
    <w:rsid w:val="00C839CB"/>
    <w:rsid w:val="00C843F9"/>
    <w:rsid w:val="00C8765B"/>
    <w:rsid w:val="00C96E48"/>
    <w:rsid w:val="00CA3680"/>
    <w:rsid w:val="00CA6FDC"/>
    <w:rsid w:val="00CB471B"/>
    <w:rsid w:val="00CB5824"/>
    <w:rsid w:val="00CC00AE"/>
    <w:rsid w:val="00CC1318"/>
    <w:rsid w:val="00CC329C"/>
    <w:rsid w:val="00CC4DC2"/>
    <w:rsid w:val="00CD28CD"/>
    <w:rsid w:val="00CD7FEC"/>
    <w:rsid w:val="00CE134C"/>
    <w:rsid w:val="00CE28CD"/>
    <w:rsid w:val="00CE48F1"/>
    <w:rsid w:val="00CE7CA7"/>
    <w:rsid w:val="00D013CA"/>
    <w:rsid w:val="00D032A8"/>
    <w:rsid w:val="00D053A0"/>
    <w:rsid w:val="00D06ACF"/>
    <w:rsid w:val="00D12A42"/>
    <w:rsid w:val="00D153BF"/>
    <w:rsid w:val="00D20174"/>
    <w:rsid w:val="00D2316E"/>
    <w:rsid w:val="00D314F6"/>
    <w:rsid w:val="00D3230C"/>
    <w:rsid w:val="00D333B1"/>
    <w:rsid w:val="00D41FA9"/>
    <w:rsid w:val="00D43CB0"/>
    <w:rsid w:val="00D45B3E"/>
    <w:rsid w:val="00D46077"/>
    <w:rsid w:val="00D46B30"/>
    <w:rsid w:val="00D5240B"/>
    <w:rsid w:val="00D538D4"/>
    <w:rsid w:val="00D55CC6"/>
    <w:rsid w:val="00D62500"/>
    <w:rsid w:val="00D63456"/>
    <w:rsid w:val="00D64826"/>
    <w:rsid w:val="00D6626C"/>
    <w:rsid w:val="00D73348"/>
    <w:rsid w:val="00D772C3"/>
    <w:rsid w:val="00D8164B"/>
    <w:rsid w:val="00D8510F"/>
    <w:rsid w:val="00D86409"/>
    <w:rsid w:val="00D867C6"/>
    <w:rsid w:val="00D919D1"/>
    <w:rsid w:val="00D92B50"/>
    <w:rsid w:val="00D967C7"/>
    <w:rsid w:val="00D96CC1"/>
    <w:rsid w:val="00D96DA3"/>
    <w:rsid w:val="00DA6001"/>
    <w:rsid w:val="00DB4533"/>
    <w:rsid w:val="00DB4AB4"/>
    <w:rsid w:val="00DC4046"/>
    <w:rsid w:val="00DC511D"/>
    <w:rsid w:val="00DE4A31"/>
    <w:rsid w:val="00DE6A92"/>
    <w:rsid w:val="00DF0A5B"/>
    <w:rsid w:val="00E02420"/>
    <w:rsid w:val="00E131D9"/>
    <w:rsid w:val="00E148DF"/>
    <w:rsid w:val="00E41831"/>
    <w:rsid w:val="00E4237A"/>
    <w:rsid w:val="00E428C9"/>
    <w:rsid w:val="00E46808"/>
    <w:rsid w:val="00E50419"/>
    <w:rsid w:val="00E52502"/>
    <w:rsid w:val="00E5582D"/>
    <w:rsid w:val="00E62DCE"/>
    <w:rsid w:val="00E64426"/>
    <w:rsid w:val="00E6656A"/>
    <w:rsid w:val="00E73A10"/>
    <w:rsid w:val="00E906F0"/>
    <w:rsid w:val="00E9082E"/>
    <w:rsid w:val="00E920C8"/>
    <w:rsid w:val="00E94B40"/>
    <w:rsid w:val="00EA3BA6"/>
    <w:rsid w:val="00EB0637"/>
    <w:rsid w:val="00EB1BCF"/>
    <w:rsid w:val="00EC304D"/>
    <w:rsid w:val="00EC43AC"/>
    <w:rsid w:val="00EC576E"/>
    <w:rsid w:val="00EC71C6"/>
    <w:rsid w:val="00ED7305"/>
    <w:rsid w:val="00EE3B37"/>
    <w:rsid w:val="00EE4002"/>
    <w:rsid w:val="00EF0C50"/>
    <w:rsid w:val="00EF3D62"/>
    <w:rsid w:val="00F00E15"/>
    <w:rsid w:val="00F1104B"/>
    <w:rsid w:val="00F1525F"/>
    <w:rsid w:val="00F212F3"/>
    <w:rsid w:val="00F21C44"/>
    <w:rsid w:val="00F24B88"/>
    <w:rsid w:val="00F30D15"/>
    <w:rsid w:val="00F63858"/>
    <w:rsid w:val="00F67398"/>
    <w:rsid w:val="00F70CC9"/>
    <w:rsid w:val="00F724C8"/>
    <w:rsid w:val="00F726C3"/>
    <w:rsid w:val="00F7455C"/>
    <w:rsid w:val="00F74C49"/>
    <w:rsid w:val="00F77F65"/>
    <w:rsid w:val="00F77F91"/>
    <w:rsid w:val="00F85CEA"/>
    <w:rsid w:val="00F910FE"/>
    <w:rsid w:val="00F91A5E"/>
    <w:rsid w:val="00FA4AE9"/>
    <w:rsid w:val="00FA7665"/>
    <w:rsid w:val="00FB1F0C"/>
    <w:rsid w:val="00FB34BC"/>
    <w:rsid w:val="00FB5C36"/>
    <w:rsid w:val="00FB7ADB"/>
    <w:rsid w:val="00FC4085"/>
    <w:rsid w:val="00FC551B"/>
    <w:rsid w:val="00FD2B2B"/>
    <w:rsid w:val="00FD5FEF"/>
    <w:rsid w:val="00FE13E5"/>
    <w:rsid w:val="00FF5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A7"/>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A14"/>
    <w:rPr>
      <w:rFonts w:ascii="Tahoma" w:hAnsi="Tahoma" w:cs="Tahoma"/>
      <w:sz w:val="16"/>
      <w:szCs w:val="16"/>
    </w:rPr>
  </w:style>
  <w:style w:type="character" w:customStyle="1" w:styleId="BalloonTextChar">
    <w:name w:val="Balloon Text Char"/>
    <w:basedOn w:val="DefaultParagraphFont"/>
    <w:link w:val="BalloonText"/>
    <w:uiPriority w:val="99"/>
    <w:semiHidden/>
    <w:rsid w:val="00143A14"/>
    <w:rPr>
      <w:rFonts w:ascii="Tahoma" w:eastAsia="Times New Roman" w:hAnsi="Tahoma" w:cs="Tahoma"/>
      <w:sz w:val="16"/>
      <w:szCs w:val="16"/>
    </w:rPr>
  </w:style>
  <w:style w:type="paragraph" w:styleId="Header">
    <w:name w:val="header"/>
    <w:basedOn w:val="Normal"/>
    <w:link w:val="HeaderChar"/>
    <w:uiPriority w:val="99"/>
    <w:semiHidden/>
    <w:unhideWhenUsed/>
    <w:rsid w:val="000F63B9"/>
    <w:pPr>
      <w:tabs>
        <w:tab w:val="center" w:pos="4680"/>
        <w:tab w:val="right" w:pos="9360"/>
      </w:tabs>
    </w:pPr>
  </w:style>
  <w:style w:type="character" w:customStyle="1" w:styleId="HeaderChar">
    <w:name w:val="Header Char"/>
    <w:basedOn w:val="DefaultParagraphFont"/>
    <w:link w:val="Header"/>
    <w:uiPriority w:val="99"/>
    <w:semiHidden/>
    <w:rsid w:val="000F63B9"/>
    <w:rPr>
      <w:rFonts w:ascii="Times New Roman" w:eastAsia="Times New Roman" w:hAnsi="Times New Roman"/>
      <w:sz w:val="26"/>
    </w:rPr>
  </w:style>
  <w:style w:type="paragraph" w:styleId="Footer">
    <w:name w:val="footer"/>
    <w:basedOn w:val="Normal"/>
    <w:link w:val="FooterChar"/>
    <w:uiPriority w:val="99"/>
    <w:unhideWhenUsed/>
    <w:rsid w:val="000F63B9"/>
    <w:pPr>
      <w:tabs>
        <w:tab w:val="center" w:pos="4680"/>
        <w:tab w:val="right" w:pos="9360"/>
      </w:tabs>
    </w:pPr>
  </w:style>
  <w:style w:type="character" w:customStyle="1" w:styleId="FooterChar">
    <w:name w:val="Footer Char"/>
    <w:basedOn w:val="DefaultParagraphFont"/>
    <w:link w:val="Footer"/>
    <w:uiPriority w:val="99"/>
    <w:rsid w:val="000F63B9"/>
    <w:rPr>
      <w:rFonts w:ascii="Times New Roman" w:eastAsia="Times New Roman" w:hAnsi="Times New Roman"/>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6C22-783F-4083-8B5B-12B6CD1F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rdaviston</dc:creator>
  <cp:keywords/>
  <dc:description/>
  <cp:lastModifiedBy>Administrator</cp:lastModifiedBy>
  <cp:revision>4</cp:revision>
  <cp:lastPrinted>2010-01-15T16:00:00Z</cp:lastPrinted>
  <dcterms:created xsi:type="dcterms:W3CDTF">2010-01-11T19:09:00Z</dcterms:created>
  <dcterms:modified xsi:type="dcterms:W3CDTF">2010-01-15T16:00:00Z</dcterms:modified>
</cp:coreProperties>
</file>