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8" w:type="dxa"/>
        <w:tblLayout w:type="fixed"/>
        <w:tblLook w:val="0000"/>
      </w:tblPr>
      <w:tblGrid>
        <w:gridCol w:w="2448"/>
        <w:gridCol w:w="5130"/>
        <w:gridCol w:w="2700"/>
      </w:tblGrid>
      <w:tr w:rsidR="00D850D4" w:rsidRPr="00A24556">
        <w:tc>
          <w:tcPr>
            <w:tcW w:w="2448" w:type="dxa"/>
          </w:tcPr>
          <w:p w:rsidR="00D850D4" w:rsidRPr="00A24556" w:rsidRDefault="00D850D4" w:rsidP="00092C0A">
            <w:pPr>
              <w:pStyle w:val="Heading3"/>
              <w:rPr>
                <w:rFonts w:ascii="Times New Roman" w:hAnsi="Times New Roman" w:cs="Times New Roman"/>
              </w:rPr>
            </w:pPr>
          </w:p>
        </w:tc>
        <w:tc>
          <w:tcPr>
            <w:tcW w:w="5130" w:type="dxa"/>
          </w:tcPr>
          <w:p w:rsidR="00D850D4" w:rsidRPr="00A24556" w:rsidRDefault="00D850D4">
            <w:pPr>
              <w:jc w:val="center"/>
              <w:rPr>
                <w:b/>
                <w:sz w:val="26"/>
                <w:szCs w:val="26"/>
              </w:rPr>
            </w:pPr>
            <w:r w:rsidRPr="00A24556">
              <w:rPr>
                <w:b/>
                <w:sz w:val="26"/>
                <w:szCs w:val="26"/>
              </w:rPr>
              <w:t>PENNSYLVANIA</w:t>
            </w:r>
          </w:p>
          <w:p w:rsidR="00D850D4" w:rsidRPr="00A24556" w:rsidRDefault="00D850D4">
            <w:pPr>
              <w:jc w:val="center"/>
              <w:rPr>
                <w:b/>
                <w:sz w:val="26"/>
                <w:szCs w:val="26"/>
              </w:rPr>
            </w:pPr>
            <w:r w:rsidRPr="00A24556">
              <w:rPr>
                <w:b/>
                <w:sz w:val="26"/>
                <w:szCs w:val="26"/>
              </w:rPr>
              <w:t>PUBLIC UTILITY COMMISSION</w:t>
            </w:r>
          </w:p>
          <w:p w:rsidR="00D850D4" w:rsidRPr="00A24556" w:rsidRDefault="00D850D4" w:rsidP="00092C0A">
            <w:pPr>
              <w:pStyle w:val="StyleCentered"/>
              <w:rPr>
                <w:b/>
                <w:sz w:val="26"/>
                <w:szCs w:val="26"/>
              </w:rPr>
            </w:pPr>
            <w:r w:rsidRPr="00A24556">
              <w:rPr>
                <w:b/>
                <w:sz w:val="26"/>
                <w:szCs w:val="26"/>
              </w:rPr>
              <w:t>Harrisburg</w:t>
            </w:r>
            <w:r w:rsidR="00E51F9E" w:rsidRPr="00A24556">
              <w:rPr>
                <w:b/>
                <w:sz w:val="26"/>
                <w:szCs w:val="26"/>
              </w:rPr>
              <w:t>, PA</w:t>
            </w:r>
            <w:r w:rsidRPr="00A24556">
              <w:rPr>
                <w:b/>
                <w:sz w:val="26"/>
                <w:szCs w:val="26"/>
              </w:rPr>
              <w:t xml:space="preserve">  17105-3265</w:t>
            </w:r>
          </w:p>
        </w:tc>
        <w:tc>
          <w:tcPr>
            <w:tcW w:w="2700" w:type="dxa"/>
          </w:tcPr>
          <w:p w:rsidR="00D850D4" w:rsidRPr="00A24556" w:rsidRDefault="00D850D4">
            <w:pPr>
              <w:rPr>
                <w:sz w:val="26"/>
                <w:szCs w:val="26"/>
              </w:rPr>
            </w:pPr>
          </w:p>
        </w:tc>
      </w:tr>
    </w:tbl>
    <w:p w:rsidR="00D850D4" w:rsidRPr="00A24556" w:rsidRDefault="00D850D4">
      <w:pPr>
        <w:rPr>
          <w:sz w:val="26"/>
          <w:szCs w:val="26"/>
        </w:rPr>
      </w:pPr>
    </w:p>
    <w:tbl>
      <w:tblPr>
        <w:tblW w:w="0" w:type="auto"/>
        <w:tblLayout w:type="fixed"/>
        <w:tblLook w:val="0000"/>
      </w:tblPr>
      <w:tblGrid>
        <w:gridCol w:w="5148"/>
        <w:gridCol w:w="5148"/>
      </w:tblGrid>
      <w:tr w:rsidR="00D850D4" w:rsidRPr="00A24556">
        <w:tc>
          <w:tcPr>
            <w:tcW w:w="5148" w:type="dxa"/>
          </w:tcPr>
          <w:p w:rsidR="00D850D4" w:rsidRPr="00A24556" w:rsidRDefault="00D850D4">
            <w:pPr>
              <w:rPr>
                <w:sz w:val="26"/>
                <w:szCs w:val="26"/>
              </w:rPr>
            </w:pPr>
          </w:p>
        </w:tc>
        <w:tc>
          <w:tcPr>
            <w:tcW w:w="5148" w:type="dxa"/>
          </w:tcPr>
          <w:p w:rsidR="00D850D4" w:rsidRPr="00A24556" w:rsidRDefault="00D850D4" w:rsidP="006579C8">
            <w:pPr>
              <w:ind w:firstLine="612"/>
              <w:rPr>
                <w:sz w:val="26"/>
                <w:szCs w:val="26"/>
              </w:rPr>
            </w:pPr>
            <w:r w:rsidRPr="00A24556">
              <w:rPr>
                <w:sz w:val="26"/>
                <w:szCs w:val="26"/>
              </w:rPr>
              <w:t xml:space="preserve">Public Meeting held </w:t>
            </w:r>
            <w:r w:rsidR="006579C8">
              <w:rPr>
                <w:sz w:val="26"/>
                <w:szCs w:val="26"/>
              </w:rPr>
              <w:t>January</w:t>
            </w:r>
            <w:r w:rsidR="00B77D55">
              <w:rPr>
                <w:sz w:val="26"/>
                <w:szCs w:val="26"/>
              </w:rPr>
              <w:t xml:space="preserve"> </w:t>
            </w:r>
            <w:r w:rsidR="006579C8">
              <w:rPr>
                <w:sz w:val="26"/>
                <w:szCs w:val="26"/>
              </w:rPr>
              <w:t>14</w:t>
            </w:r>
            <w:r w:rsidR="004A611C">
              <w:rPr>
                <w:sz w:val="26"/>
                <w:szCs w:val="26"/>
              </w:rPr>
              <w:t>, 20</w:t>
            </w:r>
            <w:r w:rsidR="006579C8">
              <w:rPr>
                <w:sz w:val="26"/>
                <w:szCs w:val="26"/>
              </w:rPr>
              <w:t>10</w:t>
            </w:r>
          </w:p>
        </w:tc>
      </w:tr>
      <w:tr w:rsidR="00D850D4" w:rsidRPr="00A24556">
        <w:tc>
          <w:tcPr>
            <w:tcW w:w="5148" w:type="dxa"/>
          </w:tcPr>
          <w:p w:rsidR="00214398" w:rsidRDefault="00214398">
            <w:pPr>
              <w:rPr>
                <w:sz w:val="26"/>
                <w:szCs w:val="26"/>
              </w:rPr>
            </w:pPr>
          </w:p>
          <w:p w:rsidR="00D850D4" w:rsidRPr="00A24556" w:rsidRDefault="00D850D4">
            <w:pPr>
              <w:rPr>
                <w:sz w:val="26"/>
                <w:szCs w:val="26"/>
              </w:rPr>
            </w:pPr>
            <w:r w:rsidRPr="00A24556">
              <w:rPr>
                <w:sz w:val="26"/>
                <w:szCs w:val="26"/>
              </w:rPr>
              <w:t>Commissioners Present:</w:t>
            </w:r>
          </w:p>
        </w:tc>
        <w:tc>
          <w:tcPr>
            <w:tcW w:w="5148" w:type="dxa"/>
          </w:tcPr>
          <w:p w:rsidR="00D850D4" w:rsidRPr="00A24556" w:rsidRDefault="00D850D4">
            <w:pPr>
              <w:rPr>
                <w:sz w:val="26"/>
                <w:szCs w:val="26"/>
              </w:rPr>
            </w:pPr>
          </w:p>
        </w:tc>
      </w:tr>
    </w:tbl>
    <w:p w:rsidR="00D850D4" w:rsidRPr="00A24556" w:rsidRDefault="00D850D4">
      <w:pPr>
        <w:rPr>
          <w:sz w:val="26"/>
          <w:szCs w:val="26"/>
        </w:rPr>
      </w:pPr>
    </w:p>
    <w:tbl>
      <w:tblPr>
        <w:tblW w:w="10296" w:type="dxa"/>
        <w:tblLayout w:type="fixed"/>
        <w:tblLook w:val="0000"/>
      </w:tblPr>
      <w:tblGrid>
        <w:gridCol w:w="5958"/>
        <w:gridCol w:w="2898"/>
        <w:gridCol w:w="1440"/>
      </w:tblGrid>
      <w:tr w:rsidR="004E12AE" w:rsidRPr="00A24556" w:rsidTr="00753F7B">
        <w:tc>
          <w:tcPr>
            <w:tcW w:w="5958" w:type="dxa"/>
          </w:tcPr>
          <w:p w:rsidR="004E12AE" w:rsidRPr="00A24556" w:rsidRDefault="004E12AE" w:rsidP="004E12AE">
            <w:pPr>
              <w:overflowPunct/>
              <w:ind w:left="360"/>
              <w:textAlignment w:val="auto"/>
              <w:rPr>
                <w:sz w:val="26"/>
                <w:szCs w:val="26"/>
              </w:rPr>
            </w:pPr>
            <w:r w:rsidRPr="00A24556">
              <w:rPr>
                <w:sz w:val="26"/>
                <w:szCs w:val="26"/>
              </w:rPr>
              <w:t>James H. Cawley, Chairman</w:t>
            </w:r>
          </w:p>
        </w:tc>
        <w:tc>
          <w:tcPr>
            <w:tcW w:w="4338" w:type="dxa"/>
            <w:gridSpan w:val="2"/>
          </w:tcPr>
          <w:p w:rsidR="004E12AE" w:rsidRPr="00A24556" w:rsidRDefault="004E12AE">
            <w:pPr>
              <w:rPr>
                <w:sz w:val="26"/>
                <w:szCs w:val="26"/>
              </w:rPr>
            </w:pPr>
          </w:p>
        </w:tc>
      </w:tr>
      <w:tr w:rsidR="00753F7B" w:rsidRPr="00A24556" w:rsidTr="00753F7B">
        <w:tc>
          <w:tcPr>
            <w:tcW w:w="10296" w:type="dxa"/>
            <w:gridSpan w:val="3"/>
          </w:tcPr>
          <w:p w:rsidR="00753F7B" w:rsidRPr="00A24556" w:rsidRDefault="00753F7B">
            <w:pPr>
              <w:rPr>
                <w:sz w:val="26"/>
                <w:szCs w:val="26"/>
              </w:rPr>
            </w:pPr>
            <w:r>
              <w:rPr>
                <w:sz w:val="26"/>
                <w:szCs w:val="26"/>
              </w:rPr>
              <w:t xml:space="preserve">     </w:t>
            </w:r>
            <w:r w:rsidRPr="00A24556">
              <w:rPr>
                <w:sz w:val="26"/>
                <w:szCs w:val="26"/>
              </w:rPr>
              <w:t>Tyrone J. Christy, Vice Chairman</w:t>
            </w:r>
            <w:r>
              <w:rPr>
                <w:sz w:val="26"/>
                <w:szCs w:val="26"/>
              </w:rPr>
              <w:t>, Concurring in Result Only</w:t>
            </w:r>
          </w:p>
        </w:tc>
      </w:tr>
      <w:tr w:rsidR="004E12AE" w:rsidRPr="00A24556" w:rsidTr="00753F7B">
        <w:tc>
          <w:tcPr>
            <w:tcW w:w="5958" w:type="dxa"/>
          </w:tcPr>
          <w:p w:rsidR="004E12AE" w:rsidRPr="00A24556" w:rsidRDefault="004E12AE" w:rsidP="004E12AE">
            <w:pPr>
              <w:overflowPunct/>
              <w:ind w:left="360"/>
              <w:textAlignment w:val="auto"/>
              <w:rPr>
                <w:sz w:val="26"/>
                <w:szCs w:val="26"/>
              </w:rPr>
            </w:pPr>
            <w:r w:rsidRPr="00A24556">
              <w:rPr>
                <w:sz w:val="26"/>
                <w:szCs w:val="26"/>
              </w:rPr>
              <w:t>Kim Pizzingrilli</w:t>
            </w:r>
          </w:p>
        </w:tc>
        <w:tc>
          <w:tcPr>
            <w:tcW w:w="4338" w:type="dxa"/>
            <w:gridSpan w:val="2"/>
          </w:tcPr>
          <w:p w:rsidR="004E12AE" w:rsidRPr="00A24556" w:rsidRDefault="004E12AE">
            <w:pPr>
              <w:rPr>
                <w:sz w:val="26"/>
                <w:szCs w:val="26"/>
              </w:rPr>
            </w:pPr>
          </w:p>
        </w:tc>
      </w:tr>
      <w:tr w:rsidR="004E12AE" w:rsidRPr="00A24556" w:rsidTr="00753F7B">
        <w:tc>
          <w:tcPr>
            <w:tcW w:w="5958" w:type="dxa"/>
          </w:tcPr>
          <w:p w:rsidR="004E12AE" w:rsidRPr="00A24556" w:rsidRDefault="004E12AE" w:rsidP="006579C8">
            <w:pPr>
              <w:overflowPunct/>
              <w:ind w:left="360"/>
              <w:textAlignment w:val="auto"/>
              <w:rPr>
                <w:sz w:val="26"/>
                <w:szCs w:val="26"/>
              </w:rPr>
            </w:pPr>
            <w:r w:rsidRPr="00A24556">
              <w:rPr>
                <w:sz w:val="26"/>
                <w:szCs w:val="26"/>
              </w:rPr>
              <w:t>Wayne E. Gardner</w:t>
            </w:r>
          </w:p>
        </w:tc>
        <w:tc>
          <w:tcPr>
            <w:tcW w:w="4338" w:type="dxa"/>
            <w:gridSpan w:val="2"/>
          </w:tcPr>
          <w:p w:rsidR="004E12AE" w:rsidRPr="00A24556" w:rsidRDefault="004E12AE">
            <w:pPr>
              <w:rPr>
                <w:sz w:val="26"/>
                <w:szCs w:val="26"/>
              </w:rPr>
            </w:pPr>
          </w:p>
        </w:tc>
      </w:tr>
      <w:tr w:rsidR="00347F87" w:rsidRPr="00A24556" w:rsidTr="00753F7B">
        <w:tc>
          <w:tcPr>
            <w:tcW w:w="5958" w:type="dxa"/>
          </w:tcPr>
          <w:p w:rsidR="00347F87" w:rsidRPr="00A24556" w:rsidRDefault="00347F87" w:rsidP="00347F87">
            <w:pPr>
              <w:overflowPunct/>
              <w:ind w:left="360"/>
              <w:textAlignment w:val="auto"/>
              <w:rPr>
                <w:sz w:val="26"/>
                <w:szCs w:val="26"/>
              </w:rPr>
            </w:pPr>
            <w:r w:rsidRPr="00A24556">
              <w:rPr>
                <w:sz w:val="26"/>
                <w:szCs w:val="26"/>
              </w:rPr>
              <w:t>Robert F. Powelson</w:t>
            </w:r>
          </w:p>
        </w:tc>
        <w:tc>
          <w:tcPr>
            <w:tcW w:w="4338" w:type="dxa"/>
            <w:gridSpan w:val="2"/>
          </w:tcPr>
          <w:p w:rsidR="00347F87" w:rsidRPr="00A24556" w:rsidRDefault="00347F87">
            <w:pPr>
              <w:rPr>
                <w:sz w:val="26"/>
                <w:szCs w:val="26"/>
              </w:rPr>
            </w:pPr>
          </w:p>
        </w:tc>
      </w:tr>
      <w:tr w:rsidR="00347F87" w:rsidRPr="00A24556" w:rsidTr="00753F7B">
        <w:tc>
          <w:tcPr>
            <w:tcW w:w="5958" w:type="dxa"/>
          </w:tcPr>
          <w:p w:rsidR="00347F87" w:rsidRPr="00A24556" w:rsidRDefault="00347F87" w:rsidP="00347F87">
            <w:pPr>
              <w:overflowPunct/>
              <w:ind w:left="360"/>
              <w:textAlignment w:val="auto"/>
              <w:rPr>
                <w:sz w:val="26"/>
                <w:szCs w:val="26"/>
              </w:rPr>
            </w:pPr>
          </w:p>
        </w:tc>
        <w:tc>
          <w:tcPr>
            <w:tcW w:w="4338" w:type="dxa"/>
            <w:gridSpan w:val="2"/>
          </w:tcPr>
          <w:p w:rsidR="00347F87" w:rsidRPr="00A24556" w:rsidRDefault="00347F87">
            <w:pPr>
              <w:rPr>
                <w:sz w:val="26"/>
                <w:szCs w:val="26"/>
              </w:rPr>
            </w:pPr>
          </w:p>
        </w:tc>
      </w:tr>
      <w:tr w:rsidR="004E12AE" w:rsidRPr="00A24556" w:rsidTr="00753F7B">
        <w:tc>
          <w:tcPr>
            <w:tcW w:w="5958" w:type="dxa"/>
          </w:tcPr>
          <w:p w:rsidR="006A3F9A" w:rsidRDefault="00781771" w:rsidP="004E12AE">
            <w:pPr>
              <w:overflowPunct/>
              <w:ind w:left="360"/>
              <w:textAlignment w:val="auto"/>
              <w:rPr>
                <w:sz w:val="26"/>
                <w:szCs w:val="26"/>
              </w:rPr>
            </w:pPr>
            <w:r>
              <w:rPr>
                <w:sz w:val="26"/>
                <w:szCs w:val="26"/>
              </w:rPr>
              <w:t xml:space="preserve">                                   </w:t>
            </w:r>
          </w:p>
          <w:p w:rsidR="006A3F9A" w:rsidRDefault="006579C8" w:rsidP="00347F87">
            <w:pPr>
              <w:overflowPunct/>
              <w:textAlignment w:val="auto"/>
              <w:rPr>
                <w:sz w:val="26"/>
                <w:szCs w:val="26"/>
              </w:rPr>
            </w:pPr>
            <w:r>
              <w:rPr>
                <w:sz w:val="26"/>
                <w:szCs w:val="26"/>
              </w:rPr>
              <w:t xml:space="preserve">Petition of Duquesne Light Company for </w:t>
            </w:r>
          </w:p>
          <w:p w:rsidR="006579C8" w:rsidRDefault="006579C8" w:rsidP="00347F87">
            <w:pPr>
              <w:overflowPunct/>
              <w:textAlignment w:val="auto"/>
              <w:rPr>
                <w:sz w:val="26"/>
                <w:szCs w:val="26"/>
              </w:rPr>
            </w:pPr>
            <w:r>
              <w:rPr>
                <w:sz w:val="26"/>
                <w:szCs w:val="26"/>
              </w:rPr>
              <w:t xml:space="preserve">Approval of its Energy Efficiency and </w:t>
            </w:r>
          </w:p>
          <w:p w:rsidR="006579C8" w:rsidRDefault="006579C8" w:rsidP="00347F87">
            <w:pPr>
              <w:overflowPunct/>
              <w:textAlignment w:val="auto"/>
              <w:rPr>
                <w:sz w:val="26"/>
                <w:szCs w:val="26"/>
              </w:rPr>
            </w:pPr>
            <w:r>
              <w:rPr>
                <w:sz w:val="26"/>
                <w:szCs w:val="26"/>
              </w:rPr>
              <w:t>Conservation and Demand Response Plan,</w:t>
            </w:r>
          </w:p>
          <w:p w:rsidR="006579C8" w:rsidRDefault="006579C8" w:rsidP="00347F87">
            <w:pPr>
              <w:overflowPunct/>
              <w:textAlignment w:val="auto"/>
              <w:rPr>
                <w:sz w:val="26"/>
                <w:szCs w:val="26"/>
              </w:rPr>
            </w:pPr>
            <w:r>
              <w:rPr>
                <w:sz w:val="26"/>
                <w:szCs w:val="26"/>
              </w:rPr>
              <w:t>Approval of its Recovery of its Costs through</w:t>
            </w:r>
          </w:p>
          <w:p w:rsidR="006579C8" w:rsidRDefault="006579C8" w:rsidP="00347F87">
            <w:pPr>
              <w:overflowPunct/>
              <w:textAlignment w:val="auto"/>
              <w:rPr>
                <w:sz w:val="26"/>
                <w:szCs w:val="26"/>
              </w:rPr>
            </w:pPr>
            <w:r>
              <w:rPr>
                <w:sz w:val="26"/>
                <w:szCs w:val="26"/>
              </w:rPr>
              <w:t xml:space="preserve">a Reconcilable Adjustment Clause and </w:t>
            </w:r>
          </w:p>
          <w:p w:rsidR="006579C8" w:rsidRDefault="006579C8" w:rsidP="00347F87">
            <w:pPr>
              <w:overflowPunct/>
              <w:textAlignment w:val="auto"/>
              <w:rPr>
                <w:sz w:val="26"/>
                <w:szCs w:val="26"/>
              </w:rPr>
            </w:pPr>
            <w:r>
              <w:rPr>
                <w:sz w:val="26"/>
                <w:szCs w:val="26"/>
              </w:rPr>
              <w:t>Approval of Matters Relating to the Energy</w:t>
            </w:r>
          </w:p>
          <w:p w:rsidR="006579C8" w:rsidRPr="00A24556" w:rsidRDefault="006579C8" w:rsidP="00347F87">
            <w:pPr>
              <w:overflowPunct/>
              <w:textAlignment w:val="auto"/>
              <w:rPr>
                <w:sz w:val="26"/>
                <w:szCs w:val="26"/>
              </w:rPr>
            </w:pPr>
            <w:r>
              <w:rPr>
                <w:sz w:val="26"/>
                <w:szCs w:val="26"/>
              </w:rPr>
              <w:t>Efficiency and Conservation Plan</w:t>
            </w:r>
          </w:p>
        </w:tc>
        <w:tc>
          <w:tcPr>
            <w:tcW w:w="4338" w:type="dxa"/>
            <w:gridSpan w:val="2"/>
          </w:tcPr>
          <w:p w:rsidR="00347F87" w:rsidRDefault="00347F87">
            <w:pPr>
              <w:rPr>
                <w:sz w:val="26"/>
                <w:szCs w:val="26"/>
              </w:rPr>
            </w:pPr>
          </w:p>
          <w:p w:rsidR="00347F87" w:rsidRDefault="002C562B">
            <w:pPr>
              <w:rPr>
                <w:sz w:val="26"/>
                <w:szCs w:val="26"/>
              </w:rPr>
            </w:pPr>
            <w:r>
              <w:rPr>
                <w:sz w:val="26"/>
                <w:szCs w:val="26"/>
              </w:rPr>
              <w:t xml:space="preserve">               Docket No. M-2009-2093217</w:t>
            </w:r>
          </w:p>
          <w:p w:rsidR="00347F87" w:rsidRDefault="00347F87">
            <w:pPr>
              <w:rPr>
                <w:sz w:val="26"/>
                <w:szCs w:val="26"/>
              </w:rPr>
            </w:pPr>
          </w:p>
          <w:p w:rsidR="004E12AE" w:rsidRPr="00A24556" w:rsidRDefault="004E12AE" w:rsidP="00AA620A">
            <w:pPr>
              <w:rPr>
                <w:sz w:val="26"/>
                <w:szCs w:val="26"/>
              </w:rPr>
            </w:pPr>
          </w:p>
        </w:tc>
      </w:tr>
      <w:tr w:rsidR="00572CCC" w:rsidRPr="00A24556" w:rsidTr="00753F7B">
        <w:trPr>
          <w:gridAfter w:val="1"/>
          <w:wAfter w:w="1440" w:type="dxa"/>
        </w:trPr>
        <w:tc>
          <w:tcPr>
            <w:tcW w:w="5958" w:type="dxa"/>
          </w:tcPr>
          <w:p w:rsidR="00572CCC" w:rsidRPr="00A24556" w:rsidRDefault="00572CCC" w:rsidP="00F649E4">
            <w:pPr>
              <w:rPr>
                <w:sz w:val="26"/>
                <w:szCs w:val="26"/>
              </w:rPr>
            </w:pPr>
          </w:p>
        </w:tc>
        <w:tc>
          <w:tcPr>
            <w:tcW w:w="2898" w:type="dxa"/>
          </w:tcPr>
          <w:p w:rsidR="00572CCC" w:rsidRPr="00A24556" w:rsidRDefault="00572CCC" w:rsidP="00A82FC9">
            <w:pPr>
              <w:rPr>
                <w:sz w:val="26"/>
                <w:szCs w:val="26"/>
              </w:rPr>
            </w:pPr>
          </w:p>
        </w:tc>
      </w:tr>
      <w:tr w:rsidR="00175324" w:rsidRPr="00A24556" w:rsidTr="00753F7B">
        <w:trPr>
          <w:gridAfter w:val="1"/>
          <w:wAfter w:w="1440" w:type="dxa"/>
        </w:trPr>
        <w:tc>
          <w:tcPr>
            <w:tcW w:w="5958" w:type="dxa"/>
          </w:tcPr>
          <w:p w:rsidR="00175324" w:rsidRPr="00A24556" w:rsidRDefault="00175324" w:rsidP="004A611C">
            <w:pPr>
              <w:jc w:val="center"/>
              <w:rPr>
                <w:sz w:val="26"/>
                <w:szCs w:val="26"/>
              </w:rPr>
            </w:pPr>
          </w:p>
        </w:tc>
        <w:tc>
          <w:tcPr>
            <w:tcW w:w="2898" w:type="dxa"/>
          </w:tcPr>
          <w:p w:rsidR="00175324" w:rsidRPr="00A24556" w:rsidRDefault="00175324" w:rsidP="00A82FC9">
            <w:pPr>
              <w:rPr>
                <w:sz w:val="26"/>
                <w:szCs w:val="26"/>
              </w:rPr>
            </w:pPr>
          </w:p>
        </w:tc>
      </w:tr>
    </w:tbl>
    <w:p w:rsidR="00D850D4" w:rsidRPr="00A24556" w:rsidRDefault="00D850D4">
      <w:pPr>
        <w:jc w:val="center"/>
        <w:rPr>
          <w:b/>
          <w:sz w:val="26"/>
          <w:szCs w:val="26"/>
        </w:rPr>
      </w:pPr>
    </w:p>
    <w:p w:rsidR="00E96680" w:rsidRPr="00AC1766" w:rsidRDefault="0047055C" w:rsidP="004A611C">
      <w:pPr>
        <w:spacing w:line="360" w:lineRule="auto"/>
        <w:jc w:val="center"/>
        <w:rPr>
          <w:b/>
          <w:sz w:val="26"/>
          <w:szCs w:val="26"/>
        </w:rPr>
      </w:pPr>
      <w:r>
        <w:rPr>
          <w:b/>
          <w:sz w:val="26"/>
          <w:szCs w:val="26"/>
        </w:rPr>
        <w:t xml:space="preserve">OPINION AND </w:t>
      </w:r>
      <w:r w:rsidR="00225E92" w:rsidRPr="00225E92">
        <w:rPr>
          <w:b/>
          <w:sz w:val="26"/>
          <w:szCs w:val="26"/>
        </w:rPr>
        <w:t>ORDER</w:t>
      </w:r>
      <w:r w:rsidR="00BC5816">
        <w:rPr>
          <w:b/>
          <w:sz w:val="26"/>
          <w:szCs w:val="26"/>
        </w:rPr>
        <w:t xml:space="preserve"> </w:t>
      </w:r>
    </w:p>
    <w:p w:rsidR="004A611C" w:rsidRPr="004A611C" w:rsidRDefault="004A611C" w:rsidP="004A611C">
      <w:pPr>
        <w:spacing w:line="360" w:lineRule="auto"/>
        <w:jc w:val="center"/>
        <w:rPr>
          <w:b/>
          <w:sz w:val="26"/>
          <w:szCs w:val="26"/>
        </w:rPr>
      </w:pPr>
    </w:p>
    <w:p w:rsidR="00DF0470" w:rsidRDefault="00DF0470" w:rsidP="00DF0470">
      <w:pPr>
        <w:pStyle w:val="p3"/>
        <w:spacing w:line="360" w:lineRule="auto"/>
        <w:rPr>
          <w:b/>
          <w:sz w:val="26"/>
          <w:szCs w:val="26"/>
        </w:rPr>
      </w:pPr>
      <w:r w:rsidRPr="00A24556">
        <w:rPr>
          <w:b/>
          <w:sz w:val="26"/>
          <w:szCs w:val="26"/>
        </w:rPr>
        <w:t>BY THE COMMISSION:</w:t>
      </w:r>
    </w:p>
    <w:p w:rsidR="005542D9" w:rsidRDefault="005542D9" w:rsidP="00DF0470">
      <w:pPr>
        <w:pStyle w:val="p3"/>
        <w:spacing w:line="360" w:lineRule="auto"/>
        <w:rPr>
          <w:b/>
          <w:sz w:val="26"/>
          <w:szCs w:val="26"/>
        </w:rPr>
      </w:pPr>
    </w:p>
    <w:p w:rsidR="005542D9" w:rsidRPr="00A24556" w:rsidRDefault="005542D9" w:rsidP="005542D9">
      <w:pPr>
        <w:pStyle w:val="p3"/>
        <w:numPr>
          <w:ilvl w:val="0"/>
          <w:numId w:val="3"/>
        </w:numPr>
        <w:tabs>
          <w:tab w:val="clear" w:pos="204"/>
          <w:tab w:val="left" w:pos="0"/>
        </w:tabs>
        <w:spacing w:line="360" w:lineRule="auto"/>
        <w:ind w:hanging="1080"/>
        <w:rPr>
          <w:b/>
          <w:sz w:val="26"/>
          <w:szCs w:val="26"/>
        </w:rPr>
      </w:pPr>
      <w:r>
        <w:rPr>
          <w:b/>
          <w:sz w:val="26"/>
          <w:szCs w:val="26"/>
        </w:rPr>
        <w:t>Introduction</w:t>
      </w:r>
    </w:p>
    <w:p w:rsidR="00A24556" w:rsidRPr="00A24556" w:rsidRDefault="00A24556" w:rsidP="00DF0470">
      <w:pPr>
        <w:pStyle w:val="p3"/>
        <w:spacing w:line="360" w:lineRule="auto"/>
        <w:rPr>
          <w:b/>
          <w:sz w:val="26"/>
          <w:szCs w:val="26"/>
        </w:rPr>
      </w:pPr>
    </w:p>
    <w:p w:rsidR="009D6154" w:rsidRDefault="00A24556" w:rsidP="0033582D">
      <w:pPr>
        <w:spacing w:line="360" w:lineRule="auto"/>
        <w:ind w:firstLine="1440"/>
        <w:rPr>
          <w:sz w:val="26"/>
          <w:szCs w:val="26"/>
        </w:rPr>
      </w:pPr>
      <w:r w:rsidRPr="00A24556">
        <w:rPr>
          <w:sz w:val="26"/>
          <w:szCs w:val="26"/>
        </w:rPr>
        <w:t xml:space="preserve">This matter arises from a prior </w:t>
      </w:r>
      <w:r w:rsidR="0047055C">
        <w:rPr>
          <w:sz w:val="26"/>
          <w:szCs w:val="26"/>
        </w:rPr>
        <w:t>Opinion and O</w:t>
      </w:r>
      <w:r w:rsidRPr="00A24556">
        <w:rPr>
          <w:sz w:val="26"/>
          <w:szCs w:val="26"/>
        </w:rPr>
        <w:t xml:space="preserve">rder issued by the </w:t>
      </w:r>
      <w:r w:rsidR="0049428E">
        <w:rPr>
          <w:sz w:val="26"/>
          <w:szCs w:val="26"/>
        </w:rPr>
        <w:t xml:space="preserve">Pennsylvania Public Utility </w:t>
      </w:r>
      <w:r w:rsidRPr="00A24556">
        <w:rPr>
          <w:sz w:val="26"/>
          <w:szCs w:val="26"/>
        </w:rPr>
        <w:t>Commission</w:t>
      </w:r>
      <w:r w:rsidR="0049428E">
        <w:rPr>
          <w:sz w:val="26"/>
          <w:szCs w:val="26"/>
        </w:rPr>
        <w:t xml:space="preserve"> (Commission)</w:t>
      </w:r>
      <w:r w:rsidRPr="00A24556">
        <w:rPr>
          <w:sz w:val="26"/>
          <w:szCs w:val="26"/>
        </w:rPr>
        <w:t xml:space="preserve"> </w:t>
      </w:r>
      <w:r w:rsidR="004A611C">
        <w:rPr>
          <w:sz w:val="26"/>
          <w:szCs w:val="26"/>
        </w:rPr>
        <w:t xml:space="preserve">at </w:t>
      </w:r>
      <w:r w:rsidRPr="00A24556">
        <w:rPr>
          <w:sz w:val="26"/>
          <w:szCs w:val="26"/>
        </w:rPr>
        <w:t xml:space="preserve">Docket No. </w:t>
      </w:r>
      <w:r w:rsidR="00AA620A">
        <w:rPr>
          <w:sz w:val="26"/>
          <w:szCs w:val="26"/>
        </w:rPr>
        <w:t>M-2009-2093217</w:t>
      </w:r>
      <w:r w:rsidRPr="00A24556">
        <w:rPr>
          <w:sz w:val="26"/>
          <w:szCs w:val="26"/>
        </w:rPr>
        <w:t xml:space="preserve"> (Order entered </w:t>
      </w:r>
      <w:r w:rsidR="00AA620A">
        <w:rPr>
          <w:sz w:val="26"/>
          <w:szCs w:val="26"/>
        </w:rPr>
        <w:t>October</w:t>
      </w:r>
      <w:r w:rsidRPr="00A24556">
        <w:rPr>
          <w:sz w:val="26"/>
          <w:szCs w:val="26"/>
        </w:rPr>
        <w:t xml:space="preserve"> </w:t>
      </w:r>
      <w:r w:rsidR="00AA620A">
        <w:rPr>
          <w:sz w:val="26"/>
          <w:szCs w:val="26"/>
        </w:rPr>
        <w:t>27</w:t>
      </w:r>
      <w:r w:rsidRPr="00A24556">
        <w:rPr>
          <w:sz w:val="26"/>
          <w:szCs w:val="26"/>
        </w:rPr>
        <w:t xml:space="preserve">, </w:t>
      </w:r>
      <w:r w:rsidR="00AA620A">
        <w:rPr>
          <w:sz w:val="26"/>
          <w:szCs w:val="26"/>
        </w:rPr>
        <w:t>2009</w:t>
      </w:r>
      <w:r w:rsidRPr="00A24556">
        <w:rPr>
          <w:sz w:val="26"/>
          <w:szCs w:val="26"/>
        </w:rPr>
        <w:t>) (</w:t>
      </w:r>
      <w:r w:rsidR="00140C10" w:rsidRPr="007A350C">
        <w:rPr>
          <w:i/>
          <w:sz w:val="26"/>
          <w:szCs w:val="26"/>
        </w:rPr>
        <w:t>October</w:t>
      </w:r>
      <w:r w:rsidR="007A350C" w:rsidRPr="007A350C">
        <w:rPr>
          <w:i/>
          <w:sz w:val="26"/>
          <w:szCs w:val="26"/>
        </w:rPr>
        <w:t xml:space="preserve"> 2009</w:t>
      </w:r>
      <w:r w:rsidRPr="007A350C">
        <w:rPr>
          <w:i/>
          <w:sz w:val="26"/>
          <w:szCs w:val="26"/>
        </w:rPr>
        <w:t xml:space="preserve"> Order</w:t>
      </w:r>
      <w:r w:rsidRPr="00A24556">
        <w:rPr>
          <w:sz w:val="26"/>
          <w:szCs w:val="26"/>
        </w:rPr>
        <w:t>).  In th</w:t>
      </w:r>
      <w:r w:rsidR="00140C10">
        <w:rPr>
          <w:sz w:val="26"/>
          <w:szCs w:val="26"/>
        </w:rPr>
        <w:t xml:space="preserve">e </w:t>
      </w:r>
      <w:r w:rsidR="00140C10" w:rsidRPr="00A90435">
        <w:rPr>
          <w:i/>
          <w:sz w:val="26"/>
          <w:szCs w:val="26"/>
        </w:rPr>
        <w:t xml:space="preserve">October </w:t>
      </w:r>
      <w:r w:rsidR="007A350C" w:rsidRPr="00A90435">
        <w:rPr>
          <w:i/>
          <w:sz w:val="26"/>
          <w:szCs w:val="26"/>
        </w:rPr>
        <w:t xml:space="preserve">2009 </w:t>
      </w:r>
      <w:r w:rsidR="00140C10" w:rsidRPr="00A90435">
        <w:rPr>
          <w:i/>
          <w:sz w:val="26"/>
          <w:szCs w:val="26"/>
        </w:rPr>
        <w:t>Order</w:t>
      </w:r>
      <w:r w:rsidR="00140C10">
        <w:rPr>
          <w:sz w:val="26"/>
          <w:szCs w:val="26"/>
        </w:rPr>
        <w:t>,</w:t>
      </w:r>
      <w:r w:rsidRPr="00A24556">
        <w:rPr>
          <w:sz w:val="26"/>
          <w:szCs w:val="26"/>
        </w:rPr>
        <w:t xml:space="preserve"> </w:t>
      </w:r>
      <w:r w:rsidR="0047055C">
        <w:rPr>
          <w:sz w:val="26"/>
          <w:szCs w:val="26"/>
        </w:rPr>
        <w:t>we</w:t>
      </w:r>
      <w:r w:rsidR="00140C10">
        <w:rPr>
          <w:sz w:val="26"/>
          <w:szCs w:val="26"/>
        </w:rPr>
        <w:t xml:space="preserve"> granted</w:t>
      </w:r>
      <w:r w:rsidR="0047055C">
        <w:rPr>
          <w:sz w:val="26"/>
          <w:szCs w:val="26"/>
        </w:rPr>
        <w:t>,</w:t>
      </w:r>
      <w:r w:rsidR="00140C10">
        <w:rPr>
          <w:sz w:val="26"/>
          <w:szCs w:val="26"/>
        </w:rPr>
        <w:t xml:space="preserve"> in part</w:t>
      </w:r>
      <w:r w:rsidR="0047055C">
        <w:rPr>
          <w:sz w:val="26"/>
          <w:szCs w:val="26"/>
        </w:rPr>
        <w:t>,</w:t>
      </w:r>
      <w:r w:rsidR="00140C10">
        <w:rPr>
          <w:sz w:val="26"/>
          <w:szCs w:val="26"/>
        </w:rPr>
        <w:t xml:space="preserve"> and denied</w:t>
      </w:r>
      <w:r w:rsidR="0047055C">
        <w:rPr>
          <w:sz w:val="26"/>
          <w:szCs w:val="26"/>
        </w:rPr>
        <w:t>,</w:t>
      </w:r>
      <w:r w:rsidR="00140C10">
        <w:rPr>
          <w:sz w:val="26"/>
          <w:szCs w:val="26"/>
        </w:rPr>
        <w:t xml:space="preserve"> in part</w:t>
      </w:r>
      <w:r w:rsidR="0047055C">
        <w:rPr>
          <w:sz w:val="26"/>
          <w:szCs w:val="26"/>
        </w:rPr>
        <w:t>,</w:t>
      </w:r>
      <w:r w:rsidR="00140C10">
        <w:rPr>
          <w:sz w:val="26"/>
          <w:szCs w:val="26"/>
        </w:rPr>
        <w:t xml:space="preserve"> the Petition of Duquesne Light Company </w:t>
      </w:r>
      <w:r w:rsidR="0042206E">
        <w:rPr>
          <w:sz w:val="26"/>
          <w:szCs w:val="26"/>
        </w:rPr>
        <w:t xml:space="preserve">(Duquesne or Company) </w:t>
      </w:r>
      <w:r w:rsidR="00140C10">
        <w:rPr>
          <w:sz w:val="26"/>
          <w:szCs w:val="26"/>
        </w:rPr>
        <w:t xml:space="preserve">for Approval of its Energy Efficiency and Conservation </w:t>
      </w:r>
      <w:r w:rsidR="0042206E">
        <w:rPr>
          <w:sz w:val="26"/>
          <w:szCs w:val="26"/>
        </w:rPr>
        <w:t xml:space="preserve">and Demand Response </w:t>
      </w:r>
      <w:r w:rsidR="00140C10">
        <w:rPr>
          <w:sz w:val="26"/>
          <w:szCs w:val="26"/>
        </w:rPr>
        <w:t>Plan</w:t>
      </w:r>
      <w:r w:rsidR="00896F82">
        <w:rPr>
          <w:sz w:val="26"/>
          <w:szCs w:val="26"/>
        </w:rPr>
        <w:t xml:space="preserve"> (EE&amp;C Plan or at times, Plan)</w:t>
      </w:r>
      <w:r w:rsidR="0042206E">
        <w:rPr>
          <w:sz w:val="26"/>
          <w:szCs w:val="26"/>
        </w:rPr>
        <w:t xml:space="preserve">, Approval of its Recovery of its Costs </w:t>
      </w:r>
      <w:r w:rsidR="0042206E">
        <w:rPr>
          <w:sz w:val="26"/>
          <w:szCs w:val="26"/>
        </w:rPr>
        <w:lastRenderedPageBreak/>
        <w:t>through a Reconcilable Adjustment Clause and Approval of Matter Relating to the Energy Efficiency and Conservation Plan</w:t>
      </w:r>
      <w:r w:rsidR="0033582D">
        <w:rPr>
          <w:sz w:val="26"/>
          <w:szCs w:val="26"/>
        </w:rPr>
        <w:t xml:space="preserve">.  </w:t>
      </w:r>
      <w:r w:rsidR="00FB5931">
        <w:rPr>
          <w:sz w:val="26"/>
          <w:szCs w:val="26"/>
        </w:rPr>
        <w:t>Th</w:t>
      </w:r>
      <w:r w:rsidR="007A350C">
        <w:rPr>
          <w:sz w:val="26"/>
          <w:szCs w:val="26"/>
        </w:rPr>
        <w:t>e</w:t>
      </w:r>
      <w:r w:rsidR="00FB5931">
        <w:rPr>
          <w:sz w:val="26"/>
          <w:szCs w:val="26"/>
        </w:rPr>
        <w:t xml:space="preserve"> </w:t>
      </w:r>
      <w:r w:rsidR="0033439C">
        <w:rPr>
          <w:sz w:val="26"/>
          <w:szCs w:val="26"/>
        </w:rPr>
        <w:t>basis for th</w:t>
      </w:r>
      <w:r w:rsidR="0047055C">
        <w:rPr>
          <w:sz w:val="26"/>
          <w:szCs w:val="26"/>
        </w:rPr>
        <w:t>e</w:t>
      </w:r>
      <w:r w:rsidR="0033439C">
        <w:rPr>
          <w:sz w:val="26"/>
          <w:szCs w:val="26"/>
        </w:rPr>
        <w:t xml:space="preserve"> </w:t>
      </w:r>
      <w:r w:rsidR="0047055C">
        <w:rPr>
          <w:sz w:val="26"/>
          <w:szCs w:val="26"/>
        </w:rPr>
        <w:t xml:space="preserve">instant Opinion and </w:t>
      </w:r>
      <w:r w:rsidR="00FB5931">
        <w:rPr>
          <w:sz w:val="26"/>
          <w:szCs w:val="26"/>
        </w:rPr>
        <w:t xml:space="preserve">Order </w:t>
      </w:r>
      <w:r w:rsidR="0047055C">
        <w:rPr>
          <w:sz w:val="26"/>
          <w:szCs w:val="26"/>
        </w:rPr>
        <w:t xml:space="preserve">is to address, </w:t>
      </w:r>
      <w:r w:rsidR="00E70916">
        <w:rPr>
          <w:sz w:val="26"/>
          <w:szCs w:val="26"/>
        </w:rPr>
        <w:t>on our own motion</w:t>
      </w:r>
      <w:r w:rsidR="0047055C">
        <w:rPr>
          <w:sz w:val="26"/>
          <w:szCs w:val="26"/>
        </w:rPr>
        <w:t>,</w:t>
      </w:r>
      <w:r w:rsidR="00CC4CF9">
        <w:rPr>
          <w:sz w:val="26"/>
          <w:szCs w:val="26"/>
        </w:rPr>
        <w:t xml:space="preserve"> </w:t>
      </w:r>
      <w:r w:rsidR="00FB5931">
        <w:rPr>
          <w:sz w:val="26"/>
          <w:szCs w:val="26"/>
        </w:rPr>
        <w:t xml:space="preserve">the </w:t>
      </w:r>
      <w:r w:rsidR="005F6439">
        <w:rPr>
          <w:sz w:val="26"/>
          <w:szCs w:val="26"/>
        </w:rPr>
        <w:t>effect</w:t>
      </w:r>
      <w:r w:rsidR="00E70916">
        <w:rPr>
          <w:sz w:val="26"/>
          <w:szCs w:val="26"/>
        </w:rPr>
        <w:t xml:space="preserve"> of our </w:t>
      </w:r>
      <w:r w:rsidR="00CE60CD" w:rsidRPr="00CE60CD">
        <w:rPr>
          <w:i/>
          <w:sz w:val="26"/>
          <w:szCs w:val="26"/>
        </w:rPr>
        <w:t>October 2009 Order</w:t>
      </w:r>
      <w:r w:rsidR="00E70916">
        <w:rPr>
          <w:sz w:val="26"/>
          <w:szCs w:val="26"/>
        </w:rPr>
        <w:t xml:space="preserve"> on the </w:t>
      </w:r>
      <w:r w:rsidR="00FB5931">
        <w:rPr>
          <w:sz w:val="26"/>
          <w:szCs w:val="26"/>
        </w:rPr>
        <w:t xml:space="preserve">issue of </w:t>
      </w:r>
      <w:r w:rsidR="006D0F0E">
        <w:rPr>
          <w:sz w:val="26"/>
          <w:szCs w:val="26"/>
        </w:rPr>
        <w:t xml:space="preserve">allocation of administrative costs to </w:t>
      </w:r>
      <w:r w:rsidR="00FB5931">
        <w:rPr>
          <w:sz w:val="26"/>
          <w:szCs w:val="26"/>
        </w:rPr>
        <w:t xml:space="preserve">Commercial and Industrial </w:t>
      </w:r>
      <w:r w:rsidR="00016C8E">
        <w:rPr>
          <w:sz w:val="26"/>
          <w:szCs w:val="26"/>
        </w:rPr>
        <w:t xml:space="preserve">(C&amp;I) </w:t>
      </w:r>
      <w:r w:rsidR="006D0F0E">
        <w:rPr>
          <w:sz w:val="26"/>
          <w:szCs w:val="26"/>
        </w:rPr>
        <w:t>customers</w:t>
      </w:r>
      <w:r w:rsidR="00FA099A">
        <w:rPr>
          <w:sz w:val="26"/>
          <w:szCs w:val="26"/>
        </w:rPr>
        <w:t>.</w:t>
      </w:r>
      <w:r w:rsidR="00FB5931">
        <w:rPr>
          <w:sz w:val="26"/>
          <w:szCs w:val="26"/>
        </w:rPr>
        <w:t xml:space="preserve"> </w:t>
      </w:r>
    </w:p>
    <w:p w:rsidR="009D6154" w:rsidRDefault="009D6154" w:rsidP="005542D9">
      <w:pPr>
        <w:spacing w:line="360" w:lineRule="auto"/>
        <w:rPr>
          <w:sz w:val="26"/>
          <w:szCs w:val="26"/>
        </w:rPr>
      </w:pPr>
    </w:p>
    <w:p w:rsidR="005542D9" w:rsidRDefault="00EA3A9E" w:rsidP="005542D9">
      <w:pPr>
        <w:pStyle w:val="ListParagraph"/>
        <w:numPr>
          <w:ilvl w:val="0"/>
          <w:numId w:val="3"/>
        </w:numPr>
        <w:spacing w:line="360" w:lineRule="auto"/>
        <w:ind w:hanging="1080"/>
        <w:rPr>
          <w:b/>
        </w:rPr>
      </w:pPr>
      <w:r>
        <w:rPr>
          <w:b/>
        </w:rPr>
        <w:t>History</w:t>
      </w:r>
    </w:p>
    <w:p w:rsidR="00EA3A9E" w:rsidRPr="002A491A" w:rsidRDefault="00EA3A9E" w:rsidP="00EA3A9E">
      <w:pPr>
        <w:spacing w:line="360" w:lineRule="auto"/>
        <w:rPr>
          <w:b/>
          <w:sz w:val="26"/>
          <w:szCs w:val="26"/>
        </w:rPr>
      </w:pPr>
    </w:p>
    <w:p w:rsidR="00EA3A9E" w:rsidRDefault="00EA3A9E" w:rsidP="00EA3A9E">
      <w:pPr>
        <w:spacing w:line="360" w:lineRule="auto"/>
        <w:ind w:firstLine="1440"/>
        <w:rPr>
          <w:sz w:val="26"/>
          <w:szCs w:val="26"/>
        </w:rPr>
      </w:pPr>
      <w:r>
        <w:rPr>
          <w:sz w:val="26"/>
          <w:szCs w:val="26"/>
        </w:rPr>
        <w:t xml:space="preserve">A detailed procedural history of this proceeding was set forth in the </w:t>
      </w:r>
      <w:r w:rsidRPr="00DA2267">
        <w:rPr>
          <w:i/>
          <w:sz w:val="26"/>
          <w:szCs w:val="26"/>
        </w:rPr>
        <w:t>October 2009</w:t>
      </w:r>
      <w:r>
        <w:rPr>
          <w:sz w:val="26"/>
          <w:szCs w:val="26"/>
        </w:rPr>
        <w:t xml:space="preserve"> Order</w:t>
      </w:r>
      <w:r w:rsidR="0052377A">
        <w:rPr>
          <w:rStyle w:val="FootnoteReference"/>
          <w:sz w:val="26"/>
          <w:szCs w:val="26"/>
        </w:rPr>
        <w:footnoteReference w:id="1"/>
      </w:r>
      <w:r w:rsidR="00FA099A">
        <w:rPr>
          <w:sz w:val="26"/>
          <w:szCs w:val="26"/>
        </w:rPr>
        <w:t xml:space="preserve"> and will not be reiterated here.  Rather, we shall </w:t>
      </w:r>
      <w:r w:rsidR="003E3C70">
        <w:rPr>
          <w:sz w:val="26"/>
          <w:szCs w:val="26"/>
        </w:rPr>
        <w:t>provide a brief</w:t>
      </w:r>
      <w:r w:rsidR="0084790C">
        <w:rPr>
          <w:sz w:val="26"/>
          <w:szCs w:val="26"/>
        </w:rPr>
        <w:t xml:space="preserve"> </w:t>
      </w:r>
      <w:r>
        <w:rPr>
          <w:sz w:val="26"/>
          <w:szCs w:val="26"/>
        </w:rPr>
        <w:t>summar</w:t>
      </w:r>
      <w:r w:rsidR="003E3C70">
        <w:rPr>
          <w:sz w:val="26"/>
          <w:szCs w:val="26"/>
        </w:rPr>
        <w:t>y</w:t>
      </w:r>
      <w:r>
        <w:rPr>
          <w:sz w:val="26"/>
          <w:szCs w:val="26"/>
        </w:rPr>
        <w:t xml:space="preserve"> </w:t>
      </w:r>
      <w:r w:rsidR="003E3C70">
        <w:rPr>
          <w:sz w:val="26"/>
          <w:szCs w:val="26"/>
        </w:rPr>
        <w:t xml:space="preserve">of pertinent </w:t>
      </w:r>
      <w:r>
        <w:rPr>
          <w:sz w:val="26"/>
          <w:szCs w:val="26"/>
        </w:rPr>
        <w:t xml:space="preserve">procedural history </w:t>
      </w:r>
      <w:r w:rsidR="003E3C70">
        <w:rPr>
          <w:sz w:val="26"/>
          <w:szCs w:val="26"/>
        </w:rPr>
        <w:t>to place the matter before us in proper context.</w:t>
      </w:r>
    </w:p>
    <w:p w:rsidR="00195FDA" w:rsidRDefault="00195FDA" w:rsidP="00EA3A9E">
      <w:pPr>
        <w:spacing w:line="360" w:lineRule="auto"/>
        <w:ind w:firstLine="1440"/>
        <w:rPr>
          <w:sz w:val="26"/>
          <w:szCs w:val="26"/>
        </w:rPr>
      </w:pPr>
    </w:p>
    <w:p w:rsidR="00195FDA" w:rsidRDefault="00195FDA" w:rsidP="00195FDA">
      <w:pPr>
        <w:spacing w:line="360" w:lineRule="auto"/>
        <w:ind w:firstLine="1440"/>
        <w:rPr>
          <w:sz w:val="26"/>
          <w:szCs w:val="26"/>
        </w:rPr>
      </w:pPr>
      <w:r>
        <w:rPr>
          <w:sz w:val="26"/>
          <w:szCs w:val="26"/>
        </w:rPr>
        <w:t xml:space="preserve">Duquesne filed the Plan on June 30, 2009, requesting Commission approval as well as authorization to implement the proposed cost recovery mechanism.       </w:t>
      </w:r>
    </w:p>
    <w:p w:rsidR="00195FDA" w:rsidRDefault="00195FDA" w:rsidP="00195FDA">
      <w:pPr>
        <w:spacing w:line="360" w:lineRule="auto"/>
        <w:rPr>
          <w:sz w:val="26"/>
          <w:szCs w:val="26"/>
        </w:rPr>
      </w:pPr>
      <w:r>
        <w:rPr>
          <w:sz w:val="26"/>
          <w:szCs w:val="26"/>
        </w:rPr>
        <w:t xml:space="preserve"> </w:t>
      </w:r>
    </w:p>
    <w:p w:rsidR="00195FDA" w:rsidRDefault="00195FDA" w:rsidP="00195FDA">
      <w:pPr>
        <w:spacing w:line="360" w:lineRule="auto"/>
        <w:ind w:firstLine="1440"/>
        <w:rPr>
          <w:sz w:val="26"/>
          <w:szCs w:val="26"/>
        </w:rPr>
      </w:pPr>
      <w:r>
        <w:rPr>
          <w:sz w:val="26"/>
          <w:szCs w:val="26"/>
        </w:rPr>
        <w:t>The Parties to this proceeding are:  the Office of Consumer Advocate</w:t>
      </w:r>
      <w:r w:rsidR="004C0E5F">
        <w:rPr>
          <w:sz w:val="26"/>
          <w:szCs w:val="26"/>
        </w:rPr>
        <w:t xml:space="preserve"> (OCA)</w:t>
      </w:r>
      <w:r>
        <w:rPr>
          <w:sz w:val="26"/>
          <w:szCs w:val="26"/>
        </w:rPr>
        <w:t>, the Office of Trial Staff</w:t>
      </w:r>
      <w:r w:rsidR="004C0E5F">
        <w:rPr>
          <w:sz w:val="26"/>
          <w:szCs w:val="26"/>
        </w:rPr>
        <w:t xml:space="preserve"> (OTS)</w:t>
      </w:r>
      <w:r>
        <w:rPr>
          <w:sz w:val="26"/>
          <w:szCs w:val="26"/>
        </w:rPr>
        <w:t>, the Office of Small Business Advocate</w:t>
      </w:r>
      <w:r w:rsidR="004E4619">
        <w:rPr>
          <w:sz w:val="26"/>
          <w:szCs w:val="26"/>
        </w:rPr>
        <w:t xml:space="preserve"> (OSBA)</w:t>
      </w:r>
      <w:r>
        <w:rPr>
          <w:sz w:val="26"/>
          <w:szCs w:val="26"/>
        </w:rPr>
        <w:t>, the Department of Environmental Protection</w:t>
      </w:r>
      <w:r w:rsidR="005F6439">
        <w:rPr>
          <w:sz w:val="26"/>
          <w:szCs w:val="26"/>
        </w:rPr>
        <w:t xml:space="preserve"> (DEP)</w:t>
      </w:r>
      <w:r>
        <w:rPr>
          <w:sz w:val="26"/>
          <w:szCs w:val="26"/>
        </w:rPr>
        <w:t>, Duquesne Industrial Intervenors</w:t>
      </w:r>
      <w:r w:rsidR="005F6439">
        <w:rPr>
          <w:sz w:val="26"/>
          <w:szCs w:val="26"/>
        </w:rPr>
        <w:t xml:space="preserve"> (DII)</w:t>
      </w:r>
      <w:r>
        <w:rPr>
          <w:sz w:val="26"/>
          <w:szCs w:val="26"/>
        </w:rPr>
        <w:t>, Equitable Gas Company</w:t>
      </w:r>
      <w:r w:rsidR="005F6439">
        <w:rPr>
          <w:sz w:val="26"/>
          <w:szCs w:val="26"/>
        </w:rPr>
        <w:t xml:space="preserve"> (Equitable)</w:t>
      </w:r>
      <w:r>
        <w:rPr>
          <w:sz w:val="26"/>
          <w:szCs w:val="26"/>
        </w:rPr>
        <w:t>, ClearChoice Energy</w:t>
      </w:r>
      <w:r w:rsidR="005F6439">
        <w:rPr>
          <w:sz w:val="26"/>
          <w:szCs w:val="26"/>
        </w:rPr>
        <w:t xml:space="preserve"> (ClearChoice)</w:t>
      </w:r>
      <w:r>
        <w:rPr>
          <w:sz w:val="26"/>
          <w:szCs w:val="26"/>
        </w:rPr>
        <w:t>, Columbia Gas of Pennsylvania, Inc.</w:t>
      </w:r>
      <w:r w:rsidR="005F6439">
        <w:rPr>
          <w:sz w:val="26"/>
          <w:szCs w:val="26"/>
        </w:rPr>
        <w:t xml:space="preserve"> (Columbia)</w:t>
      </w:r>
      <w:r>
        <w:rPr>
          <w:sz w:val="26"/>
          <w:szCs w:val="26"/>
        </w:rPr>
        <w:t>, Direct Energy Business</w:t>
      </w:r>
      <w:r w:rsidR="005F6439">
        <w:rPr>
          <w:sz w:val="26"/>
          <w:szCs w:val="26"/>
        </w:rPr>
        <w:t xml:space="preserve"> </w:t>
      </w:r>
      <w:r>
        <w:rPr>
          <w:sz w:val="26"/>
          <w:szCs w:val="26"/>
        </w:rPr>
        <w:t>LLC,</w:t>
      </w:r>
      <w:r w:rsidR="005F6439" w:rsidRPr="005F6439">
        <w:rPr>
          <w:sz w:val="26"/>
          <w:szCs w:val="26"/>
        </w:rPr>
        <w:t xml:space="preserve"> </w:t>
      </w:r>
      <w:r w:rsidR="005F6439">
        <w:rPr>
          <w:sz w:val="26"/>
          <w:szCs w:val="26"/>
        </w:rPr>
        <w:t xml:space="preserve">(Direct Energy), </w:t>
      </w:r>
      <w:r>
        <w:rPr>
          <w:sz w:val="26"/>
          <w:szCs w:val="26"/>
        </w:rPr>
        <w:t>the Pennsylvania Association of Community Organizations for Reform Now</w:t>
      </w:r>
      <w:r w:rsidR="00731350">
        <w:rPr>
          <w:sz w:val="26"/>
          <w:szCs w:val="26"/>
        </w:rPr>
        <w:t xml:space="preserve"> (ACORN)</w:t>
      </w:r>
      <w:r>
        <w:rPr>
          <w:sz w:val="26"/>
          <w:szCs w:val="26"/>
        </w:rPr>
        <w:t>, Field Diagnostic Services, Inc.</w:t>
      </w:r>
      <w:r w:rsidR="00731350">
        <w:rPr>
          <w:sz w:val="26"/>
          <w:szCs w:val="26"/>
        </w:rPr>
        <w:t xml:space="preserve"> (Field Diagnostics)</w:t>
      </w:r>
      <w:r>
        <w:rPr>
          <w:sz w:val="26"/>
          <w:szCs w:val="26"/>
        </w:rPr>
        <w:t>, The Peoples Natural Gas Company d/b/a Dominion Peoples</w:t>
      </w:r>
      <w:r w:rsidR="00731350">
        <w:rPr>
          <w:sz w:val="26"/>
          <w:szCs w:val="26"/>
        </w:rPr>
        <w:t xml:space="preserve"> (Dominion Peoples)</w:t>
      </w:r>
      <w:r>
        <w:rPr>
          <w:sz w:val="26"/>
          <w:szCs w:val="26"/>
        </w:rPr>
        <w:t>, EnerNOC, Inc.</w:t>
      </w:r>
      <w:r w:rsidR="00731350">
        <w:rPr>
          <w:sz w:val="26"/>
          <w:szCs w:val="26"/>
        </w:rPr>
        <w:t xml:space="preserve"> (EnerNOC)</w:t>
      </w:r>
      <w:r>
        <w:rPr>
          <w:sz w:val="26"/>
          <w:szCs w:val="26"/>
        </w:rPr>
        <w:t>, Constellation New Energy, Inc.</w:t>
      </w:r>
      <w:r w:rsidR="00731350">
        <w:rPr>
          <w:sz w:val="26"/>
          <w:szCs w:val="26"/>
        </w:rPr>
        <w:t xml:space="preserve"> (Constellation)</w:t>
      </w:r>
      <w:r>
        <w:rPr>
          <w:sz w:val="26"/>
          <w:szCs w:val="26"/>
        </w:rPr>
        <w:t>, the National Association of Energy Service Companies</w:t>
      </w:r>
      <w:r w:rsidR="00731350">
        <w:rPr>
          <w:sz w:val="26"/>
          <w:szCs w:val="26"/>
        </w:rPr>
        <w:t xml:space="preserve"> (NAESC)</w:t>
      </w:r>
      <w:r>
        <w:rPr>
          <w:sz w:val="26"/>
          <w:szCs w:val="26"/>
        </w:rPr>
        <w:t>, The E Cubed Company, LLC</w:t>
      </w:r>
      <w:r w:rsidR="00731350">
        <w:rPr>
          <w:sz w:val="26"/>
          <w:szCs w:val="26"/>
        </w:rPr>
        <w:t xml:space="preserve"> (E Cubed)</w:t>
      </w:r>
      <w:r>
        <w:rPr>
          <w:sz w:val="26"/>
          <w:szCs w:val="26"/>
        </w:rPr>
        <w:t>, Envinity, Keystone Energy Efficiency Alliance</w:t>
      </w:r>
      <w:r w:rsidR="00731350">
        <w:rPr>
          <w:sz w:val="26"/>
          <w:szCs w:val="26"/>
        </w:rPr>
        <w:t xml:space="preserve"> (</w:t>
      </w:r>
      <w:r w:rsidR="00E33F3A">
        <w:rPr>
          <w:sz w:val="26"/>
          <w:szCs w:val="26"/>
        </w:rPr>
        <w:t>Keystone</w:t>
      </w:r>
      <w:r w:rsidR="00731350">
        <w:rPr>
          <w:sz w:val="26"/>
          <w:szCs w:val="26"/>
        </w:rPr>
        <w:t>)</w:t>
      </w:r>
      <w:r>
        <w:rPr>
          <w:sz w:val="26"/>
          <w:szCs w:val="26"/>
        </w:rPr>
        <w:t>, and Pa. Home Energy.</w:t>
      </w:r>
    </w:p>
    <w:p w:rsidR="00195FDA" w:rsidRDefault="00195FDA" w:rsidP="00195FDA">
      <w:pPr>
        <w:spacing w:line="360" w:lineRule="auto"/>
        <w:rPr>
          <w:sz w:val="26"/>
          <w:szCs w:val="26"/>
        </w:rPr>
      </w:pPr>
    </w:p>
    <w:p w:rsidR="00195FDA" w:rsidRDefault="008435E5" w:rsidP="00195FDA">
      <w:pPr>
        <w:spacing w:line="360" w:lineRule="auto"/>
        <w:ind w:firstLine="1440"/>
        <w:rPr>
          <w:sz w:val="26"/>
          <w:szCs w:val="26"/>
        </w:rPr>
      </w:pPr>
      <w:r>
        <w:rPr>
          <w:sz w:val="26"/>
          <w:szCs w:val="26"/>
        </w:rPr>
        <w:lastRenderedPageBreak/>
        <w:t>As mentioned previously, t</w:t>
      </w:r>
      <w:r w:rsidR="00195FDA">
        <w:rPr>
          <w:sz w:val="26"/>
          <w:szCs w:val="26"/>
        </w:rPr>
        <w:t xml:space="preserve">he </w:t>
      </w:r>
      <w:r w:rsidR="00195FDA">
        <w:rPr>
          <w:i/>
          <w:sz w:val="26"/>
          <w:szCs w:val="26"/>
        </w:rPr>
        <w:t xml:space="preserve">October 2009 Order </w:t>
      </w:r>
      <w:r w:rsidR="00195FDA">
        <w:rPr>
          <w:sz w:val="26"/>
          <w:szCs w:val="26"/>
        </w:rPr>
        <w:t>approved</w:t>
      </w:r>
      <w:r w:rsidR="003E3C70">
        <w:rPr>
          <w:sz w:val="26"/>
          <w:szCs w:val="26"/>
        </w:rPr>
        <w:t xml:space="preserve"> the Plan,</w:t>
      </w:r>
      <w:r w:rsidR="00195FDA">
        <w:rPr>
          <w:sz w:val="26"/>
          <w:szCs w:val="26"/>
        </w:rPr>
        <w:t xml:space="preserve"> in part</w:t>
      </w:r>
      <w:r w:rsidR="003E3C70">
        <w:rPr>
          <w:sz w:val="26"/>
          <w:szCs w:val="26"/>
        </w:rPr>
        <w:t>,</w:t>
      </w:r>
      <w:r w:rsidR="00195FDA">
        <w:rPr>
          <w:sz w:val="26"/>
          <w:szCs w:val="26"/>
        </w:rPr>
        <w:t xml:space="preserve"> and rejected </w:t>
      </w:r>
      <w:r w:rsidR="003E3C70">
        <w:rPr>
          <w:sz w:val="26"/>
          <w:szCs w:val="26"/>
        </w:rPr>
        <w:t>it</w:t>
      </w:r>
      <w:r w:rsidR="001B1B07">
        <w:rPr>
          <w:sz w:val="26"/>
          <w:szCs w:val="26"/>
        </w:rPr>
        <w:t>,</w:t>
      </w:r>
      <w:r w:rsidR="003E3C70">
        <w:rPr>
          <w:sz w:val="26"/>
          <w:szCs w:val="26"/>
        </w:rPr>
        <w:t xml:space="preserve"> </w:t>
      </w:r>
      <w:r w:rsidR="00195FDA">
        <w:rPr>
          <w:sz w:val="26"/>
          <w:szCs w:val="26"/>
        </w:rPr>
        <w:t>in part</w:t>
      </w:r>
      <w:r w:rsidR="003E3C70">
        <w:rPr>
          <w:sz w:val="26"/>
          <w:szCs w:val="26"/>
        </w:rPr>
        <w:t>.</w:t>
      </w:r>
      <w:r w:rsidR="00195FDA">
        <w:rPr>
          <w:sz w:val="26"/>
          <w:szCs w:val="26"/>
        </w:rPr>
        <w:t xml:space="preserve">  </w:t>
      </w:r>
      <w:r w:rsidR="003E3C70">
        <w:rPr>
          <w:sz w:val="26"/>
          <w:szCs w:val="26"/>
        </w:rPr>
        <w:t xml:space="preserve">Among other things, </w:t>
      </w:r>
      <w:r w:rsidR="00195FDA">
        <w:rPr>
          <w:sz w:val="26"/>
          <w:szCs w:val="26"/>
        </w:rPr>
        <w:t xml:space="preserve">the </w:t>
      </w:r>
      <w:r w:rsidR="00195FDA">
        <w:rPr>
          <w:i/>
          <w:sz w:val="26"/>
          <w:szCs w:val="26"/>
        </w:rPr>
        <w:t xml:space="preserve">October 2009 Order </w:t>
      </w:r>
      <w:r w:rsidR="00195FDA">
        <w:rPr>
          <w:sz w:val="26"/>
          <w:szCs w:val="26"/>
        </w:rPr>
        <w:t>directed Duquesne to file a revised Plan within sixty days.  On November 12, 2009, the OSBA filed a Petition for Reconsideration (Petition)</w:t>
      </w:r>
      <w:r w:rsidR="001B1B07">
        <w:rPr>
          <w:sz w:val="26"/>
          <w:szCs w:val="26"/>
        </w:rPr>
        <w:t>.</w:t>
      </w:r>
      <w:r w:rsidR="00195FDA">
        <w:rPr>
          <w:sz w:val="26"/>
          <w:szCs w:val="26"/>
        </w:rPr>
        <w:t xml:space="preserve">  By Opinion and Order entered November 19, 2009, the Commission granted reconsideration pending review of, and consideration on, the merits</w:t>
      </w:r>
      <w:r w:rsidR="00820457">
        <w:rPr>
          <w:sz w:val="26"/>
          <w:szCs w:val="26"/>
        </w:rPr>
        <w:t xml:space="preserve"> of the Petition.</w:t>
      </w:r>
      <w:r w:rsidR="00195FDA">
        <w:rPr>
          <w:sz w:val="26"/>
          <w:szCs w:val="26"/>
        </w:rPr>
        <w:t xml:space="preserve"> </w:t>
      </w:r>
      <w:r w:rsidR="00A24E08">
        <w:rPr>
          <w:sz w:val="26"/>
          <w:szCs w:val="26"/>
        </w:rPr>
        <w:t xml:space="preserve"> </w:t>
      </w:r>
      <w:r w:rsidR="00195FDA">
        <w:rPr>
          <w:sz w:val="26"/>
          <w:szCs w:val="26"/>
        </w:rPr>
        <w:t xml:space="preserve">Duquesne filed an Answer on November 23, 2009, and </w:t>
      </w:r>
      <w:r w:rsidR="00E267FA">
        <w:rPr>
          <w:sz w:val="26"/>
          <w:szCs w:val="26"/>
        </w:rPr>
        <w:t>we thereafter</w:t>
      </w:r>
      <w:r w:rsidR="00195FDA">
        <w:rPr>
          <w:sz w:val="26"/>
          <w:szCs w:val="26"/>
        </w:rPr>
        <w:t xml:space="preserve"> disposed of the Petition by Opinion and Order entered on December 23, 2009 (</w:t>
      </w:r>
      <w:r w:rsidR="00195FDA">
        <w:rPr>
          <w:i/>
          <w:sz w:val="26"/>
          <w:szCs w:val="26"/>
        </w:rPr>
        <w:t>December 2009 Order)</w:t>
      </w:r>
      <w:r w:rsidR="00195FDA">
        <w:rPr>
          <w:sz w:val="26"/>
          <w:szCs w:val="26"/>
        </w:rPr>
        <w:t xml:space="preserve">.  </w:t>
      </w:r>
    </w:p>
    <w:p w:rsidR="00AA6607" w:rsidRDefault="00AA6607" w:rsidP="00195FDA">
      <w:pPr>
        <w:spacing w:line="360" w:lineRule="auto"/>
        <w:ind w:firstLine="1440"/>
        <w:rPr>
          <w:sz w:val="26"/>
          <w:szCs w:val="26"/>
        </w:rPr>
      </w:pPr>
    </w:p>
    <w:p w:rsidR="00AA6607" w:rsidRDefault="00AA6607" w:rsidP="00AA6607">
      <w:pPr>
        <w:spacing w:line="360" w:lineRule="auto"/>
        <w:ind w:firstLine="1440"/>
        <w:rPr>
          <w:sz w:val="26"/>
          <w:szCs w:val="26"/>
        </w:rPr>
      </w:pPr>
      <w:r>
        <w:rPr>
          <w:sz w:val="26"/>
          <w:szCs w:val="26"/>
        </w:rPr>
        <w:t xml:space="preserve">On November 9, 2009, Duquesne submitted a Compliance Filing calculating the surcharge rates </w:t>
      </w:r>
      <w:r w:rsidR="00C26934">
        <w:rPr>
          <w:sz w:val="26"/>
          <w:szCs w:val="26"/>
        </w:rPr>
        <w:t>as directed by</w:t>
      </w:r>
      <w:r>
        <w:rPr>
          <w:sz w:val="26"/>
          <w:szCs w:val="26"/>
        </w:rPr>
        <w:t xml:space="preserve"> the </w:t>
      </w:r>
      <w:r w:rsidRPr="00236BE8">
        <w:rPr>
          <w:i/>
          <w:sz w:val="26"/>
          <w:szCs w:val="26"/>
        </w:rPr>
        <w:t>October 2009 Order</w:t>
      </w:r>
      <w:r>
        <w:rPr>
          <w:sz w:val="26"/>
          <w:szCs w:val="26"/>
        </w:rPr>
        <w:t xml:space="preserve">.  Our action herein is </w:t>
      </w:r>
      <w:r w:rsidR="00D56453">
        <w:rPr>
          <w:sz w:val="26"/>
          <w:szCs w:val="26"/>
        </w:rPr>
        <w:t xml:space="preserve">a result of our concern regarding one aspect of this compliance filing and should not be viewed as </w:t>
      </w:r>
      <w:r w:rsidR="00EA7EFB">
        <w:rPr>
          <w:sz w:val="26"/>
          <w:szCs w:val="26"/>
        </w:rPr>
        <w:t>be</w:t>
      </w:r>
      <w:r w:rsidR="001B1B07">
        <w:rPr>
          <w:sz w:val="26"/>
          <w:szCs w:val="26"/>
        </w:rPr>
        <w:t>ing dispositive in full of the Compliance F</w:t>
      </w:r>
      <w:r w:rsidR="00D56453">
        <w:rPr>
          <w:sz w:val="26"/>
          <w:szCs w:val="26"/>
        </w:rPr>
        <w:t>iling</w:t>
      </w:r>
      <w:r w:rsidR="00205E7F">
        <w:rPr>
          <w:sz w:val="26"/>
          <w:szCs w:val="26"/>
        </w:rPr>
        <w:t>,</w:t>
      </w:r>
      <w:r w:rsidR="00EA7EFB">
        <w:rPr>
          <w:sz w:val="26"/>
          <w:szCs w:val="26"/>
        </w:rPr>
        <w:t xml:space="preserve"> which is still pending further review</w:t>
      </w:r>
      <w:r w:rsidR="00D56453">
        <w:rPr>
          <w:sz w:val="26"/>
          <w:szCs w:val="26"/>
        </w:rPr>
        <w:t xml:space="preserve">.  </w:t>
      </w:r>
    </w:p>
    <w:p w:rsidR="00195FDA" w:rsidRDefault="00195FDA" w:rsidP="008435E5">
      <w:pPr>
        <w:spacing w:line="360" w:lineRule="auto"/>
        <w:rPr>
          <w:sz w:val="26"/>
          <w:szCs w:val="26"/>
        </w:rPr>
      </w:pPr>
    </w:p>
    <w:p w:rsidR="00275A7A" w:rsidRDefault="00EA7EFB" w:rsidP="00E86C3D">
      <w:pPr>
        <w:spacing w:line="360" w:lineRule="auto"/>
        <w:ind w:firstLine="1440"/>
        <w:rPr>
          <w:sz w:val="26"/>
          <w:szCs w:val="26"/>
        </w:rPr>
      </w:pPr>
      <w:r>
        <w:rPr>
          <w:sz w:val="26"/>
          <w:szCs w:val="26"/>
        </w:rPr>
        <w:t xml:space="preserve">Furthermore, we note that </w:t>
      </w:r>
      <w:r w:rsidR="00195FDA">
        <w:rPr>
          <w:sz w:val="26"/>
          <w:szCs w:val="26"/>
        </w:rPr>
        <w:t xml:space="preserve">Duquesne filed </w:t>
      </w:r>
      <w:r w:rsidR="00820457">
        <w:rPr>
          <w:sz w:val="26"/>
          <w:szCs w:val="26"/>
        </w:rPr>
        <w:t>its</w:t>
      </w:r>
      <w:r w:rsidR="00195FDA">
        <w:rPr>
          <w:sz w:val="26"/>
          <w:szCs w:val="26"/>
        </w:rPr>
        <w:t xml:space="preserve"> Revised Plan on December 24, 2009</w:t>
      </w:r>
      <w:r w:rsidR="00820457">
        <w:rPr>
          <w:sz w:val="26"/>
          <w:szCs w:val="26"/>
        </w:rPr>
        <w:t>, including</w:t>
      </w:r>
      <w:r w:rsidR="00195FDA">
        <w:rPr>
          <w:sz w:val="26"/>
          <w:szCs w:val="26"/>
        </w:rPr>
        <w:t xml:space="preserve"> a red-lined version to show all changes made to its original Plan</w:t>
      </w:r>
      <w:r w:rsidR="00820457">
        <w:rPr>
          <w:sz w:val="26"/>
          <w:szCs w:val="26"/>
        </w:rPr>
        <w:t xml:space="preserve"> in compliance with our </w:t>
      </w:r>
      <w:r w:rsidR="00CE60CD" w:rsidRPr="00CE60CD">
        <w:rPr>
          <w:i/>
          <w:sz w:val="26"/>
          <w:szCs w:val="26"/>
        </w:rPr>
        <w:t>October 2</w:t>
      </w:r>
      <w:r w:rsidR="00184F20">
        <w:rPr>
          <w:i/>
          <w:sz w:val="26"/>
          <w:szCs w:val="26"/>
        </w:rPr>
        <w:t>00</w:t>
      </w:r>
      <w:r w:rsidR="00CE60CD" w:rsidRPr="00CE60CD">
        <w:rPr>
          <w:i/>
          <w:sz w:val="26"/>
          <w:szCs w:val="26"/>
        </w:rPr>
        <w:t>9 Order</w:t>
      </w:r>
      <w:r w:rsidR="00195FDA">
        <w:rPr>
          <w:sz w:val="26"/>
          <w:szCs w:val="26"/>
        </w:rPr>
        <w:t xml:space="preserve">.  Parties were permitted to file Comments to Duquesne’s Revised Plan.  Comments were submitted on or about January 8, 2010.  Reply Comments were filed on or about January 19, 2010. </w:t>
      </w:r>
      <w:r w:rsidR="00205E7F">
        <w:rPr>
          <w:sz w:val="26"/>
          <w:szCs w:val="26"/>
        </w:rPr>
        <w:t xml:space="preserve"> We will address the merits of the </w:t>
      </w:r>
      <w:r w:rsidR="00FB16D0">
        <w:rPr>
          <w:sz w:val="26"/>
          <w:szCs w:val="26"/>
        </w:rPr>
        <w:t>Revised Plan</w:t>
      </w:r>
      <w:r w:rsidR="0053544E">
        <w:rPr>
          <w:sz w:val="26"/>
          <w:szCs w:val="26"/>
        </w:rPr>
        <w:t xml:space="preserve"> and the comments thereto at a forthcoming Public Meeting.</w:t>
      </w:r>
      <w:r w:rsidR="00FB16D0">
        <w:rPr>
          <w:sz w:val="26"/>
          <w:szCs w:val="26"/>
        </w:rPr>
        <w:t xml:space="preserve"> </w:t>
      </w:r>
    </w:p>
    <w:p w:rsidR="00071DC2" w:rsidRDefault="00071DC2" w:rsidP="00E86C3D">
      <w:pPr>
        <w:spacing w:line="360" w:lineRule="auto"/>
        <w:ind w:firstLine="1440"/>
        <w:rPr>
          <w:sz w:val="26"/>
          <w:szCs w:val="26"/>
        </w:rPr>
      </w:pPr>
    </w:p>
    <w:p w:rsidR="00B015D6" w:rsidRDefault="001B1B07" w:rsidP="005C63F4">
      <w:pPr>
        <w:overflowPunct/>
        <w:autoSpaceDE/>
        <w:autoSpaceDN/>
        <w:adjustRightInd/>
        <w:textAlignment w:val="auto"/>
        <w:rPr>
          <w:sz w:val="26"/>
          <w:szCs w:val="26"/>
        </w:rPr>
      </w:pPr>
      <w:r>
        <w:rPr>
          <w:sz w:val="26"/>
          <w:szCs w:val="26"/>
        </w:rPr>
        <w:br w:type="page"/>
      </w:r>
    </w:p>
    <w:p w:rsidR="00B015D6" w:rsidRDefault="00771216" w:rsidP="00771216">
      <w:pPr>
        <w:pStyle w:val="ListParagraph"/>
        <w:numPr>
          <w:ilvl w:val="0"/>
          <w:numId w:val="3"/>
        </w:numPr>
        <w:spacing w:line="360" w:lineRule="auto"/>
        <w:ind w:hanging="1080"/>
        <w:rPr>
          <w:b/>
        </w:rPr>
      </w:pPr>
      <w:r>
        <w:rPr>
          <w:b/>
        </w:rPr>
        <w:lastRenderedPageBreak/>
        <w:t>Discussion</w:t>
      </w:r>
    </w:p>
    <w:p w:rsidR="0064379C" w:rsidRPr="002A491A" w:rsidRDefault="0064379C" w:rsidP="0064379C">
      <w:pPr>
        <w:spacing w:line="360" w:lineRule="auto"/>
        <w:rPr>
          <w:b/>
          <w:sz w:val="26"/>
          <w:szCs w:val="26"/>
        </w:rPr>
      </w:pPr>
    </w:p>
    <w:p w:rsidR="0064379C" w:rsidRPr="0064379C" w:rsidRDefault="0064379C" w:rsidP="0064379C">
      <w:pPr>
        <w:spacing w:line="360" w:lineRule="auto"/>
        <w:ind w:firstLine="1440"/>
        <w:rPr>
          <w:sz w:val="26"/>
          <w:szCs w:val="26"/>
        </w:rPr>
      </w:pPr>
      <w:r>
        <w:rPr>
          <w:sz w:val="26"/>
          <w:szCs w:val="26"/>
        </w:rPr>
        <w:t>Section 703(g) of the Public Utility Code, 66 Pa. C.S. § 703(g), allows the Commission to amend an</w:t>
      </w:r>
      <w:r w:rsidR="00441C88">
        <w:rPr>
          <w:sz w:val="26"/>
          <w:szCs w:val="26"/>
        </w:rPr>
        <w:t>y order</w:t>
      </w:r>
      <w:r w:rsidR="001B1B07">
        <w:rPr>
          <w:sz w:val="26"/>
          <w:szCs w:val="26"/>
        </w:rPr>
        <w:t>,</w:t>
      </w:r>
      <w:r w:rsidR="00441C88">
        <w:rPr>
          <w:sz w:val="26"/>
          <w:szCs w:val="26"/>
        </w:rPr>
        <w:t xml:space="preserve"> provided affected parties are given notice and a</w:t>
      </w:r>
      <w:r w:rsidR="000943E4">
        <w:rPr>
          <w:sz w:val="26"/>
          <w:szCs w:val="26"/>
        </w:rPr>
        <w:t>n opportunity</w:t>
      </w:r>
      <w:r w:rsidR="00441C88">
        <w:rPr>
          <w:sz w:val="26"/>
          <w:szCs w:val="26"/>
        </w:rPr>
        <w:t xml:space="preserve"> to be heard.  </w:t>
      </w:r>
    </w:p>
    <w:p w:rsidR="00350DD3" w:rsidRPr="002A491A" w:rsidRDefault="00350DD3" w:rsidP="00350DD3">
      <w:pPr>
        <w:spacing w:line="360" w:lineRule="auto"/>
        <w:rPr>
          <w:b/>
          <w:sz w:val="26"/>
          <w:szCs w:val="26"/>
        </w:rPr>
      </w:pPr>
    </w:p>
    <w:p w:rsidR="003B2ED0" w:rsidRDefault="00FB5931" w:rsidP="00350DD3">
      <w:pPr>
        <w:spacing w:line="360" w:lineRule="auto"/>
        <w:ind w:firstLine="1440"/>
        <w:rPr>
          <w:sz w:val="26"/>
          <w:szCs w:val="26"/>
        </w:rPr>
      </w:pPr>
      <w:r>
        <w:rPr>
          <w:sz w:val="26"/>
          <w:szCs w:val="26"/>
        </w:rPr>
        <w:t>As mentioned above</w:t>
      </w:r>
      <w:r w:rsidR="003E5BC9">
        <w:rPr>
          <w:sz w:val="26"/>
          <w:szCs w:val="26"/>
        </w:rPr>
        <w:t>,</w:t>
      </w:r>
      <w:r>
        <w:rPr>
          <w:sz w:val="26"/>
          <w:szCs w:val="26"/>
        </w:rPr>
        <w:t xml:space="preserve"> the issue at hand is that of </w:t>
      </w:r>
      <w:r w:rsidR="006D0F0E">
        <w:rPr>
          <w:sz w:val="26"/>
          <w:szCs w:val="26"/>
        </w:rPr>
        <w:t xml:space="preserve">allocation of administrative costs </w:t>
      </w:r>
      <w:r w:rsidR="007C7A3B">
        <w:rPr>
          <w:sz w:val="26"/>
          <w:szCs w:val="26"/>
        </w:rPr>
        <w:t xml:space="preserve">to </w:t>
      </w:r>
      <w:r w:rsidR="00B02341">
        <w:rPr>
          <w:sz w:val="26"/>
          <w:szCs w:val="26"/>
        </w:rPr>
        <w:t xml:space="preserve">C&amp;I </w:t>
      </w:r>
      <w:r w:rsidR="007C7A3B">
        <w:rPr>
          <w:sz w:val="26"/>
          <w:szCs w:val="26"/>
        </w:rPr>
        <w:t>customers</w:t>
      </w:r>
      <w:r w:rsidR="00B02341">
        <w:rPr>
          <w:sz w:val="26"/>
          <w:szCs w:val="26"/>
        </w:rPr>
        <w:t xml:space="preserve">.  </w:t>
      </w:r>
      <w:r w:rsidR="003E5BC9">
        <w:rPr>
          <w:sz w:val="26"/>
          <w:szCs w:val="26"/>
        </w:rPr>
        <w:t xml:space="preserve">As required by </w:t>
      </w:r>
      <w:r w:rsidR="00E17E31">
        <w:rPr>
          <w:sz w:val="26"/>
          <w:szCs w:val="26"/>
        </w:rPr>
        <w:t>our</w:t>
      </w:r>
      <w:r w:rsidR="003E5BC9">
        <w:rPr>
          <w:sz w:val="26"/>
          <w:szCs w:val="26"/>
        </w:rPr>
        <w:t xml:space="preserve"> </w:t>
      </w:r>
      <w:r w:rsidR="003E5BC9">
        <w:rPr>
          <w:i/>
          <w:sz w:val="26"/>
          <w:szCs w:val="26"/>
        </w:rPr>
        <w:t>Implementation Order</w:t>
      </w:r>
      <w:r w:rsidR="00DA4B51">
        <w:rPr>
          <w:rStyle w:val="FootnoteReference"/>
          <w:i/>
          <w:sz w:val="26"/>
          <w:szCs w:val="26"/>
        </w:rPr>
        <w:footnoteReference w:id="2"/>
      </w:r>
      <w:r w:rsidR="003E5BC9">
        <w:rPr>
          <w:i/>
          <w:sz w:val="26"/>
          <w:szCs w:val="26"/>
        </w:rPr>
        <w:t xml:space="preserve">, </w:t>
      </w:r>
      <w:r w:rsidR="003E5BC9">
        <w:rPr>
          <w:sz w:val="26"/>
          <w:szCs w:val="26"/>
        </w:rPr>
        <w:t>in its EE&amp;C Plan, Duquesne proposed energy efficiency and demand response programs for its customers on Rate Schedules GL, GLH, L and HVPS</w:t>
      </w:r>
      <w:r w:rsidR="00941CA6">
        <w:rPr>
          <w:sz w:val="26"/>
          <w:szCs w:val="26"/>
        </w:rPr>
        <w:t xml:space="preserve">.  For the energy efficiency programs, Duquesne divides its larger customers into “Large Commercial” and “Large Industrial” groups based on Standard Industrial Code (SIC) designations, and will tailor its marketing approach to various subgroups within each designation (Office Buildings, Health Care, Retail Stores/Restaurants, and Education for Large Commercial; Primary Metals, Chemicals, and Mixed for Large Industrial).  </w:t>
      </w:r>
      <w:r w:rsidR="006F666D">
        <w:rPr>
          <w:sz w:val="26"/>
          <w:szCs w:val="26"/>
        </w:rPr>
        <w:t xml:space="preserve">The Large </w:t>
      </w:r>
      <w:r w:rsidR="00FA2AF6">
        <w:rPr>
          <w:sz w:val="26"/>
          <w:szCs w:val="26"/>
        </w:rPr>
        <w:t>C&amp;I</w:t>
      </w:r>
      <w:r w:rsidR="006F666D">
        <w:rPr>
          <w:sz w:val="26"/>
          <w:szCs w:val="26"/>
        </w:rPr>
        <w:t xml:space="preserve"> groups have separate program budgets and separate cost recovery mechanisms. </w:t>
      </w:r>
      <w:r w:rsidR="00E5141F">
        <w:rPr>
          <w:sz w:val="26"/>
          <w:szCs w:val="26"/>
        </w:rPr>
        <w:t xml:space="preserve"> </w:t>
      </w:r>
      <w:r w:rsidR="00A33C6D">
        <w:rPr>
          <w:sz w:val="26"/>
          <w:szCs w:val="26"/>
        </w:rPr>
        <w:t xml:space="preserve">In Duquesne’s </w:t>
      </w:r>
      <w:r w:rsidR="006F666D">
        <w:rPr>
          <w:sz w:val="26"/>
          <w:szCs w:val="26"/>
        </w:rPr>
        <w:t xml:space="preserve">June 30, 2009 </w:t>
      </w:r>
      <w:r w:rsidR="00F97A3A">
        <w:rPr>
          <w:sz w:val="26"/>
          <w:szCs w:val="26"/>
        </w:rPr>
        <w:t>original</w:t>
      </w:r>
      <w:r w:rsidR="006F666D">
        <w:rPr>
          <w:sz w:val="26"/>
          <w:szCs w:val="26"/>
        </w:rPr>
        <w:t xml:space="preserve"> </w:t>
      </w:r>
      <w:r w:rsidR="00A33C6D">
        <w:rPr>
          <w:sz w:val="26"/>
          <w:szCs w:val="26"/>
        </w:rPr>
        <w:t>Plan,</w:t>
      </w:r>
      <w:r w:rsidR="006F666D">
        <w:rPr>
          <w:sz w:val="26"/>
          <w:szCs w:val="26"/>
        </w:rPr>
        <w:t xml:space="preserve"> Duquesne’s proposed rate design for both</w:t>
      </w:r>
      <w:r w:rsidR="00CA132B">
        <w:rPr>
          <w:sz w:val="26"/>
          <w:szCs w:val="26"/>
        </w:rPr>
        <w:t xml:space="preserve"> </w:t>
      </w:r>
      <w:r w:rsidR="006F666D">
        <w:rPr>
          <w:sz w:val="26"/>
          <w:szCs w:val="26"/>
        </w:rPr>
        <w:t xml:space="preserve">Large C&amp;I </w:t>
      </w:r>
      <w:r w:rsidR="00E04B60">
        <w:rPr>
          <w:sz w:val="26"/>
          <w:szCs w:val="26"/>
        </w:rPr>
        <w:t xml:space="preserve">groups </w:t>
      </w:r>
      <w:r w:rsidR="003B2ED0">
        <w:rPr>
          <w:sz w:val="26"/>
          <w:szCs w:val="26"/>
        </w:rPr>
        <w:t>included a customer charge and a demand (kW) charge based on the customer’s monthly billing demand.  The administrative costs of each budget were to be collected through the customer charge, while the incentives that were to be used to induce customers to participate were to be collected through the demand charge.</w:t>
      </w:r>
    </w:p>
    <w:p w:rsidR="003B2ED0" w:rsidRDefault="003B2ED0" w:rsidP="00350DD3">
      <w:pPr>
        <w:spacing w:line="360" w:lineRule="auto"/>
        <w:ind w:firstLine="1440"/>
        <w:rPr>
          <w:sz w:val="26"/>
          <w:szCs w:val="26"/>
        </w:rPr>
      </w:pPr>
    </w:p>
    <w:p w:rsidR="00726389" w:rsidRDefault="00726389" w:rsidP="00350DD3">
      <w:pPr>
        <w:spacing w:line="360" w:lineRule="auto"/>
        <w:ind w:firstLine="1440"/>
        <w:rPr>
          <w:sz w:val="26"/>
          <w:szCs w:val="26"/>
        </w:rPr>
      </w:pPr>
      <w:r>
        <w:rPr>
          <w:sz w:val="26"/>
          <w:szCs w:val="26"/>
        </w:rPr>
        <w:lastRenderedPageBreak/>
        <w:t>Duquesne supported the use of a blended rate design based on the vastly divergent usage characteristics for the customers that comprise its Large C&amp;I classes.</w:t>
      </w:r>
      <w:r>
        <w:rPr>
          <w:rStyle w:val="FootnoteReference"/>
          <w:sz w:val="26"/>
          <w:szCs w:val="26"/>
        </w:rPr>
        <w:footnoteReference w:id="3"/>
      </w:r>
    </w:p>
    <w:p w:rsidR="007C6648" w:rsidRDefault="00634313" w:rsidP="00634313">
      <w:pPr>
        <w:spacing w:line="360" w:lineRule="auto"/>
        <w:rPr>
          <w:sz w:val="26"/>
          <w:szCs w:val="26"/>
        </w:rPr>
      </w:pPr>
      <w:r>
        <w:rPr>
          <w:sz w:val="26"/>
          <w:szCs w:val="26"/>
        </w:rPr>
        <w:t xml:space="preserve">Specifically, Duquesne has approximately 900 customers on Rate Schedules GL, GLH, L and HVPS, with average annual usage ranging between 4,000 MWh and 400,000 MWh per customer.  </w:t>
      </w:r>
      <w:r w:rsidR="00E06B45">
        <w:rPr>
          <w:sz w:val="26"/>
          <w:szCs w:val="26"/>
        </w:rPr>
        <w:t xml:space="preserve">Duquesne’s Rate Schedule HVPS consists of only three customers that collectively make up approximately 35% of the demand for the Large Industrial class.  Duquesne Industrial Intervenors (DII) which consists of some of Duquesne’s larger customers, supported the blended rate design as a fair balance </w:t>
      </w:r>
      <w:r w:rsidR="007C6648">
        <w:rPr>
          <w:sz w:val="26"/>
          <w:szCs w:val="26"/>
        </w:rPr>
        <w:t>between the larger and smaller customers in the Large C&amp;I classes.  No party in the proceeding objected to the use of a blended rate design containing a monthly customer charge and a demand charge for the Large C&amp;I recovery mechanisms.</w:t>
      </w:r>
    </w:p>
    <w:p w:rsidR="00FA2AF6" w:rsidRDefault="00FA2AF6" w:rsidP="00634313">
      <w:pPr>
        <w:spacing w:line="360" w:lineRule="auto"/>
        <w:rPr>
          <w:sz w:val="26"/>
          <w:szCs w:val="26"/>
        </w:rPr>
      </w:pPr>
    </w:p>
    <w:p w:rsidR="007C6648" w:rsidRDefault="007C6648" w:rsidP="00634313">
      <w:pPr>
        <w:spacing w:line="360" w:lineRule="auto"/>
        <w:rPr>
          <w:sz w:val="26"/>
          <w:szCs w:val="26"/>
        </w:rPr>
      </w:pPr>
      <w:r>
        <w:rPr>
          <w:sz w:val="26"/>
          <w:szCs w:val="26"/>
        </w:rPr>
        <w:tab/>
      </w:r>
      <w:r>
        <w:rPr>
          <w:sz w:val="26"/>
          <w:szCs w:val="26"/>
        </w:rPr>
        <w:tab/>
        <w:t xml:space="preserve">In our </w:t>
      </w:r>
      <w:r w:rsidRPr="00236BE8">
        <w:rPr>
          <w:i/>
          <w:sz w:val="26"/>
          <w:szCs w:val="26"/>
        </w:rPr>
        <w:t xml:space="preserve">October </w:t>
      </w:r>
      <w:r w:rsidR="007A350C" w:rsidRPr="00236BE8">
        <w:rPr>
          <w:i/>
          <w:sz w:val="26"/>
          <w:szCs w:val="26"/>
        </w:rPr>
        <w:t xml:space="preserve">2009 </w:t>
      </w:r>
      <w:r w:rsidRPr="00236BE8">
        <w:rPr>
          <w:i/>
          <w:sz w:val="26"/>
          <w:szCs w:val="26"/>
        </w:rPr>
        <w:t>Order</w:t>
      </w:r>
      <w:r>
        <w:rPr>
          <w:sz w:val="26"/>
          <w:szCs w:val="26"/>
        </w:rPr>
        <w:t xml:space="preserve">, we modified Duquesne’s </w:t>
      </w:r>
      <w:r w:rsidR="00D153EF">
        <w:rPr>
          <w:sz w:val="26"/>
          <w:szCs w:val="26"/>
        </w:rPr>
        <w:t xml:space="preserve">proposed rate design for the recovery of EE&amp;C Plan costs from Duquesne’s Large C&amp;I in two ways.  First, we adopted the recommendation of DII </w:t>
      </w:r>
      <w:r w:rsidR="00FC721A">
        <w:rPr>
          <w:sz w:val="26"/>
          <w:szCs w:val="26"/>
        </w:rPr>
        <w:t>whereby the customers</w:t>
      </w:r>
      <w:r w:rsidR="004F043F">
        <w:rPr>
          <w:sz w:val="26"/>
          <w:szCs w:val="26"/>
        </w:rPr>
        <w:t>’</w:t>
      </w:r>
      <w:r w:rsidR="00FC721A">
        <w:rPr>
          <w:sz w:val="26"/>
          <w:szCs w:val="26"/>
        </w:rPr>
        <w:t xml:space="preserve"> PJM Interconnection Peak Load Contributions</w:t>
      </w:r>
      <w:r w:rsidR="00F2055E">
        <w:rPr>
          <w:sz w:val="26"/>
          <w:szCs w:val="26"/>
        </w:rPr>
        <w:t xml:space="preserve"> (PLC)</w:t>
      </w:r>
      <w:r w:rsidR="00FC721A">
        <w:rPr>
          <w:sz w:val="26"/>
          <w:szCs w:val="26"/>
        </w:rPr>
        <w:t xml:space="preserve"> should be used for the demand charge, rather than the monthly billing demand.  </w:t>
      </w:r>
      <w:r w:rsidR="00F65255">
        <w:rPr>
          <w:sz w:val="26"/>
          <w:szCs w:val="26"/>
        </w:rPr>
        <w:t>Second, we eliminated the monthly customer charge</w:t>
      </w:r>
      <w:r w:rsidR="007C7A3B">
        <w:rPr>
          <w:sz w:val="26"/>
          <w:szCs w:val="26"/>
        </w:rPr>
        <w:t xml:space="preserve"> component</w:t>
      </w:r>
      <w:r w:rsidR="00F65255">
        <w:rPr>
          <w:sz w:val="26"/>
          <w:szCs w:val="26"/>
        </w:rPr>
        <w:t xml:space="preserve">, and determined </w:t>
      </w:r>
      <w:r w:rsidR="004F043F">
        <w:rPr>
          <w:sz w:val="26"/>
          <w:szCs w:val="26"/>
        </w:rPr>
        <w:t xml:space="preserve">that </w:t>
      </w:r>
      <w:r w:rsidR="00F65255">
        <w:rPr>
          <w:sz w:val="26"/>
          <w:szCs w:val="26"/>
        </w:rPr>
        <w:t xml:space="preserve">both the administrative costs and the incentive costs should be recovered </w:t>
      </w:r>
      <w:r w:rsidR="007C7A3B">
        <w:rPr>
          <w:sz w:val="26"/>
          <w:szCs w:val="26"/>
        </w:rPr>
        <w:t xml:space="preserve">on a </w:t>
      </w:r>
      <w:r w:rsidR="00F65255">
        <w:rPr>
          <w:sz w:val="26"/>
          <w:szCs w:val="26"/>
        </w:rPr>
        <w:t xml:space="preserve">demand </w:t>
      </w:r>
      <w:r w:rsidR="007C7A3B">
        <w:rPr>
          <w:sz w:val="26"/>
          <w:szCs w:val="26"/>
        </w:rPr>
        <w:t>basis</w:t>
      </w:r>
      <w:r w:rsidR="00F65255">
        <w:rPr>
          <w:sz w:val="26"/>
          <w:szCs w:val="26"/>
        </w:rPr>
        <w:t>.  This was done in order to further incentivize industrial customers to participate in Duquesne’s EE&amp;C programs.</w:t>
      </w:r>
    </w:p>
    <w:p w:rsidR="00441C88" w:rsidRDefault="00441C88" w:rsidP="00634313">
      <w:pPr>
        <w:spacing w:line="360" w:lineRule="auto"/>
        <w:rPr>
          <w:sz w:val="26"/>
          <w:szCs w:val="26"/>
        </w:rPr>
      </w:pPr>
    </w:p>
    <w:p w:rsidR="00E27A7C" w:rsidRDefault="007525AE" w:rsidP="00391B0E">
      <w:pPr>
        <w:spacing w:line="360" w:lineRule="auto"/>
        <w:rPr>
          <w:sz w:val="26"/>
          <w:szCs w:val="26"/>
        </w:rPr>
      </w:pPr>
      <w:r>
        <w:rPr>
          <w:sz w:val="26"/>
          <w:szCs w:val="26"/>
        </w:rPr>
        <w:tab/>
      </w:r>
      <w:r>
        <w:rPr>
          <w:sz w:val="26"/>
          <w:szCs w:val="26"/>
        </w:rPr>
        <w:tab/>
        <w:t>Based on a review of the customer data and other information submitted with Duquesne’s Novem</w:t>
      </w:r>
      <w:r w:rsidR="001D5702">
        <w:rPr>
          <w:sz w:val="26"/>
          <w:szCs w:val="26"/>
        </w:rPr>
        <w:t xml:space="preserve">ber 9, 2009 Compliance Filing, it appears that our directive to require Duquesne to modify </w:t>
      </w:r>
      <w:r w:rsidR="00F2055E">
        <w:rPr>
          <w:sz w:val="26"/>
          <w:szCs w:val="26"/>
        </w:rPr>
        <w:t xml:space="preserve">its </w:t>
      </w:r>
      <w:r w:rsidR="001D5702">
        <w:rPr>
          <w:sz w:val="26"/>
          <w:szCs w:val="26"/>
        </w:rPr>
        <w:t xml:space="preserve">Plan </w:t>
      </w:r>
      <w:r w:rsidR="00A11544">
        <w:rPr>
          <w:sz w:val="26"/>
          <w:szCs w:val="26"/>
        </w:rPr>
        <w:t xml:space="preserve">to use </w:t>
      </w:r>
      <w:r w:rsidR="00DC26C4">
        <w:rPr>
          <w:sz w:val="26"/>
          <w:szCs w:val="26"/>
        </w:rPr>
        <w:t xml:space="preserve">a demand based allocation rather than a blended rate design </w:t>
      </w:r>
      <w:r w:rsidR="00A11544">
        <w:rPr>
          <w:sz w:val="26"/>
          <w:szCs w:val="26"/>
        </w:rPr>
        <w:t xml:space="preserve">has resulted </w:t>
      </w:r>
      <w:r w:rsidR="0078302A">
        <w:rPr>
          <w:sz w:val="26"/>
          <w:szCs w:val="26"/>
        </w:rPr>
        <w:t xml:space="preserve">in </w:t>
      </w:r>
      <w:r w:rsidR="00A11544">
        <w:rPr>
          <w:sz w:val="26"/>
          <w:szCs w:val="26"/>
        </w:rPr>
        <w:t xml:space="preserve">substantial increases </w:t>
      </w:r>
      <w:r w:rsidR="00793A6B">
        <w:rPr>
          <w:sz w:val="26"/>
          <w:szCs w:val="26"/>
        </w:rPr>
        <w:t>in</w:t>
      </w:r>
      <w:r w:rsidR="00874912">
        <w:rPr>
          <w:sz w:val="26"/>
          <w:szCs w:val="26"/>
        </w:rPr>
        <w:t xml:space="preserve"> the allocation of</w:t>
      </w:r>
      <w:r w:rsidR="00793A6B">
        <w:rPr>
          <w:sz w:val="26"/>
          <w:szCs w:val="26"/>
        </w:rPr>
        <w:t xml:space="preserve"> administrative costs</w:t>
      </w:r>
      <w:r w:rsidR="00874912">
        <w:rPr>
          <w:sz w:val="26"/>
          <w:szCs w:val="26"/>
        </w:rPr>
        <w:t xml:space="preserve"> to </w:t>
      </w:r>
      <w:r w:rsidR="00A24E08">
        <w:rPr>
          <w:sz w:val="26"/>
          <w:szCs w:val="26"/>
        </w:rPr>
        <w:t xml:space="preserve">its largest </w:t>
      </w:r>
      <w:r w:rsidR="00874912">
        <w:rPr>
          <w:sz w:val="26"/>
          <w:szCs w:val="26"/>
        </w:rPr>
        <w:t>customers</w:t>
      </w:r>
      <w:r w:rsidR="00793A6B">
        <w:rPr>
          <w:sz w:val="26"/>
          <w:szCs w:val="26"/>
        </w:rPr>
        <w:t xml:space="preserve">.  </w:t>
      </w:r>
      <w:r w:rsidR="006842AE">
        <w:rPr>
          <w:sz w:val="26"/>
          <w:szCs w:val="26"/>
        </w:rPr>
        <w:t xml:space="preserve">We note that while this is not surprising given the </w:t>
      </w:r>
      <w:r w:rsidR="006842AE">
        <w:rPr>
          <w:sz w:val="26"/>
          <w:szCs w:val="26"/>
        </w:rPr>
        <w:lastRenderedPageBreak/>
        <w:t>divergent usage characteristics of Duquesne’s larger customers, it is clearly not a fair outcome reflecting proper cost causation, assignment and recovery</w:t>
      </w:r>
      <w:r w:rsidR="003F2F3F">
        <w:rPr>
          <w:sz w:val="26"/>
          <w:szCs w:val="26"/>
        </w:rPr>
        <w:t xml:space="preserve">.  </w:t>
      </w:r>
    </w:p>
    <w:p w:rsidR="00E27A7C" w:rsidRDefault="00E27A7C" w:rsidP="00391B0E">
      <w:pPr>
        <w:spacing w:line="360" w:lineRule="auto"/>
        <w:rPr>
          <w:sz w:val="26"/>
          <w:szCs w:val="26"/>
        </w:rPr>
      </w:pPr>
    </w:p>
    <w:p w:rsidR="00561DFA" w:rsidRDefault="0049081F" w:rsidP="00C26DC1">
      <w:pPr>
        <w:spacing w:line="360" w:lineRule="auto"/>
        <w:ind w:firstLine="1440"/>
      </w:pPr>
      <w:r>
        <w:rPr>
          <w:sz w:val="26"/>
          <w:szCs w:val="26"/>
        </w:rPr>
        <w:t xml:space="preserve">As a result, </w:t>
      </w:r>
      <w:r w:rsidR="003073B9">
        <w:rPr>
          <w:sz w:val="26"/>
          <w:szCs w:val="26"/>
        </w:rPr>
        <w:t>we are of the opinion</w:t>
      </w:r>
      <w:r w:rsidR="00C326B2">
        <w:rPr>
          <w:sz w:val="26"/>
          <w:szCs w:val="26"/>
        </w:rPr>
        <w:t xml:space="preserve"> th</w:t>
      </w:r>
      <w:r w:rsidR="00CE4F4B">
        <w:rPr>
          <w:sz w:val="26"/>
          <w:szCs w:val="26"/>
        </w:rPr>
        <w:t xml:space="preserve">at it is best to rescind </w:t>
      </w:r>
      <w:r w:rsidR="009F718A">
        <w:rPr>
          <w:sz w:val="26"/>
          <w:szCs w:val="26"/>
        </w:rPr>
        <w:t>the modification</w:t>
      </w:r>
      <w:r w:rsidR="00CE4F4B">
        <w:rPr>
          <w:sz w:val="26"/>
          <w:szCs w:val="26"/>
        </w:rPr>
        <w:t xml:space="preserve"> that we made to Duquesne’s customer charge and instead r</w:t>
      </w:r>
      <w:r w:rsidR="00B623AF">
        <w:rPr>
          <w:sz w:val="26"/>
          <w:szCs w:val="26"/>
        </w:rPr>
        <w:t>e</w:t>
      </w:r>
      <w:r w:rsidR="00CE4F4B">
        <w:rPr>
          <w:sz w:val="26"/>
          <w:szCs w:val="26"/>
        </w:rPr>
        <w:t>quire</w:t>
      </w:r>
      <w:r w:rsidR="009F718A">
        <w:rPr>
          <w:sz w:val="26"/>
          <w:szCs w:val="26"/>
        </w:rPr>
        <w:t xml:space="preserve"> </w:t>
      </w:r>
      <w:r w:rsidR="00BC6B4C">
        <w:rPr>
          <w:sz w:val="26"/>
          <w:szCs w:val="26"/>
        </w:rPr>
        <w:t xml:space="preserve">Duquesne </w:t>
      </w:r>
      <w:r>
        <w:rPr>
          <w:sz w:val="26"/>
          <w:szCs w:val="26"/>
        </w:rPr>
        <w:t xml:space="preserve">to restore the customer charge components of the Large Commercial and Large Industrial cost recovery mechanisms for the recovery of the administrative costs of the programs.  The restoration of the </w:t>
      </w:r>
      <w:r w:rsidR="00AA4055">
        <w:rPr>
          <w:sz w:val="26"/>
          <w:szCs w:val="26"/>
        </w:rPr>
        <w:t xml:space="preserve">original customer charge components as calculated by Duquesne in its filing </w:t>
      </w:r>
      <w:r w:rsidR="00BC6B4C">
        <w:rPr>
          <w:sz w:val="26"/>
          <w:szCs w:val="26"/>
        </w:rPr>
        <w:t>will be commensurate with the effectiv</w:t>
      </w:r>
      <w:r w:rsidR="00E72C6F">
        <w:rPr>
          <w:sz w:val="26"/>
          <w:szCs w:val="26"/>
        </w:rPr>
        <w:t>e date of the Compliance tariff</w:t>
      </w:r>
      <w:r w:rsidR="00FB23E2">
        <w:rPr>
          <w:sz w:val="26"/>
          <w:szCs w:val="26"/>
        </w:rPr>
        <w:t>, and Duquesne should implement an appropriate reconciliation mechanism to ensure that customers pay EE&amp;C Plan costs consistent with the original rate design (as modified to use the PLC for the demand charge)</w:t>
      </w:r>
      <w:r w:rsidR="00E27A7C">
        <w:rPr>
          <w:sz w:val="26"/>
          <w:szCs w:val="26"/>
        </w:rPr>
        <w:t>.</w:t>
      </w:r>
    </w:p>
    <w:p w:rsidR="00561DFA" w:rsidRDefault="00561DFA">
      <w:pPr>
        <w:spacing w:line="360" w:lineRule="auto"/>
        <w:ind w:firstLine="720"/>
      </w:pPr>
    </w:p>
    <w:p w:rsidR="00561DFA" w:rsidRPr="002A491A" w:rsidRDefault="00B623AF">
      <w:pPr>
        <w:spacing w:line="360" w:lineRule="auto"/>
        <w:ind w:firstLine="720"/>
        <w:rPr>
          <w:sz w:val="26"/>
          <w:szCs w:val="26"/>
        </w:rPr>
      </w:pPr>
      <w:r>
        <w:rPr>
          <w:sz w:val="26"/>
          <w:szCs w:val="26"/>
        </w:rPr>
        <w:t xml:space="preserve"> </w:t>
      </w:r>
      <w:r>
        <w:rPr>
          <w:sz w:val="26"/>
          <w:szCs w:val="26"/>
        </w:rPr>
        <w:tab/>
      </w:r>
      <w:r w:rsidRPr="002A491A">
        <w:rPr>
          <w:sz w:val="26"/>
          <w:szCs w:val="26"/>
        </w:rPr>
        <w:t>However, i</w:t>
      </w:r>
      <w:r w:rsidR="00E27A7C" w:rsidRPr="002A491A">
        <w:rPr>
          <w:sz w:val="26"/>
          <w:szCs w:val="26"/>
        </w:rPr>
        <w:t xml:space="preserve">n order to </w:t>
      </w:r>
      <w:r w:rsidR="00BD0D29" w:rsidRPr="002A491A">
        <w:rPr>
          <w:sz w:val="26"/>
          <w:szCs w:val="26"/>
        </w:rPr>
        <w:t xml:space="preserve">afford </w:t>
      </w:r>
      <w:r w:rsidR="009F718A" w:rsidRPr="002A491A">
        <w:rPr>
          <w:sz w:val="26"/>
          <w:szCs w:val="26"/>
        </w:rPr>
        <w:t xml:space="preserve">the Parties </w:t>
      </w:r>
      <w:r w:rsidR="00BD0D29" w:rsidRPr="002A491A">
        <w:rPr>
          <w:sz w:val="26"/>
          <w:szCs w:val="26"/>
        </w:rPr>
        <w:t xml:space="preserve">an </w:t>
      </w:r>
      <w:r w:rsidR="00E27A7C" w:rsidRPr="002A491A">
        <w:rPr>
          <w:sz w:val="26"/>
          <w:szCs w:val="26"/>
        </w:rPr>
        <w:t>opportunity to be heard</w:t>
      </w:r>
      <w:r w:rsidRPr="002A491A">
        <w:rPr>
          <w:sz w:val="26"/>
          <w:szCs w:val="26"/>
        </w:rPr>
        <w:t>,</w:t>
      </w:r>
      <w:r w:rsidR="009F718A" w:rsidRPr="002A491A">
        <w:rPr>
          <w:sz w:val="26"/>
          <w:szCs w:val="26"/>
        </w:rPr>
        <w:t xml:space="preserve"> </w:t>
      </w:r>
      <w:r w:rsidR="00BD0D29" w:rsidRPr="002A491A">
        <w:rPr>
          <w:sz w:val="26"/>
          <w:szCs w:val="26"/>
        </w:rPr>
        <w:t xml:space="preserve">Parties </w:t>
      </w:r>
      <w:r w:rsidR="00E27A7C" w:rsidRPr="002A491A">
        <w:rPr>
          <w:sz w:val="26"/>
          <w:szCs w:val="26"/>
        </w:rPr>
        <w:t xml:space="preserve">may file comments </w:t>
      </w:r>
      <w:r w:rsidRPr="002A491A">
        <w:rPr>
          <w:sz w:val="26"/>
          <w:szCs w:val="26"/>
        </w:rPr>
        <w:t xml:space="preserve">to this </w:t>
      </w:r>
      <w:r w:rsidR="00C26DC1">
        <w:rPr>
          <w:sz w:val="26"/>
          <w:szCs w:val="26"/>
        </w:rPr>
        <w:t>O</w:t>
      </w:r>
      <w:r w:rsidRPr="002A491A">
        <w:rPr>
          <w:sz w:val="26"/>
          <w:szCs w:val="26"/>
        </w:rPr>
        <w:t xml:space="preserve">pinion and Order no </w:t>
      </w:r>
      <w:r w:rsidR="00C40CFD" w:rsidRPr="002A491A">
        <w:rPr>
          <w:sz w:val="26"/>
          <w:szCs w:val="26"/>
        </w:rPr>
        <w:t xml:space="preserve">later than </w:t>
      </w:r>
      <w:r w:rsidR="00E27A7C" w:rsidRPr="002A491A">
        <w:rPr>
          <w:sz w:val="26"/>
          <w:szCs w:val="26"/>
        </w:rPr>
        <w:t xml:space="preserve">fifteen (15) days </w:t>
      </w:r>
      <w:r w:rsidRPr="002A491A">
        <w:rPr>
          <w:sz w:val="26"/>
          <w:szCs w:val="26"/>
        </w:rPr>
        <w:t>from</w:t>
      </w:r>
      <w:r w:rsidR="009F718A" w:rsidRPr="002A491A">
        <w:rPr>
          <w:sz w:val="26"/>
          <w:szCs w:val="26"/>
        </w:rPr>
        <w:t xml:space="preserve"> </w:t>
      </w:r>
      <w:r w:rsidR="00E27A7C" w:rsidRPr="002A491A">
        <w:rPr>
          <w:sz w:val="26"/>
          <w:szCs w:val="26"/>
        </w:rPr>
        <w:t>the</w:t>
      </w:r>
      <w:r w:rsidR="00BD0D29" w:rsidRPr="002A491A">
        <w:rPr>
          <w:sz w:val="26"/>
          <w:szCs w:val="26"/>
        </w:rPr>
        <w:t xml:space="preserve"> date of entry </w:t>
      </w:r>
      <w:r w:rsidR="00E27A7C" w:rsidRPr="002A491A">
        <w:rPr>
          <w:sz w:val="26"/>
          <w:szCs w:val="26"/>
        </w:rPr>
        <w:t>of th</w:t>
      </w:r>
      <w:r w:rsidR="009F718A" w:rsidRPr="002A491A">
        <w:rPr>
          <w:sz w:val="26"/>
          <w:szCs w:val="26"/>
        </w:rPr>
        <w:t xml:space="preserve">is Opinion and </w:t>
      </w:r>
      <w:r w:rsidR="00E27A7C" w:rsidRPr="002A491A">
        <w:rPr>
          <w:sz w:val="26"/>
          <w:szCs w:val="26"/>
        </w:rPr>
        <w:t>Order</w:t>
      </w:r>
      <w:r w:rsidR="009F718A" w:rsidRPr="002A491A">
        <w:rPr>
          <w:sz w:val="26"/>
          <w:szCs w:val="26"/>
        </w:rPr>
        <w:t xml:space="preserve">; </w:t>
      </w:r>
      <w:r w:rsidR="00E27A7C" w:rsidRPr="002A491A">
        <w:rPr>
          <w:sz w:val="26"/>
          <w:szCs w:val="26"/>
        </w:rPr>
        <w:t xml:space="preserve">reply comments </w:t>
      </w:r>
      <w:r w:rsidR="009F718A" w:rsidRPr="002A491A">
        <w:rPr>
          <w:sz w:val="26"/>
          <w:szCs w:val="26"/>
        </w:rPr>
        <w:t>may be filed</w:t>
      </w:r>
      <w:r w:rsidR="00C40CFD" w:rsidRPr="002A491A">
        <w:rPr>
          <w:sz w:val="26"/>
          <w:szCs w:val="26"/>
        </w:rPr>
        <w:t xml:space="preserve"> no later than </w:t>
      </w:r>
      <w:r w:rsidR="00E27A7C" w:rsidRPr="002A491A">
        <w:rPr>
          <w:sz w:val="26"/>
          <w:szCs w:val="26"/>
        </w:rPr>
        <w:t xml:space="preserve">ten (10) days </w:t>
      </w:r>
      <w:r w:rsidR="00C40CFD" w:rsidRPr="002A491A">
        <w:rPr>
          <w:sz w:val="26"/>
          <w:szCs w:val="26"/>
        </w:rPr>
        <w:t>thereafter.</w:t>
      </w:r>
      <w:r w:rsidR="007233CB">
        <w:rPr>
          <w:sz w:val="26"/>
          <w:szCs w:val="26"/>
        </w:rPr>
        <w:t xml:space="preserve">  </w:t>
      </w:r>
      <w:r w:rsidR="00E27A7C" w:rsidRPr="002A491A">
        <w:rPr>
          <w:sz w:val="26"/>
          <w:szCs w:val="26"/>
        </w:rPr>
        <w:t xml:space="preserve">If no adverse comments are filed within fifteen (15) days from the </w:t>
      </w:r>
      <w:r w:rsidR="00550F5C" w:rsidRPr="002A491A">
        <w:rPr>
          <w:sz w:val="26"/>
          <w:szCs w:val="26"/>
        </w:rPr>
        <w:t>date of entry</w:t>
      </w:r>
      <w:r w:rsidR="00DA6884" w:rsidRPr="002A491A">
        <w:rPr>
          <w:sz w:val="26"/>
          <w:szCs w:val="26"/>
        </w:rPr>
        <w:t xml:space="preserve"> of this Opinion and O</w:t>
      </w:r>
      <w:r w:rsidR="00E27A7C" w:rsidRPr="002A491A">
        <w:rPr>
          <w:sz w:val="26"/>
          <w:szCs w:val="26"/>
        </w:rPr>
        <w:t>rder, the</w:t>
      </w:r>
      <w:r w:rsidR="00DA6884" w:rsidRPr="002A491A">
        <w:rPr>
          <w:sz w:val="26"/>
          <w:szCs w:val="26"/>
        </w:rPr>
        <w:t xml:space="preserve">n this Order </w:t>
      </w:r>
      <w:r w:rsidR="00E27A7C" w:rsidRPr="002A491A">
        <w:rPr>
          <w:sz w:val="26"/>
          <w:szCs w:val="26"/>
        </w:rPr>
        <w:t>shall become final without any further action b</w:t>
      </w:r>
      <w:r w:rsidR="008E383F" w:rsidRPr="002A491A">
        <w:rPr>
          <w:sz w:val="26"/>
          <w:szCs w:val="26"/>
        </w:rPr>
        <w:t xml:space="preserve">y the Commission; </w:t>
      </w:r>
      <w:r w:rsidR="008E383F" w:rsidRPr="002A491A">
        <w:rPr>
          <w:b/>
          <w:sz w:val="26"/>
          <w:szCs w:val="26"/>
        </w:rPr>
        <w:t>THEREFORE,</w:t>
      </w:r>
    </w:p>
    <w:p w:rsidR="00347F87" w:rsidRDefault="00E94413" w:rsidP="00391B0E">
      <w:pPr>
        <w:spacing w:line="360" w:lineRule="auto"/>
        <w:rPr>
          <w:b/>
          <w:bCs/>
          <w:sz w:val="26"/>
          <w:szCs w:val="26"/>
        </w:rPr>
      </w:pPr>
      <w:r w:rsidRPr="00A24556">
        <w:rPr>
          <w:b/>
          <w:bCs/>
          <w:sz w:val="26"/>
          <w:szCs w:val="26"/>
        </w:rPr>
        <w:tab/>
      </w:r>
    </w:p>
    <w:p w:rsidR="00E94413" w:rsidRPr="00A24556" w:rsidRDefault="002C562B" w:rsidP="00391B0E">
      <w:pPr>
        <w:spacing w:line="360" w:lineRule="auto"/>
        <w:rPr>
          <w:b/>
          <w:bCs/>
          <w:sz w:val="26"/>
          <w:szCs w:val="26"/>
        </w:rPr>
      </w:pPr>
      <w:r>
        <w:rPr>
          <w:b/>
          <w:bCs/>
          <w:sz w:val="26"/>
          <w:szCs w:val="26"/>
        </w:rPr>
        <w:tab/>
      </w:r>
      <w:r>
        <w:rPr>
          <w:b/>
          <w:bCs/>
          <w:sz w:val="26"/>
          <w:szCs w:val="26"/>
        </w:rPr>
        <w:tab/>
      </w:r>
      <w:r w:rsidR="00E94413" w:rsidRPr="00A24556">
        <w:rPr>
          <w:b/>
          <w:bCs/>
          <w:sz w:val="26"/>
          <w:szCs w:val="26"/>
        </w:rPr>
        <w:t>IT IS ORDERED:</w:t>
      </w:r>
    </w:p>
    <w:p w:rsidR="00913197" w:rsidRDefault="00913197" w:rsidP="00391B0E">
      <w:pPr>
        <w:tabs>
          <w:tab w:val="left" w:pos="4320"/>
        </w:tabs>
        <w:spacing w:line="360" w:lineRule="auto"/>
        <w:rPr>
          <w:sz w:val="26"/>
          <w:szCs w:val="26"/>
        </w:rPr>
      </w:pPr>
    </w:p>
    <w:p w:rsidR="00A24556" w:rsidRPr="00A24556" w:rsidRDefault="00053D9C" w:rsidP="00391B0E">
      <w:pPr>
        <w:pStyle w:val="ListParagraph"/>
        <w:spacing w:line="360" w:lineRule="auto"/>
        <w:ind w:left="0" w:firstLine="1440"/>
      </w:pPr>
      <w:r>
        <w:t>1.</w:t>
      </w:r>
      <w:r>
        <w:tab/>
      </w:r>
      <w:r w:rsidR="00A24556" w:rsidRPr="00A24556">
        <w:t>That</w:t>
      </w:r>
      <w:r w:rsidR="006A3FFB">
        <w:t xml:space="preserve">, pursuant to 66 </w:t>
      </w:r>
      <w:r w:rsidR="00C6154A">
        <w:t>Pa. C.S</w:t>
      </w:r>
      <w:r w:rsidR="006A3FFB">
        <w:t xml:space="preserve">. §703(g), </w:t>
      </w:r>
      <w:r w:rsidR="00A24556" w:rsidRPr="00A24556">
        <w:t>we shall reconsider</w:t>
      </w:r>
      <w:r w:rsidR="008E383F">
        <w:t>, on our own motion, the</w:t>
      </w:r>
      <w:r w:rsidR="00A24556" w:rsidRPr="00A24556">
        <w:t xml:space="preserve"> </w:t>
      </w:r>
      <w:r w:rsidR="00FF5143">
        <w:t xml:space="preserve">Opinion and </w:t>
      </w:r>
      <w:r w:rsidR="008E383F" w:rsidRPr="00A24556">
        <w:t xml:space="preserve">Order entered </w:t>
      </w:r>
      <w:r w:rsidR="00A26B98">
        <w:t>at Docket No.</w:t>
      </w:r>
      <w:r w:rsidR="00A26B98" w:rsidRPr="00A26B98">
        <w:t xml:space="preserve"> </w:t>
      </w:r>
      <w:r w:rsidR="00A26B98">
        <w:t xml:space="preserve">M-2009-2093217 on </w:t>
      </w:r>
      <w:r w:rsidR="008E383F">
        <w:t>October</w:t>
      </w:r>
      <w:r w:rsidR="008E383F" w:rsidRPr="00A24556">
        <w:t xml:space="preserve"> </w:t>
      </w:r>
      <w:r w:rsidR="008E383F">
        <w:t>27</w:t>
      </w:r>
      <w:r w:rsidR="008E383F" w:rsidRPr="00A24556">
        <w:t xml:space="preserve">, </w:t>
      </w:r>
      <w:r w:rsidR="008E383F">
        <w:t>2009</w:t>
      </w:r>
      <w:r w:rsidR="00A24556" w:rsidRPr="00A24556">
        <w:t xml:space="preserve">, </w:t>
      </w:r>
      <w:r w:rsidR="00550F5C">
        <w:t>consistent with this discussion contained in the body of this Opinion and Order</w:t>
      </w:r>
      <w:r w:rsidR="00C11A44">
        <w:t>.</w:t>
      </w:r>
    </w:p>
    <w:p w:rsidR="00A24556" w:rsidRPr="00A24556" w:rsidRDefault="00A24556" w:rsidP="00E94413">
      <w:pPr>
        <w:pStyle w:val="ListParagraph"/>
        <w:spacing w:line="360" w:lineRule="auto"/>
      </w:pPr>
    </w:p>
    <w:p w:rsidR="00A24556" w:rsidRDefault="00943C8B" w:rsidP="00943C8B">
      <w:pPr>
        <w:pStyle w:val="ListParagraph"/>
        <w:spacing w:line="360" w:lineRule="auto"/>
        <w:ind w:left="0" w:firstLine="1440"/>
      </w:pPr>
      <w:r>
        <w:t>2.</w:t>
      </w:r>
      <w:r>
        <w:tab/>
      </w:r>
      <w:r w:rsidR="00A24556" w:rsidRPr="00A24556">
        <w:t xml:space="preserve">That </w:t>
      </w:r>
      <w:r w:rsidR="00C11A44">
        <w:t xml:space="preserve">upon reconsideration of the Opinion and </w:t>
      </w:r>
      <w:r w:rsidR="007233CB">
        <w:t>O</w:t>
      </w:r>
      <w:r w:rsidR="00C11A44">
        <w:t xml:space="preserve">rder of October 27, 2009, it appears that Duquesne should restore the </w:t>
      </w:r>
      <w:r w:rsidR="00E7493F">
        <w:t xml:space="preserve">original </w:t>
      </w:r>
      <w:r w:rsidR="00C11A44">
        <w:t xml:space="preserve">customer charge components </w:t>
      </w:r>
      <w:r w:rsidR="00E7493F">
        <w:t xml:space="preserve">of </w:t>
      </w:r>
      <w:r w:rsidR="00C11A44">
        <w:t xml:space="preserve">the Large Commercial and Large Industrial cost recovery mechanisms for the recovery </w:t>
      </w:r>
      <w:r w:rsidR="00C11A44">
        <w:lastRenderedPageBreak/>
        <w:t>of the administrative costs of the programs,</w:t>
      </w:r>
      <w:r w:rsidR="00F032CA">
        <w:t xml:space="preserve"> </w:t>
      </w:r>
      <w:r w:rsidR="00C11A44">
        <w:t xml:space="preserve">calculated by Duquesne in its </w:t>
      </w:r>
      <w:r w:rsidR="00F032CA">
        <w:t xml:space="preserve">original </w:t>
      </w:r>
      <w:r w:rsidR="00C11A44">
        <w:t>filing</w:t>
      </w:r>
      <w:r w:rsidR="00E7493F">
        <w:t>, and as more fully discussed in the body of this Opinion and Order.</w:t>
      </w:r>
    </w:p>
    <w:p w:rsidR="00267F68" w:rsidRPr="00A24556" w:rsidRDefault="00267F68" w:rsidP="00943C8B">
      <w:pPr>
        <w:pStyle w:val="ListParagraph"/>
        <w:spacing w:line="360" w:lineRule="auto"/>
        <w:ind w:left="0" w:firstLine="1440"/>
      </w:pPr>
    </w:p>
    <w:p w:rsidR="00A24556" w:rsidRDefault="008367D9" w:rsidP="00E97CC3">
      <w:pPr>
        <w:pStyle w:val="ListParagraph"/>
        <w:spacing w:line="360" w:lineRule="auto"/>
        <w:ind w:left="0" w:firstLine="1440"/>
      </w:pPr>
      <w:r>
        <w:t>3.</w:t>
      </w:r>
      <w:r>
        <w:tab/>
      </w:r>
      <w:r w:rsidR="00A24556" w:rsidRPr="00A24556">
        <w:t xml:space="preserve">That </w:t>
      </w:r>
      <w:r w:rsidR="00930BC2">
        <w:t xml:space="preserve">any party to the proceeding </w:t>
      </w:r>
      <w:r w:rsidR="0069105C">
        <w:t>in Duquesne Light Company’s Energy Efficiency and Conservation and Demand Response Plan</w:t>
      </w:r>
      <w:r w:rsidR="0069105C" w:rsidRPr="00A24556">
        <w:t xml:space="preserve"> </w:t>
      </w:r>
      <w:r w:rsidR="00930BC2">
        <w:t>at Docket No. M-2009-2093217,</w:t>
      </w:r>
      <w:r w:rsidR="00A24556" w:rsidRPr="00A24556">
        <w:t xml:space="preserve"> </w:t>
      </w:r>
      <w:r w:rsidR="00930BC2">
        <w:t xml:space="preserve">may file comments </w:t>
      </w:r>
      <w:r w:rsidR="00A24556" w:rsidRPr="00A24556">
        <w:t xml:space="preserve">within </w:t>
      </w:r>
      <w:r w:rsidR="00930BC2">
        <w:t>fifteen</w:t>
      </w:r>
      <w:r w:rsidR="00A24556" w:rsidRPr="00A24556">
        <w:t xml:space="preserve"> (</w:t>
      </w:r>
      <w:r w:rsidR="00930BC2">
        <w:t>15</w:t>
      </w:r>
      <w:r w:rsidR="00A24556" w:rsidRPr="00A24556">
        <w:t>) days</w:t>
      </w:r>
      <w:r w:rsidR="00930BC2">
        <w:t xml:space="preserve"> from the </w:t>
      </w:r>
      <w:r w:rsidR="00311C39">
        <w:t xml:space="preserve">date of entry </w:t>
      </w:r>
      <w:r w:rsidR="00F032CA">
        <w:t xml:space="preserve">of this Opinion and Order </w:t>
      </w:r>
      <w:r w:rsidR="00F52497">
        <w:t xml:space="preserve">and, if necessary, reply comments </w:t>
      </w:r>
      <w:r w:rsidR="00F032CA">
        <w:t xml:space="preserve">may be filed no later than </w:t>
      </w:r>
      <w:r w:rsidR="00F52497">
        <w:t xml:space="preserve">ten (10) days </w:t>
      </w:r>
      <w:r w:rsidR="00F032CA">
        <w:t xml:space="preserve">thereafter. </w:t>
      </w:r>
    </w:p>
    <w:p w:rsidR="00267F68" w:rsidRDefault="00267F68" w:rsidP="00267F68">
      <w:pPr>
        <w:spacing w:line="360" w:lineRule="auto"/>
      </w:pPr>
    </w:p>
    <w:p w:rsidR="00267F68" w:rsidRDefault="001C1B09" w:rsidP="00267F68">
      <w:pPr>
        <w:pStyle w:val="ListParagraph"/>
        <w:spacing w:line="360" w:lineRule="auto"/>
        <w:ind w:left="144"/>
      </w:pPr>
      <w:r>
        <w:tab/>
      </w:r>
      <w:r>
        <w:tab/>
      </w:r>
      <w:r w:rsidR="008367D9">
        <w:t>4</w:t>
      </w:r>
      <w:r>
        <w:t>.</w:t>
      </w:r>
      <w:r>
        <w:tab/>
        <w:t>That, if adverse comments are filed, thi</w:t>
      </w:r>
      <w:r w:rsidR="00267F68">
        <w:t>s matter will be the subject of</w:t>
      </w:r>
    </w:p>
    <w:p w:rsidR="00561DFA" w:rsidRPr="00474435" w:rsidRDefault="001C1B09" w:rsidP="00474435">
      <w:pPr>
        <w:spacing w:line="360" w:lineRule="auto"/>
        <w:rPr>
          <w:sz w:val="26"/>
          <w:szCs w:val="26"/>
        </w:rPr>
      </w:pPr>
      <w:r w:rsidRPr="00474435">
        <w:rPr>
          <w:sz w:val="26"/>
          <w:szCs w:val="26"/>
        </w:rPr>
        <w:t xml:space="preserve">further Commission action. </w:t>
      </w:r>
    </w:p>
    <w:p w:rsidR="00A24556" w:rsidRPr="00A24556" w:rsidRDefault="00A24556" w:rsidP="00267F68">
      <w:pPr>
        <w:spacing w:line="360" w:lineRule="auto"/>
      </w:pPr>
    </w:p>
    <w:p w:rsidR="00561DFA" w:rsidRPr="00267F68" w:rsidRDefault="008367D9" w:rsidP="00474435">
      <w:pPr>
        <w:spacing w:line="360" w:lineRule="auto"/>
        <w:ind w:firstLine="1440"/>
        <w:rPr>
          <w:sz w:val="26"/>
          <w:szCs w:val="26"/>
        </w:rPr>
      </w:pPr>
      <w:r>
        <w:rPr>
          <w:sz w:val="26"/>
          <w:szCs w:val="26"/>
        </w:rPr>
        <w:t>5</w:t>
      </w:r>
      <w:r w:rsidR="00474435">
        <w:rPr>
          <w:sz w:val="26"/>
          <w:szCs w:val="26"/>
        </w:rPr>
        <w:t>.</w:t>
      </w:r>
      <w:r w:rsidR="00474435">
        <w:rPr>
          <w:sz w:val="26"/>
          <w:szCs w:val="26"/>
        </w:rPr>
        <w:tab/>
      </w:r>
      <w:r w:rsidR="00F032CA" w:rsidRPr="00267F68">
        <w:rPr>
          <w:sz w:val="26"/>
          <w:szCs w:val="26"/>
        </w:rPr>
        <w:t>That</w:t>
      </w:r>
      <w:r w:rsidR="00474435">
        <w:rPr>
          <w:sz w:val="26"/>
          <w:szCs w:val="26"/>
        </w:rPr>
        <w:t>,</w:t>
      </w:r>
      <w:r w:rsidR="00F032CA" w:rsidRPr="00267F68">
        <w:rPr>
          <w:sz w:val="26"/>
          <w:szCs w:val="26"/>
        </w:rPr>
        <w:t xml:space="preserve"> </w:t>
      </w:r>
      <w:r w:rsidR="00474435">
        <w:rPr>
          <w:sz w:val="26"/>
          <w:szCs w:val="26"/>
        </w:rPr>
        <w:t>i</w:t>
      </w:r>
      <w:r w:rsidR="002B3874" w:rsidRPr="00267F68">
        <w:rPr>
          <w:sz w:val="26"/>
          <w:szCs w:val="26"/>
        </w:rPr>
        <w:t>f</w:t>
      </w:r>
      <w:r w:rsidR="00F52497" w:rsidRPr="00267F68">
        <w:rPr>
          <w:sz w:val="26"/>
          <w:szCs w:val="26"/>
        </w:rPr>
        <w:t xml:space="preserve"> no adverse comments are filed within fifteen (1</w:t>
      </w:r>
      <w:r w:rsidR="00A26ED2" w:rsidRPr="00267F68">
        <w:rPr>
          <w:sz w:val="26"/>
          <w:szCs w:val="26"/>
        </w:rPr>
        <w:t>5</w:t>
      </w:r>
      <w:r w:rsidR="00F52497" w:rsidRPr="00267F68">
        <w:rPr>
          <w:sz w:val="26"/>
          <w:szCs w:val="26"/>
        </w:rPr>
        <w:t>) days from the</w:t>
      </w:r>
      <w:r w:rsidR="00F032CA" w:rsidRPr="00267F68">
        <w:rPr>
          <w:sz w:val="26"/>
          <w:szCs w:val="26"/>
        </w:rPr>
        <w:t xml:space="preserve"> d</w:t>
      </w:r>
      <w:r w:rsidR="001C1B09" w:rsidRPr="00267F68">
        <w:rPr>
          <w:sz w:val="26"/>
          <w:szCs w:val="26"/>
        </w:rPr>
        <w:t>a</w:t>
      </w:r>
      <w:r w:rsidR="00F032CA" w:rsidRPr="00267F68">
        <w:rPr>
          <w:sz w:val="26"/>
          <w:szCs w:val="26"/>
        </w:rPr>
        <w:t xml:space="preserve">te of entry of this Opinion and Order then this </w:t>
      </w:r>
      <w:r w:rsidR="00F52497" w:rsidRPr="00267F68">
        <w:rPr>
          <w:sz w:val="26"/>
          <w:szCs w:val="26"/>
        </w:rPr>
        <w:t>Order shall become final without further action by the Commission</w:t>
      </w:r>
      <w:r w:rsidR="001C1B09" w:rsidRPr="00267F68">
        <w:rPr>
          <w:sz w:val="26"/>
          <w:szCs w:val="26"/>
        </w:rPr>
        <w:t xml:space="preserve">, and </w:t>
      </w:r>
      <w:r w:rsidR="00CA58D4" w:rsidRPr="00267F68">
        <w:rPr>
          <w:sz w:val="26"/>
          <w:szCs w:val="26"/>
        </w:rPr>
        <w:t>Duquesne Light Company</w:t>
      </w:r>
      <w:r w:rsidR="00117620" w:rsidRPr="00267F68">
        <w:rPr>
          <w:sz w:val="26"/>
          <w:szCs w:val="26"/>
        </w:rPr>
        <w:t xml:space="preserve"> shall file with this Commission and serve on all </w:t>
      </w:r>
      <w:r w:rsidR="00BE3F4A" w:rsidRPr="00267F68">
        <w:rPr>
          <w:sz w:val="26"/>
          <w:szCs w:val="26"/>
        </w:rPr>
        <w:t>P</w:t>
      </w:r>
      <w:r w:rsidR="00117620" w:rsidRPr="00267F68">
        <w:rPr>
          <w:sz w:val="26"/>
          <w:szCs w:val="26"/>
        </w:rPr>
        <w:t xml:space="preserve">arties of record in this proceeding a revised </w:t>
      </w:r>
      <w:r w:rsidR="00CA58D4" w:rsidRPr="00267F68">
        <w:rPr>
          <w:sz w:val="26"/>
          <w:szCs w:val="26"/>
        </w:rPr>
        <w:t xml:space="preserve">Energy Efficiency and Conservation Plan </w:t>
      </w:r>
      <w:r w:rsidR="00EA65A7" w:rsidRPr="00267F68">
        <w:rPr>
          <w:sz w:val="26"/>
          <w:szCs w:val="26"/>
        </w:rPr>
        <w:t xml:space="preserve">and the appropriate tariffs </w:t>
      </w:r>
      <w:r w:rsidR="00117620" w:rsidRPr="00267F68">
        <w:rPr>
          <w:sz w:val="26"/>
          <w:szCs w:val="26"/>
        </w:rPr>
        <w:t xml:space="preserve">consistent with the modifications directed in this Opinion and Order, within </w:t>
      </w:r>
      <w:r w:rsidR="00A26ED2" w:rsidRPr="00267F68">
        <w:rPr>
          <w:sz w:val="26"/>
          <w:szCs w:val="26"/>
        </w:rPr>
        <w:t>twenty (20)</w:t>
      </w:r>
      <w:r w:rsidR="00117620" w:rsidRPr="00267F68">
        <w:rPr>
          <w:sz w:val="26"/>
          <w:szCs w:val="26"/>
        </w:rPr>
        <w:t xml:space="preserve"> days </w:t>
      </w:r>
      <w:r w:rsidR="00470018" w:rsidRPr="00267F68">
        <w:rPr>
          <w:sz w:val="26"/>
          <w:szCs w:val="26"/>
        </w:rPr>
        <w:t xml:space="preserve">of the </w:t>
      </w:r>
      <w:r w:rsidR="00BE3F4A" w:rsidRPr="00267F68">
        <w:rPr>
          <w:sz w:val="26"/>
          <w:szCs w:val="26"/>
        </w:rPr>
        <w:t xml:space="preserve">date of </w:t>
      </w:r>
      <w:r w:rsidR="00470018" w:rsidRPr="00267F68">
        <w:rPr>
          <w:sz w:val="26"/>
          <w:szCs w:val="26"/>
        </w:rPr>
        <w:t>entry of this Opinion and Order</w:t>
      </w:r>
      <w:r w:rsidR="00BE3F4A" w:rsidRPr="00267F68">
        <w:rPr>
          <w:sz w:val="26"/>
          <w:szCs w:val="26"/>
        </w:rPr>
        <w:t>.</w:t>
      </w:r>
      <w:r w:rsidR="00470018" w:rsidRPr="00267F68">
        <w:rPr>
          <w:sz w:val="26"/>
          <w:szCs w:val="26"/>
        </w:rPr>
        <w:t xml:space="preserve"> </w:t>
      </w:r>
    </w:p>
    <w:p w:rsidR="00561DFA" w:rsidRDefault="00561DFA">
      <w:pPr>
        <w:pStyle w:val="ListParagraph"/>
        <w:spacing w:line="360" w:lineRule="auto"/>
        <w:ind w:left="1440"/>
      </w:pPr>
    </w:p>
    <w:p w:rsidR="002B3874" w:rsidRDefault="00272D89" w:rsidP="002B3874">
      <w:pPr>
        <w:pStyle w:val="p3"/>
        <w:tabs>
          <w:tab w:val="clear" w:pos="204"/>
        </w:tabs>
        <w:rPr>
          <w:sz w:val="26"/>
          <w:szCs w:val="26"/>
        </w:rPr>
      </w:pPr>
      <w:r>
        <w:rPr>
          <w:noProof/>
          <w:sz w:val="26"/>
          <w:szCs w:val="26"/>
        </w:rPr>
        <w:drawing>
          <wp:anchor distT="0" distB="0" distL="114300" distR="114300" simplePos="0" relativeHeight="251660288" behindDoc="1" locked="0" layoutInCell="1" allowOverlap="1">
            <wp:simplePos x="0" y="0"/>
            <wp:positionH relativeFrom="column">
              <wp:posOffset>2771775</wp:posOffset>
            </wp:positionH>
            <wp:positionV relativeFrom="paragraph">
              <wp:posOffset>25400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p>
    <w:p w:rsidR="00DF0470" w:rsidRPr="00A24556" w:rsidRDefault="00DF0470" w:rsidP="002B3874">
      <w:pPr>
        <w:pStyle w:val="p3"/>
        <w:tabs>
          <w:tab w:val="clear" w:pos="204"/>
        </w:tabs>
        <w:spacing w:line="360" w:lineRule="auto"/>
        <w:ind w:left="4320" w:firstLine="720"/>
        <w:rPr>
          <w:b/>
          <w:bCs/>
          <w:sz w:val="26"/>
          <w:szCs w:val="26"/>
        </w:rPr>
      </w:pPr>
      <w:r w:rsidRPr="00A24556">
        <w:rPr>
          <w:b/>
          <w:bCs/>
          <w:sz w:val="26"/>
          <w:szCs w:val="26"/>
        </w:rPr>
        <w:t>BY THE COMMISSION</w:t>
      </w:r>
    </w:p>
    <w:p w:rsidR="00DF0470" w:rsidRPr="00A24556" w:rsidRDefault="00DF0470" w:rsidP="00DF0470">
      <w:pPr>
        <w:tabs>
          <w:tab w:val="left" w:pos="5057"/>
        </w:tabs>
        <w:rPr>
          <w:bCs/>
          <w:sz w:val="26"/>
          <w:szCs w:val="26"/>
        </w:rPr>
      </w:pPr>
    </w:p>
    <w:p w:rsidR="00DF0470" w:rsidRPr="00A24556" w:rsidRDefault="00DF0470" w:rsidP="00DF0470">
      <w:pPr>
        <w:tabs>
          <w:tab w:val="left" w:pos="5057"/>
        </w:tabs>
        <w:rPr>
          <w:b/>
          <w:bCs/>
          <w:sz w:val="26"/>
          <w:szCs w:val="26"/>
        </w:rPr>
      </w:pPr>
    </w:p>
    <w:p w:rsidR="00DF0470" w:rsidRPr="00A24556" w:rsidRDefault="00DF0470" w:rsidP="00DF0470">
      <w:pPr>
        <w:pStyle w:val="p18"/>
        <w:ind w:left="5062"/>
        <w:rPr>
          <w:sz w:val="26"/>
          <w:szCs w:val="26"/>
        </w:rPr>
      </w:pPr>
      <w:r w:rsidRPr="00A24556">
        <w:rPr>
          <w:sz w:val="26"/>
          <w:szCs w:val="26"/>
        </w:rPr>
        <w:t>James J. McNulty</w:t>
      </w:r>
    </w:p>
    <w:p w:rsidR="00DF0470" w:rsidRPr="00A24556" w:rsidRDefault="00DF0470" w:rsidP="00DF0470">
      <w:pPr>
        <w:pStyle w:val="p18"/>
        <w:ind w:left="5062"/>
        <w:rPr>
          <w:sz w:val="26"/>
          <w:szCs w:val="26"/>
        </w:rPr>
      </w:pPr>
      <w:r w:rsidRPr="00A24556">
        <w:rPr>
          <w:sz w:val="26"/>
          <w:szCs w:val="26"/>
        </w:rPr>
        <w:t>Secretary</w:t>
      </w:r>
    </w:p>
    <w:p w:rsidR="00470018" w:rsidRDefault="00470018" w:rsidP="00DF0470">
      <w:pPr>
        <w:pStyle w:val="p14"/>
        <w:rPr>
          <w:sz w:val="26"/>
          <w:szCs w:val="26"/>
        </w:rPr>
      </w:pPr>
    </w:p>
    <w:p w:rsidR="00470018" w:rsidRDefault="00470018" w:rsidP="00DF0470">
      <w:pPr>
        <w:pStyle w:val="p14"/>
        <w:rPr>
          <w:sz w:val="26"/>
          <w:szCs w:val="26"/>
        </w:rPr>
      </w:pPr>
    </w:p>
    <w:p w:rsidR="00DF0470" w:rsidRPr="00A24556" w:rsidRDefault="00DF0470" w:rsidP="00DF0470">
      <w:pPr>
        <w:pStyle w:val="p14"/>
        <w:rPr>
          <w:sz w:val="26"/>
          <w:szCs w:val="26"/>
        </w:rPr>
      </w:pPr>
      <w:r w:rsidRPr="00A24556">
        <w:rPr>
          <w:sz w:val="26"/>
          <w:szCs w:val="26"/>
        </w:rPr>
        <w:t>(SEAL)</w:t>
      </w:r>
    </w:p>
    <w:p w:rsidR="00DF0470" w:rsidRPr="00A24556" w:rsidRDefault="00DF0470" w:rsidP="00DF0470">
      <w:pPr>
        <w:tabs>
          <w:tab w:val="left" w:pos="204"/>
        </w:tabs>
        <w:rPr>
          <w:sz w:val="26"/>
          <w:szCs w:val="26"/>
        </w:rPr>
      </w:pPr>
    </w:p>
    <w:p w:rsidR="00DF0470" w:rsidRPr="00A24556" w:rsidRDefault="00DF0470" w:rsidP="00BE499A">
      <w:pPr>
        <w:pStyle w:val="p14"/>
        <w:rPr>
          <w:sz w:val="26"/>
          <w:szCs w:val="26"/>
        </w:rPr>
      </w:pPr>
      <w:r w:rsidRPr="00A24556">
        <w:rPr>
          <w:sz w:val="26"/>
          <w:szCs w:val="26"/>
        </w:rPr>
        <w:t xml:space="preserve">ORDER ADOPTED:  </w:t>
      </w:r>
      <w:r w:rsidR="00470018">
        <w:rPr>
          <w:sz w:val="26"/>
          <w:szCs w:val="26"/>
        </w:rPr>
        <w:t>January</w:t>
      </w:r>
      <w:r w:rsidR="00B77D55">
        <w:rPr>
          <w:sz w:val="26"/>
          <w:szCs w:val="26"/>
        </w:rPr>
        <w:t xml:space="preserve"> </w:t>
      </w:r>
      <w:r w:rsidR="00470018">
        <w:rPr>
          <w:sz w:val="26"/>
          <w:szCs w:val="26"/>
        </w:rPr>
        <w:t>14</w:t>
      </w:r>
      <w:r w:rsidR="00B77D55">
        <w:rPr>
          <w:sz w:val="26"/>
          <w:szCs w:val="26"/>
        </w:rPr>
        <w:t>, 20</w:t>
      </w:r>
      <w:r w:rsidR="00470018">
        <w:rPr>
          <w:sz w:val="26"/>
          <w:szCs w:val="26"/>
        </w:rPr>
        <w:t>10</w:t>
      </w:r>
    </w:p>
    <w:p w:rsidR="00E06263" w:rsidRDefault="00E06263" w:rsidP="005A7356">
      <w:pPr>
        <w:pStyle w:val="p14"/>
        <w:rPr>
          <w:sz w:val="26"/>
          <w:szCs w:val="26"/>
        </w:rPr>
      </w:pPr>
    </w:p>
    <w:p w:rsidR="00CD6C97" w:rsidRPr="00A24556" w:rsidRDefault="00DF0470" w:rsidP="005A7356">
      <w:pPr>
        <w:pStyle w:val="p14"/>
        <w:rPr>
          <w:sz w:val="26"/>
          <w:szCs w:val="26"/>
        </w:rPr>
      </w:pPr>
      <w:r w:rsidRPr="00A24556">
        <w:rPr>
          <w:sz w:val="26"/>
          <w:szCs w:val="26"/>
        </w:rPr>
        <w:t xml:space="preserve">ORDER ENTERED:  </w:t>
      </w:r>
      <w:r w:rsidR="00272D89">
        <w:rPr>
          <w:sz w:val="26"/>
          <w:szCs w:val="26"/>
        </w:rPr>
        <w:t>February 2, 2010</w:t>
      </w:r>
    </w:p>
    <w:sectPr w:rsidR="00CD6C97" w:rsidRPr="00A24556" w:rsidSect="00D83182">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536" w:rsidRDefault="00EC7536">
      <w:r>
        <w:separator/>
      </w:r>
    </w:p>
  </w:endnote>
  <w:endnote w:type="continuationSeparator" w:id="0">
    <w:p w:rsidR="00EC7536" w:rsidRDefault="00EC75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AE" w:rsidRDefault="004007C5">
    <w:pPr>
      <w:pStyle w:val="Footer"/>
      <w:framePr w:wrap="around" w:vAnchor="text" w:hAnchor="margin" w:xAlign="center" w:y="1"/>
      <w:rPr>
        <w:rStyle w:val="PageNumber"/>
      </w:rPr>
    </w:pPr>
    <w:r>
      <w:rPr>
        <w:rStyle w:val="PageNumber"/>
      </w:rPr>
      <w:fldChar w:fldCharType="begin"/>
    </w:r>
    <w:r w:rsidR="006842AE">
      <w:rPr>
        <w:rStyle w:val="PageNumber"/>
      </w:rPr>
      <w:instrText xml:space="preserve">PAGE  </w:instrText>
    </w:r>
    <w:r>
      <w:rPr>
        <w:rStyle w:val="PageNumber"/>
      </w:rPr>
      <w:fldChar w:fldCharType="end"/>
    </w:r>
  </w:p>
  <w:p w:rsidR="006842AE" w:rsidRDefault="006842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AE" w:rsidRDefault="004007C5">
    <w:pPr>
      <w:pStyle w:val="Footer"/>
      <w:framePr w:wrap="around" w:vAnchor="text" w:hAnchor="margin" w:xAlign="center" w:y="1"/>
      <w:rPr>
        <w:rStyle w:val="PageNumber"/>
      </w:rPr>
    </w:pPr>
    <w:r>
      <w:rPr>
        <w:rStyle w:val="PageNumber"/>
      </w:rPr>
      <w:fldChar w:fldCharType="begin"/>
    </w:r>
    <w:r w:rsidR="006842AE">
      <w:rPr>
        <w:rStyle w:val="PageNumber"/>
      </w:rPr>
      <w:instrText xml:space="preserve">PAGE  </w:instrText>
    </w:r>
    <w:r>
      <w:rPr>
        <w:rStyle w:val="PageNumber"/>
      </w:rPr>
      <w:fldChar w:fldCharType="separate"/>
    </w:r>
    <w:r w:rsidR="00272D89">
      <w:rPr>
        <w:rStyle w:val="PageNumber"/>
        <w:noProof/>
      </w:rPr>
      <w:t>7</w:t>
    </w:r>
    <w:r>
      <w:rPr>
        <w:rStyle w:val="PageNumber"/>
      </w:rPr>
      <w:fldChar w:fldCharType="end"/>
    </w:r>
  </w:p>
  <w:p w:rsidR="006842AE" w:rsidRDefault="006842AE" w:rsidP="00FA58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536" w:rsidRDefault="00EC7536">
      <w:r>
        <w:separator/>
      </w:r>
    </w:p>
  </w:footnote>
  <w:footnote w:type="continuationSeparator" w:id="0">
    <w:p w:rsidR="00EC7536" w:rsidRDefault="00EC7536">
      <w:r>
        <w:continuationSeparator/>
      </w:r>
    </w:p>
  </w:footnote>
  <w:footnote w:id="1">
    <w:p w:rsidR="0052377A" w:rsidRPr="0052377A" w:rsidRDefault="0052377A" w:rsidP="0052377A">
      <w:pPr>
        <w:pStyle w:val="FootnoteText"/>
        <w:ind w:left="720"/>
        <w:rPr>
          <w:sz w:val="26"/>
          <w:szCs w:val="26"/>
        </w:rPr>
      </w:pPr>
      <w:r w:rsidRPr="0052377A">
        <w:rPr>
          <w:rStyle w:val="FootnoteReference"/>
          <w:sz w:val="26"/>
          <w:szCs w:val="26"/>
        </w:rPr>
        <w:footnoteRef/>
      </w:r>
      <w:r w:rsidRPr="0052377A">
        <w:rPr>
          <w:sz w:val="26"/>
          <w:szCs w:val="26"/>
        </w:rPr>
        <w:t xml:space="preserve"> </w:t>
      </w:r>
      <w:r w:rsidRPr="0052377A">
        <w:rPr>
          <w:sz w:val="26"/>
          <w:szCs w:val="26"/>
        </w:rPr>
        <w:tab/>
        <w:t xml:space="preserve">See our </w:t>
      </w:r>
      <w:r w:rsidRPr="00731350">
        <w:rPr>
          <w:i/>
          <w:sz w:val="26"/>
          <w:szCs w:val="26"/>
        </w:rPr>
        <w:t>October 2009 Order</w:t>
      </w:r>
      <w:r w:rsidRPr="0052377A">
        <w:rPr>
          <w:sz w:val="26"/>
          <w:szCs w:val="26"/>
        </w:rPr>
        <w:t xml:space="preserve"> at 6-7. </w:t>
      </w:r>
    </w:p>
  </w:footnote>
  <w:footnote w:id="2">
    <w:p w:rsidR="00561DFA" w:rsidRDefault="00DA4B51" w:rsidP="004A1456">
      <w:pPr>
        <w:ind w:firstLine="720"/>
        <w:rPr>
          <w:sz w:val="26"/>
          <w:szCs w:val="26"/>
        </w:rPr>
      </w:pPr>
      <w:r w:rsidRPr="002A491A">
        <w:rPr>
          <w:rStyle w:val="FootnoteReference"/>
          <w:sz w:val="26"/>
          <w:szCs w:val="26"/>
        </w:rPr>
        <w:footnoteRef/>
      </w:r>
      <w:r w:rsidRPr="002A491A">
        <w:rPr>
          <w:sz w:val="26"/>
          <w:szCs w:val="26"/>
        </w:rPr>
        <w:t xml:space="preserve"> </w:t>
      </w:r>
      <w:r w:rsidRPr="002A491A">
        <w:rPr>
          <w:sz w:val="26"/>
          <w:szCs w:val="26"/>
        </w:rPr>
        <w:tab/>
      </w:r>
      <w:r w:rsidR="00E17E31" w:rsidRPr="002A491A">
        <w:rPr>
          <w:sz w:val="26"/>
          <w:szCs w:val="26"/>
        </w:rPr>
        <w:t>By Opinion and Order entered January 16, 2009, at Docket No.</w:t>
      </w:r>
      <w:r w:rsidR="00E17E31">
        <w:rPr>
          <w:sz w:val="26"/>
          <w:szCs w:val="26"/>
        </w:rPr>
        <w:t xml:space="preserve"> M</w:t>
      </w:r>
      <w:r w:rsidR="00E17E31">
        <w:rPr>
          <w:sz w:val="26"/>
          <w:szCs w:val="26"/>
        </w:rPr>
        <w:noBreakHyphen/>
        <w:t>2008</w:t>
      </w:r>
      <w:r w:rsidR="00E17E31">
        <w:rPr>
          <w:sz w:val="26"/>
          <w:szCs w:val="26"/>
        </w:rPr>
        <w:noBreakHyphen/>
        <w:t>2069887 (</w:t>
      </w:r>
      <w:r w:rsidR="00E17E31" w:rsidRPr="0016013C">
        <w:rPr>
          <w:i/>
          <w:sz w:val="26"/>
          <w:szCs w:val="26"/>
        </w:rPr>
        <w:t>Implementation Order</w:t>
      </w:r>
      <w:r w:rsidR="00E17E31">
        <w:rPr>
          <w:sz w:val="26"/>
          <w:szCs w:val="26"/>
        </w:rPr>
        <w:t xml:space="preserve">), the Commission: (1) established the standards that Electric Distribution Company (EDC) EE&amp;C Plans must meet, and (2) provided guidance on the procedures to be followed for submittal, review and approval of all aspects of EDC EE&amp;C Plans. </w:t>
      </w:r>
    </w:p>
    <w:p w:rsidR="00561DFA" w:rsidRDefault="00561DFA">
      <w:pPr>
        <w:pStyle w:val="FootnoteText"/>
        <w:ind w:firstLine="720"/>
      </w:pPr>
    </w:p>
  </w:footnote>
  <w:footnote w:id="3">
    <w:p w:rsidR="006842AE" w:rsidRPr="00634313" w:rsidRDefault="006842AE" w:rsidP="00634313">
      <w:pPr>
        <w:pStyle w:val="FootnoteText"/>
        <w:ind w:left="720"/>
        <w:rPr>
          <w:sz w:val="26"/>
          <w:szCs w:val="26"/>
        </w:rPr>
      </w:pPr>
      <w:r w:rsidRPr="00634313">
        <w:rPr>
          <w:rStyle w:val="FootnoteReference"/>
          <w:sz w:val="26"/>
          <w:szCs w:val="26"/>
        </w:rPr>
        <w:footnoteRef/>
      </w:r>
      <w:r w:rsidRPr="00634313">
        <w:rPr>
          <w:sz w:val="26"/>
          <w:szCs w:val="26"/>
        </w:rPr>
        <w:t xml:space="preserve"> </w:t>
      </w:r>
      <w:r w:rsidRPr="00634313">
        <w:rPr>
          <w:sz w:val="26"/>
          <w:szCs w:val="26"/>
        </w:rPr>
        <w:tab/>
        <w:t xml:space="preserve">Duquesne Statement No. 4, p. 9.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4E0F48"/>
    <w:lvl w:ilvl="0">
      <w:numFmt w:val="bullet"/>
      <w:lvlText w:val="*"/>
      <w:lvlJc w:val="left"/>
      <w:pPr>
        <w:ind w:left="0" w:firstLine="0"/>
      </w:pPr>
    </w:lvl>
  </w:abstractNum>
  <w:abstractNum w:abstractNumId="1">
    <w:nsid w:val="2AF53F84"/>
    <w:multiLevelType w:val="hybridMultilevel"/>
    <w:tmpl w:val="850A3792"/>
    <w:lvl w:ilvl="0" w:tplc="0D781C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3E4EDA"/>
    <w:multiLevelType w:val="hybridMultilevel"/>
    <w:tmpl w:val="C7D24CB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A9D321C"/>
    <w:multiLevelType w:val="hybridMultilevel"/>
    <w:tmpl w:val="650E6762"/>
    <w:lvl w:ilvl="0" w:tplc="F5846230">
      <w:start w:val="2"/>
      <w:numFmt w:val="decimal"/>
      <w:lvlText w:val="%1."/>
      <w:lvlJc w:val="left"/>
      <w:pPr>
        <w:ind w:left="5400" w:hanging="36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nsid w:val="77204B23"/>
    <w:multiLevelType w:val="hybridMultilevel"/>
    <w:tmpl w:val="503C8E8A"/>
    <w:lvl w:ilvl="0" w:tplc="97FAF19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D850D4"/>
    <w:rsid w:val="0000186B"/>
    <w:rsid w:val="00004DE3"/>
    <w:rsid w:val="00015308"/>
    <w:rsid w:val="00016C8E"/>
    <w:rsid w:val="00017A33"/>
    <w:rsid w:val="00025B5C"/>
    <w:rsid w:val="00053D9C"/>
    <w:rsid w:val="000548A9"/>
    <w:rsid w:val="00071DC2"/>
    <w:rsid w:val="000804BB"/>
    <w:rsid w:val="00080C1F"/>
    <w:rsid w:val="000811B9"/>
    <w:rsid w:val="00091053"/>
    <w:rsid w:val="00092C0A"/>
    <w:rsid w:val="00093C39"/>
    <w:rsid w:val="000943E4"/>
    <w:rsid w:val="000A5838"/>
    <w:rsid w:val="000A6AC7"/>
    <w:rsid w:val="000A6CB0"/>
    <w:rsid w:val="000B2823"/>
    <w:rsid w:val="000C3721"/>
    <w:rsid w:val="000C3AA8"/>
    <w:rsid w:val="000D3438"/>
    <w:rsid w:val="000E0BF4"/>
    <w:rsid w:val="000E3ECD"/>
    <w:rsid w:val="00106A9A"/>
    <w:rsid w:val="001119EF"/>
    <w:rsid w:val="00117620"/>
    <w:rsid w:val="001202B6"/>
    <w:rsid w:val="00127ACF"/>
    <w:rsid w:val="00140811"/>
    <w:rsid w:val="00140C10"/>
    <w:rsid w:val="00142828"/>
    <w:rsid w:val="0015549B"/>
    <w:rsid w:val="001659D3"/>
    <w:rsid w:val="00172892"/>
    <w:rsid w:val="00175324"/>
    <w:rsid w:val="00184237"/>
    <w:rsid w:val="00184F20"/>
    <w:rsid w:val="00194C49"/>
    <w:rsid w:val="00195FDA"/>
    <w:rsid w:val="001B1B07"/>
    <w:rsid w:val="001B7588"/>
    <w:rsid w:val="001C1B09"/>
    <w:rsid w:val="001D2344"/>
    <w:rsid w:val="001D5702"/>
    <w:rsid w:val="001E427C"/>
    <w:rsid w:val="00200F23"/>
    <w:rsid w:val="00205E7F"/>
    <w:rsid w:val="00207417"/>
    <w:rsid w:val="00214398"/>
    <w:rsid w:val="00214C36"/>
    <w:rsid w:val="00216FE5"/>
    <w:rsid w:val="00217EF7"/>
    <w:rsid w:val="00225E92"/>
    <w:rsid w:val="00236BE8"/>
    <w:rsid w:val="00237580"/>
    <w:rsid w:val="002375D1"/>
    <w:rsid w:val="00247E6E"/>
    <w:rsid w:val="00250087"/>
    <w:rsid w:val="00251C6E"/>
    <w:rsid w:val="00267F68"/>
    <w:rsid w:val="00272D89"/>
    <w:rsid w:val="00275A7A"/>
    <w:rsid w:val="002773DF"/>
    <w:rsid w:val="00285546"/>
    <w:rsid w:val="00290A3D"/>
    <w:rsid w:val="002A23AC"/>
    <w:rsid w:val="002A491A"/>
    <w:rsid w:val="002A7F9D"/>
    <w:rsid w:val="002B18E0"/>
    <w:rsid w:val="002B3874"/>
    <w:rsid w:val="002B49E8"/>
    <w:rsid w:val="002C30F7"/>
    <w:rsid w:val="002C562B"/>
    <w:rsid w:val="002C7630"/>
    <w:rsid w:val="002E2B14"/>
    <w:rsid w:val="002E2C3F"/>
    <w:rsid w:val="002F7691"/>
    <w:rsid w:val="003073B9"/>
    <w:rsid w:val="00311C39"/>
    <w:rsid w:val="003169A8"/>
    <w:rsid w:val="00326440"/>
    <w:rsid w:val="00331134"/>
    <w:rsid w:val="0033439C"/>
    <w:rsid w:val="0033524E"/>
    <w:rsid w:val="0033582D"/>
    <w:rsid w:val="00335BD7"/>
    <w:rsid w:val="003401B0"/>
    <w:rsid w:val="0034703A"/>
    <w:rsid w:val="00347523"/>
    <w:rsid w:val="00347F87"/>
    <w:rsid w:val="0035040B"/>
    <w:rsid w:val="00350DD3"/>
    <w:rsid w:val="00353A13"/>
    <w:rsid w:val="00361B05"/>
    <w:rsid w:val="00391B0E"/>
    <w:rsid w:val="00394FC8"/>
    <w:rsid w:val="003B2ED0"/>
    <w:rsid w:val="003D25C8"/>
    <w:rsid w:val="003E2D65"/>
    <w:rsid w:val="003E3C70"/>
    <w:rsid w:val="003E4F13"/>
    <w:rsid w:val="003E5BC9"/>
    <w:rsid w:val="003E78DB"/>
    <w:rsid w:val="003F2F3F"/>
    <w:rsid w:val="003F4BFE"/>
    <w:rsid w:val="003F7948"/>
    <w:rsid w:val="004007C5"/>
    <w:rsid w:val="0040176A"/>
    <w:rsid w:val="0042206E"/>
    <w:rsid w:val="00441C88"/>
    <w:rsid w:val="00462275"/>
    <w:rsid w:val="00470018"/>
    <w:rsid w:val="0047055C"/>
    <w:rsid w:val="00474435"/>
    <w:rsid w:val="004768B5"/>
    <w:rsid w:val="0049081F"/>
    <w:rsid w:val="0049428E"/>
    <w:rsid w:val="004A1456"/>
    <w:rsid w:val="004A382C"/>
    <w:rsid w:val="004A611C"/>
    <w:rsid w:val="004C0E5F"/>
    <w:rsid w:val="004C14A8"/>
    <w:rsid w:val="004C204F"/>
    <w:rsid w:val="004D66DD"/>
    <w:rsid w:val="004E12AE"/>
    <w:rsid w:val="004E4619"/>
    <w:rsid w:val="004E7FC3"/>
    <w:rsid w:val="004F043F"/>
    <w:rsid w:val="004F370A"/>
    <w:rsid w:val="0051038C"/>
    <w:rsid w:val="00520427"/>
    <w:rsid w:val="0052377A"/>
    <w:rsid w:val="00523A8C"/>
    <w:rsid w:val="00524B6D"/>
    <w:rsid w:val="0053544E"/>
    <w:rsid w:val="00550F5C"/>
    <w:rsid w:val="005529E9"/>
    <w:rsid w:val="005542D9"/>
    <w:rsid w:val="00561DFA"/>
    <w:rsid w:val="00571027"/>
    <w:rsid w:val="00572CCC"/>
    <w:rsid w:val="005808A4"/>
    <w:rsid w:val="005A7356"/>
    <w:rsid w:val="005A7D59"/>
    <w:rsid w:val="005C63F4"/>
    <w:rsid w:val="005D03E0"/>
    <w:rsid w:val="005E20FF"/>
    <w:rsid w:val="005E2333"/>
    <w:rsid w:val="005E28A8"/>
    <w:rsid w:val="005F1C61"/>
    <w:rsid w:val="005F3889"/>
    <w:rsid w:val="005F6439"/>
    <w:rsid w:val="00600A17"/>
    <w:rsid w:val="006027A7"/>
    <w:rsid w:val="00621EEE"/>
    <w:rsid w:val="00622AFA"/>
    <w:rsid w:val="00634313"/>
    <w:rsid w:val="0064379C"/>
    <w:rsid w:val="00653F9F"/>
    <w:rsid w:val="006579C8"/>
    <w:rsid w:val="00664271"/>
    <w:rsid w:val="006842AE"/>
    <w:rsid w:val="0069105C"/>
    <w:rsid w:val="00697266"/>
    <w:rsid w:val="006A01F9"/>
    <w:rsid w:val="006A3F9A"/>
    <w:rsid w:val="006A3FFB"/>
    <w:rsid w:val="006B1962"/>
    <w:rsid w:val="006B2984"/>
    <w:rsid w:val="006B300A"/>
    <w:rsid w:val="006B77BE"/>
    <w:rsid w:val="006D0F0E"/>
    <w:rsid w:val="006F666D"/>
    <w:rsid w:val="00703292"/>
    <w:rsid w:val="007233CB"/>
    <w:rsid w:val="00726389"/>
    <w:rsid w:val="00731350"/>
    <w:rsid w:val="00747283"/>
    <w:rsid w:val="007525AE"/>
    <w:rsid w:val="00753F7B"/>
    <w:rsid w:val="007632B0"/>
    <w:rsid w:val="00763E38"/>
    <w:rsid w:val="00771216"/>
    <w:rsid w:val="00780253"/>
    <w:rsid w:val="007816BA"/>
    <w:rsid w:val="00781771"/>
    <w:rsid w:val="0078302A"/>
    <w:rsid w:val="00793A6B"/>
    <w:rsid w:val="007A350C"/>
    <w:rsid w:val="007B27C9"/>
    <w:rsid w:val="007B50B1"/>
    <w:rsid w:val="007B744C"/>
    <w:rsid w:val="007C3359"/>
    <w:rsid w:val="007C6648"/>
    <w:rsid w:val="007C7A3B"/>
    <w:rsid w:val="007E6598"/>
    <w:rsid w:val="007F20F0"/>
    <w:rsid w:val="007F37C1"/>
    <w:rsid w:val="00816287"/>
    <w:rsid w:val="0081730F"/>
    <w:rsid w:val="00820457"/>
    <w:rsid w:val="00835BE7"/>
    <w:rsid w:val="00836229"/>
    <w:rsid w:val="008367D9"/>
    <w:rsid w:val="008435E5"/>
    <w:rsid w:val="0084790C"/>
    <w:rsid w:val="008633AE"/>
    <w:rsid w:val="0086466D"/>
    <w:rsid w:val="00873B5A"/>
    <w:rsid w:val="00874912"/>
    <w:rsid w:val="00882774"/>
    <w:rsid w:val="00896F82"/>
    <w:rsid w:val="008B2278"/>
    <w:rsid w:val="008B5653"/>
    <w:rsid w:val="008C7ABF"/>
    <w:rsid w:val="008D10A2"/>
    <w:rsid w:val="008E383F"/>
    <w:rsid w:val="00904CD2"/>
    <w:rsid w:val="00913197"/>
    <w:rsid w:val="009205C7"/>
    <w:rsid w:val="009248F5"/>
    <w:rsid w:val="00930BC2"/>
    <w:rsid w:val="00941451"/>
    <w:rsid w:val="00941CA6"/>
    <w:rsid w:val="00943C8B"/>
    <w:rsid w:val="0097629E"/>
    <w:rsid w:val="00981EE0"/>
    <w:rsid w:val="00985472"/>
    <w:rsid w:val="009A0D00"/>
    <w:rsid w:val="009A52F5"/>
    <w:rsid w:val="009B339A"/>
    <w:rsid w:val="009D1B73"/>
    <w:rsid w:val="009D5F04"/>
    <w:rsid w:val="009D6154"/>
    <w:rsid w:val="009F718A"/>
    <w:rsid w:val="00A11544"/>
    <w:rsid w:val="00A172F3"/>
    <w:rsid w:val="00A20BE8"/>
    <w:rsid w:val="00A24556"/>
    <w:rsid w:val="00A24E08"/>
    <w:rsid w:val="00A26B98"/>
    <w:rsid w:val="00A26ED2"/>
    <w:rsid w:val="00A279E7"/>
    <w:rsid w:val="00A30AB2"/>
    <w:rsid w:val="00A33C6D"/>
    <w:rsid w:val="00A508B3"/>
    <w:rsid w:val="00A6303D"/>
    <w:rsid w:val="00A715E4"/>
    <w:rsid w:val="00A82B74"/>
    <w:rsid w:val="00A82FC9"/>
    <w:rsid w:val="00A9040A"/>
    <w:rsid w:val="00A90435"/>
    <w:rsid w:val="00AA4055"/>
    <w:rsid w:val="00AA620A"/>
    <w:rsid w:val="00AA6607"/>
    <w:rsid w:val="00AA7CE1"/>
    <w:rsid w:val="00AC0826"/>
    <w:rsid w:val="00AC1766"/>
    <w:rsid w:val="00AD5F40"/>
    <w:rsid w:val="00AE3E24"/>
    <w:rsid w:val="00AF79DC"/>
    <w:rsid w:val="00B015D6"/>
    <w:rsid w:val="00B02341"/>
    <w:rsid w:val="00B26B9C"/>
    <w:rsid w:val="00B3246D"/>
    <w:rsid w:val="00B57713"/>
    <w:rsid w:val="00B623AF"/>
    <w:rsid w:val="00B77D55"/>
    <w:rsid w:val="00B82D64"/>
    <w:rsid w:val="00B93725"/>
    <w:rsid w:val="00B9643A"/>
    <w:rsid w:val="00BB02BC"/>
    <w:rsid w:val="00BC47CD"/>
    <w:rsid w:val="00BC5816"/>
    <w:rsid w:val="00BC68E1"/>
    <w:rsid w:val="00BC6B4C"/>
    <w:rsid w:val="00BD0D29"/>
    <w:rsid w:val="00BD7C30"/>
    <w:rsid w:val="00BE2339"/>
    <w:rsid w:val="00BE3F4A"/>
    <w:rsid w:val="00BE499A"/>
    <w:rsid w:val="00C01D96"/>
    <w:rsid w:val="00C11A44"/>
    <w:rsid w:val="00C12D49"/>
    <w:rsid w:val="00C14B6E"/>
    <w:rsid w:val="00C23B89"/>
    <w:rsid w:val="00C26934"/>
    <w:rsid w:val="00C26DC1"/>
    <w:rsid w:val="00C326B2"/>
    <w:rsid w:val="00C351ED"/>
    <w:rsid w:val="00C40CFD"/>
    <w:rsid w:val="00C410FE"/>
    <w:rsid w:val="00C43F29"/>
    <w:rsid w:val="00C5353F"/>
    <w:rsid w:val="00C57B5A"/>
    <w:rsid w:val="00C6154A"/>
    <w:rsid w:val="00C648FE"/>
    <w:rsid w:val="00C66A9C"/>
    <w:rsid w:val="00C9667E"/>
    <w:rsid w:val="00CA132B"/>
    <w:rsid w:val="00CA58D4"/>
    <w:rsid w:val="00CC4CF9"/>
    <w:rsid w:val="00CD6C97"/>
    <w:rsid w:val="00CE4E39"/>
    <w:rsid w:val="00CE4F4B"/>
    <w:rsid w:val="00CE60CD"/>
    <w:rsid w:val="00D11172"/>
    <w:rsid w:val="00D153EF"/>
    <w:rsid w:val="00D17761"/>
    <w:rsid w:val="00D233F4"/>
    <w:rsid w:val="00D25CD4"/>
    <w:rsid w:val="00D41EBC"/>
    <w:rsid w:val="00D4449B"/>
    <w:rsid w:val="00D53CF7"/>
    <w:rsid w:val="00D56453"/>
    <w:rsid w:val="00D56CF9"/>
    <w:rsid w:val="00D61F9F"/>
    <w:rsid w:val="00D83182"/>
    <w:rsid w:val="00D850D4"/>
    <w:rsid w:val="00D90A16"/>
    <w:rsid w:val="00DA4B51"/>
    <w:rsid w:val="00DA4B9E"/>
    <w:rsid w:val="00DA4F7F"/>
    <w:rsid w:val="00DA6884"/>
    <w:rsid w:val="00DB623A"/>
    <w:rsid w:val="00DC14EC"/>
    <w:rsid w:val="00DC26C4"/>
    <w:rsid w:val="00DD774D"/>
    <w:rsid w:val="00DF0470"/>
    <w:rsid w:val="00DF282B"/>
    <w:rsid w:val="00DF3B12"/>
    <w:rsid w:val="00E04B60"/>
    <w:rsid w:val="00E06263"/>
    <w:rsid w:val="00E06B45"/>
    <w:rsid w:val="00E11258"/>
    <w:rsid w:val="00E11510"/>
    <w:rsid w:val="00E17E31"/>
    <w:rsid w:val="00E22C96"/>
    <w:rsid w:val="00E267FA"/>
    <w:rsid w:val="00E27A7C"/>
    <w:rsid w:val="00E33F3A"/>
    <w:rsid w:val="00E3561D"/>
    <w:rsid w:val="00E35965"/>
    <w:rsid w:val="00E430F8"/>
    <w:rsid w:val="00E5141F"/>
    <w:rsid w:val="00E51F9E"/>
    <w:rsid w:val="00E52E18"/>
    <w:rsid w:val="00E70916"/>
    <w:rsid w:val="00E72C6F"/>
    <w:rsid w:val="00E7493F"/>
    <w:rsid w:val="00E83F47"/>
    <w:rsid w:val="00E86C3D"/>
    <w:rsid w:val="00E94413"/>
    <w:rsid w:val="00E96680"/>
    <w:rsid w:val="00E97CC3"/>
    <w:rsid w:val="00EA1691"/>
    <w:rsid w:val="00EA3A9E"/>
    <w:rsid w:val="00EA65A7"/>
    <w:rsid w:val="00EA72E4"/>
    <w:rsid w:val="00EA78E6"/>
    <w:rsid w:val="00EA7EFB"/>
    <w:rsid w:val="00EC7536"/>
    <w:rsid w:val="00F032CA"/>
    <w:rsid w:val="00F05BCC"/>
    <w:rsid w:val="00F15A31"/>
    <w:rsid w:val="00F2055E"/>
    <w:rsid w:val="00F35398"/>
    <w:rsid w:val="00F37F1C"/>
    <w:rsid w:val="00F40F53"/>
    <w:rsid w:val="00F52497"/>
    <w:rsid w:val="00F61B43"/>
    <w:rsid w:val="00F649E4"/>
    <w:rsid w:val="00F65255"/>
    <w:rsid w:val="00F80429"/>
    <w:rsid w:val="00F90A66"/>
    <w:rsid w:val="00F97A3A"/>
    <w:rsid w:val="00FA099A"/>
    <w:rsid w:val="00FA29A2"/>
    <w:rsid w:val="00FA2AF6"/>
    <w:rsid w:val="00FA40BB"/>
    <w:rsid w:val="00FA58EC"/>
    <w:rsid w:val="00FB16D0"/>
    <w:rsid w:val="00FB23E2"/>
    <w:rsid w:val="00FB5931"/>
    <w:rsid w:val="00FC7167"/>
    <w:rsid w:val="00FC721A"/>
    <w:rsid w:val="00FF5143"/>
    <w:rsid w:val="00FF7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rsid w:val="00DF282B"/>
  </w:style>
  <w:style w:type="paragraph" w:styleId="FootnoteText">
    <w:name w:val="footnote text"/>
    <w:basedOn w:val="Normal"/>
    <w:semiHidden/>
    <w:rsid w:val="009248F5"/>
    <w:rPr>
      <w:sz w:val="20"/>
    </w:rPr>
  </w:style>
  <w:style w:type="character" w:styleId="FootnoteReference">
    <w:name w:val="footnote reference"/>
    <w:basedOn w:val="DefaultParagraphFont"/>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paragraph" w:styleId="ListParagraph">
    <w:name w:val="List Paragraph"/>
    <w:basedOn w:val="Normal"/>
    <w:uiPriority w:val="34"/>
    <w:qFormat/>
    <w:rsid w:val="00A24556"/>
    <w:pPr>
      <w:overflowPunct/>
      <w:autoSpaceDE/>
      <w:autoSpaceDN/>
      <w:adjustRightInd/>
      <w:ind w:left="720"/>
      <w:contextualSpacing/>
      <w:textAlignment w:val="auto"/>
    </w:pPr>
    <w:rPr>
      <w:rFonts w:eastAsiaTheme="minorHAnsi"/>
      <w:sz w:val="26"/>
      <w:szCs w:val="26"/>
    </w:rPr>
  </w:style>
  <w:style w:type="character" w:styleId="CommentReference">
    <w:name w:val="annotation reference"/>
    <w:basedOn w:val="DefaultParagraphFont"/>
    <w:rsid w:val="00C43F29"/>
    <w:rPr>
      <w:sz w:val="16"/>
      <w:szCs w:val="16"/>
    </w:rPr>
  </w:style>
  <w:style w:type="paragraph" w:styleId="CommentText">
    <w:name w:val="annotation text"/>
    <w:basedOn w:val="Normal"/>
    <w:link w:val="CommentTextChar"/>
    <w:rsid w:val="00C43F29"/>
    <w:rPr>
      <w:sz w:val="20"/>
    </w:rPr>
  </w:style>
  <w:style w:type="character" w:customStyle="1" w:styleId="CommentTextChar">
    <w:name w:val="Comment Text Char"/>
    <w:basedOn w:val="DefaultParagraphFont"/>
    <w:link w:val="CommentText"/>
    <w:rsid w:val="00C43F29"/>
  </w:style>
  <w:style w:type="paragraph" w:styleId="CommentSubject">
    <w:name w:val="annotation subject"/>
    <w:basedOn w:val="CommentText"/>
    <w:next w:val="CommentText"/>
    <w:link w:val="CommentSubjectChar"/>
    <w:rsid w:val="00C43F29"/>
    <w:rPr>
      <w:b/>
      <w:bCs/>
    </w:rPr>
  </w:style>
  <w:style w:type="character" w:customStyle="1" w:styleId="CommentSubjectChar">
    <w:name w:val="Comment Subject Char"/>
    <w:basedOn w:val="CommentTextChar"/>
    <w:link w:val="CommentSubject"/>
    <w:rsid w:val="00C43F29"/>
    <w:rPr>
      <w:b/>
      <w:bCs/>
    </w:rPr>
  </w:style>
</w:styles>
</file>

<file path=word/webSettings.xml><?xml version="1.0" encoding="utf-8"?>
<w:webSettings xmlns:r="http://schemas.openxmlformats.org/officeDocument/2006/relationships" xmlns:w="http://schemas.openxmlformats.org/wordprocessingml/2006/main">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29229-225C-40DD-B25F-4CFFA2331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
  <LinksUpToDate>false</LinksUpToDate>
  <CharactersWithSpaces>10668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REYNOLDS</dc:creator>
  <cp:keywords/>
  <cp:lastModifiedBy>Administrator</cp:lastModifiedBy>
  <cp:revision>4</cp:revision>
  <cp:lastPrinted>2010-02-02T17:36:00Z</cp:lastPrinted>
  <dcterms:created xsi:type="dcterms:W3CDTF">2010-02-02T17:06:00Z</dcterms:created>
  <dcterms:modified xsi:type="dcterms:W3CDTF">2010-02-02T17:36:00Z</dcterms:modified>
</cp:coreProperties>
</file>