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2B0" w:rsidRDefault="006072B0" w:rsidP="006072B0">
      <w:pPr>
        <w:jc w:val="center"/>
        <w:rPr>
          <w:b/>
        </w:rPr>
      </w:pPr>
      <w:r>
        <w:rPr>
          <w:b/>
        </w:rPr>
        <w:t>BEFORE THE</w:t>
      </w:r>
    </w:p>
    <w:p w:rsidR="006072B0" w:rsidRDefault="006072B0" w:rsidP="006072B0">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6072B0" w:rsidRDefault="006072B0" w:rsidP="006072B0">
      <w:pPr>
        <w:rPr>
          <w:b/>
        </w:rPr>
      </w:pPr>
    </w:p>
    <w:p w:rsidR="006072B0" w:rsidRDefault="006072B0" w:rsidP="006072B0"/>
    <w:p w:rsidR="006072B0" w:rsidRDefault="006072B0" w:rsidP="006072B0"/>
    <w:p w:rsidR="006072B0" w:rsidRDefault="006072B0" w:rsidP="006072B0">
      <w:r>
        <w:t>Andre P. Overton</w:t>
      </w:r>
      <w:r>
        <w:tab/>
      </w:r>
      <w:r>
        <w:tab/>
      </w:r>
      <w:r>
        <w:tab/>
      </w:r>
      <w:r>
        <w:tab/>
      </w:r>
      <w:r>
        <w:tab/>
        <w:t>:</w:t>
      </w:r>
    </w:p>
    <w:p w:rsidR="006072B0" w:rsidRDefault="006072B0" w:rsidP="006072B0">
      <w:r>
        <w:tab/>
      </w:r>
      <w:r>
        <w:tab/>
      </w:r>
      <w:r>
        <w:tab/>
      </w:r>
      <w:r>
        <w:tab/>
      </w:r>
      <w:r>
        <w:tab/>
      </w:r>
      <w:r>
        <w:tab/>
      </w:r>
      <w:r>
        <w:tab/>
        <w:t>:</w:t>
      </w:r>
    </w:p>
    <w:p w:rsidR="006072B0" w:rsidRDefault="006072B0" w:rsidP="006072B0">
      <w:r>
        <w:tab/>
        <w:t>v.</w:t>
      </w:r>
      <w:r>
        <w:tab/>
      </w:r>
      <w:r>
        <w:tab/>
      </w:r>
      <w:r>
        <w:tab/>
      </w:r>
      <w:r>
        <w:tab/>
      </w:r>
      <w:r>
        <w:tab/>
      </w:r>
      <w:r>
        <w:tab/>
        <w:t>:</w:t>
      </w:r>
      <w:r>
        <w:tab/>
      </w:r>
      <w:r>
        <w:tab/>
        <w:t>C-2008-2060168</w:t>
      </w:r>
    </w:p>
    <w:p w:rsidR="006072B0" w:rsidRDefault="006072B0" w:rsidP="006072B0">
      <w:r>
        <w:tab/>
      </w:r>
      <w:r>
        <w:tab/>
      </w:r>
      <w:r>
        <w:tab/>
      </w:r>
      <w:r>
        <w:tab/>
      </w:r>
      <w:r>
        <w:tab/>
      </w:r>
      <w:r>
        <w:tab/>
      </w:r>
      <w:r>
        <w:tab/>
        <w:t>:</w:t>
      </w:r>
    </w:p>
    <w:p w:rsidR="006072B0" w:rsidRDefault="006072B0" w:rsidP="006072B0">
      <w:r>
        <w:t>National Fuel Gas Distribution Corporation</w:t>
      </w:r>
      <w:r>
        <w:tab/>
      </w:r>
      <w:r>
        <w:tab/>
        <w:t>:</w:t>
      </w:r>
    </w:p>
    <w:p w:rsidR="006072B0" w:rsidRDefault="006072B0" w:rsidP="006072B0"/>
    <w:p w:rsidR="006072B0" w:rsidRDefault="006072B0" w:rsidP="006072B0"/>
    <w:p w:rsidR="006072B0" w:rsidRDefault="006072B0" w:rsidP="006072B0"/>
    <w:p w:rsidR="006072B0" w:rsidRDefault="006072B0" w:rsidP="006072B0">
      <w:pPr>
        <w:jc w:val="center"/>
        <w:rPr>
          <w:b/>
          <w:u w:val="single"/>
        </w:rPr>
      </w:pPr>
      <w:r>
        <w:rPr>
          <w:b/>
          <w:u w:val="single"/>
        </w:rPr>
        <w:t>INITIAL DECISION</w:t>
      </w:r>
    </w:p>
    <w:p w:rsidR="006072B0" w:rsidRDefault="006072B0" w:rsidP="006072B0">
      <w:pPr>
        <w:jc w:val="center"/>
        <w:rPr>
          <w:b/>
          <w:u w:val="single"/>
        </w:rPr>
      </w:pPr>
    </w:p>
    <w:p w:rsidR="008648DB" w:rsidRDefault="008648DB" w:rsidP="006072B0">
      <w:pPr>
        <w:jc w:val="center"/>
        <w:rPr>
          <w:b/>
          <w:u w:val="single"/>
        </w:rPr>
      </w:pPr>
    </w:p>
    <w:p w:rsidR="006072B0" w:rsidRDefault="006072B0" w:rsidP="006072B0">
      <w:pPr>
        <w:jc w:val="center"/>
      </w:pPr>
      <w:r>
        <w:t>Before</w:t>
      </w:r>
    </w:p>
    <w:p w:rsidR="006072B0" w:rsidRDefault="006072B0" w:rsidP="006072B0">
      <w:pPr>
        <w:jc w:val="center"/>
      </w:pPr>
      <w:r>
        <w:t>David A. Alexander</w:t>
      </w:r>
    </w:p>
    <w:p w:rsidR="006072B0" w:rsidRDefault="006072B0" w:rsidP="006072B0">
      <w:pPr>
        <w:jc w:val="center"/>
      </w:pPr>
      <w:r>
        <w:t>Special Agent</w:t>
      </w:r>
    </w:p>
    <w:p w:rsidR="006072B0" w:rsidRDefault="006072B0" w:rsidP="006072B0">
      <w:pPr>
        <w:jc w:val="center"/>
      </w:pPr>
    </w:p>
    <w:p w:rsidR="006072B0" w:rsidRDefault="006072B0" w:rsidP="006072B0">
      <w:pPr>
        <w:jc w:val="center"/>
        <w:rPr>
          <w:u w:val="single"/>
        </w:rPr>
      </w:pPr>
    </w:p>
    <w:p w:rsidR="006072B0" w:rsidRDefault="006072B0" w:rsidP="006072B0">
      <w:pPr>
        <w:jc w:val="center"/>
        <w:rPr>
          <w:u w:val="single"/>
        </w:rPr>
      </w:pPr>
      <w:r>
        <w:rPr>
          <w:u w:val="single"/>
        </w:rPr>
        <w:t>HISTORY OF THE PROCEEDING</w:t>
      </w:r>
    </w:p>
    <w:p w:rsidR="006072B0" w:rsidRDefault="006072B0" w:rsidP="006072B0">
      <w:pPr>
        <w:jc w:val="center"/>
        <w:rPr>
          <w:u w:val="single"/>
        </w:rPr>
      </w:pPr>
    </w:p>
    <w:p w:rsidR="006072B0" w:rsidRDefault="006072B0" w:rsidP="006072B0">
      <w:pPr>
        <w:jc w:val="center"/>
        <w:rPr>
          <w:u w:val="single"/>
        </w:rPr>
      </w:pPr>
    </w:p>
    <w:p w:rsidR="006072B0" w:rsidRDefault="006072B0" w:rsidP="006072B0">
      <w:pPr>
        <w:tabs>
          <w:tab w:val="left" w:pos="2160"/>
        </w:tabs>
        <w:spacing w:line="360" w:lineRule="auto"/>
        <w:ind w:firstLine="1440"/>
      </w:pPr>
      <w:r>
        <w:t xml:space="preserve">On </w:t>
      </w:r>
      <w:r w:rsidR="002B730B">
        <w:t>August 27</w:t>
      </w:r>
      <w:r>
        <w:t>, 200</w:t>
      </w:r>
      <w:r w:rsidR="00327296">
        <w:t>8</w:t>
      </w:r>
      <w:r>
        <w:t>, Andre P. Overton (Complainant) filed a Formal Complaint against National Fuel Gas Distribution Corporation (</w:t>
      </w:r>
      <w:r w:rsidR="00C369EE">
        <w:t>NFGD</w:t>
      </w:r>
      <w:r w:rsidR="00C31098">
        <w:t>C</w:t>
      </w:r>
      <w:r w:rsidR="00C369EE">
        <w:t xml:space="preserve"> or </w:t>
      </w:r>
      <w:r>
        <w:t xml:space="preserve">Respondent) </w:t>
      </w:r>
      <w:r w:rsidR="00AA251D">
        <w:t>which alle</w:t>
      </w:r>
      <w:r>
        <w:t>g</w:t>
      </w:r>
      <w:r w:rsidR="00AA251D">
        <w:t>ed</w:t>
      </w:r>
      <w:r>
        <w:t xml:space="preserve"> an inability to pay his natural gas </w:t>
      </w:r>
      <w:r w:rsidR="00AA251D">
        <w:t xml:space="preserve">utility </w:t>
      </w:r>
      <w:r>
        <w:t>bill</w:t>
      </w:r>
      <w:r w:rsidR="00AA251D">
        <w:t xml:space="preserve">.  As relief, he has </w:t>
      </w:r>
      <w:r>
        <w:t>request</w:t>
      </w:r>
      <w:r w:rsidR="00AA251D">
        <w:t>ed</w:t>
      </w:r>
      <w:r>
        <w:t xml:space="preserve"> a new payment arrangement.  On September </w:t>
      </w:r>
      <w:r w:rsidR="00327296">
        <w:t>17</w:t>
      </w:r>
      <w:r>
        <w:t>, 200</w:t>
      </w:r>
      <w:r w:rsidR="00327296">
        <w:t>8</w:t>
      </w:r>
      <w:r>
        <w:t>, Respondent filed an Answer denying the material allegations of the Complaint.</w:t>
      </w:r>
    </w:p>
    <w:p w:rsidR="006072B0" w:rsidRDefault="006072B0" w:rsidP="006072B0">
      <w:pPr>
        <w:tabs>
          <w:tab w:val="left" w:pos="2160"/>
        </w:tabs>
        <w:spacing w:line="360" w:lineRule="auto"/>
        <w:ind w:firstLine="1440"/>
      </w:pPr>
    </w:p>
    <w:p w:rsidR="006072B0" w:rsidRDefault="006072B0" w:rsidP="006072B0">
      <w:pPr>
        <w:tabs>
          <w:tab w:val="left" w:pos="2160"/>
        </w:tabs>
        <w:spacing w:line="360" w:lineRule="auto"/>
        <w:ind w:firstLine="1440"/>
      </w:pPr>
      <w:r>
        <w:t xml:space="preserve">On </w:t>
      </w:r>
      <w:r w:rsidR="00327296">
        <w:t>November 24</w:t>
      </w:r>
      <w:r>
        <w:t>, 200</w:t>
      </w:r>
      <w:r w:rsidR="00327296">
        <w:t>8</w:t>
      </w:r>
      <w:r>
        <w:t xml:space="preserve">, a Telephone Hearing Notice was issued and advised the parties that an initial telephonic hearing was scheduled for Tuesday, </w:t>
      </w:r>
      <w:r w:rsidR="00327296">
        <w:t>January 13, 2009</w:t>
      </w:r>
      <w:r>
        <w:t>, at 2:00 p.m.  This case was assigned to me pursuant to 5</w:t>
      </w:r>
      <w:r w:rsidR="00A003BF">
        <w:t>2</w:t>
      </w:r>
      <w:r>
        <w:t xml:space="preserve"> </w:t>
      </w:r>
      <w:smartTag w:uri="urn:schemas-microsoft-com:office:smarttags" w:element="State">
        <w:smartTag w:uri="urn:schemas-microsoft-com:office:smarttags" w:element="place">
          <w:r>
            <w:t>Pa.</w:t>
          </w:r>
        </w:smartTag>
      </w:smartTag>
      <w:r>
        <w:t xml:space="preserve"> Code §</w:t>
      </w:r>
      <w:r w:rsidR="00300846">
        <w:t xml:space="preserve"> </w:t>
      </w:r>
      <w:r>
        <w:t xml:space="preserve">56.174.    </w:t>
      </w:r>
    </w:p>
    <w:p w:rsidR="006072B0" w:rsidRDefault="006072B0" w:rsidP="006072B0">
      <w:pPr>
        <w:tabs>
          <w:tab w:val="left" w:pos="2160"/>
        </w:tabs>
        <w:spacing w:line="360" w:lineRule="auto"/>
        <w:ind w:firstLine="1440"/>
      </w:pPr>
    </w:p>
    <w:p w:rsidR="006072B0" w:rsidRDefault="006072B0" w:rsidP="006072B0">
      <w:pPr>
        <w:tabs>
          <w:tab w:val="left" w:pos="2160"/>
        </w:tabs>
        <w:spacing w:line="360" w:lineRule="auto"/>
        <w:ind w:firstLine="1440"/>
      </w:pPr>
      <w:r>
        <w:t xml:space="preserve">On </w:t>
      </w:r>
      <w:r w:rsidR="00327296">
        <w:t>December 1, 2008</w:t>
      </w:r>
      <w:r>
        <w:t xml:space="preserve">, I issued a Prehearing Order advising the parties of the date and time of the scheduled hearing and informing them of the procedures applicable to this proceeding.  The Prehearing Order also reminded the parties of their responsibility to advise of any change in the telephone number at which they were to be contacted, and advised </w:t>
      </w:r>
      <w:r>
        <w:lastRenderedPageBreak/>
        <w:t xml:space="preserve">Complainant that this case would be dismissed if he did not participate in the hearing and present evidence on the issues raised in the Complaint.  </w:t>
      </w:r>
    </w:p>
    <w:p w:rsidR="006072B0" w:rsidRDefault="006072B0" w:rsidP="006072B0">
      <w:pPr>
        <w:tabs>
          <w:tab w:val="left" w:pos="2160"/>
        </w:tabs>
        <w:spacing w:line="360" w:lineRule="auto"/>
        <w:ind w:firstLine="1440"/>
      </w:pPr>
    </w:p>
    <w:p w:rsidR="006072B0" w:rsidRDefault="006072B0" w:rsidP="006072B0">
      <w:pPr>
        <w:tabs>
          <w:tab w:val="left" w:pos="2160"/>
        </w:tabs>
        <w:spacing w:line="360" w:lineRule="auto"/>
        <w:ind w:firstLine="1440"/>
      </w:pPr>
      <w:r>
        <w:t xml:space="preserve">In accordance with the provisions of the Prehearing Order, by cover letter dated </w:t>
      </w:r>
      <w:r w:rsidR="00327296">
        <w:t>January 5, 2009</w:t>
      </w:r>
      <w:r>
        <w:t xml:space="preserve">, Respondent submitted three copies of </w:t>
      </w:r>
      <w:r w:rsidR="00AD4CB5">
        <w:t xml:space="preserve">seven </w:t>
      </w:r>
      <w:r>
        <w:t xml:space="preserve">exhibits for possible use at the Initial Telephone Hearing.  </w:t>
      </w:r>
    </w:p>
    <w:p w:rsidR="006072B0" w:rsidRDefault="006072B0" w:rsidP="006072B0">
      <w:pPr>
        <w:tabs>
          <w:tab w:val="left" w:pos="2160"/>
        </w:tabs>
        <w:spacing w:line="360" w:lineRule="auto"/>
        <w:ind w:firstLine="1440"/>
      </w:pPr>
    </w:p>
    <w:p w:rsidR="006072B0" w:rsidRDefault="006072B0" w:rsidP="006072B0">
      <w:pPr>
        <w:tabs>
          <w:tab w:val="left" w:pos="2160"/>
        </w:tabs>
        <w:spacing w:line="360" w:lineRule="auto"/>
        <w:ind w:firstLine="1440"/>
      </w:pPr>
      <w:r>
        <w:t xml:space="preserve">The Initial Telephone Hearing convened as scheduled.  Complainant appeared </w:t>
      </w:r>
      <w:r w:rsidRPr="004B0903">
        <w:rPr>
          <w:i/>
        </w:rPr>
        <w:t>pro se</w:t>
      </w:r>
      <w:r>
        <w:rPr>
          <w:i/>
        </w:rPr>
        <w:t xml:space="preserve"> </w:t>
      </w:r>
      <w:r>
        <w:t xml:space="preserve">and testified on his own behalf.  </w:t>
      </w:r>
      <w:r w:rsidR="00327296">
        <w:t>Maureen Geary Krowicki</w:t>
      </w:r>
      <w:r>
        <w:t xml:space="preserve">, Esquire appeared on behalf of Respondent, called one witness, </w:t>
      </w:r>
      <w:r w:rsidR="00327296">
        <w:t>Cythnia Farabaugh-Hood</w:t>
      </w:r>
      <w:r>
        <w:t xml:space="preserve"> and submitted </w:t>
      </w:r>
      <w:r w:rsidR="00AD4CB5">
        <w:t>six</w:t>
      </w:r>
      <w:r>
        <w:t xml:space="preserve"> exhibits, which were admitted into the record.  The record closed at the conclusion of the hearing</w:t>
      </w:r>
      <w:r>
        <w:rPr>
          <w:rStyle w:val="FootnoteReference"/>
        </w:rPr>
        <w:footnoteReference w:id="1"/>
      </w:r>
      <w:r>
        <w:t>.</w:t>
      </w:r>
    </w:p>
    <w:p w:rsidR="006072B0" w:rsidRDefault="006072B0" w:rsidP="006072B0">
      <w:pPr>
        <w:tabs>
          <w:tab w:val="left" w:pos="2160"/>
        </w:tabs>
        <w:spacing w:line="360" w:lineRule="auto"/>
        <w:ind w:firstLine="1440"/>
      </w:pPr>
    </w:p>
    <w:p w:rsidR="006072B0" w:rsidRDefault="006072B0" w:rsidP="006072B0">
      <w:pPr>
        <w:tabs>
          <w:tab w:val="left" w:pos="2160"/>
        </w:tabs>
        <w:spacing w:line="360" w:lineRule="auto"/>
        <w:jc w:val="center"/>
        <w:rPr>
          <w:u w:val="single"/>
        </w:rPr>
      </w:pPr>
      <w:r>
        <w:rPr>
          <w:u w:val="single"/>
        </w:rPr>
        <w:t>FINDINGS OF FACT</w:t>
      </w:r>
    </w:p>
    <w:p w:rsidR="006072B0" w:rsidRDefault="006072B0" w:rsidP="006072B0">
      <w:pPr>
        <w:tabs>
          <w:tab w:val="left" w:pos="2160"/>
        </w:tabs>
        <w:spacing w:line="360" w:lineRule="auto"/>
        <w:rPr>
          <w:u w:val="single"/>
        </w:rPr>
      </w:pPr>
    </w:p>
    <w:p w:rsidR="006072B0" w:rsidRDefault="006072B0" w:rsidP="006072B0">
      <w:pPr>
        <w:tabs>
          <w:tab w:val="left" w:pos="2160"/>
        </w:tabs>
        <w:spacing w:line="360" w:lineRule="auto"/>
        <w:ind w:firstLine="1440"/>
      </w:pPr>
      <w:r>
        <w:t>1.</w:t>
      </w:r>
      <w:r>
        <w:tab/>
        <w:t xml:space="preserve">At the time of the hearing, Complainant was a residential natural gas customer of Respondent and took service at </w:t>
      </w:r>
      <w:smartTag w:uri="urn:schemas-microsoft-com:office:smarttags" w:element="address">
        <w:smartTag w:uri="urn:schemas-microsoft-com:office:smarttags" w:element="Street">
          <w:r w:rsidR="00AD4CB5">
            <w:t>2916 Walnut Street</w:t>
          </w:r>
        </w:smartTag>
        <w:r>
          <w:t xml:space="preserve">, </w:t>
        </w:r>
        <w:smartTag w:uri="urn:schemas-microsoft-com:office:smarttags" w:element="City">
          <w:r w:rsidR="00AD4CB5">
            <w:t>Erie</w:t>
          </w:r>
        </w:smartTag>
        <w:r>
          <w:t xml:space="preserve">, </w:t>
        </w:r>
        <w:smartTag w:uri="urn:schemas-microsoft-com:office:smarttags" w:element="State">
          <w:r>
            <w:t>Pennsylvania</w:t>
          </w:r>
        </w:smartTag>
        <w:r w:rsidR="00AD4CB5">
          <w:t xml:space="preserve">, </w:t>
        </w:r>
        <w:smartTag w:uri="urn:schemas-microsoft-com:office:smarttags" w:element="PostalCode">
          <w:r w:rsidR="00AD4CB5">
            <w:t>16508</w:t>
          </w:r>
        </w:smartTag>
      </w:smartTag>
      <w:r>
        <w:t xml:space="preserve">.  </w:t>
      </w:r>
    </w:p>
    <w:p w:rsidR="006072B0" w:rsidRDefault="006072B0" w:rsidP="006072B0">
      <w:pPr>
        <w:tabs>
          <w:tab w:val="left" w:pos="2160"/>
        </w:tabs>
        <w:spacing w:line="360" w:lineRule="auto"/>
        <w:ind w:firstLine="1440"/>
      </w:pPr>
    </w:p>
    <w:p w:rsidR="006072B0" w:rsidRDefault="006072B0" w:rsidP="006072B0">
      <w:pPr>
        <w:tabs>
          <w:tab w:val="left" w:pos="2160"/>
        </w:tabs>
        <w:spacing w:line="360" w:lineRule="auto"/>
        <w:ind w:firstLine="1440"/>
      </w:pPr>
      <w:r>
        <w:t>2.</w:t>
      </w:r>
      <w:r>
        <w:tab/>
        <w:t xml:space="preserve">Respondent is National Fuel Gas Distribution Corporation, a jurisdictional public utility providing natural gas service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w:t>
      </w:r>
    </w:p>
    <w:p w:rsidR="006072B0" w:rsidRDefault="006072B0" w:rsidP="006072B0">
      <w:pPr>
        <w:tabs>
          <w:tab w:val="left" w:pos="2160"/>
        </w:tabs>
        <w:spacing w:line="360" w:lineRule="auto"/>
        <w:ind w:firstLine="1440"/>
      </w:pPr>
    </w:p>
    <w:p w:rsidR="006072B0" w:rsidRDefault="006072B0" w:rsidP="006072B0">
      <w:pPr>
        <w:tabs>
          <w:tab w:val="left" w:pos="2160"/>
        </w:tabs>
        <w:spacing w:line="360" w:lineRule="auto"/>
        <w:ind w:firstLine="1440"/>
      </w:pPr>
      <w:r>
        <w:t>3.</w:t>
      </w:r>
      <w:r>
        <w:tab/>
        <w:t xml:space="preserve">On </w:t>
      </w:r>
      <w:r w:rsidR="002B730B">
        <w:t>August 27</w:t>
      </w:r>
      <w:r>
        <w:t>, 200</w:t>
      </w:r>
      <w:r w:rsidR="003C5977">
        <w:t>8</w:t>
      </w:r>
      <w:r>
        <w:t xml:space="preserve">, Complainant filed a Formal Complaint against Respondent alleging an inability to pay his natural gas </w:t>
      </w:r>
      <w:r w:rsidR="00AA251D">
        <w:t xml:space="preserve">utility </w:t>
      </w:r>
      <w:r>
        <w:t xml:space="preserve">bill and requesting a new payment arrangement.  </w:t>
      </w:r>
    </w:p>
    <w:p w:rsidR="006072B0" w:rsidRDefault="006072B0" w:rsidP="006072B0">
      <w:pPr>
        <w:tabs>
          <w:tab w:val="left" w:pos="2160"/>
        </w:tabs>
        <w:spacing w:line="360" w:lineRule="auto"/>
        <w:ind w:firstLine="1440"/>
      </w:pPr>
    </w:p>
    <w:p w:rsidR="006072B0" w:rsidRDefault="006072B0" w:rsidP="006072B0">
      <w:pPr>
        <w:spacing w:line="360" w:lineRule="auto"/>
        <w:ind w:firstLine="1440"/>
      </w:pPr>
      <w:r>
        <w:t>4.</w:t>
      </w:r>
      <w:r>
        <w:tab/>
        <w:t xml:space="preserve">Complainant </w:t>
      </w:r>
      <w:r w:rsidR="00AD4CB5">
        <w:t xml:space="preserve">currently </w:t>
      </w:r>
      <w:r>
        <w:t xml:space="preserve">works approximately </w:t>
      </w:r>
      <w:r w:rsidR="00972BA2">
        <w:t>3 days a week, 8 hours a day</w:t>
      </w:r>
      <w:r>
        <w:t xml:space="preserve"> and receives an hourly wage of $12.</w:t>
      </w:r>
      <w:r w:rsidR="00AD4CB5">
        <w:t>12</w:t>
      </w:r>
      <w:r>
        <w:t xml:space="preserve">.  </w:t>
      </w:r>
      <w:r w:rsidR="00566348">
        <w:t xml:space="preserve">At the time Complainant filed his Complaint he was working approximately 40 </w:t>
      </w:r>
      <w:r w:rsidR="00A003BF">
        <w:t xml:space="preserve">hours </w:t>
      </w:r>
      <w:r w:rsidR="00566348">
        <w:t>per week and received an hourly wage of $12.12 per hour.</w:t>
      </w:r>
      <w:r>
        <w:t xml:space="preserve">  </w:t>
      </w:r>
    </w:p>
    <w:p w:rsidR="006072B0" w:rsidRDefault="006072B0" w:rsidP="006072B0">
      <w:pPr>
        <w:spacing w:line="360" w:lineRule="auto"/>
        <w:ind w:firstLine="1440"/>
      </w:pPr>
    </w:p>
    <w:p w:rsidR="00ED589C" w:rsidRDefault="006072B0" w:rsidP="006072B0">
      <w:pPr>
        <w:spacing w:line="360" w:lineRule="auto"/>
        <w:ind w:firstLine="1440"/>
      </w:pPr>
      <w:r>
        <w:lastRenderedPageBreak/>
        <w:t>5.</w:t>
      </w:r>
      <w:r>
        <w:tab/>
      </w:r>
      <w:r w:rsidR="00ED589C">
        <w:t xml:space="preserve">At the time </w:t>
      </w:r>
      <w:r w:rsidR="00041491">
        <w:t>he filed his</w:t>
      </w:r>
      <w:r w:rsidR="00ED589C">
        <w:t xml:space="preserve"> </w:t>
      </w:r>
      <w:r w:rsidR="009E5E8A">
        <w:t>F</w:t>
      </w:r>
      <w:r w:rsidR="00ED589C">
        <w:t xml:space="preserve">ormal Complaint, </w:t>
      </w:r>
      <w:r>
        <w:t xml:space="preserve">Complainant </w:t>
      </w:r>
      <w:r w:rsidR="00566348">
        <w:t>live</w:t>
      </w:r>
      <w:r w:rsidR="00ED589C">
        <w:t>d</w:t>
      </w:r>
      <w:r w:rsidR="00566348">
        <w:t xml:space="preserve"> at the service address with </w:t>
      </w:r>
      <w:r w:rsidR="00ED589C">
        <w:t xml:space="preserve">three </w:t>
      </w:r>
      <w:r w:rsidR="004315BC">
        <w:t>other individuals.  H</w:t>
      </w:r>
      <w:r w:rsidR="00C31098">
        <w:t>e live</w:t>
      </w:r>
      <w:r w:rsidR="00ED589C">
        <w:t>d there</w:t>
      </w:r>
      <w:r w:rsidR="00C31098">
        <w:t xml:space="preserve"> with h</w:t>
      </w:r>
      <w:r w:rsidR="00566348">
        <w:t xml:space="preserve">is </w:t>
      </w:r>
      <w:r w:rsidR="00972BA2">
        <w:t>two daughters</w:t>
      </w:r>
      <w:r w:rsidR="009E5E8A">
        <w:t>;</w:t>
      </w:r>
      <w:r w:rsidR="00AA251D">
        <w:t xml:space="preserve"> </w:t>
      </w:r>
      <w:r w:rsidR="00972BA2">
        <w:t>one minor</w:t>
      </w:r>
      <w:r w:rsidR="00C31098">
        <w:t>,</w:t>
      </w:r>
      <w:r w:rsidR="00972BA2">
        <w:t xml:space="preserve"> age 17 and one adult</w:t>
      </w:r>
      <w:r w:rsidR="00C31098">
        <w:t>,</w:t>
      </w:r>
      <w:r w:rsidR="00972BA2">
        <w:t xml:space="preserve"> age 19</w:t>
      </w:r>
      <w:r w:rsidR="004315BC">
        <w:t xml:space="preserve">, </w:t>
      </w:r>
      <w:r w:rsidR="00E34C1A">
        <w:t xml:space="preserve">and </w:t>
      </w:r>
      <w:r w:rsidR="00A003BF">
        <w:t xml:space="preserve">his </w:t>
      </w:r>
      <w:r w:rsidR="00566348">
        <w:t xml:space="preserve">one year old </w:t>
      </w:r>
      <w:r w:rsidR="00972BA2">
        <w:t>grandson</w:t>
      </w:r>
      <w:r w:rsidR="00ED589C">
        <w:t>.</w:t>
      </w:r>
    </w:p>
    <w:p w:rsidR="00ED589C" w:rsidRDefault="00ED589C" w:rsidP="006072B0">
      <w:pPr>
        <w:spacing w:line="360" w:lineRule="auto"/>
        <w:ind w:firstLine="1440"/>
      </w:pPr>
    </w:p>
    <w:p w:rsidR="006072B0" w:rsidRDefault="00041491" w:rsidP="006072B0">
      <w:pPr>
        <w:spacing w:line="360" w:lineRule="auto"/>
        <w:ind w:firstLine="1440"/>
      </w:pPr>
      <w:r>
        <w:t>6.</w:t>
      </w:r>
      <w:r>
        <w:tab/>
      </w:r>
      <w:r w:rsidR="00ED589C">
        <w:t>At</w:t>
      </w:r>
      <w:r>
        <w:t xml:space="preserve"> </w:t>
      </w:r>
      <w:r w:rsidR="00ED589C">
        <w:t>t</w:t>
      </w:r>
      <w:r>
        <w:t>he</w:t>
      </w:r>
      <w:r w:rsidR="00ED589C">
        <w:t xml:space="preserve"> time of the Initial </w:t>
      </w:r>
      <w:r>
        <w:t>T</w:t>
      </w:r>
      <w:r w:rsidR="00ED589C">
        <w:t>elephon</w:t>
      </w:r>
      <w:r w:rsidR="00FE33B7">
        <w:t>e</w:t>
      </w:r>
      <w:r w:rsidR="00ED589C">
        <w:t xml:space="preserve"> </w:t>
      </w:r>
      <w:r>
        <w:t>H</w:t>
      </w:r>
      <w:r w:rsidR="00ED589C">
        <w:t>earing</w:t>
      </w:r>
      <w:r>
        <w:t>,</w:t>
      </w:r>
      <w:r w:rsidR="00ED589C">
        <w:t xml:space="preserve"> Complainant live</w:t>
      </w:r>
      <w:r w:rsidR="00321514">
        <w:t>d</w:t>
      </w:r>
      <w:r w:rsidR="00ED589C">
        <w:t xml:space="preserve"> at the service address with </w:t>
      </w:r>
      <w:r>
        <w:t>a total of six other individuals. In addition to his two daughters and one grandson, he now live</w:t>
      </w:r>
      <w:r w:rsidR="00FE33B7">
        <w:t>d there</w:t>
      </w:r>
      <w:r>
        <w:t xml:space="preserve"> with </w:t>
      </w:r>
      <w:r w:rsidR="00FE33B7">
        <w:t>three</w:t>
      </w:r>
      <w:r>
        <w:t xml:space="preserve"> additional people</w:t>
      </w:r>
      <w:r w:rsidR="00321514">
        <w:t>,</w:t>
      </w:r>
      <w:r w:rsidR="00A003BF">
        <w:t xml:space="preserve"> </w:t>
      </w:r>
      <w:r w:rsidR="00566348">
        <w:t>his wife</w:t>
      </w:r>
      <w:r>
        <w:t xml:space="preserve"> and her</w:t>
      </w:r>
      <w:r w:rsidR="00566348">
        <w:t xml:space="preserve"> </w:t>
      </w:r>
      <w:r w:rsidR="00A003BF">
        <w:t>two children</w:t>
      </w:r>
      <w:r w:rsidR="00566348">
        <w:t>.</w:t>
      </w:r>
      <w:r w:rsidR="00A47507">
        <w:t xml:space="preserve"> </w:t>
      </w:r>
    </w:p>
    <w:p w:rsidR="006072B0" w:rsidRDefault="006072B0" w:rsidP="006072B0">
      <w:pPr>
        <w:spacing w:line="360" w:lineRule="auto"/>
        <w:ind w:firstLine="1440"/>
      </w:pPr>
    </w:p>
    <w:p w:rsidR="00A47507" w:rsidRDefault="00041491" w:rsidP="006072B0">
      <w:pPr>
        <w:spacing w:line="360" w:lineRule="auto"/>
        <w:ind w:firstLine="1440"/>
      </w:pPr>
      <w:r>
        <w:t>7</w:t>
      </w:r>
      <w:r w:rsidR="006072B0">
        <w:t>.</w:t>
      </w:r>
      <w:r w:rsidR="006072B0">
        <w:tab/>
        <w:t>Complainant</w:t>
      </w:r>
      <w:r w:rsidR="00A47507">
        <w:t>’s daughter</w:t>
      </w:r>
      <w:r w:rsidR="00972BA2">
        <w:t xml:space="preserve">s are </w:t>
      </w:r>
      <w:r w:rsidR="00A47507">
        <w:t>unemployed.</w:t>
      </w:r>
    </w:p>
    <w:p w:rsidR="00A47507" w:rsidRDefault="00A47507" w:rsidP="006072B0">
      <w:pPr>
        <w:spacing w:line="360" w:lineRule="auto"/>
        <w:ind w:firstLine="1440"/>
      </w:pPr>
    </w:p>
    <w:p w:rsidR="006072B0" w:rsidRDefault="00E34C1A" w:rsidP="006072B0">
      <w:pPr>
        <w:spacing w:line="360" w:lineRule="auto"/>
        <w:ind w:firstLine="1440"/>
      </w:pPr>
      <w:r>
        <w:t>8</w:t>
      </w:r>
      <w:r w:rsidR="00A47507">
        <w:t>.</w:t>
      </w:r>
      <w:r w:rsidR="00A47507">
        <w:tab/>
        <w:t>Complainant recently married</w:t>
      </w:r>
      <w:r w:rsidR="009E5E8A">
        <w:t>. H</w:t>
      </w:r>
      <w:r w:rsidR="00A47507">
        <w:t>is wife</w:t>
      </w:r>
      <w:r w:rsidR="00067809">
        <w:t>, Pam</w:t>
      </w:r>
      <w:r w:rsidR="009E5E8A">
        <w:t xml:space="preserve">, </w:t>
      </w:r>
      <w:r w:rsidR="00DB6F6A">
        <w:t>has t</w:t>
      </w:r>
      <w:r w:rsidR="00972BA2">
        <w:t>wo</w:t>
      </w:r>
      <w:r w:rsidR="00A47507">
        <w:t xml:space="preserve"> children</w:t>
      </w:r>
      <w:r w:rsidR="0055148C">
        <w:t>, a son and a daughter</w:t>
      </w:r>
      <w:r w:rsidR="00AA251D">
        <w:t>.</w:t>
      </w:r>
      <w:r w:rsidR="008648DB">
        <w:t xml:space="preserve"> </w:t>
      </w:r>
      <w:r w:rsidR="00AA251D">
        <w:t xml:space="preserve"> Both children are </w:t>
      </w:r>
      <w:r w:rsidR="00A47507">
        <w:t>minors and do not work.</w:t>
      </w:r>
      <w:r w:rsidR="006072B0">
        <w:t xml:space="preserve">  </w:t>
      </w:r>
    </w:p>
    <w:p w:rsidR="006072B0" w:rsidRDefault="006072B0" w:rsidP="006072B0">
      <w:pPr>
        <w:spacing w:line="360" w:lineRule="auto"/>
        <w:ind w:firstLine="1440"/>
      </w:pPr>
    </w:p>
    <w:p w:rsidR="00067809" w:rsidRDefault="00E34C1A" w:rsidP="006072B0">
      <w:pPr>
        <w:spacing w:line="360" w:lineRule="auto"/>
        <w:ind w:firstLine="1440"/>
      </w:pPr>
      <w:r>
        <w:t>9</w:t>
      </w:r>
      <w:r w:rsidR="006072B0">
        <w:t>.</w:t>
      </w:r>
      <w:r w:rsidR="006072B0">
        <w:tab/>
      </w:r>
      <w:r w:rsidR="00067809">
        <w:t>Complainant’s wife does not work.</w:t>
      </w:r>
      <w:r w:rsidR="008648DB">
        <w:t xml:space="preserve"> </w:t>
      </w:r>
      <w:r w:rsidR="00067809">
        <w:t xml:space="preserve"> However, she receives approximately $178.00 in partial unemployment compensation every two week</w:t>
      </w:r>
      <w:r w:rsidR="00A003BF">
        <w:t>s</w:t>
      </w:r>
      <w:r w:rsidR="00067809">
        <w:t>.  In addition</w:t>
      </w:r>
      <w:r w:rsidR="00A003BF">
        <w:t>,</w:t>
      </w:r>
      <w:r w:rsidR="00067809">
        <w:t xml:space="preserve"> her son receives approximately $606</w:t>
      </w:r>
      <w:r w:rsidR="00EC42DD">
        <w:t>.00</w:t>
      </w:r>
      <w:r w:rsidR="00067809">
        <w:t xml:space="preserve"> per month in Social </w:t>
      </w:r>
      <w:r w:rsidR="00DB6F6A">
        <w:t>S</w:t>
      </w:r>
      <w:r w:rsidR="00067809">
        <w:t xml:space="preserve">ecurity benefits. </w:t>
      </w:r>
      <w:r w:rsidR="00A003BF">
        <w:t xml:space="preserve"> </w:t>
      </w:r>
      <w:r w:rsidR="00EC42DD">
        <w:t xml:space="preserve">Complainant’s wife also </w:t>
      </w:r>
      <w:r w:rsidR="00067809">
        <w:t>receives approximately $326</w:t>
      </w:r>
      <w:r w:rsidR="00EC42DD">
        <w:t>.00</w:t>
      </w:r>
      <w:r w:rsidR="00067809">
        <w:t xml:space="preserve"> in food stamps per month</w:t>
      </w:r>
    </w:p>
    <w:p w:rsidR="00067809" w:rsidRDefault="00067809" w:rsidP="006072B0">
      <w:pPr>
        <w:spacing w:line="360" w:lineRule="auto"/>
        <w:ind w:firstLine="1440"/>
      </w:pPr>
    </w:p>
    <w:p w:rsidR="006072B0" w:rsidRDefault="00041491" w:rsidP="006072B0">
      <w:pPr>
        <w:spacing w:line="360" w:lineRule="auto"/>
        <w:ind w:firstLine="1440"/>
      </w:pPr>
      <w:r>
        <w:t>1</w:t>
      </w:r>
      <w:r w:rsidR="00E34C1A">
        <w:t>0</w:t>
      </w:r>
      <w:r w:rsidR="00067809">
        <w:t>.</w:t>
      </w:r>
      <w:r w:rsidR="00067809">
        <w:tab/>
      </w:r>
      <w:r w:rsidR="006072B0">
        <w:t xml:space="preserve">On </w:t>
      </w:r>
      <w:r w:rsidR="00C14AAD">
        <w:t>August 8, 2008</w:t>
      </w:r>
      <w:r w:rsidR="006072B0">
        <w:t xml:space="preserve">, BCS declined to establish a payment arrangement for Complainant, finding that he </w:t>
      </w:r>
      <w:r w:rsidR="00C14AAD">
        <w:t>did not send in the required proof of income documents</w:t>
      </w:r>
      <w:r w:rsidR="006072B0">
        <w:t xml:space="preserve"> </w:t>
      </w:r>
      <w:r w:rsidR="00C14AAD">
        <w:t xml:space="preserve">to establish a decrease in household income, thus BSC could not establish a </w:t>
      </w:r>
      <w:r w:rsidR="006072B0">
        <w:t xml:space="preserve">change in income.  </w:t>
      </w:r>
    </w:p>
    <w:p w:rsidR="006072B0" w:rsidRDefault="006072B0" w:rsidP="006072B0">
      <w:pPr>
        <w:spacing w:line="360" w:lineRule="auto"/>
        <w:ind w:firstLine="1440"/>
      </w:pPr>
    </w:p>
    <w:p w:rsidR="006072B0" w:rsidRDefault="0059748A" w:rsidP="006072B0">
      <w:pPr>
        <w:spacing w:line="360" w:lineRule="auto"/>
        <w:ind w:firstLine="1440"/>
      </w:pPr>
      <w:r>
        <w:t>1</w:t>
      </w:r>
      <w:r w:rsidR="00E34C1A">
        <w:t>1</w:t>
      </w:r>
      <w:r w:rsidR="006072B0">
        <w:t>.</w:t>
      </w:r>
      <w:r w:rsidR="006072B0">
        <w:tab/>
      </w:r>
      <w:r w:rsidR="006357A2">
        <w:t xml:space="preserve">Complainant defaulted on a previously Commission issued payment arrangement of May 4, 2007 at BCS </w:t>
      </w:r>
      <w:r w:rsidR="00A003BF">
        <w:t>C</w:t>
      </w:r>
      <w:r w:rsidR="006357A2">
        <w:t xml:space="preserve">ase No. 2225970. </w:t>
      </w:r>
      <w:r w:rsidR="008648DB">
        <w:t xml:space="preserve"> </w:t>
      </w:r>
      <w:r w:rsidR="006357A2">
        <w:t xml:space="preserve">That decision established a </w:t>
      </w:r>
      <w:r>
        <w:t>regular</w:t>
      </w:r>
      <w:r w:rsidR="006357A2">
        <w:t xml:space="preserve"> budget amount of $234.00 per month plus $111.00 to pay to his arrearage for a total payment of $345.00 per month.</w:t>
      </w:r>
      <w:r w:rsidR="006072B0">
        <w:t xml:space="preserve"> </w:t>
      </w:r>
      <w:r>
        <w:t xml:space="preserve"> Respondent’s Exhibit E.</w:t>
      </w:r>
    </w:p>
    <w:p w:rsidR="006072B0" w:rsidRDefault="006072B0" w:rsidP="006072B0">
      <w:pPr>
        <w:spacing w:line="360" w:lineRule="auto"/>
        <w:ind w:firstLine="1440"/>
      </w:pPr>
    </w:p>
    <w:p w:rsidR="006072B0" w:rsidRDefault="006072B0" w:rsidP="00E34C1A">
      <w:pPr>
        <w:numPr>
          <w:ilvl w:val="0"/>
          <w:numId w:val="6"/>
        </w:numPr>
        <w:tabs>
          <w:tab w:val="clear" w:pos="2520"/>
        </w:tabs>
        <w:spacing w:line="360" w:lineRule="auto"/>
        <w:ind w:left="0" w:firstLine="1440"/>
      </w:pPr>
      <w:r>
        <w:t>As of the hearing date, Complainant</w:t>
      </w:r>
      <w:r w:rsidR="007D2EF6">
        <w:t>’s</w:t>
      </w:r>
      <w:r>
        <w:t xml:space="preserve"> account balance with Respondent </w:t>
      </w:r>
      <w:r w:rsidR="007D2EF6">
        <w:t xml:space="preserve">was </w:t>
      </w:r>
      <w:r>
        <w:t>$</w:t>
      </w:r>
      <w:r w:rsidR="007D2EF6">
        <w:t>4,</w:t>
      </w:r>
      <w:r w:rsidR="00A32B4F">
        <w:t>6</w:t>
      </w:r>
      <w:r w:rsidR="007D2EF6">
        <w:t>25.66</w:t>
      </w:r>
      <w:r>
        <w:t>.</w:t>
      </w:r>
    </w:p>
    <w:p w:rsidR="00CE4037" w:rsidRDefault="00CE4037" w:rsidP="00CE4037">
      <w:pPr>
        <w:spacing w:line="360" w:lineRule="auto"/>
      </w:pPr>
    </w:p>
    <w:p w:rsidR="00CE4037" w:rsidRDefault="00CE4037" w:rsidP="00CE4037">
      <w:pPr>
        <w:spacing w:line="360" w:lineRule="auto"/>
        <w:ind w:firstLine="1440"/>
      </w:pPr>
      <w:r>
        <w:lastRenderedPageBreak/>
        <w:t>1</w:t>
      </w:r>
      <w:r w:rsidR="00E34C1A">
        <w:t>3</w:t>
      </w:r>
      <w:r>
        <w:t>.</w:t>
      </w:r>
      <w:r>
        <w:tab/>
        <w:t>Respondent’s Exhibit A is a copy of Complainant’s Account Statement. NFG Exhibit A.</w:t>
      </w:r>
    </w:p>
    <w:p w:rsidR="006072B0" w:rsidRDefault="006072B0" w:rsidP="006072B0">
      <w:pPr>
        <w:spacing w:line="360" w:lineRule="auto"/>
        <w:ind w:firstLine="1440"/>
        <w:rPr>
          <w:spacing w:val="-3"/>
        </w:rPr>
      </w:pPr>
    </w:p>
    <w:p w:rsidR="00CE4037" w:rsidRDefault="00CE4037" w:rsidP="006072B0">
      <w:pPr>
        <w:spacing w:line="360" w:lineRule="auto"/>
        <w:ind w:firstLine="1440"/>
        <w:rPr>
          <w:spacing w:val="-3"/>
        </w:rPr>
      </w:pPr>
      <w:r>
        <w:rPr>
          <w:spacing w:val="-3"/>
        </w:rPr>
        <w:t>1</w:t>
      </w:r>
      <w:r w:rsidR="00E34C1A">
        <w:rPr>
          <w:spacing w:val="-3"/>
        </w:rPr>
        <w:t>4</w:t>
      </w:r>
      <w:r>
        <w:rPr>
          <w:spacing w:val="-3"/>
        </w:rPr>
        <w:t xml:space="preserve">. </w:t>
      </w:r>
      <w:r w:rsidR="00F7355A">
        <w:rPr>
          <w:spacing w:val="-3"/>
        </w:rPr>
        <w:tab/>
      </w:r>
      <w:r>
        <w:rPr>
          <w:spacing w:val="-3"/>
        </w:rPr>
        <w:t>Respondent’s Exhibit B is a copy of P</w:t>
      </w:r>
      <w:r w:rsidR="00F7355A">
        <w:rPr>
          <w:spacing w:val="-3"/>
        </w:rPr>
        <w:t>A</w:t>
      </w:r>
      <w:r>
        <w:rPr>
          <w:spacing w:val="-3"/>
        </w:rPr>
        <w:t xml:space="preserve"> Public Utility Commission Bureau of Consumer </w:t>
      </w:r>
      <w:r w:rsidR="00F7355A">
        <w:rPr>
          <w:spacing w:val="-3"/>
        </w:rPr>
        <w:t>S</w:t>
      </w:r>
      <w:r>
        <w:rPr>
          <w:spacing w:val="-3"/>
        </w:rPr>
        <w:t xml:space="preserve">ervices Customer </w:t>
      </w:r>
      <w:r w:rsidR="00F7355A">
        <w:rPr>
          <w:spacing w:val="-3"/>
        </w:rPr>
        <w:t>D</w:t>
      </w:r>
      <w:r>
        <w:rPr>
          <w:spacing w:val="-3"/>
        </w:rPr>
        <w:t>ecision</w:t>
      </w:r>
      <w:r w:rsidR="00F7355A">
        <w:rPr>
          <w:spacing w:val="-3"/>
        </w:rPr>
        <w:t>, BCS Case No. 2362770.  NFG Exhibit B.</w:t>
      </w:r>
    </w:p>
    <w:p w:rsidR="00CE4037" w:rsidRDefault="00CE4037" w:rsidP="006072B0">
      <w:pPr>
        <w:spacing w:line="360" w:lineRule="auto"/>
        <w:ind w:firstLine="1440"/>
        <w:rPr>
          <w:spacing w:val="-3"/>
        </w:rPr>
      </w:pPr>
    </w:p>
    <w:p w:rsidR="00F7355A" w:rsidRDefault="00F7355A" w:rsidP="00E34C1A">
      <w:pPr>
        <w:numPr>
          <w:ilvl w:val="0"/>
          <w:numId w:val="7"/>
        </w:numPr>
        <w:tabs>
          <w:tab w:val="clear" w:pos="2520"/>
          <w:tab w:val="num" w:pos="0"/>
        </w:tabs>
        <w:spacing w:line="360" w:lineRule="auto"/>
        <w:ind w:left="0" w:firstLine="1440"/>
        <w:rPr>
          <w:spacing w:val="-3"/>
        </w:rPr>
      </w:pPr>
      <w:r>
        <w:rPr>
          <w:spacing w:val="-3"/>
        </w:rPr>
        <w:t>Respondent’s Exhibit C is a copy of PA Public Utility Commission Bureau of Consumer Services Customer Complaint No. 2362770.  NFG Exhibit C.</w:t>
      </w:r>
    </w:p>
    <w:p w:rsidR="00F7355A" w:rsidRDefault="00F7355A" w:rsidP="00F7355A">
      <w:pPr>
        <w:spacing w:line="360" w:lineRule="auto"/>
        <w:rPr>
          <w:spacing w:val="-3"/>
        </w:rPr>
      </w:pPr>
    </w:p>
    <w:p w:rsidR="00F7355A" w:rsidRDefault="00F7355A" w:rsidP="00F7355A">
      <w:pPr>
        <w:spacing w:line="360" w:lineRule="auto"/>
        <w:ind w:firstLine="1440"/>
        <w:rPr>
          <w:spacing w:val="-3"/>
        </w:rPr>
      </w:pPr>
      <w:r>
        <w:rPr>
          <w:spacing w:val="-3"/>
        </w:rPr>
        <w:t>1</w:t>
      </w:r>
      <w:r w:rsidR="00E34C1A">
        <w:rPr>
          <w:spacing w:val="-3"/>
        </w:rPr>
        <w:t>6</w:t>
      </w:r>
      <w:r>
        <w:rPr>
          <w:spacing w:val="-3"/>
        </w:rPr>
        <w:t xml:space="preserve">. </w:t>
      </w:r>
      <w:r>
        <w:rPr>
          <w:spacing w:val="-3"/>
        </w:rPr>
        <w:tab/>
        <w:t xml:space="preserve">Respondent’s Exhibit D is a copy of PA Public Utility Commission Bureau of Consumer Services Customer Decision, BCS Case No. 2225970. </w:t>
      </w:r>
      <w:r w:rsidR="00721338">
        <w:rPr>
          <w:spacing w:val="-3"/>
        </w:rPr>
        <w:t xml:space="preserve"> </w:t>
      </w:r>
      <w:r>
        <w:rPr>
          <w:spacing w:val="-3"/>
        </w:rPr>
        <w:t xml:space="preserve">NFG Exhibit </w:t>
      </w:r>
      <w:r w:rsidR="00CD5C6E">
        <w:rPr>
          <w:spacing w:val="-3"/>
        </w:rPr>
        <w:t>D</w:t>
      </w:r>
      <w:r>
        <w:rPr>
          <w:spacing w:val="-3"/>
        </w:rPr>
        <w:t>.</w:t>
      </w:r>
    </w:p>
    <w:p w:rsidR="00CE4037" w:rsidRDefault="00CE4037" w:rsidP="006072B0">
      <w:pPr>
        <w:spacing w:line="360" w:lineRule="auto"/>
        <w:ind w:firstLine="1440"/>
        <w:rPr>
          <w:spacing w:val="-3"/>
        </w:rPr>
      </w:pPr>
    </w:p>
    <w:p w:rsidR="00CD5C6E" w:rsidRDefault="00CD5C6E" w:rsidP="00E34C1A">
      <w:pPr>
        <w:numPr>
          <w:ilvl w:val="0"/>
          <w:numId w:val="5"/>
        </w:numPr>
        <w:tabs>
          <w:tab w:val="clear" w:pos="2520"/>
          <w:tab w:val="num" w:pos="0"/>
        </w:tabs>
        <w:spacing w:line="360" w:lineRule="auto"/>
        <w:ind w:left="0" w:firstLine="1440"/>
        <w:rPr>
          <w:spacing w:val="-3"/>
        </w:rPr>
      </w:pPr>
      <w:r>
        <w:rPr>
          <w:spacing w:val="-3"/>
        </w:rPr>
        <w:t>Respondent’s Exhibit E is a copy of PA Public Utility Commission Bureau of Consumer Services Customer Complaint No. 2225970.  NFG Exhibit E.</w:t>
      </w:r>
    </w:p>
    <w:p w:rsidR="00CD5C6E" w:rsidRDefault="00CD5C6E" w:rsidP="00CD5C6E">
      <w:pPr>
        <w:spacing w:line="360" w:lineRule="auto"/>
        <w:rPr>
          <w:spacing w:val="-3"/>
        </w:rPr>
      </w:pPr>
    </w:p>
    <w:p w:rsidR="00CD5C6E" w:rsidRDefault="00CD5C6E" w:rsidP="00721338">
      <w:pPr>
        <w:numPr>
          <w:ilvl w:val="0"/>
          <w:numId w:val="5"/>
        </w:numPr>
        <w:tabs>
          <w:tab w:val="num" w:pos="2160"/>
        </w:tabs>
        <w:spacing w:line="360" w:lineRule="auto"/>
        <w:ind w:left="0" w:firstLine="1440"/>
        <w:rPr>
          <w:spacing w:val="-3"/>
        </w:rPr>
      </w:pPr>
      <w:r>
        <w:rPr>
          <w:spacing w:val="-3"/>
        </w:rPr>
        <w:t>Respondent’s Exhibit F is a copy of Summary Arrangements. NFG Exhibit F.</w:t>
      </w:r>
    </w:p>
    <w:p w:rsidR="00CE4037" w:rsidRDefault="00CE4037" w:rsidP="006072B0">
      <w:pPr>
        <w:spacing w:line="360" w:lineRule="auto"/>
        <w:ind w:firstLine="1440"/>
        <w:rPr>
          <w:spacing w:val="-3"/>
        </w:rPr>
      </w:pPr>
    </w:p>
    <w:p w:rsidR="006072B0" w:rsidRDefault="006072B0" w:rsidP="006072B0">
      <w:pPr>
        <w:tabs>
          <w:tab w:val="left" w:pos="2160"/>
        </w:tabs>
        <w:spacing w:line="360" w:lineRule="auto"/>
        <w:jc w:val="center"/>
        <w:rPr>
          <w:u w:val="single"/>
        </w:rPr>
      </w:pPr>
      <w:r>
        <w:rPr>
          <w:u w:val="single"/>
        </w:rPr>
        <w:t>DISCUSSION</w:t>
      </w:r>
    </w:p>
    <w:p w:rsidR="006072B0" w:rsidRDefault="006072B0" w:rsidP="006072B0">
      <w:pPr>
        <w:tabs>
          <w:tab w:val="left" w:pos="2160"/>
        </w:tabs>
        <w:spacing w:line="360" w:lineRule="auto"/>
        <w:jc w:val="center"/>
        <w:rPr>
          <w:u w:val="single"/>
        </w:rPr>
      </w:pPr>
    </w:p>
    <w:p w:rsidR="006072B0" w:rsidRDefault="006072B0" w:rsidP="006072B0">
      <w:pPr>
        <w:spacing w:line="360" w:lineRule="auto"/>
        <w:ind w:firstLine="1440"/>
      </w:pPr>
      <w:r>
        <w:t xml:space="preserve">In his Formal Complaint, Complainant </w:t>
      </w:r>
      <w:r w:rsidRPr="00006FBE">
        <w:t xml:space="preserve">alleged </w:t>
      </w:r>
      <w:r>
        <w:t xml:space="preserve">an inability to pay his monthly natural gas bills.  </w:t>
      </w:r>
      <w:r w:rsidRPr="00006FBE">
        <w:t xml:space="preserve">As the </w:t>
      </w:r>
      <w:r>
        <w:t>party</w:t>
      </w:r>
      <w:r w:rsidRPr="00006FBE">
        <w:t xml:space="preserve"> seeking affirmative relief from the Commission, </w:t>
      </w:r>
      <w:r>
        <w:t>Complainant</w:t>
      </w:r>
      <w:r w:rsidRPr="00006FBE">
        <w:t xml:space="preserve"> </w:t>
      </w:r>
      <w:r>
        <w:t xml:space="preserve">bears the burden of proof.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332(a).</w:t>
      </w:r>
      <w:r>
        <w:t xml:space="preserve">  </w:t>
      </w:r>
    </w:p>
    <w:p w:rsidR="00321514" w:rsidRDefault="00321514" w:rsidP="006072B0">
      <w:pPr>
        <w:spacing w:line="360" w:lineRule="auto"/>
        <w:ind w:firstLine="1440"/>
        <w:rPr>
          <w:spacing w:val="-3"/>
        </w:rPr>
      </w:pPr>
    </w:p>
    <w:p w:rsidR="006072B0" w:rsidRDefault="006072B0" w:rsidP="006072B0">
      <w:pPr>
        <w:spacing w:line="360" w:lineRule="auto"/>
        <w:ind w:firstLine="1440"/>
        <w:rPr>
          <w:spacing w:val="-3"/>
        </w:rPr>
      </w:pPr>
      <w:r>
        <w:rPr>
          <w:spacing w:val="-3"/>
        </w:rPr>
        <w:t xml:space="preserve">To satisfy this burden, a complainant must show that the named utility is responsible or accountable for the problem described in the Complaint.  </w:t>
      </w:r>
      <w:r>
        <w:rPr>
          <w:spacing w:val="-3"/>
          <w:u w:val="single"/>
        </w:rPr>
        <w:t xml:space="preserve">Patterson v. Bell Telephone Co. of </w:t>
      </w:r>
      <w:smartTag w:uri="urn:schemas-microsoft-com:office:smarttags" w:element="State">
        <w:r>
          <w:rPr>
            <w:spacing w:val="-3"/>
            <w:u w:val="single"/>
          </w:rPr>
          <w:t>Pa.</w:t>
        </w:r>
      </w:smartTag>
      <w:r>
        <w:rPr>
          <w:spacing w:val="-3"/>
        </w:rPr>
        <w:t xml:space="preserve">, 72 </w:t>
      </w:r>
      <w:smartTag w:uri="urn:schemas-microsoft-com:office:smarttags" w:element="State">
        <w:r>
          <w:rPr>
            <w:spacing w:val="-3"/>
          </w:rPr>
          <w:t>Pa.</w:t>
        </w:r>
      </w:smartTag>
      <w:r>
        <w:rPr>
          <w:spacing w:val="-3"/>
        </w:rPr>
        <w:t xml:space="preserve"> PUC 196 (</w:t>
      </w:r>
      <w:smartTag w:uri="urn:schemas-microsoft-com:office:smarttags" w:element="State">
        <w:r>
          <w:rPr>
            <w:spacing w:val="-3"/>
          </w:rPr>
          <w:t>Pa.</w:t>
        </w:r>
      </w:smartTag>
      <w:r>
        <w:rPr>
          <w:spacing w:val="-3"/>
        </w:rPr>
        <w:t xml:space="preserve"> 1990); </w:t>
      </w:r>
      <w:r>
        <w:rPr>
          <w:spacing w:val="-3"/>
          <w:u w:val="single"/>
        </w:rPr>
        <w:t>Feinstein v. Philadelphia Suburban Water Co.</w:t>
      </w:r>
      <w:r>
        <w:rPr>
          <w:spacing w:val="-3"/>
        </w:rPr>
        <w:t xml:space="preserve">, 50 </w:t>
      </w:r>
      <w:smartTag w:uri="urn:schemas-microsoft-com:office:smarttags" w:element="State">
        <w:r>
          <w:rPr>
            <w:spacing w:val="-3"/>
          </w:rPr>
          <w:t>Pa.</w:t>
        </w:r>
      </w:smartTag>
      <w:r>
        <w:rPr>
          <w:spacing w:val="-3"/>
        </w:rPr>
        <w:t xml:space="preserve"> PUC 300 (</w:t>
      </w:r>
      <w:smartTag w:uri="urn:schemas-microsoft-com:office:smarttags" w:element="place">
        <w:smartTag w:uri="urn:schemas-microsoft-com:office:smarttags" w:element="State">
          <w:r>
            <w:rPr>
              <w:spacing w:val="-3"/>
            </w:rPr>
            <w:t>Pa.</w:t>
          </w:r>
        </w:smartTag>
      </w:smartTag>
      <w:r>
        <w:rPr>
          <w:spacing w:val="-3"/>
        </w:rPr>
        <w:t xml:space="preserve"> 1976).  This must be shown by a preponderance of the evidence, that is, by presenting evidence more convincing, by even the smallest amount, than that presented by the other party.  </w:t>
      </w:r>
      <w:r>
        <w:rPr>
          <w:spacing w:val="-3"/>
          <w:u w:val="single"/>
        </w:rPr>
        <w:t xml:space="preserve">Samuel J. Lansberry, Inc. v. </w:t>
      </w:r>
      <w:smartTag w:uri="urn:schemas-microsoft-com:office:smarttags" w:element="place">
        <w:smartTag w:uri="urn:schemas-microsoft-com:office:smarttags" w:element="State">
          <w:r>
            <w:rPr>
              <w:spacing w:val="-3"/>
              <w:u w:val="single"/>
            </w:rPr>
            <w:t>Pa.</w:t>
          </w:r>
        </w:smartTag>
      </w:smartTag>
      <w:r>
        <w:rPr>
          <w:spacing w:val="-3"/>
          <w:u w:val="single"/>
        </w:rPr>
        <w:t xml:space="preserve"> Pub</w:t>
      </w:r>
      <w:r w:rsidR="00EC42DD">
        <w:rPr>
          <w:spacing w:val="-3"/>
          <w:u w:val="single"/>
        </w:rPr>
        <w:t>.</w:t>
      </w:r>
      <w:r>
        <w:rPr>
          <w:spacing w:val="-3"/>
          <w:u w:val="single"/>
        </w:rPr>
        <w:t xml:space="preserve"> Util</w:t>
      </w:r>
      <w:r w:rsidR="00EC42DD">
        <w:rPr>
          <w:spacing w:val="-3"/>
          <w:u w:val="single"/>
        </w:rPr>
        <w:t>.</w:t>
      </w:r>
      <w:r>
        <w:rPr>
          <w:spacing w:val="-3"/>
          <w:u w:val="single"/>
        </w:rPr>
        <w:t xml:space="preserve"> Comm</w:t>
      </w:r>
      <w:r w:rsidR="00EC42DD">
        <w:rPr>
          <w:spacing w:val="-3"/>
          <w:u w:val="single"/>
        </w:rPr>
        <w:t>’n</w:t>
      </w:r>
      <w:r>
        <w:rPr>
          <w:spacing w:val="-3"/>
        </w:rPr>
        <w:t>, 578 A.2d 600 (</w:t>
      </w:r>
      <w:smartTag w:uri="urn:schemas-microsoft-com:office:smarttags" w:element="State">
        <w:smartTag w:uri="urn:schemas-microsoft-com:office:smarttags" w:element="place">
          <w:r>
            <w:rPr>
              <w:spacing w:val="-3"/>
            </w:rPr>
            <w:t>Pa.</w:t>
          </w:r>
        </w:smartTag>
      </w:smartTag>
      <w:r>
        <w:rPr>
          <w:spacing w:val="-3"/>
        </w:rPr>
        <w:t xml:space="preserve"> Cmw</w:t>
      </w:r>
      <w:r w:rsidR="00EC42DD">
        <w:rPr>
          <w:spacing w:val="-3"/>
        </w:rPr>
        <w:t>lth</w:t>
      </w:r>
      <w:r>
        <w:rPr>
          <w:spacing w:val="-3"/>
        </w:rPr>
        <w:t xml:space="preserve">. 1990), </w:t>
      </w:r>
      <w:r>
        <w:rPr>
          <w:spacing w:val="-3"/>
          <w:u w:val="single"/>
        </w:rPr>
        <w:t>alloc. den.</w:t>
      </w:r>
      <w:r>
        <w:rPr>
          <w:spacing w:val="-3"/>
        </w:rPr>
        <w:t>, 602 A.2d 863 (</w:t>
      </w:r>
      <w:smartTag w:uri="urn:schemas-microsoft-com:office:smarttags" w:element="State">
        <w:r>
          <w:rPr>
            <w:spacing w:val="-3"/>
          </w:rPr>
          <w:t>Pa.</w:t>
        </w:r>
      </w:smartTag>
      <w:r>
        <w:rPr>
          <w:spacing w:val="-3"/>
        </w:rPr>
        <w:t xml:space="preserve"> 1992); </w:t>
      </w:r>
      <w:r>
        <w:rPr>
          <w:spacing w:val="-3"/>
          <w:u w:val="single"/>
        </w:rPr>
        <w:t>Se-Ling Hosiery v. Mar</w:t>
      </w:r>
      <w:r w:rsidR="00A003BF">
        <w:rPr>
          <w:spacing w:val="-3"/>
          <w:u w:val="single"/>
        </w:rPr>
        <w:t>g</w:t>
      </w:r>
      <w:r>
        <w:rPr>
          <w:spacing w:val="-3"/>
          <w:u w:val="single"/>
        </w:rPr>
        <w:t>ulies</w:t>
      </w:r>
      <w:r>
        <w:rPr>
          <w:spacing w:val="-3"/>
        </w:rPr>
        <w:t>, 70 A.2d 854 (</w:t>
      </w:r>
      <w:smartTag w:uri="urn:schemas-microsoft-com:office:smarttags" w:element="place">
        <w:smartTag w:uri="urn:schemas-microsoft-com:office:smarttags" w:element="State">
          <w:r>
            <w:rPr>
              <w:spacing w:val="-3"/>
            </w:rPr>
            <w:t>Pa.</w:t>
          </w:r>
        </w:smartTag>
      </w:smartTag>
      <w:r>
        <w:rPr>
          <w:spacing w:val="-3"/>
        </w:rPr>
        <w:t xml:space="preserve"> 1950).  Additionally, any finding </w:t>
      </w:r>
      <w:r>
        <w:rPr>
          <w:spacing w:val="-3"/>
        </w:rPr>
        <w:lastRenderedPageBreak/>
        <w:t xml:space="preserve">of fact necessary to support the Commission’s adjudication must be based upon substantial evidence.  </w:t>
      </w:r>
      <w:r>
        <w:rPr>
          <w:spacing w:val="-3"/>
          <w:u w:val="single"/>
        </w:rPr>
        <w:t xml:space="preserve">Mill v. </w:t>
      </w:r>
      <w:smartTag w:uri="urn:schemas-microsoft-com:office:smarttags" w:element="place">
        <w:smartTag w:uri="urn:schemas-microsoft-com:office:smarttags" w:element="State">
          <w:r>
            <w:rPr>
              <w:spacing w:val="-3"/>
              <w:u w:val="single"/>
            </w:rPr>
            <w:t>Pa.</w:t>
          </w:r>
        </w:smartTag>
      </w:smartTag>
      <w:r>
        <w:rPr>
          <w:spacing w:val="-3"/>
          <w:u w:val="single"/>
        </w:rPr>
        <w:t xml:space="preserve"> Pub</w:t>
      </w:r>
      <w:r w:rsidR="00EC42DD">
        <w:rPr>
          <w:spacing w:val="-3"/>
          <w:u w:val="single"/>
        </w:rPr>
        <w:t>.</w:t>
      </w:r>
      <w:r>
        <w:rPr>
          <w:spacing w:val="-3"/>
          <w:u w:val="single"/>
        </w:rPr>
        <w:t xml:space="preserve"> Util</w:t>
      </w:r>
      <w:r w:rsidR="00EC42DD">
        <w:rPr>
          <w:spacing w:val="-3"/>
          <w:u w:val="single"/>
        </w:rPr>
        <w:t>.</w:t>
      </w:r>
      <w:r>
        <w:rPr>
          <w:spacing w:val="-3"/>
          <w:u w:val="single"/>
        </w:rPr>
        <w:t xml:space="preserve"> Comm</w:t>
      </w:r>
      <w:r w:rsidR="00EC42DD">
        <w:rPr>
          <w:spacing w:val="-3"/>
          <w:u w:val="single"/>
        </w:rPr>
        <w:t>’n</w:t>
      </w:r>
      <w:r>
        <w:rPr>
          <w:spacing w:val="-3"/>
        </w:rPr>
        <w:t>, 447 A.2d 1100 (</w:t>
      </w:r>
      <w:smartTag w:uri="urn:schemas-microsoft-com:office:smarttags" w:element="State">
        <w:r>
          <w:rPr>
            <w:spacing w:val="-3"/>
          </w:rPr>
          <w:t>Pa.</w:t>
        </w:r>
      </w:smartTag>
      <w:r>
        <w:rPr>
          <w:spacing w:val="-3"/>
        </w:rPr>
        <w:t xml:space="preserve"> Cmw</w:t>
      </w:r>
      <w:r w:rsidR="00EC42DD">
        <w:rPr>
          <w:spacing w:val="-3"/>
        </w:rPr>
        <w:t>lth</w:t>
      </w:r>
      <w:r>
        <w:rPr>
          <w:spacing w:val="-3"/>
        </w:rPr>
        <w:t xml:space="preserve">. 1982); </w:t>
      </w:r>
      <w:r>
        <w:rPr>
          <w:spacing w:val="-3"/>
          <w:u w:val="single"/>
        </w:rPr>
        <w:t xml:space="preserve">Edan Transportation Corp. v. </w:t>
      </w:r>
      <w:smartTag w:uri="urn:schemas-microsoft-com:office:smarttags" w:element="place">
        <w:smartTag w:uri="urn:schemas-microsoft-com:office:smarttags" w:element="State">
          <w:r>
            <w:rPr>
              <w:spacing w:val="-3"/>
              <w:u w:val="single"/>
            </w:rPr>
            <w:t>Pa.</w:t>
          </w:r>
        </w:smartTag>
      </w:smartTag>
      <w:r>
        <w:rPr>
          <w:spacing w:val="-3"/>
          <w:u w:val="single"/>
        </w:rPr>
        <w:t xml:space="preserve"> Pub</w:t>
      </w:r>
      <w:r w:rsidR="00EC42DD">
        <w:rPr>
          <w:spacing w:val="-3"/>
          <w:u w:val="single"/>
        </w:rPr>
        <w:t>.</w:t>
      </w:r>
      <w:r>
        <w:rPr>
          <w:spacing w:val="-3"/>
          <w:u w:val="single"/>
        </w:rPr>
        <w:t xml:space="preserve"> Util</w:t>
      </w:r>
      <w:r w:rsidR="00EC42DD">
        <w:rPr>
          <w:spacing w:val="-3"/>
          <w:u w:val="single"/>
        </w:rPr>
        <w:t>.</w:t>
      </w:r>
      <w:r>
        <w:rPr>
          <w:spacing w:val="-3"/>
          <w:u w:val="single"/>
        </w:rPr>
        <w:t xml:space="preserve"> Comm</w:t>
      </w:r>
      <w:r w:rsidR="00EC42DD">
        <w:rPr>
          <w:spacing w:val="-3"/>
          <w:u w:val="single"/>
        </w:rPr>
        <w:t>’n</w:t>
      </w:r>
      <w:r>
        <w:rPr>
          <w:spacing w:val="-3"/>
        </w:rPr>
        <w:t>, 623 A.2d 6 (</w:t>
      </w:r>
      <w:smartTag w:uri="urn:schemas-microsoft-com:office:smarttags" w:element="State">
        <w:r>
          <w:rPr>
            <w:spacing w:val="-3"/>
          </w:rPr>
          <w:t>Pa.</w:t>
        </w:r>
      </w:smartTag>
      <w:r>
        <w:rPr>
          <w:spacing w:val="-3"/>
        </w:rPr>
        <w:t xml:space="preserve"> Cmw</w:t>
      </w:r>
      <w:r w:rsidR="00EC42DD">
        <w:rPr>
          <w:spacing w:val="-3"/>
        </w:rPr>
        <w:t>lth</w:t>
      </w:r>
      <w:r>
        <w:rPr>
          <w:spacing w:val="-3"/>
        </w:rPr>
        <w:t xml:space="preserve">. 1993); 2 </w:t>
      </w:r>
      <w:smartTag w:uri="urn:schemas-microsoft-com:office:smarttags" w:element="place">
        <w:smartTag w:uri="urn:schemas-microsoft-com:office:smarttags" w:element="State">
          <w:r>
            <w:rPr>
              <w:spacing w:val="-3"/>
            </w:rPr>
            <w:t>Pa.</w:t>
          </w:r>
        </w:smartTag>
      </w:smartTag>
      <w:r>
        <w:rPr>
          <w:spacing w:val="-3"/>
        </w:rPr>
        <w:t xml:space="preserve"> C.S. § 704.  More is required than a mere trace of evidence or a suspicion of the existence of a fact sought to be established.  </w:t>
      </w:r>
      <w:smartTag w:uri="urn:schemas-microsoft-com:office:smarttags" w:element="City">
        <w:r>
          <w:rPr>
            <w:spacing w:val="-3"/>
            <w:u w:val="single"/>
          </w:rPr>
          <w:t>Norfolk</w:t>
        </w:r>
      </w:smartTag>
      <w:r>
        <w:rPr>
          <w:spacing w:val="-3"/>
          <w:u w:val="single"/>
        </w:rPr>
        <w:t xml:space="preserve"> and Western Ry. v. </w:t>
      </w:r>
      <w:smartTag w:uri="urn:schemas-microsoft-com:office:smarttags" w:element="place">
        <w:smartTag w:uri="urn:schemas-microsoft-com:office:smarttags" w:element="State">
          <w:r>
            <w:rPr>
              <w:spacing w:val="-3"/>
              <w:u w:val="single"/>
            </w:rPr>
            <w:t>Pa.</w:t>
          </w:r>
        </w:smartTag>
      </w:smartTag>
      <w:r>
        <w:rPr>
          <w:spacing w:val="-3"/>
          <w:u w:val="single"/>
        </w:rPr>
        <w:t xml:space="preserve"> Pub</w:t>
      </w:r>
      <w:r w:rsidR="00EC42DD">
        <w:rPr>
          <w:spacing w:val="-3"/>
          <w:u w:val="single"/>
        </w:rPr>
        <w:t>.</w:t>
      </w:r>
      <w:r>
        <w:rPr>
          <w:spacing w:val="-3"/>
          <w:u w:val="single"/>
        </w:rPr>
        <w:t xml:space="preserve"> Util</w:t>
      </w:r>
      <w:r w:rsidR="00EC42DD">
        <w:rPr>
          <w:spacing w:val="-3"/>
          <w:u w:val="single"/>
        </w:rPr>
        <w:t>.</w:t>
      </w:r>
      <w:r>
        <w:rPr>
          <w:spacing w:val="-3"/>
          <w:u w:val="single"/>
        </w:rPr>
        <w:t xml:space="preserve"> Comm</w:t>
      </w:r>
      <w:r w:rsidR="00EC42DD">
        <w:rPr>
          <w:spacing w:val="-3"/>
          <w:u w:val="single"/>
        </w:rPr>
        <w:t>’n</w:t>
      </w:r>
      <w:r>
        <w:rPr>
          <w:spacing w:val="-3"/>
          <w:u w:val="single"/>
        </w:rPr>
        <w:t>.</w:t>
      </w:r>
      <w:r>
        <w:rPr>
          <w:spacing w:val="-3"/>
        </w:rPr>
        <w:t>, 413 A.2d 1037 (</w:t>
      </w:r>
      <w:smartTag w:uri="urn:schemas-microsoft-com:office:smarttags" w:element="State">
        <w:r>
          <w:rPr>
            <w:spacing w:val="-3"/>
          </w:rPr>
          <w:t>Pa.</w:t>
        </w:r>
      </w:smartTag>
      <w:r>
        <w:rPr>
          <w:spacing w:val="-3"/>
        </w:rPr>
        <w:t xml:space="preserve"> 1980); </w:t>
      </w:r>
      <w:r>
        <w:rPr>
          <w:spacing w:val="-3"/>
          <w:u w:val="single"/>
        </w:rPr>
        <w:t>Erie Resistor Corp. v. Unemployment Compensation Bd. of Review</w:t>
      </w:r>
      <w:r>
        <w:rPr>
          <w:spacing w:val="-3"/>
        </w:rPr>
        <w:t>, 166 A.2d 96 (</w:t>
      </w:r>
      <w:smartTag w:uri="urn:schemas-microsoft-com:office:smarttags" w:element="place">
        <w:smartTag w:uri="urn:schemas-microsoft-com:office:smarttags" w:element="State">
          <w:r>
            <w:rPr>
              <w:spacing w:val="-3"/>
            </w:rPr>
            <w:t>Pa.</w:t>
          </w:r>
        </w:smartTag>
      </w:smartTag>
      <w:r>
        <w:rPr>
          <w:spacing w:val="-3"/>
        </w:rPr>
        <w:t xml:space="preserve"> Super.  1960); </w:t>
      </w:r>
      <w:r>
        <w:rPr>
          <w:spacing w:val="-3"/>
          <w:u w:val="single"/>
        </w:rPr>
        <w:t xml:space="preserve">Murphy v. Dep’t. of Public Welfare, </w:t>
      </w:r>
      <w:smartTag w:uri="urn:schemas-microsoft-com:office:smarttags" w:element="PlaceName">
        <w:r>
          <w:rPr>
            <w:spacing w:val="-3"/>
            <w:u w:val="single"/>
          </w:rPr>
          <w:t>White</w:t>
        </w:r>
      </w:smartTag>
      <w:r>
        <w:rPr>
          <w:spacing w:val="-3"/>
          <w:u w:val="single"/>
        </w:rPr>
        <w:t xml:space="preserve"> </w:t>
      </w:r>
      <w:smartTag w:uri="urn:schemas-microsoft-com:office:smarttags" w:element="PlaceName">
        <w:r>
          <w:rPr>
            <w:spacing w:val="-3"/>
            <w:u w:val="single"/>
          </w:rPr>
          <w:t>Haven</w:t>
        </w:r>
      </w:smartTag>
      <w:r>
        <w:rPr>
          <w:spacing w:val="-3"/>
          <w:u w:val="single"/>
        </w:rPr>
        <w:t xml:space="preserve"> </w:t>
      </w:r>
      <w:smartTag w:uri="urn:schemas-microsoft-com:office:smarttags" w:element="PlaceType">
        <w:r>
          <w:rPr>
            <w:spacing w:val="-3"/>
            <w:u w:val="single"/>
          </w:rPr>
          <w:t>Center</w:t>
        </w:r>
      </w:smartTag>
      <w:r>
        <w:rPr>
          <w:spacing w:val="-3"/>
        </w:rPr>
        <w:t>, 480 A.2d 382 (</w:t>
      </w:r>
      <w:smartTag w:uri="urn:schemas-microsoft-com:office:smarttags" w:element="place">
        <w:smartTag w:uri="urn:schemas-microsoft-com:office:smarttags" w:element="State">
          <w:r>
            <w:rPr>
              <w:spacing w:val="-3"/>
            </w:rPr>
            <w:t>Pa.</w:t>
          </w:r>
        </w:smartTag>
      </w:smartTag>
      <w:r>
        <w:rPr>
          <w:spacing w:val="-3"/>
        </w:rPr>
        <w:t xml:space="preserve"> Cmw</w:t>
      </w:r>
      <w:r w:rsidR="00EC42DD">
        <w:rPr>
          <w:spacing w:val="-3"/>
        </w:rPr>
        <w:t>lth</w:t>
      </w:r>
      <w:r>
        <w:rPr>
          <w:spacing w:val="-3"/>
        </w:rPr>
        <w:t xml:space="preserve">. 1984).  </w:t>
      </w:r>
    </w:p>
    <w:p w:rsidR="006072B0" w:rsidRDefault="006072B0" w:rsidP="006072B0">
      <w:pPr>
        <w:spacing w:line="360" w:lineRule="auto"/>
      </w:pPr>
      <w:r>
        <w:tab/>
      </w:r>
      <w:r>
        <w:tab/>
      </w:r>
      <w:r>
        <w:tab/>
      </w:r>
      <w:r>
        <w:tab/>
      </w:r>
    </w:p>
    <w:p w:rsidR="006072B0" w:rsidRDefault="006072B0" w:rsidP="006072B0">
      <w:pPr>
        <w:spacing w:line="360" w:lineRule="auto"/>
        <w:ind w:firstLine="1440"/>
      </w:pPr>
      <w:r>
        <w:t xml:space="preserve">The Responsible Utility Customer Protection Act, 66 </w:t>
      </w:r>
      <w:smartTag w:uri="urn:schemas-microsoft-com:office:smarttags" w:element="place">
        <w:smartTag w:uri="urn:schemas-microsoft-com:office:smarttags" w:element="State">
          <w:r>
            <w:t>Pa.</w:t>
          </w:r>
        </w:smartTag>
      </w:smartTag>
      <w:r>
        <w:t xml:space="preserve"> C.S. § 1401, </w:t>
      </w:r>
      <w:r w:rsidRPr="005C42FE">
        <w:rPr>
          <w:i/>
        </w:rPr>
        <w:t>et seq.</w:t>
      </w:r>
      <w:r>
        <w:t xml:space="preserve"> (Act), became effective </w:t>
      </w:r>
      <w:smartTag w:uri="urn:schemas-microsoft-com:office:smarttags" w:element="date">
        <w:smartTagPr>
          <w:attr w:name="Year" w:val="2004"/>
          <w:attr w:name="Day" w:val="14"/>
          <w:attr w:name="Month" w:val="12"/>
        </w:smartTagPr>
        <w:r>
          <w:t>December 14, 2004</w:t>
        </w:r>
      </w:smartTag>
      <w:r>
        <w:t>, and applies to this proceeding.  This law provides strict guidelines that the Commission must follow in handling customer complaints.  Section 1405(d) of the Public Utility Code reads as follows:</w:t>
      </w:r>
    </w:p>
    <w:p w:rsidR="006072B0" w:rsidRDefault="006072B0" w:rsidP="006072B0">
      <w:pPr>
        <w:spacing w:line="360" w:lineRule="auto"/>
      </w:pPr>
    </w:p>
    <w:p w:rsidR="006072B0" w:rsidRDefault="006072B0" w:rsidP="006072B0">
      <w:pPr>
        <w:ind w:left="1440" w:right="1440"/>
      </w:pPr>
      <w:r>
        <w:tab/>
        <w:t>(</w:t>
      </w:r>
      <w:r w:rsidR="00544014">
        <w:t>d</w:t>
      </w:r>
      <w:r>
        <w:t>)</w:t>
      </w:r>
      <w:r>
        <w:tab/>
        <w:t xml:space="preserve">Number of Payment Agreements. – Absent a </w:t>
      </w:r>
      <w:r>
        <w:tab/>
        <w:t xml:space="preserve">change in income, the Commission shall not establish or </w:t>
      </w:r>
      <w:r>
        <w:tab/>
        <w:t xml:space="preserve">order a public utility to establish a second or subsequent </w:t>
      </w:r>
      <w:r>
        <w:tab/>
        <w:t xml:space="preserve">payment agreement if a customer has defaulted on a </w:t>
      </w:r>
      <w:r>
        <w:tab/>
        <w:t xml:space="preserve">previous payment agreement.  A public utility may, at its </w:t>
      </w:r>
      <w:r>
        <w:tab/>
        <w:t xml:space="preserve">discretion, enter into a second or subsequent payment </w:t>
      </w:r>
      <w:r>
        <w:tab/>
        <w:t>agreement with a customer.</w:t>
      </w:r>
    </w:p>
    <w:p w:rsidR="006072B0" w:rsidRDefault="006072B0" w:rsidP="006072B0">
      <w:pPr>
        <w:spacing w:line="360" w:lineRule="auto"/>
        <w:ind w:left="1440" w:right="1440"/>
      </w:pPr>
    </w:p>
    <w:p w:rsidR="006072B0" w:rsidRDefault="006072B0" w:rsidP="006072B0">
      <w:pPr>
        <w:spacing w:line="360" w:lineRule="auto"/>
      </w:pPr>
      <w:r>
        <w:t xml:space="preserve">66 </w:t>
      </w:r>
      <w:smartTag w:uri="urn:schemas-microsoft-com:office:smarttags" w:element="place">
        <w:smartTag w:uri="urn:schemas-microsoft-com:office:smarttags" w:element="State">
          <w:r>
            <w:t>Pa.</w:t>
          </w:r>
        </w:smartTag>
      </w:smartTag>
      <w:r>
        <w:t xml:space="preserve"> C.S. § 1405(d).  Section 1403 of the Public Utility Code defines “Payment Agreement” as follows:</w:t>
      </w:r>
    </w:p>
    <w:p w:rsidR="006072B0" w:rsidRDefault="006072B0" w:rsidP="006072B0"/>
    <w:p w:rsidR="006072B0" w:rsidRDefault="006072B0" w:rsidP="00C25800">
      <w:pPr>
        <w:ind w:left="2160" w:right="1440"/>
      </w:pPr>
      <w:r>
        <w:t>An agreement whereby a customer who admits liability for billed service is permitted to amortize or pay the unpaid balance of the account in one or more payments.</w:t>
      </w:r>
    </w:p>
    <w:p w:rsidR="006072B0" w:rsidRDefault="006072B0" w:rsidP="006072B0">
      <w:pPr>
        <w:spacing w:line="360" w:lineRule="auto"/>
        <w:ind w:left="1440" w:right="1440"/>
      </w:pPr>
    </w:p>
    <w:p w:rsidR="006072B0" w:rsidRDefault="006072B0" w:rsidP="006072B0">
      <w:pPr>
        <w:tabs>
          <w:tab w:val="left" w:pos="9360"/>
        </w:tabs>
        <w:spacing w:line="360" w:lineRule="auto"/>
      </w:pPr>
      <w:r>
        <w:t xml:space="preserve">66 </w:t>
      </w:r>
      <w:smartTag w:uri="urn:schemas-microsoft-com:office:smarttags" w:element="place">
        <w:smartTag w:uri="urn:schemas-microsoft-com:office:smarttags" w:element="State">
          <w:r>
            <w:t>Pa.</w:t>
          </w:r>
        </w:smartTag>
      </w:smartTag>
      <w:r>
        <w:t xml:space="preserve"> C.S. § 1403 (Definition of “Payment Agreement”).  The term “payment agreement” includes both utility agreements and Commission agreements.  </w:t>
      </w:r>
      <w:r w:rsidRPr="00472C74">
        <w:rPr>
          <w:u w:val="single"/>
        </w:rPr>
        <w:t>Chapter 14 Implementation Order</w:t>
      </w:r>
      <w:r>
        <w:t xml:space="preserve">, Docket No. M-00041802F0002, Order entered </w:t>
      </w:r>
      <w:smartTag w:uri="urn:schemas-microsoft-com:office:smarttags" w:element="date">
        <w:smartTagPr>
          <w:attr w:name="Year" w:val="2005"/>
          <w:attr w:name="Day" w:val="4"/>
          <w:attr w:name="Month" w:val="3"/>
        </w:smartTagPr>
        <w:r>
          <w:t>March 4, 2005</w:t>
        </w:r>
      </w:smartTag>
      <w:r>
        <w:t xml:space="preserve">.  </w:t>
      </w:r>
    </w:p>
    <w:p w:rsidR="006072B0" w:rsidRDefault="006072B0" w:rsidP="006072B0">
      <w:pPr>
        <w:spacing w:line="360" w:lineRule="auto"/>
      </w:pPr>
    </w:p>
    <w:p w:rsidR="006072B0" w:rsidRDefault="006072B0" w:rsidP="006072B0">
      <w:pPr>
        <w:spacing w:line="360" w:lineRule="auto"/>
        <w:ind w:firstLine="1440"/>
      </w:pPr>
      <w:r>
        <w:t>Furthermore, a “Change in Income” is defined in Section 1403 of the Public Utility Code as follows:</w:t>
      </w:r>
    </w:p>
    <w:p w:rsidR="006072B0" w:rsidRDefault="006072B0" w:rsidP="006072B0"/>
    <w:p w:rsidR="006072B0" w:rsidRDefault="006072B0" w:rsidP="00C25800">
      <w:pPr>
        <w:ind w:left="2160" w:right="1440"/>
      </w:pPr>
      <w:r>
        <w:lastRenderedPageBreak/>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6072B0" w:rsidRDefault="006072B0" w:rsidP="006072B0">
      <w:pPr>
        <w:spacing w:line="360" w:lineRule="auto"/>
        <w:ind w:left="1440" w:right="1440"/>
      </w:pPr>
    </w:p>
    <w:p w:rsidR="006072B0" w:rsidRDefault="006072B0" w:rsidP="006072B0">
      <w:pPr>
        <w:spacing w:line="360" w:lineRule="auto"/>
      </w:pPr>
      <w:r>
        <w:t xml:space="preserve">66 </w:t>
      </w:r>
      <w:smartTag w:uri="urn:schemas-microsoft-com:office:smarttags" w:element="place">
        <w:smartTag w:uri="urn:schemas-microsoft-com:office:smarttags" w:element="State">
          <w:r>
            <w:t>Pa.</w:t>
          </w:r>
        </w:smartTag>
      </w:smartTag>
      <w:r>
        <w:t xml:space="preserve"> C.S. § 1403 (Definition of “Change in Income”).  “Household Income” is defined in Section 1403 as “[t]he combined gross income of all adults in a residential household who benefit from the public utility service.” 66 </w:t>
      </w:r>
      <w:smartTag w:uri="urn:schemas-microsoft-com:office:smarttags" w:element="place">
        <w:smartTag w:uri="urn:schemas-microsoft-com:office:smarttags" w:element="State">
          <w:r>
            <w:t>Pa.</w:t>
          </w:r>
        </w:smartTag>
      </w:smartTag>
      <w:r>
        <w:t xml:space="preserve"> C.S. § 1403 (Definition of “Household Income”). </w:t>
      </w:r>
    </w:p>
    <w:p w:rsidR="006072B0" w:rsidRDefault="006072B0" w:rsidP="006072B0">
      <w:pPr>
        <w:spacing w:line="360" w:lineRule="auto"/>
      </w:pPr>
    </w:p>
    <w:p w:rsidR="00544014" w:rsidRDefault="00544014" w:rsidP="00C25800">
      <w:pPr>
        <w:spacing w:line="360" w:lineRule="auto"/>
        <w:ind w:left="720" w:firstLine="720"/>
      </w:pPr>
      <w:r>
        <w:t>A significant change in circumstance is defined in Section 1403 as follows:</w:t>
      </w:r>
    </w:p>
    <w:p w:rsidR="00544014" w:rsidRDefault="00544014" w:rsidP="00544014">
      <w:pPr>
        <w:spacing w:line="360" w:lineRule="auto"/>
      </w:pPr>
    </w:p>
    <w:p w:rsidR="00544014" w:rsidRPr="00C96AA7" w:rsidRDefault="00544014" w:rsidP="00C25800">
      <w:pPr>
        <w:spacing w:after="240"/>
        <w:ind w:left="2160" w:right="720"/>
        <w:rPr>
          <w:color w:val="000000"/>
        </w:rPr>
      </w:pPr>
      <w:r w:rsidRPr="00C96AA7">
        <w:rPr>
          <w:color w:val="000000"/>
        </w:rPr>
        <w:t>“Significant change in circumstance.” Any of the following criteria when verified by the public utility and experienced by customers with household income less than 300% of the Federal poverty level:</w:t>
      </w:r>
      <w:bookmarkStart w:id="0" w:name="I6D7CC560B14B11DD9136C23DCD5ABEA3"/>
      <w:bookmarkStart w:id="1" w:name="I6D75C082B14B11DD9136C23DCD5ABEA3"/>
      <w:bookmarkEnd w:id="0"/>
      <w:bookmarkEnd w:id="1"/>
    </w:p>
    <w:p w:rsidR="00544014" w:rsidRPr="00C96AA7" w:rsidRDefault="00544014" w:rsidP="00C25800">
      <w:pPr>
        <w:ind w:left="2160" w:right="720"/>
      </w:pPr>
      <w:bookmarkStart w:id="2" w:name="SP;f1c50000821b0"/>
      <w:bookmarkEnd w:id="2"/>
      <w:r w:rsidRPr="00C96AA7">
        <w:rPr>
          <w:color w:val="000000"/>
        </w:rPr>
        <w:t xml:space="preserve">(1) The onset of a chronic or acute illness resulting in a significant loss in the customer's household income. </w:t>
      </w:r>
    </w:p>
    <w:p w:rsidR="00544014" w:rsidRPr="00C96AA7" w:rsidRDefault="00544014" w:rsidP="00544014">
      <w:pPr>
        <w:spacing w:after="240"/>
        <w:ind w:left="1440" w:right="720"/>
      </w:pPr>
      <w:bookmarkStart w:id="3" w:name="I6D7D3A90B14B11DD9136C23DCD5ABEA3"/>
      <w:bookmarkStart w:id="4" w:name="I6D75C083B14B11DD9136C23DCD5ABEA3"/>
      <w:bookmarkEnd w:id="3"/>
      <w:bookmarkEnd w:id="4"/>
    </w:p>
    <w:p w:rsidR="00544014" w:rsidRPr="00C96AA7" w:rsidRDefault="00544014" w:rsidP="00C25800">
      <w:pPr>
        <w:ind w:left="2160" w:right="720"/>
      </w:pPr>
      <w:bookmarkStart w:id="5" w:name="SP;58730000872b1"/>
      <w:bookmarkEnd w:id="5"/>
      <w:r w:rsidRPr="00C96AA7">
        <w:rPr>
          <w:color w:val="000000"/>
        </w:rPr>
        <w:t xml:space="preserve">(2) Catastrophic damage to the customer's residence resulting in a significant net cost to the customer's household. </w:t>
      </w:r>
    </w:p>
    <w:p w:rsidR="00544014" w:rsidRPr="00C96AA7" w:rsidRDefault="00544014" w:rsidP="00544014">
      <w:pPr>
        <w:spacing w:after="240"/>
        <w:ind w:left="1440" w:right="720"/>
      </w:pPr>
      <w:bookmarkStart w:id="6" w:name="I6D7DAFC0B14B11DD9136C23DCD5ABEA3"/>
      <w:bookmarkStart w:id="7" w:name="I6D75C084B14B11DD9136C23DCD5ABEA3"/>
      <w:bookmarkEnd w:id="6"/>
      <w:bookmarkEnd w:id="7"/>
    </w:p>
    <w:p w:rsidR="00544014" w:rsidRPr="00C96AA7" w:rsidRDefault="00544014" w:rsidP="00C25800">
      <w:pPr>
        <w:ind w:left="2160" w:right="720"/>
      </w:pPr>
      <w:bookmarkStart w:id="8" w:name="SP;d08f0000f5f67"/>
      <w:bookmarkEnd w:id="8"/>
      <w:r w:rsidRPr="00C96AA7">
        <w:rPr>
          <w:color w:val="000000"/>
        </w:rPr>
        <w:t xml:space="preserve">(3) Loss of the customer's residence. </w:t>
      </w:r>
    </w:p>
    <w:p w:rsidR="00544014" w:rsidRPr="00C96AA7" w:rsidRDefault="00544014" w:rsidP="00544014">
      <w:pPr>
        <w:spacing w:after="240"/>
        <w:ind w:left="1440" w:right="720"/>
      </w:pPr>
      <w:bookmarkStart w:id="9" w:name="I6D7E24F0B14B11DD9136C23DCD5ABEA3"/>
      <w:bookmarkStart w:id="10" w:name="I6D75C085B14B11DD9136C23DCD5ABEA3"/>
      <w:bookmarkEnd w:id="9"/>
      <w:bookmarkEnd w:id="10"/>
    </w:p>
    <w:p w:rsidR="00544014" w:rsidRPr="00C96AA7" w:rsidRDefault="00544014" w:rsidP="00C25800">
      <w:pPr>
        <w:ind w:left="2160" w:right="720"/>
      </w:pPr>
      <w:bookmarkStart w:id="11" w:name="SP;0bd500007a412"/>
      <w:bookmarkEnd w:id="11"/>
      <w:r w:rsidRPr="00C96AA7">
        <w:rPr>
          <w:color w:val="000000"/>
        </w:rPr>
        <w:t xml:space="preserve">(4) Increase in the customer's number of dependents in the household. </w:t>
      </w:r>
    </w:p>
    <w:p w:rsidR="00544014" w:rsidRDefault="00544014" w:rsidP="00544014">
      <w:pPr>
        <w:spacing w:line="360" w:lineRule="auto"/>
        <w:ind w:firstLine="1440"/>
        <w:rPr>
          <w:color w:val="000000"/>
        </w:rPr>
      </w:pPr>
      <w:r w:rsidRPr="00C96AA7">
        <w:rPr>
          <w:color w:val="000000"/>
        </w:rPr>
        <w:br/>
      </w:r>
      <w:r>
        <w:rPr>
          <w:color w:val="000000"/>
        </w:rPr>
        <w:t xml:space="preserve">66 </w:t>
      </w:r>
      <w:smartTag w:uri="urn:schemas-microsoft-com:office:smarttags" w:element="place">
        <w:smartTag w:uri="urn:schemas-microsoft-com:office:smarttags" w:element="State">
          <w:r>
            <w:rPr>
              <w:color w:val="000000"/>
            </w:rPr>
            <w:t>Pa.</w:t>
          </w:r>
        </w:smartTag>
      </w:smartTag>
      <w:r>
        <w:rPr>
          <w:color w:val="000000"/>
        </w:rPr>
        <w:t xml:space="preserve"> C.S. § 1403.</w:t>
      </w:r>
    </w:p>
    <w:p w:rsidR="00544014" w:rsidRDefault="00544014" w:rsidP="00544014">
      <w:pPr>
        <w:spacing w:line="360" w:lineRule="auto"/>
        <w:ind w:firstLine="1440"/>
        <w:rPr>
          <w:color w:val="000000"/>
        </w:rPr>
      </w:pPr>
    </w:p>
    <w:p w:rsidR="00A21175" w:rsidRDefault="00A21175" w:rsidP="00544014">
      <w:pPr>
        <w:spacing w:line="360" w:lineRule="auto"/>
        <w:ind w:firstLine="1440"/>
      </w:pPr>
      <w:r>
        <w:t>Section 1405 of the Public Utility Code regarding payment arrangement reads in pertinent part:</w:t>
      </w:r>
    </w:p>
    <w:p w:rsidR="00A21175" w:rsidRDefault="00A21175" w:rsidP="006072B0">
      <w:pPr>
        <w:spacing w:line="360" w:lineRule="auto"/>
        <w:ind w:firstLine="1440"/>
      </w:pPr>
    </w:p>
    <w:p w:rsidR="000D012A" w:rsidRDefault="00A21175" w:rsidP="000D012A">
      <w:pPr>
        <w:ind w:left="2160"/>
      </w:pPr>
      <w:r>
        <w:rPr>
          <w:rStyle w:val="Strong"/>
        </w:rPr>
        <w:t>(b) Length of payment agreements.--</w:t>
      </w:r>
      <w:r>
        <w:t xml:space="preserve">The length of time for a </w:t>
      </w:r>
    </w:p>
    <w:p w:rsidR="000D012A" w:rsidRDefault="00A21175" w:rsidP="000D012A">
      <w:pPr>
        <w:ind w:left="2160"/>
      </w:pPr>
      <w:r>
        <w:t xml:space="preserve">customer to resolve an unpaid balance on an account that is subject </w:t>
      </w:r>
    </w:p>
    <w:p w:rsidR="000D012A" w:rsidRDefault="00A21175" w:rsidP="000D012A">
      <w:pPr>
        <w:ind w:left="2160"/>
      </w:pPr>
      <w:r>
        <w:t xml:space="preserve">to a payment agreement that is investigated by the commission and </w:t>
      </w:r>
    </w:p>
    <w:p w:rsidR="00A21175" w:rsidRDefault="00A21175" w:rsidP="000D012A">
      <w:pPr>
        <w:ind w:left="2160"/>
      </w:pPr>
      <w:r>
        <w:lastRenderedPageBreak/>
        <w:t>is entered into by a public utility and a customer shall not extend beyond:</w:t>
      </w:r>
      <w:r>
        <w:br/>
      </w:r>
      <w:r>
        <w:br/>
      </w:r>
      <w:bookmarkStart w:id="12" w:name="I6D4B2E10B14B11DDA4CCC9E3BD839BF9"/>
      <w:bookmarkStart w:id="13" w:name="I6D47F9C2B14B11DDA4CCC9E3BD839BF9"/>
      <w:bookmarkEnd w:id="12"/>
      <w:bookmarkEnd w:id="13"/>
    </w:p>
    <w:p w:rsidR="000D012A" w:rsidRDefault="00A21175" w:rsidP="000D012A">
      <w:pPr>
        <w:ind w:left="2160"/>
      </w:pPr>
      <w:bookmarkStart w:id="14" w:name="SP;3fed000053a85"/>
      <w:bookmarkEnd w:id="14"/>
      <w:r>
        <w:t>(1) Five years for customers with a gross monthly household income</w:t>
      </w:r>
    </w:p>
    <w:p w:rsidR="00A21175" w:rsidRDefault="00A21175" w:rsidP="000D012A">
      <w:pPr>
        <w:ind w:left="2160"/>
      </w:pPr>
      <w:r>
        <w:t xml:space="preserve"> level not exceeding 150% of the Federal poverty level.</w:t>
      </w:r>
      <w:r>
        <w:br/>
      </w:r>
      <w:r>
        <w:br/>
      </w:r>
      <w:bookmarkStart w:id="15" w:name="I6D4BCA50B14B11DDA4CCC9E3BD839BF9"/>
      <w:bookmarkStart w:id="16" w:name="I6D47F9C3B14B11DDA4CCC9E3BD839BF9"/>
      <w:bookmarkEnd w:id="15"/>
      <w:bookmarkEnd w:id="16"/>
    </w:p>
    <w:p w:rsidR="000D012A" w:rsidRDefault="00A21175" w:rsidP="000D012A">
      <w:pPr>
        <w:ind w:left="2160"/>
      </w:pPr>
      <w:bookmarkStart w:id="17" w:name="SP;c0ae00006c482"/>
      <w:bookmarkEnd w:id="17"/>
      <w:r>
        <w:t>(2) Two years for customers with a gross monthly household income</w:t>
      </w:r>
    </w:p>
    <w:p w:rsidR="00A21175" w:rsidRDefault="00A21175" w:rsidP="000D012A">
      <w:pPr>
        <w:ind w:left="2160"/>
      </w:pPr>
      <w:r>
        <w:t xml:space="preserve"> level exceeding 150% and not more than 250% of the Federal poverty level.</w:t>
      </w:r>
      <w:r>
        <w:br/>
      </w:r>
      <w:r>
        <w:br/>
      </w:r>
      <w:bookmarkStart w:id="18" w:name="I6D4C8DA0B14B11DDA4CCC9E3BD839BF9"/>
      <w:bookmarkStart w:id="19" w:name="I6D47F9C4B14B11DDA4CCC9E3BD839BF9"/>
      <w:bookmarkEnd w:id="18"/>
      <w:bookmarkEnd w:id="19"/>
    </w:p>
    <w:p w:rsidR="000D012A" w:rsidRDefault="00A21175" w:rsidP="000D012A">
      <w:pPr>
        <w:ind w:left="2160"/>
      </w:pPr>
      <w:bookmarkStart w:id="20" w:name="SP;d801000002763"/>
      <w:bookmarkEnd w:id="20"/>
      <w:r>
        <w:t xml:space="preserve">(3) One year for customers with a gross monthly household income </w:t>
      </w:r>
    </w:p>
    <w:p w:rsidR="00A21175" w:rsidRDefault="00A21175" w:rsidP="000D012A">
      <w:pPr>
        <w:ind w:left="2160"/>
      </w:pPr>
      <w:r>
        <w:t>level exceeding 250% of the Federal poverty level and not more than 300% of the Federal poverty level.</w:t>
      </w:r>
      <w:r>
        <w:br/>
      </w:r>
      <w:r>
        <w:br/>
      </w:r>
      <w:bookmarkStart w:id="21" w:name="I6D4D29E0B14B11DDA4CCC9E3BD839BF9"/>
      <w:bookmarkStart w:id="22" w:name="I6D4820D0B14B11DDA4CCC9E3BD839BF9"/>
      <w:bookmarkStart w:id="23" w:name="SP;6ad60000aeea7"/>
      <w:bookmarkEnd w:id="21"/>
      <w:bookmarkEnd w:id="22"/>
      <w:bookmarkEnd w:id="23"/>
      <w:r>
        <w:t>(4) Six months for customers with a gross monthly household income level exceeding 300% of the Federal poverty level.</w:t>
      </w:r>
    </w:p>
    <w:p w:rsidR="00A21175" w:rsidRDefault="00A21175" w:rsidP="00A21175"/>
    <w:p w:rsidR="00A21175" w:rsidRDefault="00A21175" w:rsidP="000A2C1D">
      <w:pPr>
        <w:spacing w:line="360" w:lineRule="auto"/>
      </w:pPr>
      <w:r>
        <w:t xml:space="preserve">66 </w:t>
      </w:r>
      <w:smartTag w:uri="urn:schemas-microsoft-com:office:smarttags" w:element="place">
        <w:smartTag w:uri="urn:schemas-microsoft-com:office:smarttags" w:element="State">
          <w:r>
            <w:t>Pa.</w:t>
          </w:r>
        </w:smartTag>
      </w:smartTag>
      <w:r>
        <w:t xml:space="preserve"> C.S. § 1405(b).</w:t>
      </w:r>
      <w:r>
        <w:br/>
      </w:r>
    </w:p>
    <w:p w:rsidR="006072B0" w:rsidRDefault="006072B0" w:rsidP="00A21175">
      <w:pPr>
        <w:spacing w:line="360" w:lineRule="auto"/>
        <w:ind w:firstLine="1440"/>
      </w:pPr>
      <w:r>
        <w:t xml:space="preserve">The Commission has the authority to review a payment arrangement to ensure compliance with Chapter 14 of the Public Utility Code but lacks the authority to establish a second or subsequent payment arrangement, absent a change in a customer’s household income, if a customer has defaulted on a previous payment arrangement.  </w:t>
      </w:r>
      <w:r w:rsidR="00F72B9F">
        <w:t xml:space="preserve">66 </w:t>
      </w:r>
      <w:smartTag w:uri="urn:schemas-microsoft-com:office:smarttags" w:element="place">
        <w:smartTag w:uri="urn:schemas-microsoft-com:office:smarttags" w:element="State">
          <w:r w:rsidR="00F72B9F">
            <w:t>Pa.</w:t>
          </w:r>
        </w:smartTag>
      </w:smartTag>
      <w:r w:rsidR="00F72B9F">
        <w:t xml:space="preserve"> C.S. § 1405(d).</w:t>
      </w:r>
    </w:p>
    <w:p w:rsidR="006072B0" w:rsidRDefault="006072B0" w:rsidP="006072B0">
      <w:pPr>
        <w:spacing w:line="360" w:lineRule="auto"/>
        <w:ind w:firstLine="1440"/>
      </w:pPr>
    </w:p>
    <w:p w:rsidR="0024656E" w:rsidRDefault="000D012A" w:rsidP="006072B0">
      <w:pPr>
        <w:spacing w:line="360" w:lineRule="auto"/>
        <w:ind w:firstLine="1440"/>
      </w:pPr>
      <w:r>
        <w:t xml:space="preserve">Mr. Overton has already received one Commission issued payment arrangement. According to Commission records </w:t>
      </w:r>
      <w:r w:rsidR="0060484B">
        <w:t>on May 8, 2007</w:t>
      </w:r>
      <w:r w:rsidR="00EE3A0F">
        <w:t>,</w:t>
      </w:r>
      <w:r w:rsidR="0060484B">
        <w:t xml:space="preserve"> at </w:t>
      </w:r>
      <w:r>
        <w:t>BCS Case No. 222</w:t>
      </w:r>
      <w:r w:rsidR="0024656E">
        <w:t>5970, BCS established a payment arrangement for Complainant requiring him to pay a regular budget amount of $234.00 per month plus $111.00 to pay to his arrearage for a total payment of $345.00 per month.</w:t>
      </w:r>
      <w:r w:rsidR="009D4BA8">
        <w:t xml:space="preserve"> </w:t>
      </w:r>
      <w:r w:rsidR="00A003BF">
        <w:t xml:space="preserve"> </w:t>
      </w:r>
      <w:r w:rsidR="009D4BA8">
        <w:t xml:space="preserve">Complainant did not honor that payment arrangement and failed to make the subsequent payments. </w:t>
      </w:r>
    </w:p>
    <w:p w:rsidR="0024656E" w:rsidRDefault="0024656E" w:rsidP="006072B0">
      <w:pPr>
        <w:spacing w:line="360" w:lineRule="auto"/>
        <w:ind w:firstLine="1440"/>
      </w:pPr>
    </w:p>
    <w:p w:rsidR="006259FF" w:rsidRDefault="0024656E" w:rsidP="006072B0">
      <w:pPr>
        <w:spacing w:line="360" w:lineRule="auto"/>
        <w:ind w:firstLine="1440"/>
      </w:pPr>
      <w:r>
        <w:t>In addition, it should be noted that f</w:t>
      </w:r>
      <w:r w:rsidR="00C369EE">
        <w:t xml:space="preserve">rom the time </w:t>
      </w:r>
      <w:r w:rsidR="006072B0">
        <w:t xml:space="preserve">Complainant </w:t>
      </w:r>
      <w:r w:rsidR="00C369EE">
        <w:t xml:space="preserve">filed the formal Complaint </w:t>
      </w:r>
      <w:r>
        <w:t xml:space="preserve">to the hearing date, </w:t>
      </w:r>
      <w:r w:rsidR="00C369EE">
        <w:t xml:space="preserve">his household income has </w:t>
      </w:r>
      <w:r w:rsidR="00416234">
        <w:t xml:space="preserve">both </w:t>
      </w:r>
      <w:r w:rsidR="00C369EE">
        <w:t>decrease</w:t>
      </w:r>
      <w:r w:rsidR="00416234">
        <w:t>d</w:t>
      </w:r>
      <w:r w:rsidR="00C369EE">
        <w:t xml:space="preserve"> and increase</w:t>
      </w:r>
      <w:r w:rsidR="00416234">
        <w:t xml:space="preserve">d and the number of dependents living at the service address has increased. </w:t>
      </w:r>
      <w:r w:rsidR="006259FF">
        <w:t>Complain</w:t>
      </w:r>
      <w:r w:rsidR="00166028">
        <w:t>an</w:t>
      </w:r>
      <w:r w:rsidR="006259FF">
        <w:t xml:space="preserve">t averred that when the Complaint was filed he was working approximately 40 </w:t>
      </w:r>
      <w:r w:rsidR="00A003BF">
        <w:t xml:space="preserve">hours </w:t>
      </w:r>
      <w:r w:rsidR="006259FF">
        <w:t xml:space="preserve">per week </w:t>
      </w:r>
      <w:r w:rsidR="00DA44F4">
        <w:t xml:space="preserve">(8 hours a day, 5 days </w:t>
      </w:r>
      <w:r w:rsidR="00DA44F4">
        <w:lastRenderedPageBreak/>
        <w:t xml:space="preserve">a week) </w:t>
      </w:r>
      <w:r w:rsidR="006259FF">
        <w:t>and received an hourly wage of $12.12 per hour</w:t>
      </w:r>
      <w:r w:rsidR="00D22496">
        <w:t xml:space="preserve">, 40 x $12.12 = 484.80 per week x 52 weeks a year </w:t>
      </w:r>
      <w:r w:rsidR="002602A0">
        <w:t xml:space="preserve">equates to a </w:t>
      </w:r>
      <w:r w:rsidR="00D22496">
        <w:t>$25,209.60 yearly gross household income</w:t>
      </w:r>
      <w:r w:rsidR="006259FF">
        <w:t>.  However, since that time</w:t>
      </w:r>
      <w:r w:rsidR="00A32B4F">
        <w:t>,</w:t>
      </w:r>
      <w:r w:rsidR="006259FF">
        <w:t xml:space="preserve"> his hours at his place of employment have decreased from 40 hours per week to 24 hours per week (8 hours a day 3 days a week)</w:t>
      </w:r>
      <w:r w:rsidR="00DA44F4">
        <w:t xml:space="preserve"> </w:t>
      </w:r>
      <w:r w:rsidR="007A36DE">
        <w:t>however</w:t>
      </w:r>
      <w:r w:rsidR="00DA44F4">
        <w:t xml:space="preserve"> his rate of pay has stayed the same, $12.12 per hour</w:t>
      </w:r>
      <w:r w:rsidR="00D22496">
        <w:t xml:space="preserve">; 24 x $12.12 = $290.88 </w:t>
      </w:r>
      <w:r w:rsidR="00F24F52">
        <w:t xml:space="preserve">per week </w:t>
      </w:r>
      <w:r w:rsidR="00D22496">
        <w:t xml:space="preserve">x 52 weeks a year </w:t>
      </w:r>
      <w:r w:rsidR="002602A0">
        <w:t xml:space="preserve">for a </w:t>
      </w:r>
      <w:r w:rsidR="00D22496">
        <w:t xml:space="preserve"> </w:t>
      </w:r>
      <w:r w:rsidR="00F24F52">
        <w:t>$15,125.76 yearly household income</w:t>
      </w:r>
      <w:r w:rsidR="006259FF">
        <w:t xml:space="preserve">. </w:t>
      </w:r>
      <w:r w:rsidR="00A003BF">
        <w:t xml:space="preserve"> </w:t>
      </w:r>
      <w:r w:rsidR="006A0E9F">
        <w:t xml:space="preserve">Complainant </w:t>
      </w:r>
      <w:r w:rsidR="00F24F52">
        <w:t xml:space="preserve">testified that he does not </w:t>
      </w:r>
      <w:r w:rsidR="006A0E9F">
        <w:t xml:space="preserve">receive </w:t>
      </w:r>
      <w:r w:rsidR="00F24F52">
        <w:t xml:space="preserve">any </w:t>
      </w:r>
      <w:r w:rsidR="006A0E9F">
        <w:t>addition</w:t>
      </w:r>
      <w:r w:rsidR="00A003BF">
        <w:t>al</w:t>
      </w:r>
      <w:r w:rsidR="006A0E9F">
        <w:t xml:space="preserve"> financial assistance, i.e, no food stamps, no </w:t>
      </w:r>
      <w:r w:rsidR="007F1ADF">
        <w:t>S</w:t>
      </w:r>
      <w:r w:rsidR="006A0E9F">
        <w:t xml:space="preserve">ocial Security benefits, </w:t>
      </w:r>
      <w:r w:rsidR="00835FBA">
        <w:t xml:space="preserve">and </w:t>
      </w:r>
      <w:r w:rsidR="006A0E9F">
        <w:t xml:space="preserve">no unemployment benefits.  </w:t>
      </w:r>
      <w:r w:rsidR="006259FF">
        <w:t xml:space="preserve">If the inquiry ended there, Mr. Overton would be eligible for a new payment arrangement, as described in </w:t>
      </w:r>
      <w:r w:rsidR="00835FBA">
        <w:t>S</w:t>
      </w:r>
      <w:r w:rsidR="006259FF">
        <w:t>ection 140</w:t>
      </w:r>
      <w:r w:rsidR="00B03D4A">
        <w:t>5(d)</w:t>
      </w:r>
      <w:r w:rsidR="006259FF">
        <w:t xml:space="preserve"> in the </w:t>
      </w:r>
      <w:r w:rsidR="00A003BF">
        <w:t>P</w:t>
      </w:r>
      <w:r w:rsidR="006259FF">
        <w:t xml:space="preserve">ublic Utility Code as his household income has </w:t>
      </w:r>
      <w:r w:rsidR="00F24F52">
        <w:t>decreased 59%</w:t>
      </w:r>
      <w:r w:rsidR="006259FF">
        <w:t>.</w:t>
      </w:r>
    </w:p>
    <w:p w:rsidR="006259FF" w:rsidRDefault="006259FF" w:rsidP="006072B0">
      <w:pPr>
        <w:spacing w:line="360" w:lineRule="auto"/>
        <w:ind w:firstLine="1440"/>
      </w:pPr>
    </w:p>
    <w:p w:rsidR="006072B0" w:rsidRDefault="006259FF" w:rsidP="006072B0">
      <w:pPr>
        <w:spacing w:line="360" w:lineRule="auto"/>
        <w:ind w:firstLine="1440"/>
      </w:pPr>
      <w:r>
        <w:t xml:space="preserve">However, in this instance, the inquiry does not end there. </w:t>
      </w:r>
      <w:r w:rsidR="008648DB">
        <w:t xml:space="preserve"> </w:t>
      </w:r>
      <w:r>
        <w:t xml:space="preserve">Mr. Overton testified that </w:t>
      </w:r>
      <w:r w:rsidR="00D11CFC">
        <w:t xml:space="preserve">since filing his Complaint, </w:t>
      </w:r>
      <w:r>
        <w:t xml:space="preserve">he has recently married and </w:t>
      </w:r>
      <w:r w:rsidR="002602A0">
        <w:t xml:space="preserve">as a result, </w:t>
      </w:r>
      <w:r w:rsidR="009707EB">
        <w:t>the</w:t>
      </w:r>
      <w:r>
        <w:t xml:space="preserve"> household income has increased</w:t>
      </w:r>
      <w:r w:rsidR="00ED589C">
        <w:t>,</w:t>
      </w:r>
      <w:r w:rsidR="009707EB">
        <w:t xml:space="preserve"> as well as the number individuals living at the service address</w:t>
      </w:r>
      <w:r>
        <w:t xml:space="preserve">.  </w:t>
      </w:r>
      <w:r w:rsidR="006A0E9F">
        <w:t xml:space="preserve">His wife </w:t>
      </w:r>
      <w:r w:rsidR="004315BC">
        <w:t xml:space="preserve">Pam </w:t>
      </w:r>
      <w:r w:rsidR="006A0E9F">
        <w:t>receives $326.00 per month in food stamps, her minor son receives</w:t>
      </w:r>
      <w:r w:rsidR="006072B0">
        <w:t xml:space="preserve"> </w:t>
      </w:r>
      <w:r w:rsidR="006A0E9F">
        <w:t>appro</w:t>
      </w:r>
      <w:r w:rsidR="00835FBA">
        <w:t>x</w:t>
      </w:r>
      <w:r w:rsidR="006A0E9F">
        <w:t xml:space="preserve">imately $606.00 per month in </w:t>
      </w:r>
      <w:r w:rsidR="00D63175">
        <w:t>S</w:t>
      </w:r>
      <w:r w:rsidR="006A0E9F">
        <w:t xml:space="preserve">ocial </w:t>
      </w:r>
      <w:r w:rsidR="00D63175">
        <w:t>S</w:t>
      </w:r>
      <w:r w:rsidR="006A0E9F">
        <w:t>ecurity benefits and she receives approximately $178.00 every two week</w:t>
      </w:r>
      <w:r w:rsidR="00D11CFC">
        <w:t>s</w:t>
      </w:r>
      <w:r w:rsidR="006A0E9F">
        <w:t xml:space="preserve"> in unemployment benefits</w:t>
      </w:r>
      <w:r w:rsidR="007A36DE">
        <w:t xml:space="preserve"> for a total </w:t>
      </w:r>
      <w:r w:rsidR="00DB6F6A">
        <w:t xml:space="preserve">monthly </w:t>
      </w:r>
      <w:r w:rsidR="007A36DE">
        <w:t>income of $1,288.00</w:t>
      </w:r>
      <w:r w:rsidR="006A0E9F">
        <w:t xml:space="preserve">.  </w:t>
      </w:r>
      <w:r w:rsidR="00D63175">
        <w:t xml:space="preserve">Given the </w:t>
      </w:r>
      <w:r w:rsidR="006072B0">
        <w:t xml:space="preserve">Complainant’s </w:t>
      </w:r>
      <w:r w:rsidR="0060484B">
        <w:t xml:space="preserve">gross </w:t>
      </w:r>
      <w:r w:rsidR="007A36DE">
        <w:t xml:space="preserve">monthly </w:t>
      </w:r>
      <w:r w:rsidR="006072B0">
        <w:t xml:space="preserve">income </w:t>
      </w:r>
      <w:r w:rsidR="007A36DE">
        <w:t xml:space="preserve">of </w:t>
      </w:r>
      <w:r w:rsidR="0060484B">
        <w:t xml:space="preserve">approximately </w:t>
      </w:r>
      <w:r w:rsidR="007A36DE">
        <w:t xml:space="preserve">$1,163.52 ($290.88 x 4 weeks) </w:t>
      </w:r>
      <w:r w:rsidR="00D63175">
        <w:t xml:space="preserve">and his wife’s income (including that of her son) </w:t>
      </w:r>
      <w:r w:rsidR="007A36DE">
        <w:t xml:space="preserve">of $1,288.00, </w:t>
      </w:r>
      <w:r w:rsidR="00D63175">
        <w:t xml:space="preserve">the Complainant’s household income </w:t>
      </w:r>
      <w:r w:rsidR="003F7D2A">
        <w:t xml:space="preserve">has </w:t>
      </w:r>
      <w:r w:rsidR="007F1ADF">
        <w:t xml:space="preserve">actually </w:t>
      </w:r>
      <w:r w:rsidR="003F7D2A">
        <w:t xml:space="preserve">increased from $1,288.00 per month to </w:t>
      </w:r>
      <w:r w:rsidR="00D63175">
        <w:t>approximately $2</w:t>
      </w:r>
      <w:r w:rsidR="00D11CFC">
        <w:t>,</w:t>
      </w:r>
      <w:r w:rsidR="00D63175">
        <w:t>451.52 per month</w:t>
      </w:r>
      <w:r w:rsidR="009707EB">
        <w:t xml:space="preserve">.  That </w:t>
      </w:r>
      <w:r w:rsidR="00D21014">
        <w:t xml:space="preserve">monthly </w:t>
      </w:r>
      <w:r w:rsidR="009707EB">
        <w:t xml:space="preserve">amount </w:t>
      </w:r>
      <w:r w:rsidR="00A32B4F">
        <w:t>is less than 1</w:t>
      </w:r>
      <w:r w:rsidR="006072B0">
        <w:t xml:space="preserve">00% of the </w:t>
      </w:r>
      <w:r w:rsidR="009707EB">
        <w:t>F</w:t>
      </w:r>
      <w:r w:rsidR="006072B0">
        <w:t xml:space="preserve">ederal </w:t>
      </w:r>
      <w:r w:rsidR="009707EB">
        <w:t>P</w:t>
      </w:r>
      <w:r w:rsidR="006072B0">
        <w:t xml:space="preserve">overty </w:t>
      </w:r>
      <w:r w:rsidR="009707EB">
        <w:t>L</w:t>
      </w:r>
      <w:r w:rsidR="006072B0">
        <w:t>evel</w:t>
      </w:r>
      <w:r w:rsidR="00DB6F6A">
        <w:t xml:space="preserve"> for a family of </w:t>
      </w:r>
      <w:r w:rsidR="008B64A8">
        <w:t>seven</w:t>
      </w:r>
      <w:r w:rsidR="0042342D">
        <w:t xml:space="preserve"> (7)</w:t>
      </w:r>
      <w:r w:rsidR="006072B0">
        <w:t xml:space="preserve">.  </w:t>
      </w:r>
    </w:p>
    <w:p w:rsidR="009707EB" w:rsidRDefault="009707EB" w:rsidP="003C5977">
      <w:pPr>
        <w:spacing w:line="360" w:lineRule="auto"/>
        <w:ind w:firstLine="1440"/>
      </w:pPr>
    </w:p>
    <w:p w:rsidR="00804539" w:rsidRDefault="003C5977" w:rsidP="003C5977">
      <w:pPr>
        <w:spacing w:line="360" w:lineRule="auto"/>
        <w:ind w:firstLine="1440"/>
      </w:pPr>
      <w:r>
        <w:t xml:space="preserve">While Complaint’s household income has increased since he filed his formal Complaint, he has also experienced a significant change in circumstances as defined in 66 </w:t>
      </w:r>
      <w:smartTag w:uri="urn:schemas-microsoft-com:office:smarttags" w:element="place">
        <w:smartTag w:uri="urn:schemas-microsoft-com:office:smarttags" w:element="State">
          <w:r>
            <w:t>Pa.</w:t>
          </w:r>
        </w:smartTag>
      </w:smartTag>
      <w:r>
        <w:t xml:space="preserve"> C.S. § 1403, and as a result he is entitled to a subsequent payment arrangement.  </w:t>
      </w:r>
    </w:p>
    <w:p w:rsidR="00804539" w:rsidRDefault="00804539" w:rsidP="003C5977">
      <w:pPr>
        <w:spacing w:line="360" w:lineRule="auto"/>
        <w:ind w:firstLine="1440"/>
      </w:pPr>
    </w:p>
    <w:p w:rsidR="003C5977" w:rsidRDefault="003C5977" w:rsidP="003C5977">
      <w:pPr>
        <w:spacing w:line="360" w:lineRule="auto"/>
        <w:ind w:firstLine="1440"/>
      </w:pPr>
      <w:r>
        <w:t>Mr. Overton’s household income is less than 300% of the Federal Poverty Level and there has been an increase in the number of dependents in Complainant’s household</w:t>
      </w:r>
      <w:r w:rsidR="00D21014">
        <w:t xml:space="preserve"> from </w:t>
      </w:r>
      <w:r w:rsidR="00804539">
        <w:t>three to six</w:t>
      </w:r>
      <w:r>
        <w:t xml:space="preserve">.  Under these circumstances, I find that the Commission has the authority, pursuant to 66 </w:t>
      </w:r>
      <w:smartTag w:uri="urn:schemas-microsoft-com:office:smarttags" w:element="place">
        <w:smartTag w:uri="urn:schemas-microsoft-com:office:smarttags" w:element="State">
          <w:r>
            <w:t>Pa.</w:t>
          </w:r>
        </w:smartTag>
      </w:smartTag>
      <w:r>
        <w:t xml:space="preserve"> C.S. §§ 1403 and 1405(d) to establish a second payment arrangement for this Complainant.</w:t>
      </w:r>
    </w:p>
    <w:p w:rsidR="003C5977" w:rsidRDefault="003C5977" w:rsidP="003C5977">
      <w:pPr>
        <w:spacing w:line="360" w:lineRule="auto"/>
        <w:ind w:firstLine="1440"/>
      </w:pPr>
    </w:p>
    <w:p w:rsidR="003C5977" w:rsidRDefault="003C5977" w:rsidP="003C5977">
      <w:pPr>
        <w:spacing w:line="360" w:lineRule="auto"/>
        <w:ind w:firstLine="1440"/>
      </w:pPr>
      <w:r>
        <w:lastRenderedPageBreak/>
        <w:t>With a monthly income of $2,451.52 for a seven</w:t>
      </w:r>
      <w:r w:rsidR="0042342D">
        <w:t>-</w:t>
      </w:r>
      <w:r w:rsidR="00790EF0">
        <w:t xml:space="preserve"> </w:t>
      </w:r>
      <w:r>
        <w:t>person household, Mr. Overton is a level 1 income customer. Beginning with the first bill following the Commission’s final order in this case, Mr. Overton is required to pay his monthly budget bill plus an amount equal to one sixtieth (1/60</w:t>
      </w:r>
      <w:r w:rsidRPr="00843129">
        <w:rPr>
          <w:vertAlign w:val="superscript"/>
        </w:rPr>
        <w:t>th</w:t>
      </w:r>
      <w:r>
        <w:t xml:space="preserve">) of the balance accrued on his account. See 66 </w:t>
      </w:r>
      <w:smartTag w:uri="urn:schemas-microsoft-com:office:smarttags" w:element="place">
        <w:smartTag w:uri="urn:schemas-microsoft-com:office:smarttags" w:element="State">
          <w:r>
            <w:t>Pa.</w:t>
          </w:r>
        </w:smartTag>
      </w:smartTag>
      <w:r>
        <w:t xml:space="preserve"> C.S. § 1403(b)(1).  </w:t>
      </w:r>
    </w:p>
    <w:p w:rsidR="003C5977" w:rsidRDefault="003C5977" w:rsidP="006072B0">
      <w:pPr>
        <w:spacing w:line="360" w:lineRule="auto"/>
        <w:ind w:firstLine="1440"/>
      </w:pPr>
    </w:p>
    <w:p w:rsidR="006072B0" w:rsidRDefault="006072B0" w:rsidP="006072B0">
      <w:pPr>
        <w:spacing w:line="360" w:lineRule="auto"/>
        <w:jc w:val="center"/>
        <w:rPr>
          <w:u w:val="single"/>
        </w:rPr>
      </w:pPr>
      <w:r>
        <w:rPr>
          <w:u w:val="single"/>
        </w:rPr>
        <w:t>CONCLUSIONS OF LAW</w:t>
      </w:r>
    </w:p>
    <w:p w:rsidR="006072B0" w:rsidRDefault="006072B0" w:rsidP="006072B0">
      <w:pPr>
        <w:spacing w:line="360" w:lineRule="auto"/>
        <w:ind w:firstLine="1440"/>
      </w:pPr>
    </w:p>
    <w:p w:rsidR="006072B0" w:rsidRDefault="006072B0" w:rsidP="006072B0">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rsidR="008648DB">
        <w:t xml:space="preserve"> </w:t>
      </w:r>
      <w:r w:rsidRPr="00006FBE">
        <w:t xml:space="preserve">66 </w:t>
      </w:r>
      <w:smartTag w:uri="urn:schemas-microsoft-com:office:smarttags" w:element="State">
        <w:smartTag w:uri="urn:schemas-microsoft-com:office:smarttags" w:element="place">
          <w:r w:rsidRPr="00006FBE">
            <w:t>Pa.</w:t>
          </w:r>
        </w:smartTag>
      </w:smartTag>
      <w:r w:rsidRPr="00006FBE">
        <w:t xml:space="preserve"> C.S. §</w:t>
      </w:r>
      <w:r>
        <w:t xml:space="preserve"> </w:t>
      </w:r>
      <w:r w:rsidRPr="00006FBE">
        <w:t>701.</w:t>
      </w:r>
    </w:p>
    <w:p w:rsidR="006072B0" w:rsidRPr="00006FBE" w:rsidRDefault="006072B0" w:rsidP="006072B0">
      <w:pPr>
        <w:tabs>
          <w:tab w:val="num" w:pos="2160"/>
        </w:tabs>
        <w:spacing w:line="360" w:lineRule="auto"/>
        <w:ind w:firstLine="1260"/>
      </w:pPr>
    </w:p>
    <w:p w:rsidR="006072B0" w:rsidRDefault="006072B0" w:rsidP="006072B0">
      <w:pPr>
        <w:numPr>
          <w:ilvl w:val="0"/>
          <w:numId w:val="1"/>
        </w:numPr>
        <w:tabs>
          <w:tab w:val="clear" w:pos="900"/>
          <w:tab w:val="num" w:pos="2160"/>
        </w:tabs>
        <w:spacing w:line="360" w:lineRule="auto"/>
        <w:ind w:left="0" w:firstLine="1440"/>
      </w:pPr>
      <w:r>
        <w:t>Complainant</w:t>
      </w:r>
      <w:r w:rsidRPr="00006FBE">
        <w:t xml:space="preserve"> had the burden of proof</w:t>
      </w:r>
      <w:r>
        <w:t>.</w:t>
      </w:r>
      <w:r w:rsidRPr="00006FBE">
        <w:t xml:space="preserve">  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332(a).</w:t>
      </w:r>
    </w:p>
    <w:p w:rsidR="006072B0" w:rsidRDefault="006072B0" w:rsidP="006072B0">
      <w:pPr>
        <w:spacing w:line="360" w:lineRule="auto"/>
      </w:pPr>
    </w:p>
    <w:p w:rsidR="006072B0" w:rsidRDefault="006072B0" w:rsidP="006072B0">
      <w:pPr>
        <w:spacing w:line="360" w:lineRule="auto"/>
        <w:ind w:firstLine="1440"/>
      </w:pPr>
      <w:r>
        <w:t>3.</w:t>
      </w:r>
      <w:r>
        <w:tab/>
        <w:t xml:space="preserve">The Responsible Utility Customer Protection Act, 66 </w:t>
      </w:r>
      <w:smartTag w:uri="urn:schemas-microsoft-com:office:smarttags" w:element="place">
        <w:smartTag w:uri="urn:schemas-microsoft-com:office:smarttags" w:element="State">
          <w:r>
            <w:t>Pa.</w:t>
          </w:r>
        </w:smartTag>
      </w:smartTag>
      <w:r>
        <w:t xml:space="preserve"> C.S. § 1401, </w:t>
      </w:r>
      <w:r w:rsidRPr="00786F23">
        <w:rPr>
          <w:i/>
        </w:rPr>
        <w:t>et seq.</w:t>
      </w:r>
      <w:r>
        <w:t>, applies to this proceeding.</w:t>
      </w:r>
    </w:p>
    <w:p w:rsidR="006072B0" w:rsidRDefault="006072B0" w:rsidP="006072B0">
      <w:pPr>
        <w:spacing w:line="360" w:lineRule="auto"/>
        <w:ind w:firstLine="1440"/>
      </w:pPr>
    </w:p>
    <w:p w:rsidR="006072B0" w:rsidRDefault="006072B0" w:rsidP="00790EF0">
      <w:pPr>
        <w:numPr>
          <w:ilvl w:val="0"/>
          <w:numId w:val="2"/>
        </w:numPr>
        <w:tabs>
          <w:tab w:val="clear" w:pos="2520"/>
          <w:tab w:val="num" w:pos="0"/>
        </w:tabs>
        <w:spacing w:line="360" w:lineRule="auto"/>
        <w:ind w:left="0" w:firstLine="1440"/>
      </w:pPr>
      <w:r>
        <w:t xml:space="preserve">The Commission has the authority to establish one payment arrangement for a customer even if that customer has defaulted on a payment arrangement negotiated with the utility.  </w:t>
      </w:r>
      <w:r w:rsidRPr="00EE574A">
        <w:rPr>
          <w:u w:val="single"/>
        </w:rPr>
        <w:t>Reconsideration of Implementation Order</w:t>
      </w:r>
      <w:r>
        <w:t xml:space="preserve">, Order entered October 31, 2005 at Docket No. M-00041802F0002.  </w:t>
      </w:r>
    </w:p>
    <w:p w:rsidR="003C5977" w:rsidRDefault="003C5977" w:rsidP="003C5977">
      <w:pPr>
        <w:spacing w:line="360" w:lineRule="auto"/>
      </w:pPr>
    </w:p>
    <w:p w:rsidR="003C5977" w:rsidRDefault="003C5977" w:rsidP="003C5977">
      <w:pPr>
        <w:spacing w:line="360" w:lineRule="auto"/>
        <w:ind w:firstLine="1440"/>
      </w:pPr>
      <w:r>
        <w:t>5.</w:t>
      </w:r>
      <w:r>
        <w:tab/>
        <w:t xml:space="preserve">Absent a change in income, the Commission shall not establish or order a public utility to establish a second or subsequent payment agreement, if a customer has defaulted on a previous payment arrangement.  66 </w:t>
      </w:r>
      <w:smartTag w:uri="urn:schemas-microsoft-com:office:smarttags" w:element="place">
        <w:smartTag w:uri="urn:schemas-microsoft-com:office:smarttags" w:element="State">
          <w:r>
            <w:t>Pa.</w:t>
          </w:r>
        </w:smartTag>
      </w:smartTag>
      <w:r>
        <w:t xml:space="preserve"> C.S. § 1405(d).</w:t>
      </w:r>
    </w:p>
    <w:p w:rsidR="003C5977" w:rsidRDefault="003C5977" w:rsidP="003C5977">
      <w:pPr>
        <w:spacing w:line="360" w:lineRule="auto"/>
        <w:ind w:firstLine="1440"/>
      </w:pPr>
    </w:p>
    <w:p w:rsidR="003C5977" w:rsidRDefault="003C5977" w:rsidP="003C5977">
      <w:pPr>
        <w:spacing w:line="360" w:lineRule="auto"/>
        <w:ind w:firstLine="1440"/>
      </w:pPr>
      <w:r>
        <w:t>6.</w:t>
      </w:r>
      <w:r>
        <w:tab/>
        <w:t xml:space="preserve">Complainant experienced a significant change in circumstances as defined in Section 1403 of the Public Utility Code and as a result, the Commission has the authority to establish a subsequent payment arrangement. 66 </w:t>
      </w:r>
      <w:smartTag w:uri="urn:schemas-microsoft-com:office:smarttags" w:element="place">
        <w:smartTag w:uri="urn:schemas-microsoft-com:office:smarttags" w:element="State">
          <w:r>
            <w:t>Pa.</w:t>
          </w:r>
        </w:smartTag>
      </w:smartTag>
      <w:r>
        <w:t xml:space="preserve"> C.S. § 1403.</w:t>
      </w:r>
    </w:p>
    <w:p w:rsidR="006072B0" w:rsidRDefault="006072B0" w:rsidP="006072B0">
      <w:pPr>
        <w:spacing w:line="360" w:lineRule="auto"/>
        <w:ind w:firstLine="1440"/>
      </w:pPr>
      <w:r>
        <w:t xml:space="preserve"> </w:t>
      </w:r>
    </w:p>
    <w:p w:rsidR="006072B0" w:rsidRDefault="00FE33B7" w:rsidP="006072B0">
      <w:pPr>
        <w:tabs>
          <w:tab w:val="num" w:pos="2160"/>
        </w:tabs>
        <w:spacing w:line="360" w:lineRule="auto"/>
        <w:jc w:val="center"/>
        <w:rPr>
          <w:u w:val="single"/>
        </w:rPr>
      </w:pPr>
      <w:r>
        <w:rPr>
          <w:u w:val="single"/>
        </w:rPr>
        <w:br w:type="page"/>
      </w:r>
      <w:r w:rsidR="006072B0">
        <w:rPr>
          <w:u w:val="single"/>
        </w:rPr>
        <w:lastRenderedPageBreak/>
        <w:t>ORDER</w:t>
      </w:r>
    </w:p>
    <w:p w:rsidR="006072B0" w:rsidRDefault="006072B0" w:rsidP="006072B0">
      <w:pPr>
        <w:tabs>
          <w:tab w:val="num" w:pos="2160"/>
        </w:tabs>
        <w:spacing w:line="360" w:lineRule="auto"/>
        <w:jc w:val="center"/>
        <w:rPr>
          <w:u w:val="single"/>
        </w:rPr>
      </w:pPr>
    </w:p>
    <w:p w:rsidR="006072B0" w:rsidRDefault="006072B0" w:rsidP="006072B0">
      <w:pPr>
        <w:tabs>
          <w:tab w:val="num" w:pos="2160"/>
        </w:tabs>
        <w:spacing w:line="360" w:lineRule="auto"/>
        <w:jc w:val="center"/>
        <w:rPr>
          <w:u w:val="single"/>
        </w:rPr>
      </w:pPr>
    </w:p>
    <w:p w:rsidR="006072B0" w:rsidRPr="00493E49" w:rsidRDefault="006072B0" w:rsidP="006072B0">
      <w:pPr>
        <w:tabs>
          <w:tab w:val="num" w:pos="2160"/>
        </w:tabs>
        <w:spacing w:line="360" w:lineRule="auto"/>
        <w:ind w:firstLine="1440"/>
      </w:pPr>
      <w:r w:rsidRPr="00493E49">
        <w:t xml:space="preserve">THEREFORE, </w:t>
      </w:r>
    </w:p>
    <w:p w:rsidR="006072B0" w:rsidRPr="00493E49" w:rsidRDefault="006072B0" w:rsidP="006072B0">
      <w:pPr>
        <w:tabs>
          <w:tab w:val="num" w:pos="2160"/>
        </w:tabs>
        <w:spacing w:line="360" w:lineRule="auto"/>
      </w:pPr>
    </w:p>
    <w:p w:rsidR="006072B0" w:rsidRPr="00493E49" w:rsidRDefault="006072B0" w:rsidP="006072B0">
      <w:pPr>
        <w:tabs>
          <w:tab w:val="num" w:pos="2160"/>
        </w:tabs>
        <w:spacing w:line="360" w:lineRule="auto"/>
        <w:ind w:firstLine="1440"/>
      </w:pPr>
      <w:r w:rsidRPr="00493E49">
        <w:t>IT IS ORDERED:</w:t>
      </w:r>
    </w:p>
    <w:p w:rsidR="006072B0" w:rsidRDefault="006072B0" w:rsidP="006072B0">
      <w:pPr>
        <w:tabs>
          <w:tab w:val="num" w:pos="2160"/>
        </w:tabs>
        <w:spacing w:line="360" w:lineRule="auto"/>
        <w:rPr>
          <w:b/>
        </w:rPr>
      </w:pPr>
    </w:p>
    <w:p w:rsidR="006072B0" w:rsidRDefault="006072B0" w:rsidP="006072B0">
      <w:pPr>
        <w:tabs>
          <w:tab w:val="num" w:pos="2160"/>
        </w:tabs>
        <w:spacing w:line="360" w:lineRule="auto"/>
        <w:ind w:firstLine="1440"/>
      </w:pPr>
      <w:r>
        <w:t>1.</w:t>
      </w:r>
      <w:r>
        <w:tab/>
        <w:t xml:space="preserve">That the Formal Complaint filed by Andre P. Overton against National Fuel Gas Distribution Corporation at Docket No. C-2008-2060168 is </w:t>
      </w:r>
      <w:r w:rsidR="003C5977">
        <w:t>sustained</w:t>
      </w:r>
      <w:r>
        <w:t>.</w:t>
      </w:r>
    </w:p>
    <w:p w:rsidR="006072B0" w:rsidRDefault="006072B0" w:rsidP="006072B0">
      <w:pPr>
        <w:tabs>
          <w:tab w:val="num" w:pos="2160"/>
        </w:tabs>
        <w:spacing w:line="360" w:lineRule="auto"/>
        <w:ind w:firstLine="1440"/>
      </w:pPr>
    </w:p>
    <w:p w:rsidR="006072B0" w:rsidRDefault="006072B0" w:rsidP="006072B0">
      <w:pPr>
        <w:spacing w:line="360" w:lineRule="auto"/>
        <w:ind w:firstLine="1440"/>
      </w:pPr>
      <w:r>
        <w:t>2.</w:t>
      </w:r>
      <w:r>
        <w:tab/>
      </w:r>
      <w:r w:rsidR="003C5977">
        <w:t>That Andre P. Overton shall make monthly payments consisting of the monthly budget amount plus one-sixtieth (1/60</w:t>
      </w:r>
      <w:r w:rsidR="003C5977" w:rsidRPr="008C1DFC">
        <w:rPr>
          <w:vertAlign w:val="superscript"/>
        </w:rPr>
        <w:t>th</w:t>
      </w:r>
      <w:r w:rsidR="003C5977">
        <w:t>) of the balance accrued on his account beginning with the first billing due date following the entry of a final Commission Order in this case</w:t>
      </w:r>
      <w:r w:rsidR="00B17181">
        <w:t xml:space="preserve">. </w:t>
      </w:r>
      <w:r>
        <w:t xml:space="preserve">  </w:t>
      </w:r>
    </w:p>
    <w:p w:rsidR="006072B0" w:rsidRDefault="006072B0" w:rsidP="006072B0">
      <w:pPr>
        <w:spacing w:line="360" w:lineRule="auto"/>
        <w:ind w:firstLine="1440"/>
      </w:pPr>
    </w:p>
    <w:p w:rsidR="006072B0" w:rsidRDefault="006072B0" w:rsidP="006072B0">
      <w:pPr>
        <w:tabs>
          <w:tab w:val="num" w:pos="2160"/>
        </w:tabs>
        <w:spacing w:line="360" w:lineRule="auto"/>
        <w:ind w:firstLine="1440"/>
      </w:pPr>
      <w:r>
        <w:t>3.</w:t>
      </w:r>
      <w:r>
        <w:tab/>
      </w:r>
      <w:r w:rsidRPr="00006FBE">
        <w:t xml:space="preserve">That as long as </w:t>
      </w:r>
      <w:r>
        <w:t>Andre P. Overton makes the payments directed</w:t>
      </w:r>
      <w:r w:rsidRPr="00006FBE">
        <w:t xml:space="preserve"> in this order, </w:t>
      </w:r>
      <w:r>
        <w:t>National Fuel Gas Distribution Corporation shall not</w:t>
      </w:r>
      <w:r w:rsidRPr="00006FBE">
        <w:t xml:space="preserve"> suspend</w:t>
      </w:r>
      <w:r>
        <w:t xml:space="preserve"> </w:t>
      </w:r>
      <w:r w:rsidRPr="00006FBE">
        <w:t xml:space="preserve">or terminate </w:t>
      </w:r>
      <w:r>
        <w:t>his utility</w:t>
      </w:r>
      <w:r w:rsidRPr="00006FBE">
        <w:t xml:space="preserve"> service except for valid safety or emergency reasons.</w:t>
      </w:r>
    </w:p>
    <w:p w:rsidR="006072B0" w:rsidRDefault="006072B0" w:rsidP="006072B0">
      <w:pPr>
        <w:tabs>
          <w:tab w:val="num" w:pos="2160"/>
        </w:tabs>
        <w:spacing w:line="360" w:lineRule="auto"/>
        <w:ind w:firstLine="1440"/>
      </w:pPr>
    </w:p>
    <w:p w:rsidR="003C5977" w:rsidRDefault="003C5977" w:rsidP="006072B0">
      <w:pPr>
        <w:tabs>
          <w:tab w:val="num" w:pos="2160"/>
        </w:tabs>
        <w:spacing w:line="360" w:lineRule="auto"/>
        <w:ind w:firstLine="1440"/>
      </w:pPr>
    </w:p>
    <w:p w:rsidR="006072B0" w:rsidRDefault="006072B0" w:rsidP="006072B0">
      <w:r>
        <w:t>Dated:</w:t>
      </w:r>
      <w:r>
        <w:tab/>
      </w:r>
      <w:r w:rsidR="008B5A0E">
        <w:rPr>
          <w:u w:val="single"/>
        </w:rPr>
        <w:t>February 9, 2010</w:t>
      </w:r>
      <w:r>
        <w:tab/>
      </w:r>
      <w:r>
        <w:tab/>
      </w:r>
      <w:r>
        <w:tab/>
      </w:r>
      <w:r w:rsidR="00804539">
        <w:t xml:space="preserve">            </w:t>
      </w:r>
      <w:r>
        <w:t>_________________________</w:t>
      </w:r>
    </w:p>
    <w:p w:rsidR="006072B0" w:rsidRDefault="006072B0" w:rsidP="006072B0">
      <w:pPr>
        <w:tabs>
          <w:tab w:val="num" w:pos="2160"/>
        </w:tabs>
      </w:pPr>
      <w:r>
        <w:tab/>
      </w:r>
      <w:r>
        <w:tab/>
      </w:r>
      <w:r>
        <w:tab/>
      </w:r>
      <w:r>
        <w:tab/>
      </w:r>
      <w:r>
        <w:tab/>
        <w:t>David A. Alexander</w:t>
      </w:r>
    </w:p>
    <w:p w:rsidR="00BD6CAA" w:rsidRDefault="006072B0" w:rsidP="00B72061">
      <w:pPr>
        <w:tabs>
          <w:tab w:val="num" w:pos="2160"/>
        </w:tabs>
      </w:pPr>
      <w:r>
        <w:tab/>
      </w:r>
      <w:r>
        <w:tab/>
      </w:r>
      <w:r>
        <w:tab/>
      </w:r>
      <w:r>
        <w:tab/>
      </w:r>
      <w:r>
        <w:tab/>
        <w:t>Special Agent</w:t>
      </w:r>
    </w:p>
    <w:sectPr w:rsidR="00BD6CAA" w:rsidSect="008648DB">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D44" w:rsidRDefault="00310D44">
      <w:r>
        <w:separator/>
      </w:r>
    </w:p>
  </w:endnote>
  <w:endnote w:type="continuationSeparator" w:id="0">
    <w:p w:rsidR="00310D44" w:rsidRDefault="00310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46" w:rsidRDefault="00300846" w:rsidP="006D3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0846" w:rsidRDefault="00300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46" w:rsidRPr="008E6D27" w:rsidRDefault="00300846" w:rsidP="006D3F08">
    <w:pPr>
      <w:pStyle w:val="Footer"/>
      <w:framePr w:wrap="around" w:vAnchor="text" w:hAnchor="margin" w:xAlign="center" w:y="1"/>
      <w:rPr>
        <w:rStyle w:val="PageNumber"/>
        <w:sz w:val="20"/>
        <w:szCs w:val="20"/>
      </w:rPr>
    </w:pPr>
    <w:r w:rsidRPr="008E6D27">
      <w:rPr>
        <w:rStyle w:val="PageNumber"/>
        <w:sz w:val="20"/>
        <w:szCs w:val="20"/>
      </w:rPr>
      <w:fldChar w:fldCharType="begin"/>
    </w:r>
    <w:r w:rsidRPr="008E6D27">
      <w:rPr>
        <w:rStyle w:val="PageNumber"/>
        <w:sz w:val="20"/>
        <w:szCs w:val="20"/>
      </w:rPr>
      <w:instrText xml:space="preserve">PAGE  </w:instrText>
    </w:r>
    <w:r w:rsidRPr="008E6D27">
      <w:rPr>
        <w:rStyle w:val="PageNumber"/>
        <w:sz w:val="20"/>
        <w:szCs w:val="20"/>
      </w:rPr>
      <w:fldChar w:fldCharType="separate"/>
    </w:r>
    <w:r w:rsidR="008B5A0E">
      <w:rPr>
        <w:rStyle w:val="PageNumber"/>
        <w:noProof/>
        <w:sz w:val="20"/>
        <w:szCs w:val="20"/>
      </w:rPr>
      <w:t>10</w:t>
    </w:r>
    <w:r w:rsidRPr="008E6D27">
      <w:rPr>
        <w:rStyle w:val="PageNumber"/>
        <w:sz w:val="20"/>
        <w:szCs w:val="20"/>
      </w:rPr>
      <w:fldChar w:fldCharType="end"/>
    </w:r>
  </w:p>
  <w:p w:rsidR="00300846" w:rsidRDefault="00300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D44" w:rsidRDefault="00310D44">
      <w:r>
        <w:separator/>
      </w:r>
    </w:p>
  </w:footnote>
  <w:footnote w:type="continuationSeparator" w:id="0">
    <w:p w:rsidR="00310D44" w:rsidRDefault="00310D44">
      <w:r>
        <w:continuationSeparator/>
      </w:r>
    </w:p>
  </w:footnote>
  <w:footnote w:id="1">
    <w:p w:rsidR="00300846" w:rsidRDefault="00300846" w:rsidP="006072B0">
      <w:pPr>
        <w:pStyle w:val="FootnoteText"/>
      </w:pPr>
      <w:r>
        <w:rPr>
          <w:rStyle w:val="FootnoteReference"/>
        </w:rPr>
        <w:footnoteRef/>
      </w:r>
      <w:r>
        <w:t xml:space="preserve"> A tape recording of the hearing was made, no court reporter being present.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2107E7"/>
    <w:multiLevelType w:val="hybridMultilevel"/>
    <w:tmpl w:val="55609BDC"/>
    <w:lvl w:ilvl="0" w:tplc="D7ECF3BE">
      <w:start w:val="1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ED16CC7"/>
    <w:multiLevelType w:val="hybridMultilevel"/>
    <w:tmpl w:val="3CE8F274"/>
    <w:lvl w:ilvl="0" w:tplc="779E61FA">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36EB164B"/>
    <w:multiLevelType w:val="hybridMultilevel"/>
    <w:tmpl w:val="611AAB50"/>
    <w:lvl w:ilvl="0" w:tplc="0AD26A4A">
      <w:start w:val="1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4CD30C30"/>
    <w:multiLevelType w:val="hybridMultilevel"/>
    <w:tmpl w:val="9EEC3390"/>
    <w:lvl w:ilvl="0" w:tplc="5694DB42">
      <w:start w:val="1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CE731D5"/>
    <w:multiLevelType w:val="hybridMultilevel"/>
    <w:tmpl w:val="4D088F6C"/>
    <w:lvl w:ilvl="0" w:tplc="5694DB42">
      <w:start w:val="16"/>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6F124858"/>
    <w:multiLevelType w:val="hybridMultilevel"/>
    <w:tmpl w:val="1AEACE8C"/>
    <w:lvl w:ilvl="0" w:tplc="921CBC2A">
      <w:start w:val="1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6072B0"/>
    <w:rsid w:val="00006F3E"/>
    <w:rsid w:val="000118D6"/>
    <w:rsid w:val="00025274"/>
    <w:rsid w:val="00027C5D"/>
    <w:rsid w:val="00030CC7"/>
    <w:rsid w:val="000347E5"/>
    <w:rsid w:val="00034C21"/>
    <w:rsid w:val="00036DD4"/>
    <w:rsid w:val="000370A7"/>
    <w:rsid w:val="00041491"/>
    <w:rsid w:val="00042374"/>
    <w:rsid w:val="00042FCD"/>
    <w:rsid w:val="00042FE8"/>
    <w:rsid w:val="00052AED"/>
    <w:rsid w:val="0006134B"/>
    <w:rsid w:val="00067809"/>
    <w:rsid w:val="00071F9C"/>
    <w:rsid w:val="000A2C1D"/>
    <w:rsid w:val="000B41EB"/>
    <w:rsid w:val="000B53B2"/>
    <w:rsid w:val="000B5B35"/>
    <w:rsid w:val="000C0F84"/>
    <w:rsid w:val="000C61DD"/>
    <w:rsid w:val="000D012A"/>
    <w:rsid w:val="000D0343"/>
    <w:rsid w:val="000D6258"/>
    <w:rsid w:val="000E1EF3"/>
    <w:rsid w:val="000E2BEC"/>
    <w:rsid w:val="000F15A4"/>
    <w:rsid w:val="001341C0"/>
    <w:rsid w:val="001374E4"/>
    <w:rsid w:val="0014031F"/>
    <w:rsid w:val="00141C1D"/>
    <w:rsid w:val="00153550"/>
    <w:rsid w:val="0015596A"/>
    <w:rsid w:val="00166028"/>
    <w:rsid w:val="001675E4"/>
    <w:rsid w:val="00167734"/>
    <w:rsid w:val="00172746"/>
    <w:rsid w:val="00180D56"/>
    <w:rsid w:val="001842AF"/>
    <w:rsid w:val="00194095"/>
    <w:rsid w:val="001A0F1A"/>
    <w:rsid w:val="001A63DC"/>
    <w:rsid w:val="001A7579"/>
    <w:rsid w:val="001B0E4F"/>
    <w:rsid w:val="001B3E96"/>
    <w:rsid w:val="001C11FC"/>
    <w:rsid w:val="001D1023"/>
    <w:rsid w:val="001E0BD6"/>
    <w:rsid w:val="001E4376"/>
    <w:rsid w:val="001E4797"/>
    <w:rsid w:val="002004EA"/>
    <w:rsid w:val="00206BF8"/>
    <w:rsid w:val="0021391E"/>
    <w:rsid w:val="00215987"/>
    <w:rsid w:val="00215B25"/>
    <w:rsid w:val="00227F9C"/>
    <w:rsid w:val="002321D4"/>
    <w:rsid w:val="00237D06"/>
    <w:rsid w:val="0024656E"/>
    <w:rsid w:val="00254B05"/>
    <w:rsid w:val="002602A0"/>
    <w:rsid w:val="00262B38"/>
    <w:rsid w:val="00266CBC"/>
    <w:rsid w:val="002823FB"/>
    <w:rsid w:val="0028732E"/>
    <w:rsid w:val="002B213C"/>
    <w:rsid w:val="002B57FA"/>
    <w:rsid w:val="002B730B"/>
    <w:rsid w:val="002C152A"/>
    <w:rsid w:val="002D468C"/>
    <w:rsid w:val="002D52BA"/>
    <w:rsid w:val="002E1AF1"/>
    <w:rsid w:val="00300846"/>
    <w:rsid w:val="00303009"/>
    <w:rsid w:val="003047C6"/>
    <w:rsid w:val="003056DA"/>
    <w:rsid w:val="003058B5"/>
    <w:rsid w:val="00310D44"/>
    <w:rsid w:val="00321050"/>
    <w:rsid w:val="00321514"/>
    <w:rsid w:val="00322911"/>
    <w:rsid w:val="00327296"/>
    <w:rsid w:val="003329CA"/>
    <w:rsid w:val="00333EE5"/>
    <w:rsid w:val="00333F12"/>
    <w:rsid w:val="003377DD"/>
    <w:rsid w:val="003407D7"/>
    <w:rsid w:val="003450DD"/>
    <w:rsid w:val="00345C46"/>
    <w:rsid w:val="0034799A"/>
    <w:rsid w:val="00350D22"/>
    <w:rsid w:val="003541DA"/>
    <w:rsid w:val="00371EE8"/>
    <w:rsid w:val="00380804"/>
    <w:rsid w:val="00382FF9"/>
    <w:rsid w:val="003835D8"/>
    <w:rsid w:val="00386419"/>
    <w:rsid w:val="003913F1"/>
    <w:rsid w:val="00392659"/>
    <w:rsid w:val="00395CE6"/>
    <w:rsid w:val="003962FB"/>
    <w:rsid w:val="003A46EE"/>
    <w:rsid w:val="003B3798"/>
    <w:rsid w:val="003C25C2"/>
    <w:rsid w:val="003C577F"/>
    <w:rsid w:val="003C5977"/>
    <w:rsid w:val="003D09A8"/>
    <w:rsid w:val="003D32D6"/>
    <w:rsid w:val="003E1293"/>
    <w:rsid w:val="003F6616"/>
    <w:rsid w:val="003F6BFE"/>
    <w:rsid w:val="003F7A82"/>
    <w:rsid w:val="003F7D2A"/>
    <w:rsid w:val="00400548"/>
    <w:rsid w:val="0040288D"/>
    <w:rsid w:val="00403467"/>
    <w:rsid w:val="004039D4"/>
    <w:rsid w:val="0041065F"/>
    <w:rsid w:val="00416234"/>
    <w:rsid w:val="004177FE"/>
    <w:rsid w:val="0042342D"/>
    <w:rsid w:val="004254F9"/>
    <w:rsid w:val="004270F4"/>
    <w:rsid w:val="004315BC"/>
    <w:rsid w:val="004369C7"/>
    <w:rsid w:val="00442706"/>
    <w:rsid w:val="00443D82"/>
    <w:rsid w:val="004458AA"/>
    <w:rsid w:val="00452883"/>
    <w:rsid w:val="004549B7"/>
    <w:rsid w:val="004611CF"/>
    <w:rsid w:val="00462328"/>
    <w:rsid w:val="00464EE9"/>
    <w:rsid w:val="00466E1C"/>
    <w:rsid w:val="004868F9"/>
    <w:rsid w:val="004874D0"/>
    <w:rsid w:val="004938B3"/>
    <w:rsid w:val="00496CE5"/>
    <w:rsid w:val="004A0D5A"/>
    <w:rsid w:val="004B26FA"/>
    <w:rsid w:val="004C79A2"/>
    <w:rsid w:val="004C7F6B"/>
    <w:rsid w:val="004F623D"/>
    <w:rsid w:val="0050524D"/>
    <w:rsid w:val="005067E5"/>
    <w:rsid w:val="00511E45"/>
    <w:rsid w:val="00513AEF"/>
    <w:rsid w:val="00520E3A"/>
    <w:rsid w:val="0053162A"/>
    <w:rsid w:val="00534FC5"/>
    <w:rsid w:val="00537DDF"/>
    <w:rsid w:val="0054396D"/>
    <w:rsid w:val="00544014"/>
    <w:rsid w:val="00545E1A"/>
    <w:rsid w:val="0055148C"/>
    <w:rsid w:val="00555291"/>
    <w:rsid w:val="00560419"/>
    <w:rsid w:val="00560B89"/>
    <w:rsid w:val="00566348"/>
    <w:rsid w:val="0057003A"/>
    <w:rsid w:val="0057716A"/>
    <w:rsid w:val="00580A53"/>
    <w:rsid w:val="005951BF"/>
    <w:rsid w:val="0059748A"/>
    <w:rsid w:val="00597CF5"/>
    <w:rsid w:val="005B3E4A"/>
    <w:rsid w:val="005C2CE1"/>
    <w:rsid w:val="005C62CD"/>
    <w:rsid w:val="005C63D1"/>
    <w:rsid w:val="005E0488"/>
    <w:rsid w:val="005F052C"/>
    <w:rsid w:val="005F370B"/>
    <w:rsid w:val="0060484B"/>
    <w:rsid w:val="006072B0"/>
    <w:rsid w:val="0061161F"/>
    <w:rsid w:val="00614F08"/>
    <w:rsid w:val="006151BA"/>
    <w:rsid w:val="006259FF"/>
    <w:rsid w:val="006262F9"/>
    <w:rsid w:val="006357A2"/>
    <w:rsid w:val="00657BF6"/>
    <w:rsid w:val="006630A2"/>
    <w:rsid w:val="00674D65"/>
    <w:rsid w:val="00682ECF"/>
    <w:rsid w:val="006842E6"/>
    <w:rsid w:val="00685D7C"/>
    <w:rsid w:val="00697630"/>
    <w:rsid w:val="006A0E9F"/>
    <w:rsid w:val="006A21A6"/>
    <w:rsid w:val="006B1042"/>
    <w:rsid w:val="006B24F0"/>
    <w:rsid w:val="006B7DF2"/>
    <w:rsid w:val="006C1969"/>
    <w:rsid w:val="006C1CD9"/>
    <w:rsid w:val="006C26D6"/>
    <w:rsid w:val="006D1FAD"/>
    <w:rsid w:val="006D3F08"/>
    <w:rsid w:val="006D5894"/>
    <w:rsid w:val="006F09BD"/>
    <w:rsid w:val="006F0AB5"/>
    <w:rsid w:val="006F30B5"/>
    <w:rsid w:val="006F315C"/>
    <w:rsid w:val="006F31B8"/>
    <w:rsid w:val="006F4706"/>
    <w:rsid w:val="006F6208"/>
    <w:rsid w:val="00712062"/>
    <w:rsid w:val="00716E93"/>
    <w:rsid w:val="00716E98"/>
    <w:rsid w:val="00721338"/>
    <w:rsid w:val="00721825"/>
    <w:rsid w:val="00740C8B"/>
    <w:rsid w:val="0076323A"/>
    <w:rsid w:val="00764CAF"/>
    <w:rsid w:val="00767B83"/>
    <w:rsid w:val="00787798"/>
    <w:rsid w:val="00790EF0"/>
    <w:rsid w:val="00797498"/>
    <w:rsid w:val="007A1C59"/>
    <w:rsid w:val="007A36DE"/>
    <w:rsid w:val="007C0768"/>
    <w:rsid w:val="007D2EF6"/>
    <w:rsid w:val="007D7773"/>
    <w:rsid w:val="007E485E"/>
    <w:rsid w:val="007E57E6"/>
    <w:rsid w:val="007F1ADF"/>
    <w:rsid w:val="00804539"/>
    <w:rsid w:val="008135B6"/>
    <w:rsid w:val="00820C42"/>
    <w:rsid w:val="0082128C"/>
    <w:rsid w:val="0082162E"/>
    <w:rsid w:val="00821B9B"/>
    <w:rsid w:val="00835B6D"/>
    <w:rsid w:val="00835FBA"/>
    <w:rsid w:val="0084534A"/>
    <w:rsid w:val="008464C3"/>
    <w:rsid w:val="008534F3"/>
    <w:rsid w:val="00855CE3"/>
    <w:rsid w:val="008648DB"/>
    <w:rsid w:val="00866F66"/>
    <w:rsid w:val="0087554D"/>
    <w:rsid w:val="00876F95"/>
    <w:rsid w:val="00884906"/>
    <w:rsid w:val="00891A5A"/>
    <w:rsid w:val="008A1C63"/>
    <w:rsid w:val="008A5689"/>
    <w:rsid w:val="008B5A0E"/>
    <w:rsid w:val="008B64A8"/>
    <w:rsid w:val="008C0C3F"/>
    <w:rsid w:val="008C25D9"/>
    <w:rsid w:val="008C365B"/>
    <w:rsid w:val="008D28B4"/>
    <w:rsid w:val="008F0EB7"/>
    <w:rsid w:val="008F1571"/>
    <w:rsid w:val="008F5FB5"/>
    <w:rsid w:val="00902B19"/>
    <w:rsid w:val="0090496A"/>
    <w:rsid w:val="00904E9E"/>
    <w:rsid w:val="00920E35"/>
    <w:rsid w:val="00925ED9"/>
    <w:rsid w:val="00933B87"/>
    <w:rsid w:val="0093674D"/>
    <w:rsid w:val="0095288F"/>
    <w:rsid w:val="009535A2"/>
    <w:rsid w:val="00957D33"/>
    <w:rsid w:val="009707EB"/>
    <w:rsid w:val="00972BA2"/>
    <w:rsid w:val="009909B2"/>
    <w:rsid w:val="00990F35"/>
    <w:rsid w:val="009B0B93"/>
    <w:rsid w:val="009B364D"/>
    <w:rsid w:val="009C0F09"/>
    <w:rsid w:val="009C50C2"/>
    <w:rsid w:val="009D0AA0"/>
    <w:rsid w:val="009D32FC"/>
    <w:rsid w:val="009D4BA8"/>
    <w:rsid w:val="009E5E8A"/>
    <w:rsid w:val="009F2E35"/>
    <w:rsid w:val="00A003BF"/>
    <w:rsid w:val="00A03AA8"/>
    <w:rsid w:val="00A049D7"/>
    <w:rsid w:val="00A06F52"/>
    <w:rsid w:val="00A07938"/>
    <w:rsid w:val="00A21175"/>
    <w:rsid w:val="00A2488A"/>
    <w:rsid w:val="00A32B4F"/>
    <w:rsid w:val="00A339CA"/>
    <w:rsid w:val="00A41041"/>
    <w:rsid w:val="00A42F8A"/>
    <w:rsid w:val="00A45575"/>
    <w:rsid w:val="00A47507"/>
    <w:rsid w:val="00A50A85"/>
    <w:rsid w:val="00A50ADC"/>
    <w:rsid w:val="00A5334F"/>
    <w:rsid w:val="00A61E89"/>
    <w:rsid w:val="00A734C9"/>
    <w:rsid w:val="00A808E0"/>
    <w:rsid w:val="00A815E0"/>
    <w:rsid w:val="00A87EF3"/>
    <w:rsid w:val="00A94CCE"/>
    <w:rsid w:val="00A94FE1"/>
    <w:rsid w:val="00AA251D"/>
    <w:rsid w:val="00AB3D86"/>
    <w:rsid w:val="00AB7E68"/>
    <w:rsid w:val="00AC1494"/>
    <w:rsid w:val="00AC2238"/>
    <w:rsid w:val="00AD4CB5"/>
    <w:rsid w:val="00AE4B4A"/>
    <w:rsid w:val="00AE4FE5"/>
    <w:rsid w:val="00AE6CAC"/>
    <w:rsid w:val="00AF48C3"/>
    <w:rsid w:val="00AF5A52"/>
    <w:rsid w:val="00AF7E2A"/>
    <w:rsid w:val="00B00182"/>
    <w:rsid w:val="00B01D95"/>
    <w:rsid w:val="00B02091"/>
    <w:rsid w:val="00B02300"/>
    <w:rsid w:val="00B03D4A"/>
    <w:rsid w:val="00B10672"/>
    <w:rsid w:val="00B108D0"/>
    <w:rsid w:val="00B17181"/>
    <w:rsid w:val="00B343A6"/>
    <w:rsid w:val="00B35DE7"/>
    <w:rsid w:val="00B425A3"/>
    <w:rsid w:val="00B72061"/>
    <w:rsid w:val="00B767E4"/>
    <w:rsid w:val="00B95BA5"/>
    <w:rsid w:val="00BA394D"/>
    <w:rsid w:val="00BA4350"/>
    <w:rsid w:val="00BB1C02"/>
    <w:rsid w:val="00BC5B66"/>
    <w:rsid w:val="00BD6CAA"/>
    <w:rsid w:val="00BD7384"/>
    <w:rsid w:val="00BE736B"/>
    <w:rsid w:val="00BF193A"/>
    <w:rsid w:val="00BF1ED7"/>
    <w:rsid w:val="00BF7048"/>
    <w:rsid w:val="00C10909"/>
    <w:rsid w:val="00C14406"/>
    <w:rsid w:val="00C14AAD"/>
    <w:rsid w:val="00C17F72"/>
    <w:rsid w:val="00C239BE"/>
    <w:rsid w:val="00C25800"/>
    <w:rsid w:val="00C31098"/>
    <w:rsid w:val="00C369EE"/>
    <w:rsid w:val="00C4528D"/>
    <w:rsid w:val="00C474E6"/>
    <w:rsid w:val="00C7369F"/>
    <w:rsid w:val="00C73D95"/>
    <w:rsid w:val="00C7566E"/>
    <w:rsid w:val="00C8100C"/>
    <w:rsid w:val="00C826B8"/>
    <w:rsid w:val="00C82987"/>
    <w:rsid w:val="00C85A04"/>
    <w:rsid w:val="00C9158F"/>
    <w:rsid w:val="00CA47C7"/>
    <w:rsid w:val="00CA6B86"/>
    <w:rsid w:val="00CB2B76"/>
    <w:rsid w:val="00CC0360"/>
    <w:rsid w:val="00CC06B0"/>
    <w:rsid w:val="00CC39B8"/>
    <w:rsid w:val="00CD5C6E"/>
    <w:rsid w:val="00CD7CBE"/>
    <w:rsid w:val="00CE4037"/>
    <w:rsid w:val="00CE5DCA"/>
    <w:rsid w:val="00CF5B3C"/>
    <w:rsid w:val="00CF5D64"/>
    <w:rsid w:val="00D0284E"/>
    <w:rsid w:val="00D02CEF"/>
    <w:rsid w:val="00D02E7B"/>
    <w:rsid w:val="00D06073"/>
    <w:rsid w:val="00D11CFC"/>
    <w:rsid w:val="00D151CF"/>
    <w:rsid w:val="00D21014"/>
    <w:rsid w:val="00D223F5"/>
    <w:rsid w:val="00D22496"/>
    <w:rsid w:val="00D24A91"/>
    <w:rsid w:val="00D30638"/>
    <w:rsid w:val="00D40AD1"/>
    <w:rsid w:val="00D63175"/>
    <w:rsid w:val="00D63D23"/>
    <w:rsid w:val="00D67254"/>
    <w:rsid w:val="00D72F02"/>
    <w:rsid w:val="00D7690A"/>
    <w:rsid w:val="00D77178"/>
    <w:rsid w:val="00D817C8"/>
    <w:rsid w:val="00D82B0E"/>
    <w:rsid w:val="00D83201"/>
    <w:rsid w:val="00D8360A"/>
    <w:rsid w:val="00DA06F3"/>
    <w:rsid w:val="00DA07AE"/>
    <w:rsid w:val="00DA0EB4"/>
    <w:rsid w:val="00DA1E1A"/>
    <w:rsid w:val="00DA44F4"/>
    <w:rsid w:val="00DA7B00"/>
    <w:rsid w:val="00DB6F6A"/>
    <w:rsid w:val="00DC392F"/>
    <w:rsid w:val="00DD1479"/>
    <w:rsid w:val="00DD5956"/>
    <w:rsid w:val="00DE28F1"/>
    <w:rsid w:val="00DE48F2"/>
    <w:rsid w:val="00DE5914"/>
    <w:rsid w:val="00E21540"/>
    <w:rsid w:val="00E247EF"/>
    <w:rsid w:val="00E3165F"/>
    <w:rsid w:val="00E34C1A"/>
    <w:rsid w:val="00E37352"/>
    <w:rsid w:val="00E376B0"/>
    <w:rsid w:val="00E477DE"/>
    <w:rsid w:val="00E57369"/>
    <w:rsid w:val="00E6418D"/>
    <w:rsid w:val="00E71BA1"/>
    <w:rsid w:val="00E7711D"/>
    <w:rsid w:val="00E80CEE"/>
    <w:rsid w:val="00E90E75"/>
    <w:rsid w:val="00E95BA2"/>
    <w:rsid w:val="00E9791C"/>
    <w:rsid w:val="00EA40F8"/>
    <w:rsid w:val="00EC42DD"/>
    <w:rsid w:val="00EC73FD"/>
    <w:rsid w:val="00ED1577"/>
    <w:rsid w:val="00ED589C"/>
    <w:rsid w:val="00EE3A0F"/>
    <w:rsid w:val="00EE41CA"/>
    <w:rsid w:val="00EE51B3"/>
    <w:rsid w:val="00EF37D1"/>
    <w:rsid w:val="00EF5301"/>
    <w:rsid w:val="00EF62DA"/>
    <w:rsid w:val="00F10E35"/>
    <w:rsid w:val="00F11D5C"/>
    <w:rsid w:val="00F1317A"/>
    <w:rsid w:val="00F154DF"/>
    <w:rsid w:val="00F21B0A"/>
    <w:rsid w:val="00F21E92"/>
    <w:rsid w:val="00F22685"/>
    <w:rsid w:val="00F23232"/>
    <w:rsid w:val="00F24F52"/>
    <w:rsid w:val="00F27099"/>
    <w:rsid w:val="00F432A8"/>
    <w:rsid w:val="00F62612"/>
    <w:rsid w:val="00F6392A"/>
    <w:rsid w:val="00F709FA"/>
    <w:rsid w:val="00F72B9F"/>
    <w:rsid w:val="00F7355A"/>
    <w:rsid w:val="00F73E86"/>
    <w:rsid w:val="00F80B00"/>
    <w:rsid w:val="00F818BB"/>
    <w:rsid w:val="00F821E7"/>
    <w:rsid w:val="00F8763A"/>
    <w:rsid w:val="00F91786"/>
    <w:rsid w:val="00FA0252"/>
    <w:rsid w:val="00FB1E7A"/>
    <w:rsid w:val="00FC1175"/>
    <w:rsid w:val="00FC500E"/>
    <w:rsid w:val="00FD31B2"/>
    <w:rsid w:val="00FD39F6"/>
    <w:rsid w:val="00FD5BBE"/>
    <w:rsid w:val="00FE13C2"/>
    <w:rsid w:val="00FE285B"/>
    <w:rsid w:val="00FE33B7"/>
    <w:rsid w:val="00FE3B17"/>
    <w:rsid w:val="00FF327A"/>
    <w:rsid w:val="00FF4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2B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6072B0"/>
    <w:pPr>
      <w:tabs>
        <w:tab w:val="center" w:pos="4320"/>
        <w:tab w:val="right" w:pos="8640"/>
      </w:tabs>
    </w:pPr>
  </w:style>
  <w:style w:type="character" w:styleId="PageNumber">
    <w:name w:val="page number"/>
    <w:basedOn w:val="DefaultParagraphFont"/>
    <w:rsid w:val="006072B0"/>
  </w:style>
  <w:style w:type="paragraph" w:styleId="FootnoteText">
    <w:name w:val="footnote text"/>
    <w:basedOn w:val="Normal"/>
    <w:semiHidden/>
    <w:rsid w:val="006072B0"/>
    <w:rPr>
      <w:sz w:val="20"/>
      <w:szCs w:val="20"/>
    </w:rPr>
  </w:style>
  <w:style w:type="character" w:styleId="FootnoteReference">
    <w:name w:val="footnote reference"/>
    <w:basedOn w:val="DefaultParagraphFont"/>
    <w:semiHidden/>
    <w:rsid w:val="006072B0"/>
    <w:rPr>
      <w:vertAlign w:val="superscript"/>
    </w:rPr>
  </w:style>
  <w:style w:type="character" w:styleId="Strong">
    <w:name w:val="Strong"/>
    <w:basedOn w:val="DefaultParagraphFont"/>
    <w:qFormat/>
    <w:rsid w:val="00A2117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davalexand</dc:creator>
  <cp:keywords/>
  <dc:description/>
  <cp:lastModifiedBy>shoffner</cp:lastModifiedBy>
  <cp:revision>2</cp:revision>
  <cp:lastPrinted>2010-02-09T15:03:00Z</cp:lastPrinted>
  <dcterms:created xsi:type="dcterms:W3CDTF">2010-02-09T15:04:00Z</dcterms:created>
  <dcterms:modified xsi:type="dcterms:W3CDTF">2010-02-09T15:04:00Z</dcterms:modified>
</cp:coreProperties>
</file>