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B86" w:rsidRPr="00731999" w:rsidRDefault="00254B86" w:rsidP="00254B86">
      <w:pPr>
        <w:pStyle w:val="TxBrc2"/>
        <w:spacing w:line="240" w:lineRule="auto"/>
        <w:rPr>
          <w:b/>
        </w:rPr>
      </w:pPr>
      <w:r w:rsidRPr="00731999">
        <w:rPr>
          <w:b/>
        </w:rPr>
        <w:t>BEFORE THE</w:t>
      </w:r>
    </w:p>
    <w:p w:rsidR="00254B86" w:rsidRPr="00731999" w:rsidRDefault="00254B86" w:rsidP="00254B86">
      <w:pPr>
        <w:pStyle w:val="TxBrc2"/>
        <w:spacing w:line="240" w:lineRule="auto"/>
        <w:rPr>
          <w:b/>
        </w:rPr>
      </w:pPr>
      <w:smartTag w:uri="urn:schemas-microsoft-com:office:smarttags" w:element="State">
        <w:smartTag w:uri="urn:schemas-microsoft-com:office:smarttags" w:element="place">
          <w:r w:rsidRPr="00731999">
            <w:rPr>
              <w:b/>
            </w:rPr>
            <w:t>PENNSYLVANIA</w:t>
          </w:r>
        </w:smartTag>
      </w:smartTag>
      <w:r w:rsidRPr="00731999">
        <w:rPr>
          <w:b/>
        </w:rPr>
        <w:t xml:space="preserve"> PUBLIC UTILITY COMMISSION</w:t>
      </w:r>
    </w:p>
    <w:p w:rsidR="00254B86" w:rsidRDefault="00254B86" w:rsidP="00254B86"/>
    <w:p w:rsidR="00CD0A2C" w:rsidRDefault="00CD0A2C" w:rsidP="00254B86"/>
    <w:p w:rsidR="00254B86" w:rsidRDefault="00254B86" w:rsidP="00254B86"/>
    <w:p w:rsidR="00254B86" w:rsidRDefault="00222C92" w:rsidP="00731999">
      <w:pPr>
        <w:pStyle w:val="TxBrp3"/>
        <w:tabs>
          <w:tab w:val="clear" w:pos="1479"/>
          <w:tab w:val="clear" w:pos="2194"/>
          <w:tab w:val="left" w:pos="-120"/>
          <w:tab w:val="left" w:pos="0"/>
        </w:tabs>
        <w:spacing w:line="240" w:lineRule="auto"/>
        <w:ind w:firstLine="0"/>
      </w:pPr>
      <w:r>
        <w:t>Malinda White</w:t>
      </w:r>
      <w:r w:rsidR="00731999">
        <w:tab/>
      </w:r>
      <w:r w:rsidR="00731999">
        <w:tab/>
      </w:r>
      <w:r w:rsidR="00ED62ED">
        <w:tab/>
      </w:r>
      <w:r w:rsidR="00ED62ED">
        <w:tab/>
      </w:r>
      <w:r w:rsidR="00ED62ED">
        <w:tab/>
      </w:r>
      <w:r w:rsidR="00C71605">
        <w:tab/>
      </w:r>
      <w:r w:rsidR="00ED62ED">
        <w:t>:</w:t>
      </w:r>
      <w:r w:rsidR="0020453F">
        <w:tab/>
      </w:r>
      <w:r w:rsidR="001B3620">
        <w:tab/>
      </w:r>
      <w:r w:rsidR="009727A9">
        <w:tab/>
      </w:r>
      <w:r w:rsidR="00F460D0">
        <w:tab/>
      </w:r>
    </w:p>
    <w:p w:rsidR="00254B86" w:rsidRDefault="00731999" w:rsidP="00731999">
      <w:pPr>
        <w:pStyle w:val="TxBrt1"/>
        <w:spacing w:line="240" w:lineRule="auto"/>
      </w:pPr>
      <w:r>
        <w:tab/>
      </w:r>
      <w:r>
        <w:tab/>
      </w:r>
      <w:r>
        <w:tab/>
      </w:r>
      <w:r>
        <w:tab/>
      </w:r>
      <w:r>
        <w:tab/>
      </w:r>
      <w:r>
        <w:tab/>
      </w:r>
      <w:r w:rsidR="0020453F">
        <w:tab/>
      </w:r>
      <w:r w:rsidR="006C2326">
        <w:tab/>
      </w:r>
      <w:r>
        <w:t>:</w:t>
      </w:r>
    </w:p>
    <w:p w:rsidR="00731999" w:rsidRDefault="00731999" w:rsidP="00731999">
      <w:pPr>
        <w:pStyle w:val="TxBrt1"/>
        <w:spacing w:line="240" w:lineRule="auto"/>
      </w:pPr>
      <w:r>
        <w:tab/>
        <w:t>v.</w:t>
      </w:r>
      <w:r>
        <w:tab/>
      </w:r>
      <w:r>
        <w:tab/>
      </w:r>
      <w:r>
        <w:tab/>
      </w:r>
      <w:r>
        <w:tab/>
      </w:r>
      <w:r w:rsidR="0020453F">
        <w:tab/>
      </w:r>
      <w:r w:rsidR="0020453F">
        <w:tab/>
      </w:r>
      <w:r w:rsidR="006C2326">
        <w:tab/>
      </w:r>
      <w:r>
        <w:t>:</w:t>
      </w:r>
      <w:r w:rsidR="00DD05A4">
        <w:tab/>
      </w:r>
      <w:r w:rsidR="00222C92">
        <w:t>C-2008-2062351</w:t>
      </w:r>
      <w:r>
        <w:tab/>
      </w:r>
      <w:r>
        <w:tab/>
      </w:r>
      <w:r>
        <w:tab/>
      </w:r>
      <w:r>
        <w:tab/>
      </w:r>
      <w:r w:rsidR="0020453F">
        <w:tab/>
      </w:r>
      <w:r w:rsidR="00CE6D17">
        <w:tab/>
      </w:r>
      <w:r w:rsidR="00CE6D17">
        <w:tab/>
      </w:r>
      <w:r w:rsidR="00CE6D17">
        <w:tab/>
      </w:r>
      <w:r w:rsidR="00ED62ED">
        <w:tab/>
      </w:r>
      <w:r w:rsidR="00ED62ED">
        <w:tab/>
      </w:r>
      <w:r>
        <w:t>:</w:t>
      </w:r>
    </w:p>
    <w:p w:rsidR="00254B86" w:rsidRDefault="008075E1" w:rsidP="00731999">
      <w:pPr>
        <w:pStyle w:val="TxBrt1"/>
        <w:spacing w:line="240" w:lineRule="auto"/>
      </w:pPr>
      <w:r>
        <w:t>PECO Energy Company</w:t>
      </w:r>
      <w:r w:rsidR="00F9788C">
        <w:tab/>
      </w:r>
      <w:r w:rsidR="00731999">
        <w:tab/>
      </w:r>
      <w:r w:rsidR="00640163">
        <w:tab/>
      </w:r>
      <w:r w:rsidR="00640163">
        <w:tab/>
      </w:r>
      <w:r w:rsidR="00891A2D">
        <w:tab/>
      </w:r>
      <w:r w:rsidR="00731999">
        <w:t>:</w:t>
      </w:r>
    </w:p>
    <w:p w:rsidR="00254B86" w:rsidRDefault="00254B86" w:rsidP="00254B86">
      <w:pPr>
        <w:tabs>
          <w:tab w:val="left" w:pos="204"/>
        </w:tabs>
      </w:pPr>
    </w:p>
    <w:p w:rsidR="00CD0A2C" w:rsidRDefault="00CD0A2C" w:rsidP="00CD0A2C">
      <w:pPr>
        <w:pStyle w:val="TxBrc4"/>
        <w:tabs>
          <w:tab w:val="left" w:pos="204"/>
        </w:tabs>
        <w:spacing w:line="240" w:lineRule="auto"/>
        <w:jc w:val="left"/>
        <w:rPr>
          <w:b/>
          <w:bCs/>
          <w:u w:val="single"/>
        </w:rPr>
      </w:pPr>
    </w:p>
    <w:p w:rsidR="00CD0A2C" w:rsidRDefault="00CD0A2C" w:rsidP="00CD0A2C">
      <w:pPr>
        <w:pStyle w:val="TxBrc4"/>
        <w:tabs>
          <w:tab w:val="left" w:pos="204"/>
        </w:tabs>
        <w:spacing w:line="240" w:lineRule="auto"/>
        <w:jc w:val="left"/>
        <w:rPr>
          <w:b/>
          <w:bCs/>
          <w:u w:val="single"/>
        </w:rPr>
      </w:pPr>
    </w:p>
    <w:p w:rsidR="00254B86" w:rsidRPr="00731999" w:rsidRDefault="00254B86" w:rsidP="00CD0A2C">
      <w:pPr>
        <w:pStyle w:val="TxBrc4"/>
        <w:tabs>
          <w:tab w:val="left" w:pos="204"/>
        </w:tabs>
        <w:spacing w:line="240" w:lineRule="auto"/>
        <w:rPr>
          <w:b/>
          <w:bCs/>
          <w:u w:val="single"/>
        </w:rPr>
      </w:pPr>
      <w:r w:rsidRPr="00731999">
        <w:rPr>
          <w:b/>
          <w:bCs/>
          <w:u w:val="single"/>
        </w:rPr>
        <w:t>INITIAL DECISION</w:t>
      </w:r>
    </w:p>
    <w:p w:rsidR="00254B86" w:rsidRDefault="00254B86" w:rsidP="00CD0A2C">
      <w:pPr>
        <w:tabs>
          <w:tab w:val="left" w:pos="204"/>
        </w:tabs>
        <w:rPr>
          <w:b/>
          <w:bCs/>
        </w:rPr>
      </w:pPr>
    </w:p>
    <w:p w:rsidR="00CE6D17" w:rsidRDefault="00CE6D17" w:rsidP="00CD0A2C">
      <w:pPr>
        <w:tabs>
          <w:tab w:val="left" w:pos="204"/>
        </w:tabs>
        <w:rPr>
          <w:b/>
          <w:bCs/>
        </w:rPr>
      </w:pPr>
    </w:p>
    <w:p w:rsidR="00254B86" w:rsidRDefault="00254B86" w:rsidP="00CD0A2C">
      <w:pPr>
        <w:pStyle w:val="TxBrc2"/>
        <w:tabs>
          <w:tab w:val="left" w:pos="204"/>
        </w:tabs>
        <w:spacing w:line="240" w:lineRule="auto"/>
      </w:pPr>
      <w:r>
        <w:t>Before</w:t>
      </w:r>
    </w:p>
    <w:p w:rsidR="002978C5" w:rsidRDefault="002978C5" w:rsidP="00CD0A2C">
      <w:pPr>
        <w:pStyle w:val="TxBrc2"/>
        <w:tabs>
          <w:tab w:val="left" w:pos="204"/>
        </w:tabs>
        <w:spacing w:line="240" w:lineRule="auto"/>
      </w:pPr>
      <w:r>
        <w:t>Charles E. Rainey, Jr.</w:t>
      </w:r>
    </w:p>
    <w:p w:rsidR="0036117A" w:rsidRDefault="0036117A" w:rsidP="00CD0A2C">
      <w:pPr>
        <w:pStyle w:val="TxBrc2"/>
        <w:tabs>
          <w:tab w:val="left" w:pos="204"/>
        </w:tabs>
        <w:spacing w:line="240" w:lineRule="auto"/>
      </w:pPr>
      <w:r>
        <w:t>Administrative Law Judge</w:t>
      </w:r>
    </w:p>
    <w:p w:rsidR="00254B86" w:rsidRDefault="00254B86" w:rsidP="00CD0A2C">
      <w:pPr>
        <w:tabs>
          <w:tab w:val="left" w:pos="204"/>
        </w:tabs>
      </w:pPr>
    </w:p>
    <w:p w:rsidR="0020453F" w:rsidRDefault="0020453F" w:rsidP="00CD0A2C"/>
    <w:p w:rsidR="00254B86" w:rsidRPr="00731999" w:rsidRDefault="00254B86" w:rsidP="00CD0A2C">
      <w:pPr>
        <w:jc w:val="center"/>
      </w:pPr>
      <w:r w:rsidRPr="00731999">
        <w:rPr>
          <w:u w:val="single"/>
        </w:rPr>
        <w:t>HISTORY OF THE PROCEEDING</w:t>
      </w:r>
    </w:p>
    <w:p w:rsidR="00605F87" w:rsidRDefault="00605F87" w:rsidP="00CD0A2C">
      <w:pPr>
        <w:ind w:firstLine="1440"/>
      </w:pPr>
    </w:p>
    <w:p w:rsidR="00DD05A4" w:rsidRDefault="00DD05A4" w:rsidP="00CD0A2C">
      <w:pPr>
        <w:ind w:firstLine="1440"/>
      </w:pPr>
    </w:p>
    <w:p w:rsidR="00254B86" w:rsidRDefault="00254B86" w:rsidP="00605F87">
      <w:pPr>
        <w:spacing w:line="360" w:lineRule="auto"/>
        <w:ind w:firstLine="1440"/>
      </w:pPr>
      <w:r>
        <w:t>On</w:t>
      </w:r>
      <w:r w:rsidR="008075E1">
        <w:t xml:space="preserve"> September</w:t>
      </w:r>
      <w:r w:rsidR="00452559">
        <w:t xml:space="preserve"> 8</w:t>
      </w:r>
      <w:r w:rsidR="002978C5">
        <w:t>,</w:t>
      </w:r>
      <w:r w:rsidR="00452559">
        <w:t xml:space="preserve"> 2008,</w:t>
      </w:r>
      <w:r w:rsidR="002978C5">
        <w:t xml:space="preserve"> </w:t>
      </w:r>
      <w:r w:rsidR="00452559">
        <w:t xml:space="preserve">Malinda White </w:t>
      </w:r>
      <w:r>
        <w:t>(</w:t>
      </w:r>
      <w:r w:rsidR="00A36D51">
        <w:t>Complainant</w:t>
      </w:r>
      <w:r>
        <w:t xml:space="preserve">) filed a </w:t>
      </w:r>
      <w:r w:rsidR="002978C5">
        <w:t>f</w:t>
      </w:r>
      <w:r>
        <w:t xml:space="preserve">ormal </w:t>
      </w:r>
      <w:r w:rsidR="002978C5">
        <w:t>c</w:t>
      </w:r>
      <w:r>
        <w:t>omplaint</w:t>
      </w:r>
      <w:r w:rsidR="00F90A31">
        <w:t xml:space="preserve"> (complaint)</w:t>
      </w:r>
      <w:r>
        <w:t xml:space="preserve"> against </w:t>
      </w:r>
      <w:r w:rsidR="008075E1">
        <w:t xml:space="preserve">PECO Energy Company </w:t>
      </w:r>
      <w:r w:rsidR="00A36D51">
        <w:t>(Respondent</w:t>
      </w:r>
      <w:r>
        <w:t>)</w:t>
      </w:r>
      <w:r w:rsidR="00FB6994">
        <w:t xml:space="preserve"> in which she </w:t>
      </w:r>
      <w:r w:rsidR="00452559">
        <w:t>requested an affordable payment agreement</w:t>
      </w:r>
      <w:r w:rsidR="006048E2">
        <w:t>.</w:t>
      </w:r>
      <w:r w:rsidR="00154FA6">
        <w:t xml:space="preserve"> </w:t>
      </w:r>
      <w:r>
        <w:t xml:space="preserve"> </w:t>
      </w:r>
      <w:r w:rsidR="003B21C1">
        <w:t>On</w:t>
      </w:r>
      <w:r w:rsidR="00E31AD2">
        <w:t xml:space="preserve"> September 30</w:t>
      </w:r>
      <w:r w:rsidR="003B21C1">
        <w:t>,</w:t>
      </w:r>
      <w:r w:rsidR="00E31AD2">
        <w:t xml:space="preserve"> 2008,</w:t>
      </w:r>
      <w:r w:rsidR="003B21C1">
        <w:t xml:space="preserve"> Respondent filed</w:t>
      </w:r>
      <w:r w:rsidR="00E37D25">
        <w:t xml:space="preserve"> an</w:t>
      </w:r>
      <w:r w:rsidR="003B21C1">
        <w:t xml:space="preserve"> answer</w:t>
      </w:r>
      <w:r w:rsidR="00E31AD2">
        <w:t xml:space="preserve"> averring that Complainant’s request should be denied because of her failure to comply with previous payment agreements and poor payment history.</w:t>
      </w:r>
      <w:r w:rsidR="003B21C1">
        <w:t xml:space="preserve"> </w:t>
      </w:r>
      <w:r w:rsidR="00B36FEB">
        <w:t xml:space="preserve"> </w:t>
      </w:r>
    </w:p>
    <w:p w:rsidR="00254B86" w:rsidRDefault="00254B86" w:rsidP="00731999">
      <w:pPr>
        <w:spacing w:line="360" w:lineRule="auto"/>
      </w:pPr>
    </w:p>
    <w:p w:rsidR="005304A3" w:rsidRDefault="00F9788C" w:rsidP="0036117A">
      <w:pPr>
        <w:spacing w:line="360" w:lineRule="auto"/>
        <w:ind w:firstLine="1440"/>
      </w:pPr>
      <w:r>
        <w:t>By Hearing Notice dated</w:t>
      </w:r>
      <w:r w:rsidR="00FB6994">
        <w:t xml:space="preserve"> January 21</w:t>
      </w:r>
      <w:r w:rsidR="002C1C71">
        <w:t>,</w:t>
      </w:r>
      <w:r w:rsidR="00FB6994">
        <w:t xml:space="preserve"> 2009,</w:t>
      </w:r>
      <w:r w:rsidR="002C1C71">
        <w:t xml:space="preserve"> </w:t>
      </w:r>
      <w:r w:rsidR="00375BC3">
        <w:t xml:space="preserve">an initial </w:t>
      </w:r>
      <w:r w:rsidR="002C1C71">
        <w:t xml:space="preserve">hearing was scheduled </w:t>
      </w:r>
      <w:r w:rsidR="00965C6E">
        <w:t>for March 5</w:t>
      </w:r>
      <w:r w:rsidR="00375BC3">
        <w:t xml:space="preserve">, </w:t>
      </w:r>
      <w:r w:rsidR="004236CB">
        <w:t>200</w:t>
      </w:r>
      <w:r w:rsidR="00965C6E">
        <w:t>9</w:t>
      </w:r>
      <w:r w:rsidR="004236CB">
        <w:t>.</w:t>
      </w:r>
      <w:r w:rsidR="00A61EF4">
        <w:t xml:space="preserve">  </w:t>
      </w:r>
      <w:r w:rsidR="0005633C">
        <w:t>On</w:t>
      </w:r>
      <w:r w:rsidR="00965C6E">
        <w:t xml:space="preserve"> January 26</w:t>
      </w:r>
      <w:r w:rsidR="0005633C">
        <w:t>,</w:t>
      </w:r>
      <w:r w:rsidR="00965C6E">
        <w:t xml:space="preserve"> 2009,</w:t>
      </w:r>
      <w:r w:rsidR="0005633C">
        <w:t xml:space="preserve"> I issued a Prehearing Order that set forth procedures to be followed in this case.</w:t>
      </w:r>
      <w:r w:rsidR="00F90A31">
        <w:t xml:space="preserve"> </w:t>
      </w:r>
      <w:r w:rsidR="00F729DE">
        <w:t xml:space="preserve"> </w:t>
      </w:r>
      <w:r w:rsidR="00CD24C5">
        <w:t>At the hearing on March 5, 2009, Respondent requested a continuance to accommodate settlement discussions.  I granted the request.  Tr. 4-5.</w:t>
      </w:r>
      <w:r w:rsidR="00C732CE">
        <w:t xml:space="preserve">  No settlement, however, resulted from the parties’ negotiations.</w:t>
      </w:r>
    </w:p>
    <w:p w:rsidR="00CD24C5" w:rsidRDefault="00CD24C5" w:rsidP="0036117A">
      <w:pPr>
        <w:spacing w:line="360" w:lineRule="auto"/>
        <w:ind w:firstLine="1440"/>
      </w:pPr>
    </w:p>
    <w:p w:rsidR="00983993" w:rsidRDefault="006234AF" w:rsidP="0036117A">
      <w:pPr>
        <w:spacing w:line="360" w:lineRule="auto"/>
        <w:ind w:firstLine="1440"/>
      </w:pPr>
      <w:r>
        <w:t xml:space="preserve">By Hearing Notice dated March 25, 2009, the hearing was rescheduled for April 29, 2009.  Complainant appeared at the hearing and testified.  </w:t>
      </w:r>
      <w:r w:rsidR="003519FC">
        <w:t xml:space="preserve">She presented three exhibits at the hearing, all of which were admitted into evidence.  </w:t>
      </w:r>
      <w:r w:rsidR="00601AF9">
        <w:t>With my permission,</w:t>
      </w:r>
      <w:r w:rsidR="003519FC">
        <w:t xml:space="preserve"> </w:t>
      </w:r>
      <w:r w:rsidR="00715D36">
        <w:t xml:space="preserve">Complainant </w:t>
      </w:r>
      <w:r w:rsidR="003519FC">
        <w:t xml:space="preserve">submitted </w:t>
      </w:r>
    </w:p>
    <w:p w:rsidR="006234AF" w:rsidRDefault="00983993" w:rsidP="00983993">
      <w:pPr>
        <w:spacing w:line="360" w:lineRule="auto"/>
      </w:pPr>
      <w:r>
        <w:br w:type="page"/>
      </w:r>
      <w:r w:rsidR="003519FC">
        <w:lastRenderedPageBreak/>
        <w:t>a late-filed exhibit</w:t>
      </w:r>
      <w:r w:rsidR="00601AF9">
        <w:t xml:space="preserve"> on May 6, 2009</w:t>
      </w:r>
      <w:r w:rsidR="00276E70">
        <w:t>, which is also admitted into evidence.</w:t>
      </w:r>
      <w:r w:rsidR="00276E70">
        <w:rPr>
          <w:rStyle w:val="FootnoteReference"/>
        </w:rPr>
        <w:footnoteReference w:id="1"/>
      </w:r>
      <w:r w:rsidR="00EB4DBA">
        <w:t xml:space="preserve"> </w:t>
      </w:r>
      <w:r>
        <w:t xml:space="preserve"> </w:t>
      </w:r>
      <w:r w:rsidR="001B03FF">
        <w:t>Tr. 27</w:t>
      </w:r>
      <w:r w:rsidR="00C84684">
        <w:t>, 44</w:t>
      </w:r>
      <w:r w:rsidR="001B03FF">
        <w:t xml:space="preserve">.  </w:t>
      </w:r>
      <w:r w:rsidR="00EB4DBA">
        <w:t xml:space="preserve">Respondent was represented by Tishekia Williams, Esquire.  Louis DuBois, who is employed by Respondent as a regulatory assessor, testified on </w:t>
      </w:r>
      <w:r w:rsidR="00715D36">
        <w:t xml:space="preserve">Respondent’s </w:t>
      </w:r>
      <w:r w:rsidR="00EB4DBA">
        <w:t xml:space="preserve">behalf.  </w:t>
      </w:r>
      <w:r w:rsidR="003E38F6">
        <w:t xml:space="preserve">Respondent presented four exhibits at the hearing, all of which were admitted into evidence.  </w:t>
      </w:r>
      <w:r w:rsidR="001B03FF">
        <w:t>At my direction</w:t>
      </w:r>
      <w:r w:rsidR="003E38F6">
        <w:t xml:space="preserve">, Respondent submitted a late-filed exhibit </w:t>
      </w:r>
      <w:r w:rsidR="001B03FF">
        <w:t>on May 5, 2009, which is also admitted into evidence.</w:t>
      </w:r>
      <w:r w:rsidR="00A05804">
        <w:t xml:space="preserve">  Tr. 38-44.  The record closed on May 29, 2009.</w:t>
      </w:r>
      <w:r w:rsidR="00C84684">
        <w:t xml:space="preserve">  </w:t>
      </w:r>
    </w:p>
    <w:p w:rsidR="005304A3" w:rsidRDefault="005304A3" w:rsidP="0036117A">
      <w:pPr>
        <w:spacing w:line="360" w:lineRule="auto"/>
        <w:ind w:firstLine="1440"/>
      </w:pPr>
    </w:p>
    <w:p w:rsidR="00C42D1C" w:rsidRPr="00731999" w:rsidRDefault="00C42D1C" w:rsidP="00731999">
      <w:pPr>
        <w:spacing w:line="360" w:lineRule="auto"/>
        <w:jc w:val="center"/>
      </w:pPr>
      <w:r w:rsidRPr="00731999">
        <w:rPr>
          <w:u w:val="single"/>
        </w:rPr>
        <w:t xml:space="preserve">FINDINGS OF </w:t>
      </w:r>
      <w:smartTag w:uri="urn:schemas-microsoft-com:office:smarttags" w:element="stockticker">
        <w:r w:rsidRPr="00731999">
          <w:rPr>
            <w:u w:val="single"/>
          </w:rPr>
          <w:t>FACT</w:t>
        </w:r>
      </w:smartTag>
    </w:p>
    <w:p w:rsidR="00C42D1C" w:rsidRPr="00731999" w:rsidRDefault="00C42D1C" w:rsidP="00731999">
      <w:pPr>
        <w:spacing w:line="360" w:lineRule="auto"/>
      </w:pPr>
    </w:p>
    <w:p w:rsidR="00672C74" w:rsidRDefault="004D6CEF" w:rsidP="00605F87">
      <w:pPr>
        <w:spacing w:line="360" w:lineRule="auto"/>
        <w:ind w:firstLine="1440"/>
      </w:pPr>
      <w:r w:rsidRPr="00731999">
        <w:t>1.</w:t>
      </w:r>
      <w:r w:rsidRPr="00731999">
        <w:tab/>
      </w:r>
      <w:r w:rsidR="00D136C5">
        <w:t xml:space="preserve">Complainant, </w:t>
      </w:r>
      <w:r w:rsidR="0013364D">
        <w:t>Malinda White</w:t>
      </w:r>
      <w:r w:rsidR="001D015F">
        <w:t xml:space="preserve">, </w:t>
      </w:r>
      <w:r w:rsidR="00973E28">
        <w:t xml:space="preserve">is </w:t>
      </w:r>
      <w:r w:rsidR="001D015F">
        <w:t xml:space="preserve">a residential </w:t>
      </w:r>
      <w:r w:rsidR="00D93476">
        <w:t>gas</w:t>
      </w:r>
      <w:r w:rsidR="003B7934">
        <w:t xml:space="preserve"> heating</w:t>
      </w:r>
      <w:r w:rsidR="00D93476">
        <w:t xml:space="preserve"> and </w:t>
      </w:r>
      <w:r w:rsidR="001D015F">
        <w:t xml:space="preserve">electric </w:t>
      </w:r>
      <w:r w:rsidR="003B7934">
        <w:t xml:space="preserve">service </w:t>
      </w:r>
      <w:r w:rsidR="001D015F">
        <w:t>customer of Respondent</w:t>
      </w:r>
      <w:r w:rsidR="0013364D">
        <w:t xml:space="preserve">, PECO Energy Company.  She resides at 7761 Green Valley Road, Wyncote, PA </w:t>
      </w:r>
      <w:r w:rsidR="003B7934">
        <w:t xml:space="preserve">19095.  </w:t>
      </w:r>
      <w:r w:rsidR="00973E28">
        <w:t>Tr.</w:t>
      </w:r>
      <w:r w:rsidR="003B7934">
        <w:t xml:space="preserve"> 5</w:t>
      </w:r>
      <w:r w:rsidR="00D93476">
        <w:t>; PECO Ex. 1</w:t>
      </w:r>
      <w:r w:rsidR="00D72824">
        <w:t>.</w:t>
      </w:r>
    </w:p>
    <w:p w:rsidR="009A2840" w:rsidRDefault="009A2840" w:rsidP="00605F87">
      <w:pPr>
        <w:spacing w:line="360" w:lineRule="auto"/>
        <w:ind w:firstLine="1440"/>
      </w:pPr>
    </w:p>
    <w:p w:rsidR="00463000" w:rsidRDefault="00463000" w:rsidP="00463000">
      <w:pPr>
        <w:spacing w:line="360" w:lineRule="auto"/>
        <w:ind w:firstLine="1440"/>
      </w:pPr>
      <w:r>
        <w:t>2.</w:t>
      </w:r>
      <w:r>
        <w:tab/>
        <w:t xml:space="preserve">Respondent’s </w:t>
      </w:r>
      <w:r w:rsidR="002E6A45">
        <w:t>Customer Assistance Program (</w:t>
      </w:r>
      <w:r>
        <w:t>CAP</w:t>
      </w:r>
      <w:r w:rsidR="002E6A45">
        <w:t>)</w:t>
      </w:r>
      <w:r>
        <w:t xml:space="preserve"> is for payment troubled customers with </w:t>
      </w:r>
      <w:r w:rsidR="00715D36">
        <w:t xml:space="preserve">household </w:t>
      </w:r>
      <w:r>
        <w:t>incomes at or below 150% of the federal poverty level.  Customers enrolled in CAP receive a discounted rate.  Tr. 43-44</w:t>
      </w:r>
      <w:r w:rsidR="00B45D24">
        <w:t>; PECO Ex. 4.</w:t>
      </w:r>
    </w:p>
    <w:p w:rsidR="00463000" w:rsidRDefault="00463000" w:rsidP="00605F87">
      <w:pPr>
        <w:spacing w:line="360" w:lineRule="auto"/>
        <w:ind w:firstLine="1440"/>
      </w:pPr>
    </w:p>
    <w:p w:rsidR="009A2840" w:rsidRDefault="00463000" w:rsidP="00605F87">
      <w:pPr>
        <w:spacing w:line="360" w:lineRule="auto"/>
        <w:ind w:firstLine="1440"/>
      </w:pPr>
      <w:r>
        <w:t>3</w:t>
      </w:r>
      <w:r w:rsidR="009A2840">
        <w:t>.</w:t>
      </w:r>
      <w:r w:rsidR="009A2840">
        <w:tab/>
      </w:r>
      <w:r w:rsidR="006B1434">
        <w:t>Complainant was initially enrolled in Respondent’s CAP on September 23, 2003.  She was removed from CAP on July 5, 2005</w:t>
      </w:r>
      <w:r w:rsidR="003F0DB9">
        <w:t>, when her household income was 186% of the federal poverty level.  She was re-enrolled in CAP on March 29, 2006, when her household income was 34% of the federal poverty level.</w:t>
      </w:r>
      <w:r w:rsidR="007058A3">
        <w:t xml:space="preserve">  She was removed from CAP on May 16, 2007, when her household income was 187% of the federal poverty level.  She was re-enrolled in CAP on February 21, 2008, when her household income was 57% of the federal poverty level.  She was removed from CAP on July 9, 2008, when her household income was 171% of the</w:t>
      </w:r>
      <w:r w:rsidR="003F0DB9">
        <w:t xml:space="preserve"> </w:t>
      </w:r>
      <w:r w:rsidR="00EA345A">
        <w:t>federal poverty level.  PECO Late-Filed Ex. 5.</w:t>
      </w:r>
    </w:p>
    <w:p w:rsidR="00EA345A" w:rsidRDefault="00EA345A" w:rsidP="00605F87">
      <w:pPr>
        <w:spacing w:line="360" w:lineRule="auto"/>
        <w:ind w:firstLine="1440"/>
      </w:pPr>
    </w:p>
    <w:p w:rsidR="00505DFC" w:rsidRDefault="00B45D24" w:rsidP="00605F87">
      <w:pPr>
        <w:spacing w:line="360" w:lineRule="auto"/>
        <w:ind w:firstLine="1440"/>
      </w:pPr>
      <w:r>
        <w:t>4</w:t>
      </w:r>
      <w:r w:rsidR="009A2840">
        <w:t>.</w:t>
      </w:r>
      <w:r w:rsidR="009A2840">
        <w:tab/>
      </w:r>
      <w:r w:rsidR="00505DFC">
        <w:t xml:space="preserve">Complainant entered into a payment agreement with Respondent on February 8, 2002.  Complainant’s outstanding balance at the time was $1,866.24.  Under the </w:t>
      </w:r>
      <w:r w:rsidR="00505DFC">
        <w:lastRenderedPageBreak/>
        <w:t>terms of the agreement she was to monthly pay her current charges plus $39.00 toward the arrearage.</w:t>
      </w:r>
      <w:r w:rsidR="00C77295">
        <w:t xml:space="preserve">  Complainant failed to comply with the agreement.</w:t>
      </w:r>
      <w:r w:rsidR="00505DFC">
        <w:t xml:space="preserve"> </w:t>
      </w:r>
      <w:r w:rsidR="00983993">
        <w:t xml:space="preserve"> </w:t>
      </w:r>
      <w:r w:rsidR="00E42192">
        <w:t xml:space="preserve">Tr. 34; PECO Ex. 2.  </w:t>
      </w:r>
    </w:p>
    <w:p w:rsidR="00505DFC" w:rsidRDefault="00505DFC" w:rsidP="00605F87">
      <w:pPr>
        <w:spacing w:line="360" w:lineRule="auto"/>
        <w:ind w:firstLine="1440"/>
      </w:pPr>
    </w:p>
    <w:p w:rsidR="00C77295" w:rsidRDefault="00B45D24" w:rsidP="00605F87">
      <w:pPr>
        <w:spacing w:line="360" w:lineRule="auto"/>
        <w:ind w:firstLine="1440"/>
      </w:pPr>
      <w:r>
        <w:t>5</w:t>
      </w:r>
      <w:r w:rsidR="00505DFC">
        <w:t>.</w:t>
      </w:r>
      <w:r w:rsidR="00505DFC">
        <w:tab/>
        <w:t xml:space="preserve">Complainant entered into a payment agreement with Respondent on May 10, 2002.  Complainant’s outstanding balance at the time was $2,723.52.  Under the terms of the agreement she was to monthly pay her current charges plus $40.00 toward the arrearage.  </w:t>
      </w:r>
      <w:r w:rsidR="00C77295">
        <w:t>Complainant failed to comply with the agreement.</w:t>
      </w:r>
      <w:r w:rsidR="00E42192">
        <w:t xml:space="preserve">  Tr. 34; PECO Ex. 2.  </w:t>
      </w:r>
    </w:p>
    <w:p w:rsidR="00B45D24" w:rsidRDefault="00B45D24" w:rsidP="00605F87">
      <w:pPr>
        <w:spacing w:line="360" w:lineRule="auto"/>
        <w:ind w:firstLine="1440"/>
      </w:pPr>
    </w:p>
    <w:p w:rsidR="00C77295" w:rsidRDefault="00B45D24" w:rsidP="00605F87">
      <w:pPr>
        <w:spacing w:line="360" w:lineRule="auto"/>
        <w:ind w:firstLine="1440"/>
      </w:pPr>
      <w:r>
        <w:t>6</w:t>
      </w:r>
      <w:r w:rsidR="00C77295">
        <w:t>.</w:t>
      </w:r>
      <w:r w:rsidR="00C77295">
        <w:tab/>
        <w:t xml:space="preserve">Complainant entered into a payment agreement with Respondent </w:t>
      </w:r>
      <w:r w:rsidR="00505DFC">
        <w:t xml:space="preserve">on June 20, 2006.  Complainant’s outstanding balance at the time was $5,207.60.  She was required to monthly pay her current charges plus $216.99 toward the arrearage.  </w:t>
      </w:r>
      <w:r w:rsidR="00C77295">
        <w:t>Complainant failed to comply with the agreement.</w:t>
      </w:r>
      <w:r w:rsidR="00E42192">
        <w:t xml:space="preserve">  Tr. 34; PECO Ex. 2.  </w:t>
      </w:r>
    </w:p>
    <w:p w:rsidR="00C77295" w:rsidRDefault="00C77295" w:rsidP="00605F87">
      <w:pPr>
        <w:spacing w:line="360" w:lineRule="auto"/>
        <w:ind w:firstLine="1440"/>
      </w:pPr>
    </w:p>
    <w:p w:rsidR="00624946" w:rsidRDefault="00B45D24" w:rsidP="00E42192">
      <w:pPr>
        <w:spacing w:line="360" w:lineRule="auto"/>
        <w:ind w:firstLine="1440"/>
      </w:pPr>
      <w:r>
        <w:t>7</w:t>
      </w:r>
      <w:r w:rsidR="00C77295">
        <w:t>.</w:t>
      </w:r>
      <w:r w:rsidR="00C77295">
        <w:tab/>
        <w:t xml:space="preserve">Complainant entered into a payment agreement with Respondent </w:t>
      </w:r>
      <w:r w:rsidR="00505DFC">
        <w:t xml:space="preserve">on October 4, 2006.  Complainant’s outstanding balance at the time was $5,245.83.  Under the terms of the agreement she was to monthly pay her current charges plus $5.00 toward the arrearage.  </w:t>
      </w:r>
      <w:r w:rsidR="00E42192">
        <w:t xml:space="preserve">Complainant failed to comply with the agreement.  </w:t>
      </w:r>
      <w:r w:rsidR="00505DFC">
        <w:t xml:space="preserve">Tr. 34; PECO Ex. 2.  </w:t>
      </w:r>
    </w:p>
    <w:p w:rsidR="00892AE4" w:rsidRDefault="00892AE4" w:rsidP="00605F87">
      <w:pPr>
        <w:spacing w:line="360" w:lineRule="auto"/>
        <w:ind w:firstLine="1440"/>
      </w:pPr>
    </w:p>
    <w:p w:rsidR="004416F1" w:rsidRDefault="0066693E" w:rsidP="004416F1">
      <w:pPr>
        <w:spacing w:line="360" w:lineRule="auto"/>
        <w:ind w:firstLine="1440"/>
      </w:pPr>
      <w:r>
        <w:t>8</w:t>
      </w:r>
      <w:r w:rsidR="00624946">
        <w:t>.</w:t>
      </w:r>
      <w:r w:rsidR="00624946">
        <w:tab/>
      </w:r>
      <w:r w:rsidR="00F74527">
        <w:t>Complainant</w:t>
      </w:r>
      <w:r w:rsidR="00F74527" w:rsidRPr="00F74527">
        <w:rPr>
          <w:b/>
        </w:rPr>
        <w:t>’</w:t>
      </w:r>
      <w:r w:rsidR="00F74527">
        <w:t>s only payment in 2007 was</w:t>
      </w:r>
      <w:r w:rsidR="00715D36">
        <w:t xml:space="preserve"> made on April 12 in the form of </w:t>
      </w:r>
      <w:r w:rsidR="00F74527">
        <w:t>a Low Income Home Energy Assistance Program (LIHEAP) grant in the amount of $378.00</w:t>
      </w:r>
      <w:r w:rsidR="00715D36">
        <w:t>.</w:t>
      </w:r>
      <w:r w:rsidR="00DD6683">
        <w:t xml:space="preserve"> </w:t>
      </w:r>
      <w:r w:rsidR="00F74527">
        <w:t xml:space="preserve"> </w:t>
      </w:r>
      <w:r w:rsidR="004416F1">
        <w:t>Tr. 33; PECO Ex. 1.</w:t>
      </w:r>
    </w:p>
    <w:p w:rsidR="00F74527" w:rsidRDefault="00F74527" w:rsidP="00605F87">
      <w:pPr>
        <w:spacing w:line="360" w:lineRule="auto"/>
        <w:ind w:firstLine="1440"/>
      </w:pPr>
    </w:p>
    <w:p w:rsidR="004416F1" w:rsidRDefault="0066693E" w:rsidP="004416F1">
      <w:pPr>
        <w:spacing w:line="360" w:lineRule="auto"/>
        <w:ind w:firstLine="1440"/>
      </w:pPr>
      <w:r>
        <w:t>9</w:t>
      </w:r>
      <w:r w:rsidR="00F74527">
        <w:t>.</w:t>
      </w:r>
      <w:r w:rsidR="00F74527">
        <w:tab/>
        <w:t xml:space="preserve">Complainant’s only payment in 2008 was made on November 3 in the amount of $464.00.  </w:t>
      </w:r>
      <w:r w:rsidR="004416F1">
        <w:t>Tr. 33; PECO Ex. 1.</w:t>
      </w:r>
    </w:p>
    <w:p w:rsidR="00F74527" w:rsidRDefault="00F74527" w:rsidP="00605F87">
      <w:pPr>
        <w:spacing w:line="360" w:lineRule="auto"/>
        <w:ind w:firstLine="1440"/>
      </w:pPr>
    </w:p>
    <w:p w:rsidR="00983401" w:rsidRDefault="0066693E" w:rsidP="00605F87">
      <w:pPr>
        <w:spacing w:line="360" w:lineRule="auto"/>
        <w:ind w:firstLine="1440"/>
      </w:pPr>
      <w:r>
        <w:t>10</w:t>
      </w:r>
      <w:r w:rsidR="00F74527">
        <w:t>.</w:t>
      </w:r>
      <w:r w:rsidR="00F74527">
        <w:tab/>
        <w:t xml:space="preserve">As of April 29, 2009, Complainant had made no payments in 2009.  </w:t>
      </w:r>
      <w:r w:rsidR="004416F1">
        <w:t>Tr. 33; PECO Ex. 1.</w:t>
      </w:r>
    </w:p>
    <w:p w:rsidR="004416F1" w:rsidRDefault="004416F1" w:rsidP="00605F87">
      <w:pPr>
        <w:spacing w:line="360" w:lineRule="auto"/>
        <w:ind w:firstLine="1440"/>
      </w:pPr>
    </w:p>
    <w:p w:rsidR="004416F1" w:rsidRDefault="004416F1" w:rsidP="00605F87">
      <w:pPr>
        <w:spacing w:line="360" w:lineRule="auto"/>
        <w:ind w:firstLine="1440"/>
      </w:pPr>
      <w:r>
        <w:t>1</w:t>
      </w:r>
      <w:r w:rsidR="0066693E">
        <w:t>1</w:t>
      </w:r>
      <w:r>
        <w:t>.</w:t>
      </w:r>
      <w:r>
        <w:tab/>
        <w:t>As of April 29, 2009, Complainant’s outstanding balance was $22,375.44.</w:t>
      </w:r>
      <w:r w:rsidR="00463000">
        <w:t xml:space="preserve">  Tr. 33.</w:t>
      </w:r>
    </w:p>
    <w:p w:rsidR="004416F1" w:rsidRDefault="004416F1" w:rsidP="00605F87">
      <w:pPr>
        <w:spacing w:line="360" w:lineRule="auto"/>
        <w:ind w:firstLine="1440"/>
      </w:pPr>
    </w:p>
    <w:p w:rsidR="00BA1D03" w:rsidRDefault="00BA1D03" w:rsidP="00F47739">
      <w:pPr>
        <w:spacing w:line="360" w:lineRule="auto"/>
        <w:jc w:val="center"/>
        <w:rPr>
          <w:u w:val="single"/>
        </w:rPr>
      </w:pPr>
      <w:r>
        <w:rPr>
          <w:u w:val="single"/>
        </w:rPr>
        <w:lastRenderedPageBreak/>
        <w:t>DISCUSSION</w:t>
      </w:r>
    </w:p>
    <w:p w:rsidR="009638C5" w:rsidRDefault="009638C5" w:rsidP="00723D88">
      <w:pPr>
        <w:spacing w:line="360" w:lineRule="auto"/>
        <w:ind w:firstLine="1440"/>
        <w:jc w:val="center"/>
        <w:rPr>
          <w:u w:val="single"/>
        </w:rPr>
      </w:pPr>
    </w:p>
    <w:p w:rsidR="00B36FEB" w:rsidRDefault="009638C5" w:rsidP="009638C5">
      <w:pPr>
        <w:spacing w:line="360" w:lineRule="auto"/>
      </w:pPr>
      <w:r>
        <w:tab/>
      </w:r>
      <w:r>
        <w:tab/>
        <w:t>Section 701 of the Public Utility Code, 66 Pa.C.S. §701, provides that “…any person…may complain in writing, setting forth any act or thing done or omitted to be done by any public utility in violation, or claimed violation, of any law which the commission has jurisdiction to administer, or of any regulation or order of the commission.”  As the complainant seeking affirmative relief from the Commission, M</w:t>
      </w:r>
      <w:r w:rsidR="00DD6683">
        <w:t>s</w:t>
      </w:r>
      <w:r>
        <w:t xml:space="preserve">. </w:t>
      </w:r>
      <w:r w:rsidR="00DD6683">
        <w:t>White</w:t>
      </w:r>
      <w:r>
        <w:t xml:space="preserve"> has the burden of proving the complaint allegations by producing evidence which establishes the material facts by a preponderance of the evidence.  </w:t>
      </w:r>
      <w:r>
        <w:rPr>
          <w:i/>
        </w:rPr>
        <w:t>Darling v. Philadelphia Electric Co</w:t>
      </w:r>
      <w:r>
        <w:t xml:space="preserve">., F-00161139 (November 16, 1993); 66 Pa.C.S. §332(a).  The term “preponderance of the evidence” means that one party has presented evidence that is more convincing, by even the smallest amount, than that presented by the other party.  </w:t>
      </w:r>
      <w:r>
        <w:rPr>
          <w:i/>
        </w:rPr>
        <w:t>Samuel J. Lansberry, Inc. v. Pa. Public Utility Commission</w:t>
      </w:r>
      <w:r>
        <w:t xml:space="preserve">, 578 A.2d 600, 602 (1990), </w:t>
      </w:r>
      <w:r>
        <w:rPr>
          <w:i/>
        </w:rPr>
        <w:t>alloc. den</w:t>
      </w:r>
      <w:r>
        <w:t xml:space="preserve">., 602 A.2d 863 (1992); </w:t>
      </w:r>
      <w:r>
        <w:rPr>
          <w:i/>
        </w:rPr>
        <w:t xml:space="preserve">Se-Ling Hosiery v. </w:t>
      </w:r>
      <w:r w:rsidR="00CD0A2C">
        <w:rPr>
          <w:i/>
        </w:rPr>
        <w:t>Margulies</w:t>
      </w:r>
      <w:r>
        <w:t>, 70 A.2d 854 (1950).  Stated differently, “preponderance” is not dependent on the number of witnesses testifying on either side but rather on the credibility of the testimony in light of all the evidence in a case</w:t>
      </w:r>
      <w:r>
        <w:rPr>
          <w:i/>
        </w:rPr>
        <w:t>.  Burch v. Reading Co</w:t>
      </w:r>
      <w:r>
        <w:t xml:space="preserve">., 240 F.2d 574 (3d Cir. 1957), </w:t>
      </w:r>
      <w:r>
        <w:rPr>
          <w:i/>
        </w:rPr>
        <w:t>cert. denied</w:t>
      </w:r>
      <w:r>
        <w:t>, 353 U.S. 965 (1957).  Additionally, any finding of fact necessary to support the Commission’s adjudication must be based upon substantial evidence</w:t>
      </w:r>
      <w:r>
        <w:rPr>
          <w:i/>
        </w:rPr>
        <w:t xml:space="preserve">.  Mill v. </w:t>
      </w:r>
      <w:smartTag w:uri="urn:schemas-microsoft-com:office:smarttags" w:element="State">
        <w:r>
          <w:rPr>
            <w:i/>
          </w:rPr>
          <w:t>Pa.</w:t>
        </w:r>
      </w:smartTag>
      <w:r>
        <w:rPr>
          <w:i/>
        </w:rPr>
        <w:t xml:space="preserve"> Public Utility</w:t>
      </w:r>
      <w:r>
        <w:t xml:space="preserve"> </w:t>
      </w:r>
      <w:r>
        <w:rPr>
          <w:i/>
        </w:rPr>
        <w:t>Commission</w:t>
      </w:r>
      <w:r>
        <w:t xml:space="preserve">, 447 A.2d 1100 (1982); </w:t>
      </w:r>
      <w:r>
        <w:rPr>
          <w:i/>
        </w:rPr>
        <w:t xml:space="preserve">Edan Transportation Corp. v. </w:t>
      </w:r>
      <w:smartTag w:uri="urn:schemas-microsoft-com:office:smarttags" w:element="place">
        <w:smartTag w:uri="urn:schemas-microsoft-com:office:smarttags" w:element="State">
          <w:r>
            <w:rPr>
              <w:i/>
            </w:rPr>
            <w:t>Pa.</w:t>
          </w:r>
        </w:smartTag>
      </w:smartTag>
      <w:r>
        <w:rPr>
          <w:i/>
        </w:rPr>
        <w:t xml:space="preserve"> Public Utility</w:t>
      </w:r>
      <w:r>
        <w:t xml:space="preserve"> </w:t>
      </w:r>
      <w:r>
        <w:rPr>
          <w:i/>
        </w:rPr>
        <w:t>Commission</w:t>
      </w:r>
      <w:r>
        <w:t xml:space="preserve">, 623 A.2d 6 (1993); 2 Pa.C.S. </w:t>
      </w:r>
    </w:p>
    <w:p w:rsidR="009638C5" w:rsidRDefault="009638C5" w:rsidP="009638C5">
      <w:pPr>
        <w:spacing w:line="360" w:lineRule="auto"/>
      </w:pPr>
      <w:r>
        <w:t xml:space="preserve">§ 704.  Substantial evidence has been defined as such relevant evidence as a reasonable mind might accept as adequate to support a conclusion.  </w:t>
      </w:r>
      <w:r>
        <w:rPr>
          <w:i/>
        </w:rPr>
        <w:t>Bethenergy Mines, Inc. v. Workmen’s Compensation Appeal Bd. (Skirpan),</w:t>
      </w:r>
      <w:r>
        <w:t xml:space="preserve"> 531 </w:t>
      </w:r>
      <w:smartTag w:uri="urn:schemas-microsoft-com:office:smarttags" w:element="place">
        <w:smartTag w:uri="urn:schemas-microsoft-com:office:smarttags" w:element="State">
          <w:r>
            <w:t>Pa.</w:t>
          </w:r>
        </w:smartTag>
      </w:smartTag>
      <w:r>
        <w:t xml:space="preserve"> 287, 612 A.2d 434 (1992).  More is required than a mere trace of evidence or a suspicion of the existence of a fact sought to be established.  </w:t>
      </w:r>
      <w:smartTag w:uri="urn:schemas-microsoft-com:office:smarttags" w:element="City">
        <w:r>
          <w:rPr>
            <w:i/>
          </w:rPr>
          <w:t>Norfolk</w:t>
        </w:r>
      </w:smartTag>
      <w:r>
        <w:rPr>
          <w:i/>
        </w:rPr>
        <w:t xml:space="preserve"> and Western Ry. </w:t>
      </w:r>
      <w:r w:rsidR="0058578E">
        <w:rPr>
          <w:i/>
        </w:rPr>
        <w:t>v</w:t>
      </w:r>
      <w:r>
        <w:rPr>
          <w:i/>
        </w:rPr>
        <w:t xml:space="preserve">. </w:t>
      </w:r>
      <w:smartTag w:uri="urn:schemas-microsoft-com:office:smarttags" w:element="State">
        <w:r>
          <w:rPr>
            <w:i/>
          </w:rPr>
          <w:t>Pa.</w:t>
        </w:r>
      </w:smartTag>
      <w:r>
        <w:rPr>
          <w:i/>
        </w:rPr>
        <w:t xml:space="preserve"> Public Utility</w:t>
      </w:r>
      <w:r>
        <w:t xml:space="preserve"> </w:t>
      </w:r>
      <w:r>
        <w:rPr>
          <w:i/>
        </w:rPr>
        <w:t>Commission,</w:t>
      </w:r>
      <w:r>
        <w:t xml:space="preserve"> 489 </w:t>
      </w:r>
      <w:smartTag w:uri="urn:schemas-microsoft-com:office:smarttags" w:element="State">
        <w:r>
          <w:t>Pa.</w:t>
        </w:r>
      </w:smartTag>
      <w:r>
        <w:t xml:space="preserve"> 109, 413 A.2d 1037 (1980); </w:t>
      </w:r>
      <w:r>
        <w:rPr>
          <w:i/>
        </w:rPr>
        <w:t>Erie Resistor Corp. v. Unemployment</w:t>
      </w:r>
      <w:r>
        <w:t xml:space="preserve"> </w:t>
      </w:r>
      <w:r>
        <w:rPr>
          <w:i/>
        </w:rPr>
        <w:t>Compensation Bd. of Review</w:t>
      </w:r>
      <w:r>
        <w:t xml:space="preserve">, 194 </w:t>
      </w:r>
      <w:smartTag w:uri="urn:schemas-microsoft-com:office:smarttags" w:element="place">
        <w:smartTag w:uri="urn:schemas-microsoft-com:office:smarttags" w:element="State">
          <w:r>
            <w:t>Pa.</w:t>
          </w:r>
        </w:smartTag>
      </w:smartTag>
      <w:r>
        <w:t xml:space="preserve"> Super. 278, 166 A.2d 96 (1960); </w:t>
      </w:r>
      <w:r>
        <w:rPr>
          <w:i/>
        </w:rPr>
        <w:t>Murphy v. Dept. of</w:t>
      </w:r>
      <w:r>
        <w:t xml:space="preserve"> </w:t>
      </w:r>
      <w:r>
        <w:rPr>
          <w:i/>
        </w:rPr>
        <w:t>Public Welfare</w:t>
      </w:r>
      <w:r>
        <w:t xml:space="preserve">, 85 </w:t>
      </w:r>
      <w:smartTag w:uri="urn:schemas-microsoft-com:office:smarttags" w:element="place">
        <w:smartTag w:uri="urn:schemas-microsoft-com:office:smarttags" w:element="State">
          <w:r>
            <w:t>Pa.</w:t>
          </w:r>
        </w:smartTag>
      </w:smartTag>
      <w:r>
        <w:t xml:space="preserve"> Commw. 23, 480 A.2d 382 (1984).</w:t>
      </w:r>
    </w:p>
    <w:p w:rsidR="001026DE" w:rsidRDefault="001026DE" w:rsidP="009638C5">
      <w:pPr>
        <w:spacing w:line="360" w:lineRule="auto"/>
      </w:pPr>
    </w:p>
    <w:p w:rsidR="00355DD6" w:rsidRDefault="001026DE" w:rsidP="009638C5">
      <w:pPr>
        <w:spacing w:line="360" w:lineRule="auto"/>
      </w:pPr>
      <w:r>
        <w:tab/>
      </w:r>
      <w:r>
        <w:tab/>
        <w:t>In the present case, Complainant</w:t>
      </w:r>
      <w:r w:rsidR="00472437">
        <w:t xml:space="preserve"> requests an affordable payment agreement</w:t>
      </w:r>
      <w:r w:rsidR="00F30359">
        <w:t>.</w:t>
      </w:r>
      <w:r w:rsidR="00472437">
        <w:t xml:space="preserve">  As of the hearing</w:t>
      </w:r>
      <w:r w:rsidR="00F9114D">
        <w:t xml:space="preserve"> </w:t>
      </w:r>
      <w:r w:rsidR="00472437">
        <w:t xml:space="preserve">on April 29, 2009, </w:t>
      </w:r>
      <w:r w:rsidR="00F9114D">
        <w:t xml:space="preserve">Complainant </w:t>
      </w:r>
      <w:r w:rsidR="003567EF">
        <w:t xml:space="preserve">owed Respondent a total of $22,375.44 for gas and electric service.  Complainant proposed a payment agreement requiring her to </w:t>
      </w:r>
      <w:r w:rsidR="001D237C">
        <w:t xml:space="preserve">monthly </w:t>
      </w:r>
      <w:r w:rsidR="003567EF">
        <w:t xml:space="preserve">pay </w:t>
      </w:r>
      <w:r w:rsidR="001D237C">
        <w:lastRenderedPageBreak/>
        <w:t>current charges, which she said was approximately $565.00, plus $100.00</w:t>
      </w:r>
      <w:r w:rsidR="00556667">
        <w:t xml:space="preserve"> toward the arrearage.  Tr. 25, 37.</w:t>
      </w:r>
    </w:p>
    <w:p w:rsidR="00EC4BDB" w:rsidRDefault="00EC4BDB" w:rsidP="009638C5">
      <w:pPr>
        <w:spacing w:line="360" w:lineRule="auto"/>
      </w:pPr>
    </w:p>
    <w:p w:rsidR="00EC4BDB" w:rsidRDefault="00EC4BDB" w:rsidP="009638C5">
      <w:pPr>
        <w:spacing w:line="360" w:lineRule="auto"/>
      </w:pPr>
      <w:r>
        <w:tab/>
      </w:r>
      <w:r>
        <w:tab/>
        <w:t>The Commission is restrained from establishing or ordering a public utility to establish</w:t>
      </w:r>
      <w:r w:rsidR="00E10780">
        <w:t xml:space="preserve"> a second or subsequent payment agreement </w:t>
      </w:r>
      <w:r w:rsidR="00053271">
        <w:t xml:space="preserve">when there is no change in </w:t>
      </w:r>
      <w:r w:rsidR="00E10780">
        <w:t>a customer</w:t>
      </w:r>
      <w:r w:rsidR="00053271">
        <w:t>’s income and the customer</w:t>
      </w:r>
      <w:r w:rsidR="00E10780">
        <w:t xml:space="preserve"> has failed to comply with a previous payment agreement.  The Public Utility Code states</w:t>
      </w:r>
      <w:r w:rsidR="00CC76EE">
        <w:t>:</w:t>
      </w:r>
    </w:p>
    <w:p w:rsidR="00CC76EE" w:rsidRDefault="00CC76EE" w:rsidP="009638C5">
      <w:pPr>
        <w:spacing w:line="360" w:lineRule="auto"/>
      </w:pPr>
    </w:p>
    <w:p w:rsidR="00CC76EE" w:rsidRPr="00100BDB" w:rsidRDefault="00CC76EE" w:rsidP="0050738E">
      <w:pPr>
        <w:spacing w:line="360" w:lineRule="auto"/>
        <w:ind w:left="1440" w:right="1440"/>
        <w:rPr>
          <w:b/>
        </w:rPr>
      </w:pPr>
      <w:r w:rsidRPr="00100BDB">
        <w:rPr>
          <w:b/>
        </w:rPr>
        <w:t>§ 1405.</w:t>
      </w:r>
      <w:r w:rsidRPr="00100BDB">
        <w:rPr>
          <w:b/>
        </w:rPr>
        <w:tab/>
        <w:t>Payment agreements</w:t>
      </w:r>
    </w:p>
    <w:p w:rsidR="00CC76EE" w:rsidRDefault="00CC76EE" w:rsidP="0050738E">
      <w:pPr>
        <w:spacing w:line="360" w:lineRule="auto"/>
        <w:ind w:left="1440" w:right="1440"/>
        <w:jc w:val="center"/>
      </w:pPr>
      <w:r>
        <w:t>******</w:t>
      </w:r>
    </w:p>
    <w:p w:rsidR="00CC76EE" w:rsidRDefault="00C57605" w:rsidP="00DD6683">
      <w:pPr>
        <w:ind w:left="1440" w:right="1440"/>
      </w:pPr>
      <w:r>
        <w:t xml:space="preserve">    </w:t>
      </w:r>
      <w:r w:rsidRPr="00100BDB">
        <w:rPr>
          <w:b/>
        </w:rPr>
        <w:t>(d)   Number of payment agreements.</w:t>
      </w:r>
      <w:r>
        <w:t xml:space="preserve">-Absent a change in income, the commission shall not establish </w:t>
      </w:r>
      <w:r w:rsidR="00696085">
        <w:t xml:space="preserve">or order a public utility to establish a second or subsequent payment agreement if a customer has defaulted on a previous payment agreement.  </w:t>
      </w:r>
      <w:r w:rsidR="00F06860">
        <w:t>A public utility may, at its discretion, enter into a second or subsequent payment agreement with a customer.</w:t>
      </w:r>
    </w:p>
    <w:p w:rsidR="00F06860" w:rsidRDefault="00F06860" w:rsidP="009638C5">
      <w:pPr>
        <w:spacing w:line="360" w:lineRule="auto"/>
      </w:pPr>
    </w:p>
    <w:p w:rsidR="00F06860" w:rsidRDefault="00F06860" w:rsidP="009638C5">
      <w:pPr>
        <w:spacing w:line="360" w:lineRule="auto"/>
      </w:pPr>
      <w:r>
        <w:t>66 Pa.C.S. § 1405(d).</w:t>
      </w:r>
    </w:p>
    <w:p w:rsidR="00053271" w:rsidRDefault="00053271" w:rsidP="009638C5">
      <w:pPr>
        <w:spacing w:line="360" w:lineRule="auto"/>
      </w:pPr>
    </w:p>
    <w:p w:rsidR="00AF63AD" w:rsidRDefault="00053271" w:rsidP="009638C5">
      <w:pPr>
        <w:spacing w:line="360" w:lineRule="auto"/>
      </w:pPr>
      <w:r>
        <w:tab/>
      </w:r>
      <w:r>
        <w:tab/>
        <w:t xml:space="preserve">A “change in income” is defined as “[a] decrease in household income of 20% or more if the customer’s household income level exceeds 200% of the Federal poverty level </w:t>
      </w:r>
      <w:r w:rsidR="006F01FB">
        <w:t xml:space="preserve">or </w:t>
      </w:r>
      <w:r w:rsidR="00781656">
        <w:t>a decrease in household income of 10% or more if the customer’s household income level is 200</w:t>
      </w:r>
      <w:r w:rsidR="00100BDB">
        <w:t>%</w:t>
      </w:r>
      <w:r w:rsidR="00781656">
        <w:t xml:space="preserve"> or less of the Federal poverty level.”  66 Pa.C.S.</w:t>
      </w:r>
      <w:r w:rsidR="00F35D60">
        <w:t xml:space="preserve"> § 1403.</w:t>
      </w:r>
      <w:r w:rsidR="00AF63AD">
        <w:t xml:space="preserve">  </w:t>
      </w:r>
      <w:r w:rsidR="00100BDB">
        <w:t xml:space="preserve">Record evidence </w:t>
      </w:r>
      <w:r w:rsidR="00F35D60">
        <w:t xml:space="preserve">shows that Complainant </w:t>
      </w:r>
      <w:r w:rsidR="00117D89">
        <w:t xml:space="preserve">did not have </w:t>
      </w:r>
      <w:r w:rsidR="00F35D60">
        <w:t xml:space="preserve">a “change in income” as defined in the Public Utility Code.  In fact, her income increased, which is the reason why she was removed from Respondent’s </w:t>
      </w:r>
      <w:r w:rsidR="009040A1">
        <w:t xml:space="preserve">Customer Assistance Program (CAP), a </w:t>
      </w:r>
      <w:r w:rsidR="00F35D60">
        <w:t xml:space="preserve">program </w:t>
      </w:r>
      <w:r w:rsidR="009040A1">
        <w:t xml:space="preserve">which provides </w:t>
      </w:r>
      <w:r w:rsidR="00F35D60">
        <w:t>payment troubled low income customers</w:t>
      </w:r>
      <w:r w:rsidR="005B0DAA">
        <w:t xml:space="preserve"> a discounted rate for energy service.</w:t>
      </w:r>
      <w:r w:rsidR="00C10424">
        <w:t xml:space="preserve">  On July 9, 2008, Complainant</w:t>
      </w:r>
      <w:r w:rsidR="005B0DAA">
        <w:t xml:space="preserve"> </w:t>
      </w:r>
      <w:r w:rsidR="00C10424">
        <w:t xml:space="preserve">was removed from CAP when she provided evidence of </w:t>
      </w:r>
      <w:r w:rsidR="00100BDB">
        <w:t xml:space="preserve">gross </w:t>
      </w:r>
      <w:r w:rsidR="00805A8D">
        <w:t xml:space="preserve">monthly </w:t>
      </w:r>
      <w:r w:rsidR="00C10424">
        <w:t>household income in the amount of $4,061.00 for three adults and three children, which is 171% of the federal poverty level.</w:t>
      </w:r>
      <w:r w:rsidR="0050738E">
        <w:t xml:space="preserve"> </w:t>
      </w:r>
      <w:r w:rsidR="005B0DAA">
        <w:t xml:space="preserve"> </w:t>
      </w:r>
      <w:r w:rsidR="00117D89">
        <w:t xml:space="preserve">To be CAP-eligible, a customer’s gross monthly household income must fall below 150% of the federal poverty level, according to </w:t>
      </w:r>
      <w:r w:rsidR="00726E16">
        <w:t>Respondent’s witness.</w:t>
      </w:r>
      <w:r w:rsidR="00047D53">
        <w:t xml:space="preserve">  Tr. 43-44; PECO Late-Filed Ex. 5.</w:t>
      </w:r>
      <w:r w:rsidR="00726E16">
        <w:t xml:space="preserve">  </w:t>
      </w:r>
      <w:r w:rsidR="005B0DAA">
        <w:t>Therefore, Complainant does not qualify for a payment agreement as a result of a change in income.</w:t>
      </w:r>
      <w:r w:rsidR="00160D45">
        <w:t xml:space="preserve">  66 Pa.C.S. </w:t>
      </w:r>
      <w:r w:rsidR="00047D53">
        <w:t>§</w:t>
      </w:r>
      <w:r w:rsidR="00160D45">
        <w:t xml:space="preserve"> </w:t>
      </w:r>
      <w:r w:rsidR="00047D53">
        <w:t>1405(d).</w:t>
      </w:r>
      <w:r w:rsidR="005B0DAA">
        <w:t xml:space="preserve">  </w:t>
      </w:r>
    </w:p>
    <w:p w:rsidR="00702543" w:rsidRDefault="005B0DAA" w:rsidP="00743E36">
      <w:pPr>
        <w:spacing w:line="360" w:lineRule="auto"/>
        <w:ind w:firstLine="1440"/>
      </w:pPr>
      <w:r>
        <w:lastRenderedPageBreak/>
        <w:t xml:space="preserve">Record evidence also shows that Complainant defaulted on four payment agreements that </w:t>
      </w:r>
      <w:r w:rsidR="00283F84">
        <w:t xml:space="preserve">she entered into with Respondent.  </w:t>
      </w:r>
      <w:r w:rsidR="00743E36">
        <w:t xml:space="preserve">The first payment agreement was entered into on February 8, 2002.  Complainant’s outstanding balance at the time was $1,866.24.  Under the terms of the agreement she was to monthly pay her current charges plus $39.00 toward the arrearage.  The second payment agreement was entered into on May 10, 2002.  Complainant’s outstanding balance at the time was $2,723.52.  Under the terms of the agreement she was to monthly pay her current charges plus $40.00 toward the arrearage.  The third payment agreement was entered into on June 20, 2006.  Complainant’s outstanding balance at the time was $5,207.60.  She was required to monthly pay her current charges plus $216.99 toward the arrearage.  The fourth payment agreement was entered into on October 4, 2006.  Complainant’s outstanding balance at the time was $5,245.83.  Under the terms of the agreement she was to monthly pay her current charges plus $5.00 toward the arrearage.  Tr. 34; PECO Ex. 2.  Because Complainant failed to comply with the </w:t>
      </w:r>
      <w:r w:rsidR="00B226D7">
        <w:t xml:space="preserve">four </w:t>
      </w:r>
      <w:r w:rsidR="00743E36">
        <w:t xml:space="preserve">payment agreements, </w:t>
      </w:r>
      <w:r w:rsidR="00283F84">
        <w:t>the Commission cannot order Respondent to enter into another payment agreement with her.</w:t>
      </w:r>
      <w:r w:rsidR="00160D45">
        <w:t xml:space="preserve">  66 Pa.C.S. § 1405(d).</w:t>
      </w:r>
      <w:r w:rsidR="00283F84">
        <w:t xml:space="preserve">  </w:t>
      </w:r>
    </w:p>
    <w:p w:rsidR="00702543" w:rsidRDefault="00702543" w:rsidP="00743E36">
      <w:pPr>
        <w:spacing w:line="360" w:lineRule="auto"/>
        <w:ind w:firstLine="1440"/>
      </w:pPr>
    </w:p>
    <w:p w:rsidR="00F35D60" w:rsidRDefault="00283F84" w:rsidP="00743E36">
      <w:pPr>
        <w:spacing w:line="360" w:lineRule="auto"/>
        <w:ind w:firstLine="1440"/>
      </w:pPr>
      <w:r>
        <w:t>The record does not show that the Commission has ever established a payment agreement for Complainant.</w:t>
      </w:r>
      <w:r w:rsidR="008D7402">
        <w:t xml:space="preserve">  </w:t>
      </w:r>
      <w:r w:rsidR="005C3693">
        <w:t xml:space="preserve">The Commission </w:t>
      </w:r>
      <w:r w:rsidR="00160D45">
        <w:t>has interpreted Section 1405(d) of the Public Utility Code</w:t>
      </w:r>
      <w:r w:rsidR="00A05912">
        <w:t xml:space="preserve"> to allow it to </w:t>
      </w:r>
      <w:r w:rsidR="005C3693">
        <w:t>establish a payment agreement for a customer</w:t>
      </w:r>
      <w:r w:rsidR="00B510CA">
        <w:t xml:space="preserve">.  </w:t>
      </w:r>
      <w:r w:rsidR="00B510CA" w:rsidRPr="00B510CA">
        <w:rPr>
          <w:i/>
        </w:rPr>
        <w:t>Chapter 14 Implementation, Reconsideration of Implementation</w:t>
      </w:r>
      <w:r w:rsidR="00B510CA">
        <w:t xml:space="preserve"> </w:t>
      </w:r>
      <w:r w:rsidR="00B510CA" w:rsidRPr="00B510CA">
        <w:rPr>
          <w:i/>
        </w:rPr>
        <w:t>Order,</w:t>
      </w:r>
      <w:r w:rsidR="00B510CA">
        <w:t xml:space="preserve"> M-00041802F0002 (October 31, 2005).  </w:t>
      </w:r>
      <w:r w:rsidR="008D7402">
        <w:t xml:space="preserve">However, given </w:t>
      </w:r>
      <w:r w:rsidR="00726E16">
        <w:t xml:space="preserve">Complainant’s </w:t>
      </w:r>
      <w:r w:rsidR="008D7402">
        <w:t xml:space="preserve">failure to comply with four payment agreements that she entered into with Respondent, and her poor payment history, </w:t>
      </w:r>
      <w:r w:rsidR="00CA07D7">
        <w:t>I do not find a</w:t>
      </w:r>
      <w:r w:rsidR="008D7402">
        <w:t xml:space="preserve"> basis for the Commission to establish a payment agreement </w:t>
      </w:r>
      <w:r w:rsidR="000D4361">
        <w:t>for</w:t>
      </w:r>
      <w:r w:rsidR="00A05912">
        <w:t xml:space="preserve"> Complainant</w:t>
      </w:r>
      <w:r w:rsidR="000D4361">
        <w:t>.</w:t>
      </w:r>
      <w:r w:rsidR="00FE24CD">
        <w:t xml:space="preserve">  Complainant’s only payment in 2007 was</w:t>
      </w:r>
      <w:r w:rsidR="00A05912">
        <w:t xml:space="preserve"> made on April 12 in form of </w:t>
      </w:r>
      <w:r w:rsidR="00FE24CD">
        <w:t xml:space="preserve">a Low Income Home Energy Assistance Program (LIHEAP) grant </w:t>
      </w:r>
      <w:r w:rsidR="00BD77DC">
        <w:t>in the amount of $378.00</w:t>
      </w:r>
      <w:r w:rsidR="00FF6FF9">
        <w:t xml:space="preserve">.  Complainant’s only payment </w:t>
      </w:r>
      <w:r w:rsidR="00BD77DC">
        <w:t>in 2008</w:t>
      </w:r>
      <w:r w:rsidR="00FF6FF9">
        <w:t xml:space="preserve"> was made on November 3 in the amount of $464.00</w:t>
      </w:r>
      <w:r w:rsidR="00BD77DC">
        <w:t>.</w:t>
      </w:r>
      <w:r w:rsidR="008A4D88">
        <w:t xml:space="preserve">  </w:t>
      </w:r>
      <w:r w:rsidR="00BD77DC">
        <w:t xml:space="preserve">As of the hearing on April 29, 2009, Complainant had made no payments in 2009.  </w:t>
      </w:r>
      <w:r w:rsidR="008A4D88">
        <w:t xml:space="preserve">I also note that even if the Commission did establish a payment agreement for Complainant, she would be required to pay her outstanding arrearage within two years, </w:t>
      </w:r>
      <w:r w:rsidR="00075632">
        <w:t xml:space="preserve">while still paying current charges monthly.  </w:t>
      </w:r>
      <w:r w:rsidR="00CA07D7">
        <w:t xml:space="preserve">As of the hearing, Complainant’s household income placed her at 171% of the federal poverty level.  </w:t>
      </w:r>
      <w:r w:rsidR="00075632">
        <w:t xml:space="preserve">The Public Utility Code provides that customers with a gross monthly household income level exceeding 150% and not more than 250% of the </w:t>
      </w:r>
      <w:r w:rsidR="00DE742D">
        <w:t>f</w:t>
      </w:r>
      <w:r w:rsidR="00075632">
        <w:t>ederal poverty level</w:t>
      </w:r>
      <w:r w:rsidR="00DE742D">
        <w:t xml:space="preserve"> must extinguish their outstanding arrearage in no more than </w:t>
      </w:r>
      <w:r w:rsidR="00DE742D">
        <w:lastRenderedPageBreak/>
        <w:t xml:space="preserve">two years.  66 Pa.C.S. § 1405(b)(2).  Given Complainant’s outstanding balance as of the hearing of $22, </w:t>
      </w:r>
      <w:r w:rsidR="00BA2F3B">
        <w:t>375.44, she would be required to pay $932.31 a month over two years to extinguish her arrearage,</w:t>
      </w:r>
      <w:r w:rsidR="0012085E">
        <w:rPr>
          <w:rStyle w:val="FootnoteReference"/>
        </w:rPr>
        <w:footnoteReference w:id="2"/>
      </w:r>
      <w:r w:rsidR="00BA2F3B">
        <w:t xml:space="preserve"> while still paying current monthly charges.</w:t>
      </w:r>
      <w:r w:rsidR="006F01FB">
        <w:t xml:space="preserve">  Complainant has requested that she pay only $100.00 a month toward her arrearage plus current charges.</w:t>
      </w:r>
      <w:r w:rsidR="00CD1A0D">
        <w:t xml:space="preserve">  The amount that Complainant has requested to pay toward her arrearage is far less than </w:t>
      </w:r>
      <w:r w:rsidR="00F5364D">
        <w:t xml:space="preserve">what </w:t>
      </w:r>
      <w:r w:rsidR="00CD1A0D">
        <w:t>is required under the Public Utility Code.</w:t>
      </w:r>
      <w:r w:rsidR="00F5364D">
        <w:t xml:space="preserve">  For all of the foregoing reasons, I find that Complainant did not meet her burden of proving that Respondent </w:t>
      </w:r>
      <w:r w:rsidR="00F1746D">
        <w:t xml:space="preserve">violated the law by not </w:t>
      </w:r>
      <w:r w:rsidR="00F5364D">
        <w:t>enter</w:t>
      </w:r>
      <w:r w:rsidR="00F1746D">
        <w:t>ing</w:t>
      </w:r>
      <w:r w:rsidR="00F5364D">
        <w:t xml:space="preserve"> into another payment agreement with her or that </w:t>
      </w:r>
      <w:r w:rsidR="00CA679F">
        <w:t>the Commission should establish a payment agreement for her.  I must therefore dismiss the complaint.</w:t>
      </w:r>
    </w:p>
    <w:p w:rsidR="0091165A" w:rsidRDefault="00355DD6" w:rsidP="009638C5">
      <w:pPr>
        <w:spacing w:line="360" w:lineRule="auto"/>
      </w:pPr>
      <w:r>
        <w:tab/>
      </w:r>
      <w:r>
        <w:tab/>
      </w:r>
    </w:p>
    <w:p w:rsidR="0020453F" w:rsidRPr="00A42312" w:rsidRDefault="0020453F" w:rsidP="00A25E54">
      <w:pPr>
        <w:spacing w:line="360" w:lineRule="auto"/>
        <w:jc w:val="center"/>
        <w:rPr>
          <w:u w:val="single"/>
        </w:rPr>
      </w:pPr>
      <w:r w:rsidRPr="00A42312">
        <w:rPr>
          <w:u w:val="single"/>
        </w:rPr>
        <w:t>CONCLUSIONS OF LAW</w:t>
      </w:r>
    </w:p>
    <w:p w:rsidR="0020453F" w:rsidRDefault="0020453F" w:rsidP="0020453F">
      <w:pPr>
        <w:spacing w:line="360" w:lineRule="auto"/>
      </w:pPr>
    </w:p>
    <w:p w:rsidR="0020453F" w:rsidRDefault="0020453F" w:rsidP="0020453F">
      <w:pPr>
        <w:spacing w:line="360" w:lineRule="auto"/>
        <w:ind w:firstLine="1440"/>
      </w:pPr>
      <w:r>
        <w:t>1.</w:t>
      </w:r>
      <w:r>
        <w:tab/>
        <w:t>The Commission has jurisdiction over the parties and the subject matter of this proceeding.</w:t>
      </w:r>
      <w:r w:rsidR="00536EC2">
        <w:t xml:space="preserve"> </w:t>
      </w:r>
      <w:r>
        <w:t xml:space="preserve"> 66 </w:t>
      </w:r>
      <w:smartTag w:uri="urn:schemas-microsoft-com:office:smarttags" w:element="place">
        <w:smartTag w:uri="urn:schemas-microsoft-com:office:smarttags" w:element="State">
          <w:r>
            <w:t>Pa.</w:t>
          </w:r>
        </w:smartTag>
      </w:smartTag>
      <w:r>
        <w:t xml:space="preserve"> C.S. §701.</w:t>
      </w:r>
    </w:p>
    <w:p w:rsidR="0020453F" w:rsidRDefault="0020453F" w:rsidP="0020453F">
      <w:pPr>
        <w:spacing w:line="360" w:lineRule="auto"/>
      </w:pPr>
    </w:p>
    <w:p w:rsidR="0020453F" w:rsidRDefault="0020453F" w:rsidP="0020453F">
      <w:pPr>
        <w:spacing w:line="360" w:lineRule="auto"/>
        <w:ind w:firstLine="1440"/>
      </w:pPr>
      <w:r>
        <w:t>2.</w:t>
      </w:r>
      <w:r>
        <w:tab/>
        <w:t xml:space="preserve">Complainant </w:t>
      </w:r>
      <w:r w:rsidR="00083518">
        <w:t>had</w:t>
      </w:r>
      <w:r>
        <w:t xml:space="preserve"> the burden of proof.</w:t>
      </w:r>
    </w:p>
    <w:p w:rsidR="007B3AC9" w:rsidRDefault="007B3AC9" w:rsidP="0020453F">
      <w:pPr>
        <w:spacing w:line="360" w:lineRule="auto"/>
        <w:ind w:firstLine="1440"/>
      </w:pPr>
    </w:p>
    <w:p w:rsidR="007B3AC9" w:rsidRDefault="007B3AC9" w:rsidP="0020453F">
      <w:pPr>
        <w:spacing w:line="360" w:lineRule="auto"/>
        <w:ind w:firstLine="1440"/>
      </w:pPr>
      <w:r>
        <w:t>3.</w:t>
      </w:r>
      <w:r>
        <w:tab/>
        <w:t xml:space="preserve">Complainant failed to meet </w:t>
      </w:r>
      <w:r w:rsidR="00502504">
        <w:t>h</w:t>
      </w:r>
      <w:r w:rsidR="003866EC">
        <w:t>er</w:t>
      </w:r>
      <w:r w:rsidR="00502504">
        <w:t xml:space="preserve"> </w:t>
      </w:r>
      <w:r>
        <w:t>burden of proof.</w:t>
      </w:r>
    </w:p>
    <w:p w:rsidR="003866EC" w:rsidRDefault="003866EC" w:rsidP="0020453F">
      <w:pPr>
        <w:spacing w:line="360" w:lineRule="auto"/>
        <w:ind w:firstLine="1440"/>
      </w:pPr>
    </w:p>
    <w:p w:rsidR="0020453F" w:rsidRDefault="0020453F" w:rsidP="0020453F">
      <w:pPr>
        <w:spacing w:line="360" w:lineRule="auto"/>
        <w:ind w:firstLine="1440"/>
      </w:pPr>
      <w:r>
        <w:t>4.</w:t>
      </w:r>
      <w:r>
        <w:tab/>
      </w:r>
      <w:r w:rsidR="005A4C82">
        <w:t>Respondent</w:t>
      </w:r>
      <w:r>
        <w:t xml:space="preserve"> has not violated any provision of the P</w:t>
      </w:r>
      <w:r w:rsidR="007B3AC9">
        <w:t>ublic Utility Code, Commission r</w:t>
      </w:r>
      <w:r>
        <w:t xml:space="preserve">egulation or any Commission </w:t>
      </w:r>
      <w:r w:rsidR="007B3AC9">
        <w:t>o</w:t>
      </w:r>
      <w:r>
        <w:t>rder.</w:t>
      </w:r>
    </w:p>
    <w:p w:rsidR="0020453F" w:rsidRDefault="0020453F" w:rsidP="0020453F">
      <w:pPr>
        <w:spacing w:line="360" w:lineRule="auto"/>
      </w:pPr>
    </w:p>
    <w:p w:rsidR="0020453F" w:rsidRPr="00A42312" w:rsidRDefault="007A6450" w:rsidP="0020453F">
      <w:pPr>
        <w:spacing w:line="360" w:lineRule="auto"/>
        <w:jc w:val="center"/>
        <w:rPr>
          <w:u w:val="single"/>
        </w:rPr>
      </w:pPr>
      <w:r>
        <w:rPr>
          <w:u w:val="single"/>
        </w:rPr>
        <w:br w:type="page"/>
      </w:r>
      <w:r w:rsidR="003C6A4C">
        <w:rPr>
          <w:u w:val="single"/>
        </w:rPr>
        <w:lastRenderedPageBreak/>
        <w:t>O</w:t>
      </w:r>
      <w:r w:rsidR="0020453F" w:rsidRPr="00A42312">
        <w:rPr>
          <w:u w:val="single"/>
        </w:rPr>
        <w:t>RDER</w:t>
      </w:r>
    </w:p>
    <w:p w:rsidR="0020453F" w:rsidRDefault="0020453F" w:rsidP="0020453F">
      <w:pPr>
        <w:spacing w:line="360" w:lineRule="auto"/>
      </w:pPr>
    </w:p>
    <w:p w:rsidR="0020453F" w:rsidRDefault="0020453F" w:rsidP="0020453F">
      <w:pPr>
        <w:spacing w:line="360" w:lineRule="auto"/>
        <w:ind w:firstLine="1440"/>
      </w:pPr>
      <w:r>
        <w:t>THEREFORE,</w:t>
      </w:r>
    </w:p>
    <w:p w:rsidR="0020453F" w:rsidRDefault="0020453F" w:rsidP="0020453F">
      <w:pPr>
        <w:spacing w:line="360" w:lineRule="auto"/>
        <w:ind w:firstLine="1440"/>
      </w:pPr>
    </w:p>
    <w:p w:rsidR="0020453F" w:rsidRDefault="0020453F" w:rsidP="0020453F">
      <w:pPr>
        <w:spacing w:line="360" w:lineRule="auto"/>
        <w:ind w:firstLine="1440"/>
      </w:pPr>
      <w:r>
        <w:t>IT IS ORDERED:</w:t>
      </w:r>
    </w:p>
    <w:p w:rsidR="0020453F" w:rsidRDefault="0020453F" w:rsidP="0020453F">
      <w:pPr>
        <w:spacing w:line="360" w:lineRule="auto"/>
      </w:pPr>
    </w:p>
    <w:p w:rsidR="0020453F" w:rsidRDefault="0020453F" w:rsidP="0020453F">
      <w:pPr>
        <w:spacing w:line="360" w:lineRule="auto"/>
        <w:ind w:firstLine="1440"/>
      </w:pPr>
      <w:r>
        <w:t>1.</w:t>
      </w:r>
      <w:r>
        <w:tab/>
        <w:t xml:space="preserve">That the </w:t>
      </w:r>
      <w:r w:rsidR="00ED62ED">
        <w:t>c</w:t>
      </w:r>
      <w:r>
        <w:t xml:space="preserve">omplaint filed by </w:t>
      </w:r>
      <w:r w:rsidR="00075836">
        <w:t xml:space="preserve">Malinda White </w:t>
      </w:r>
      <w:r>
        <w:t xml:space="preserve">against </w:t>
      </w:r>
      <w:r w:rsidR="001053CE">
        <w:t xml:space="preserve">PECO Energy Company </w:t>
      </w:r>
      <w:r>
        <w:t xml:space="preserve">at Docket No. </w:t>
      </w:r>
      <w:r w:rsidR="00075836">
        <w:t xml:space="preserve">C-2008-2062351 </w:t>
      </w:r>
      <w:r>
        <w:t xml:space="preserve">is </w:t>
      </w:r>
      <w:r w:rsidR="004F4E5D">
        <w:t>dismiss</w:t>
      </w:r>
      <w:r>
        <w:t>ed.</w:t>
      </w:r>
    </w:p>
    <w:p w:rsidR="0054568E" w:rsidRDefault="0054568E" w:rsidP="0020453F">
      <w:pPr>
        <w:spacing w:line="360" w:lineRule="auto"/>
        <w:ind w:firstLine="1440"/>
      </w:pPr>
    </w:p>
    <w:p w:rsidR="0054568E" w:rsidRDefault="0054568E" w:rsidP="0020453F">
      <w:pPr>
        <w:spacing w:line="360" w:lineRule="auto"/>
        <w:ind w:firstLine="1440"/>
      </w:pPr>
      <w:r>
        <w:t>2.</w:t>
      </w:r>
      <w:r>
        <w:tab/>
        <w:t>That this case be marked closed.</w:t>
      </w:r>
    </w:p>
    <w:p w:rsidR="007B3AC9" w:rsidRDefault="007B3AC9" w:rsidP="00270F7A">
      <w:pPr>
        <w:spacing w:line="360" w:lineRule="auto"/>
        <w:ind w:firstLine="1440"/>
      </w:pPr>
    </w:p>
    <w:p w:rsidR="00270F7A" w:rsidRDefault="00270F7A" w:rsidP="00270F7A">
      <w:pPr>
        <w:spacing w:line="360" w:lineRule="auto"/>
      </w:pPr>
    </w:p>
    <w:p w:rsidR="0020453F" w:rsidRDefault="00636020" w:rsidP="00636020">
      <w:r>
        <w:t>Date:</w:t>
      </w:r>
      <w:r w:rsidR="0012085E">
        <w:t xml:space="preserve">  </w:t>
      </w:r>
      <w:r w:rsidR="0012085E" w:rsidRPr="0012085E">
        <w:rPr>
          <w:u w:val="single"/>
        </w:rPr>
        <w:t>January 29, 2010</w:t>
      </w:r>
      <w:r>
        <w:tab/>
      </w:r>
      <w:r>
        <w:tab/>
      </w:r>
      <w:r>
        <w:tab/>
      </w:r>
      <w:r w:rsidR="00A25E54">
        <w:tab/>
      </w:r>
      <w:r w:rsidR="001B6467">
        <w:t>__________</w:t>
      </w:r>
      <w:r w:rsidR="00BB5478">
        <w:t>_____________________</w:t>
      </w:r>
      <w:r>
        <w:tab/>
      </w:r>
    </w:p>
    <w:p w:rsidR="0020453F" w:rsidRDefault="0020453F" w:rsidP="0020453F">
      <w:r>
        <w:tab/>
      </w:r>
      <w:r w:rsidR="00BB5478">
        <w:tab/>
      </w:r>
      <w:r w:rsidR="00BB5478">
        <w:tab/>
      </w:r>
      <w:r w:rsidR="00BB5478">
        <w:tab/>
      </w:r>
      <w:r w:rsidR="00BB5478">
        <w:tab/>
      </w:r>
      <w:r w:rsidR="00BB5478">
        <w:tab/>
      </w:r>
      <w:r>
        <w:tab/>
      </w:r>
      <w:r w:rsidR="00395978">
        <w:t>Charles E. Rainey, Jr.</w:t>
      </w:r>
    </w:p>
    <w:p w:rsidR="002954DF" w:rsidRDefault="0020453F" w:rsidP="00DD05A4">
      <w:r>
        <w:tab/>
      </w:r>
      <w:r w:rsidR="00863451">
        <w:tab/>
      </w:r>
      <w:r w:rsidR="00863451">
        <w:tab/>
      </w:r>
      <w:r>
        <w:tab/>
      </w:r>
      <w:r>
        <w:tab/>
      </w:r>
      <w:r>
        <w:tab/>
      </w:r>
      <w:r>
        <w:tab/>
      </w:r>
      <w:r w:rsidR="0053761A">
        <w:t>Administrative Law Judge</w:t>
      </w:r>
    </w:p>
    <w:p w:rsidR="007A6450" w:rsidRDefault="007A6450" w:rsidP="00DD05A4"/>
    <w:p w:rsidR="007A6450" w:rsidRDefault="007A6450" w:rsidP="00DD05A4"/>
    <w:p w:rsidR="007A6450" w:rsidRDefault="007A6450" w:rsidP="00DD05A4"/>
    <w:sectPr w:rsidR="007A6450" w:rsidSect="007B3AC9">
      <w:footerReference w:type="even" r:id="rId7"/>
      <w:footerReference w:type="default" r:id="rId8"/>
      <w:type w:val="continuous"/>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A17" w:rsidRDefault="00D21A17">
      <w:r>
        <w:separator/>
      </w:r>
    </w:p>
  </w:endnote>
  <w:endnote w:type="continuationSeparator" w:id="0">
    <w:p w:rsidR="00D21A17" w:rsidRDefault="00D21A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17A" w:rsidRDefault="0036117A" w:rsidP="00B562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6117A" w:rsidRDefault="003611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17A" w:rsidRPr="00B56279" w:rsidRDefault="0036117A" w:rsidP="00B56279">
    <w:pPr>
      <w:pStyle w:val="Footer"/>
      <w:framePr w:wrap="around" w:vAnchor="text" w:hAnchor="margin" w:xAlign="center" w:y="1"/>
      <w:rPr>
        <w:rStyle w:val="PageNumber"/>
        <w:sz w:val="20"/>
        <w:szCs w:val="20"/>
      </w:rPr>
    </w:pPr>
    <w:r w:rsidRPr="00B56279">
      <w:rPr>
        <w:rStyle w:val="PageNumber"/>
        <w:sz w:val="20"/>
        <w:szCs w:val="20"/>
      </w:rPr>
      <w:fldChar w:fldCharType="begin"/>
    </w:r>
    <w:r w:rsidRPr="00B56279">
      <w:rPr>
        <w:rStyle w:val="PageNumber"/>
        <w:sz w:val="20"/>
        <w:szCs w:val="20"/>
      </w:rPr>
      <w:instrText xml:space="preserve">PAGE  </w:instrText>
    </w:r>
    <w:r w:rsidRPr="00B56279">
      <w:rPr>
        <w:rStyle w:val="PageNumber"/>
        <w:sz w:val="20"/>
        <w:szCs w:val="20"/>
      </w:rPr>
      <w:fldChar w:fldCharType="separate"/>
    </w:r>
    <w:r w:rsidR="00CD0A2C">
      <w:rPr>
        <w:rStyle w:val="PageNumber"/>
        <w:noProof/>
        <w:sz w:val="20"/>
        <w:szCs w:val="20"/>
      </w:rPr>
      <w:t>4</w:t>
    </w:r>
    <w:r w:rsidRPr="00B56279">
      <w:rPr>
        <w:rStyle w:val="PageNumber"/>
        <w:sz w:val="20"/>
        <w:szCs w:val="20"/>
      </w:rPr>
      <w:fldChar w:fldCharType="end"/>
    </w:r>
  </w:p>
  <w:p w:rsidR="0036117A" w:rsidRDefault="003611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A17" w:rsidRDefault="00D21A17">
      <w:r>
        <w:separator/>
      </w:r>
    </w:p>
  </w:footnote>
  <w:footnote w:type="continuationSeparator" w:id="0">
    <w:p w:rsidR="00D21A17" w:rsidRDefault="00D21A17">
      <w:r>
        <w:continuationSeparator/>
      </w:r>
    </w:p>
  </w:footnote>
  <w:footnote w:id="1">
    <w:p w:rsidR="00276E70" w:rsidRDefault="00983993">
      <w:pPr>
        <w:pStyle w:val="FootnoteText"/>
      </w:pPr>
      <w:r>
        <w:tab/>
      </w:r>
      <w:r w:rsidR="00276E70">
        <w:rPr>
          <w:rStyle w:val="FootnoteReference"/>
        </w:rPr>
        <w:footnoteRef/>
      </w:r>
      <w:r w:rsidR="00276E70">
        <w:t xml:space="preserve"> </w:t>
      </w:r>
      <w:r>
        <w:tab/>
      </w:r>
      <w:r w:rsidR="00276E70">
        <w:t>Under cover letter dated May 14, 2009 I mailed a copy of Complainant’s late-filed exhibit to Respondent’s attorney.</w:t>
      </w:r>
    </w:p>
  </w:footnote>
  <w:footnote w:id="2">
    <w:p w:rsidR="0012085E" w:rsidRDefault="007A6450">
      <w:pPr>
        <w:pStyle w:val="FootnoteText"/>
      </w:pPr>
      <w:r>
        <w:tab/>
      </w:r>
      <w:r w:rsidR="0012085E">
        <w:rPr>
          <w:rStyle w:val="FootnoteReference"/>
        </w:rPr>
        <w:footnoteRef/>
      </w:r>
      <w:r w:rsidR="0012085E">
        <w:t xml:space="preserve"> </w:t>
      </w:r>
      <w:r>
        <w:tab/>
      </w:r>
      <w:r w:rsidR="00BB49B0">
        <w:t xml:space="preserve">The monthly arrearage payment was calculated as follows: $22, 375.00 (outstanding balance) ÷ 24 </w:t>
      </w:r>
      <w:r w:rsidR="004F3C96">
        <w:t>(months) = $932.31.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D0A9E"/>
    <w:multiLevelType w:val="hybridMultilevel"/>
    <w:tmpl w:val="5C72E82C"/>
    <w:lvl w:ilvl="0" w:tplc="1F569570">
      <w:start w:val="1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545673"/>
    <w:rsid w:val="000011CB"/>
    <w:rsid w:val="00003A80"/>
    <w:rsid w:val="000041B3"/>
    <w:rsid w:val="00004380"/>
    <w:rsid w:val="00007858"/>
    <w:rsid w:val="00007BA9"/>
    <w:rsid w:val="00015C0E"/>
    <w:rsid w:val="000164C3"/>
    <w:rsid w:val="00022532"/>
    <w:rsid w:val="00022BFB"/>
    <w:rsid w:val="000248E8"/>
    <w:rsid w:val="000263DB"/>
    <w:rsid w:val="0002733E"/>
    <w:rsid w:val="000323F7"/>
    <w:rsid w:val="00034B1B"/>
    <w:rsid w:val="000356EA"/>
    <w:rsid w:val="00037397"/>
    <w:rsid w:val="00040E39"/>
    <w:rsid w:val="00041274"/>
    <w:rsid w:val="00042A18"/>
    <w:rsid w:val="00043830"/>
    <w:rsid w:val="00044484"/>
    <w:rsid w:val="000477FC"/>
    <w:rsid w:val="00047D53"/>
    <w:rsid w:val="000514DB"/>
    <w:rsid w:val="00053271"/>
    <w:rsid w:val="000545B8"/>
    <w:rsid w:val="000560B1"/>
    <w:rsid w:val="0005633C"/>
    <w:rsid w:val="000626D8"/>
    <w:rsid w:val="0006336A"/>
    <w:rsid w:val="000637FD"/>
    <w:rsid w:val="00066CA4"/>
    <w:rsid w:val="00070289"/>
    <w:rsid w:val="0007313F"/>
    <w:rsid w:val="00074549"/>
    <w:rsid w:val="00075632"/>
    <w:rsid w:val="00075836"/>
    <w:rsid w:val="000762C2"/>
    <w:rsid w:val="000779CA"/>
    <w:rsid w:val="00080F4F"/>
    <w:rsid w:val="00083518"/>
    <w:rsid w:val="00084784"/>
    <w:rsid w:val="00086064"/>
    <w:rsid w:val="00094683"/>
    <w:rsid w:val="00094688"/>
    <w:rsid w:val="00097676"/>
    <w:rsid w:val="000A3F8E"/>
    <w:rsid w:val="000A5397"/>
    <w:rsid w:val="000A59C1"/>
    <w:rsid w:val="000A662C"/>
    <w:rsid w:val="000A7BCF"/>
    <w:rsid w:val="000B1C40"/>
    <w:rsid w:val="000B3EE7"/>
    <w:rsid w:val="000B5E4F"/>
    <w:rsid w:val="000B7E93"/>
    <w:rsid w:val="000D341E"/>
    <w:rsid w:val="000D36C1"/>
    <w:rsid w:val="000D409A"/>
    <w:rsid w:val="000D4361"/>
    <w:rsid w:val="000E061D"/>
    <w:rsid w:val="000E2E2F"/>
    <w:rsid w:val="000E2EBC"/>
    <w:rsid w:val="000E4225"/>
    <w:rsid w:val="000E5D39"/>
    <w:rsid w:val="000E609B"/>
    <w:rsid w:val="000F04AC"/>
    <w:rsid w:val="000F2120"/>
    <w:rsid w:val="000F4272"/>
    <w:rsid w:val="000F61FD"/>
    <w:rsid w:val="000F79A5"/>
    <w:rsid w:val="00100BDB"/>
    <w:rsid w:val="001026DE"/>
    <w:rsid w:val="001053CE"/>
    <w:rsid w:val="001058C8"/>
    <w:rsid w:val="001077B7"/>
    <w:rsid w:val="00110DCF"/>
    <w:rsid w:val="00111102"/>
    <w:rsid w:val="00111940"/>
    <w:rsid w:val="00111BC6"/>
    <w:rsid w:val="00111BE7"/>
    <w:rsid w:val="0011209B"/>
    <w:rsid w:val="00117D89"/>
    <w:rsid w:val="0012085E"/>
    <w:rsid w:val="00122C79"/>
    <w:rsid w:val="001245AB"/>
    <w:rsid w:val="00124CC8"/>
    <w:rsid w:val="0012604E"/>
    <w:rsid w:val="00133527"/>
    <w:rsid w:val="0013364D"/>
    <w:rsid w:val="00135468"/>
    <w:rsid w:val="001403C5"/>
    <w:rsid w:val="00143D3F"/>
    <w:rsid w:val="001509B5"/>
    <w:rsid w:val="00154FA6"/>
    <w:rsid w:val="001571DF"/>
    <w:rsid w:val="00157A5D"/>
    <w:rsid w:val="0016022A"/>
    <w:rsid w:val="00160D45"/>
    <w:rsid w:val="00165FA8"/>
    <w:rsid w:val="00172107"/>
    <w:rsid w:val="001727FF"/>
    <w:rsid w:val="00174946"/>
    <w:rsid w:val="00174AD8"/>
    <w:rsid w:val="001767DE"/>
    <w:rsid w:val="00180462"/>
    <w:rsid w:val="00181ED1"/>
    <w:rsid w:val="001843CC"/>
    <w:rsid w:val="001853C8"/>
    <w:rsid w:val="00185DF9"/>
    <w:rsid w:val="00186C8A"/>
    <w:rsid w:val="001924B9"/>
    <w:rsid w:val="001946CA"/>
    <w:rsid w:val="00194AEB"/>
    <w:rsid w:val="001A183D"/>
    <w:rsid w:val="001A20FF"/>
    <w:rsid w:val="001A526E"/>
    <w:rsid w:val="001A6D03"/>
    <w:rsid w:val="001B03FF"/>
    <w:rsid w:val="001B18CC"/>
    <w:rsid w:val="001B3620"/>
    <w:rsid w:val="001B55F3"/>
    <w:rsid w:val="001B6467"/>
    <w:rsid w:val="001C1B91"/>
    <w:rsid w:val="001D015F"/>
    <w:rsid w:val="001D1AE4"/>
    <w:rsid w:val="001D1B07"/>
    <w:rsid w:val="001D237C"/>
    <w:rsid w:val="001D3A52"/>
    <w:rsid w:val="001D3C98"/>
    <w:rsid w:val="001E1716"/>
    <w:rsid w:val="001E2296"/>
    <w:rsid w:val="001E7A80"/>
    <w:rsid w:val="001F1034"/>
    <w:rsid w:val="001F2BBA"/>
    <w:rsid w:val="001F4258"/>
    <w:rsid w:val="001F4EAA"/>
    <w:rsid w:val="00200D7E"/>
    <w:rsid w:val="00200E54"/>
    <w:rsid w:val="00203F11"/>
    <w:rsid w:val="0020453F"/>
    <w:rsid w:val="002047CC"/>
    <w:rsid w:val="0020769A"/>
    <w:rsid w:val="00207F90"/>
    <w:rsid w:val="0021130E"/>
    <w:rsid w:val="00212134"/>
    <w:rsid w:val="002129EA"/>
    <w:rsid w:val="002138F9"/>
    <w:rsid w:val="00214CBA"/>
    <w:rsid w:val="002151B1"/>
    <w:rsid w:val="0021709E"/>
    <w:rsid w:val="00222C92"/>
    <w:rsid w:val="002249DC"/>
    <w:rsid w:val="002255BB"/>
    <w:rsid w:val="00230FA7"/>
    <w:rsid w:val="002335EE"/>
    <w:rsid w:val="0023402F"/>
    <w:rsid w:val="00235A1B"/>
    <w:rsid w:val="00240067"/>
    <w:rsid w:val="002417E2"/>
    <w:rsid w:val="0024197F"/>
    <w:rsid w:val="00244A19"/>
    <w:rsid w:val="00247D1D"/>
    <w:rsid w:val="00250049"/>
    <w:rsid w:val="00254654"/>
    <w:rsid w:val="00254B86"/>
    <w:rsid w:val="00254F4F"/>
    <w:rsid w:val="00255208"/>
    <w:rsid w:val="00256368"/>
    <w:rsid w:val="00266EA6"/>
    <w:rsid w:val="00270F7A"/>
    <w:rsid w:val="00272697"/>
    <w:rsid w:val="00275511"/>
    <w:rsid w:val="00276E70"/>
    <w:rsid w:val="00277A5C"/>
    <w:rsid w:val="002805FB"/>
    <w:rsid w:val="0028198A"/>
    <w:rsid w:val="00283F84"/>
    <w:rsid w:val="00286C13"/>
    <w:rsid w:val="00287567"/>
    <w:rsid w:val="00290CB1"/>
    <w:rsid w:val="002916C0"/>
    <w:rsid w:val="00292D99"/>
    <w:rsid w:val="002952F2"/>
    <w:rsid w:val="002954DF"/>
    <w:rsid w:val="002978C5"/>
    <w:rsid w:val="002A19AC"/>
    <w:rsid w:val="002B2D3D"/>
    <w:rsid w:val="002B3EB1"/>
    <w:rsid w:val="002B72E5"/>
    <w:rsid w:val="002B765E"/>
    <w:rsid w:val="002B7E98"/>
    <w:rsid w:val="002C02D8"/>
    <w:rsid w:val="002C1C71"/>
    <w:rsid w:val="002C4B87"/>
    <w:rsid w:val="002C56E6"/>
    <w:rsid w:val="002C6254"/>
    <w:rsid w:val="002D33F2"/>
    <w:rsid w:val="002D78EA"/>
    <w:rsid w:val="002E01AB"/>
    <w:rsid w:val="002E1F4B"/>
    <w:rsid w:val="002E322E"/>
    <w:rsid w:val="002E6A45"/>
    <w:rsid w:val="002F118D"/>
    <w:rsid w:val="002F6A5F"/>
    <w:rsid w:val="002F6D72"/>
    <w:rsid w:val="00312AFC"/>
    <w:rsid w:val="00315684"/>
    <w:rsid w:val="00315FE3"/>
    <w:rsid w:val="003169E9"/>
    <w:rsid w:val="003200B6"/>
    <w:rsid w:val="00320F5B"/>
    <w:rsid w:val="003218C0"/>
    <w:rsid w:val="00321CEA"/>
    <w:rsid w:val="003226DE"/>
    <w:rsid w:val="003232CD"/>
    <w:rsid w:val="003236BC"/>
    <w:rsid w:val="00327C54"/>
    <w:rsid w:val="00334217"/>
    <w:rsid w:val="00335B07"/>
    <w:rsid w:val="00340020"/>
    <w:rsid w:val="00342C85"/>
    <w:rsid w:val="00343230"/>
    <w:rsid w:val="00343BE2"/>
    <w:rsid w:val="00345AC2"/>
    <w:rsid w:val="00346AB6"/>
    <w:rsid w:val="0034744F"/>
    <w:rsid w:val="003475FB"/>
    <w:rsid w:val="003476BB"/>
    <w:rsid w:val="0035054D"/>
    <w:rsid w:val="003519FC"/>
    <w:rsid w:val="00351C43"/>
    <w:rsid w:val="00355DD6"/>
    <w:rsid w:val="003567EF"/>
    <w:rsid w:val="003567F6"/>
    <w:rsid w:val="0036117A"/>
    <w:rsid w:val="003613D0"/>
    <w:rsid w:val="00363381"/>
    <w:rsid w:val="00363976"/>
    <w:rsid w:val="00363D84"/>
    <w:rsid w:val="00366B3B"/>
    <w:rsid w:val="0036756F"/>
    <w:rsid w:val="003752C6"/>
    <w:rsid w:val="00375BC3"/>
    <w:rsid w:val="00375CC2"/>
    <w:rsid w:val="00377709"/>
    <w:rsid w:val="00377BE1"/>
    <w:rsid w:val="00377BF6"/>
    <w:rsid w:val="00380A3D"/>
    <w:rsid w:val="0038326C"/>
    <w:rsid w:val="00383443"/>
    <w:rsid w:val="00385CAA"/>
    <w:rsid w:val="003866EC"/>
    <w:rsid w:val="00387A63"/>
    <w:rsid w:val="003909B6"/>
    <w:rsid w:val="00390A14"/>
    <w:rsid w:val="00390C85"/>
    <w:rsid w:val="00395978"/>
    <w:rsid w:val="003959CB"/>
    <w:rsid w:val="003973B9"/>
    <w:rsid w:val="003A55CF"/>
    <w:rsid w:val="003A7E52"/>
    <w:rsid w:val="003B21C1"/>
    <w:rsid w:val="003B3EC8"/>
    <w:rsid w:val="003B7934"/>
    <w:rsid w:val="003C00D2"/>
    <w:rsid w:val="003C672A"/>
    <w:rsid w:val="003C6A4C"/>
    <w:rsid w:val="003C7629"/>
    <w:rsid w:val="003D01B6"/>
    <w:rsid w:val="003D1CD7"/>
    <w:rsid w:val="003D28FD"/>
    <w:rsid w:val="003D7DB2"/>
    <w:rsid w:val="003E0C41"/>
    <w:rsid w:val="003E116D"/>
    <w:rsid w:val="003E24BF"/>
    <w:rsid w:val="003E38F6"/>
    <w:rsid w:val="003E486F"/>
    <w:rsid w:val="003E5D1B"/>
    <w:rsid w:val="003F0DB9"/>
    <w:rsid w:val="003F223C"/>
    <w:rsid w:val="003F48B0"/>
    <w:rsid w:val="003F72B4"/>
    <w:rsid w:val="00401B0B"/>
    <w:rsid w:val="0040438C"/>
    <w:rsid w:val="004059F4"/>
    <w:rsid w:val="00413D2A"/>
    <w:rsid w:val="00413FDF"/>
    <w:rsid w:val="00417315"/>
    <w:rsid w:val="0041733D"/>
    <w:rsid w:val="00420FBB"/>
    <w:rsid w:val="0042172D"/>
    <w:rsid w:val="00421FA6"/>
    <w:rsid w:val="004236CB"/>
    <w:rsid w:val="0042416A"/>
    <w:rsid w:val="004303D1"/>
    <w:rsid w:val="00433025"/>
    <w:rsid w:val="00440BB5"/>
    <w:rsid w:val="004416F1"/>
    <w:rsid w:val="004424F7"/>
    <w:rsid w:val="0044578E"/>
    <w:rsid w:val="00447016"/>
    <w:rsid w:val="00452231"/>
    <w:rsid w:val="00452559"/>
    <w:rsid w:val="004536AD"/>
    <w:rsid w:val="00453BEB"/>
    <w:rsid w:val="00455277"/>
    <w:rsid w:val="00456509"/>
    <w:rsid w:val="00461821"/>
    <w:rsid w:val="004628FE"/>
    <w:rsid w:val="00462927"/>
    <w:rsid w:val="00463000"/>
    <w:rsid w:val="00463C2C"/>
    <w:rsid w:val="00463CF7"/>
    <w:rsid w:val="00465102"/>
    <w:rsid w:val="004666E1"/>
    <w:rsid w:val="00466EAB"/>
    <w:rsid w:val="0047090B"/>
    <w:rsid w:val="00471403"/>
    <w:rsid w:val="00471F79"/>
    <w:rsid w:val="00472437"/>
    <w:rsid w:val="004740DC"/>
    <w:rsid w:val="00476425"/>
    <w:rsid w:val="00480ED7"/>
    <w:rsid w:val="00486880"/>
    <w:rsid w:val="00493358"/>
    <w:rsid w:val="00493E7F"/>
    <w:rsid w:val="004A0F13"/>
    <w:rsid w:val="004B0CF7"/>
    <w:rsid w:val="004B3E38"/>
    <w:rsid w:val="004B48B2"/>
    <w:rsid w:val="004B4B6C"/>
    <w:rsid w:val="004B5A2F"/>
    <w:rsid w:val="004B5EB7"/>
    <w:rsid w:val="004C1277"/>
    <w:rsid w:val="004C1AC9"/>
    <w:rsid w:val="004C412C"/>
    <w:rsid w:val="004C5D3C"/>
    <w:rsid w:val="004C618C"/>
    <w:rsid w:val="004D2ADE"/>
    <w:rsid w:val="004D3CC5"/>
    <w:rsid w:val="004D4958"/>
    <w:rsid w:val="004D6072"/>
    <w:rsid w:val="004D6CEF"/>
    <w:rsid w:val="004E5C45"/>
    <w:rsid w:val="004F3C96"/>
    <w:rsid w:val="004F4E5D"/>
    <w:rsid w:val="004F719B"/>
    <w:rsid w:val="00500E0C"/>
    <w:rsid w:val="00502504"/>
    <w:rsid w:val="00503ACC"/>
    <w:rsid w:val="00505DFC"/>
    <w:rsid w:val="00506759"/>
    <w:rsid w:val="0050738E"/>
    <w:rsid w:val="0050761A"/>
    <w:rsid w:val="00511565"/>
    <w:rsid w:val="00512470"/>
    <w:rsid w:val="00512F91"/>
    <w:rsid w:val="00514F51"/>
    <w:rsid w:val="00515D9C"/>
    <w:rsid w:val="005304A3"/>
    <w:rsid w:val="00533C15"/>
    <w:rsid w:val="00535708"/>
    <w:rsid w:val="00536EC2"/>
    <w:rsid w:val="0053761A"/>
    <w:rsid w:val="00542785"/>
    <w:rsid w:val="00542DBB"/>
    <w:rsid w:val="005433D7"/>
    <w:rsid w:val="00545673"/>
    <w:rsid w:val="0054568E"/>
    <w:rsid w:val="00547F36"/>
    <w:rsid w:val="005518C5"/>
    <w:rsid w:val="0055235E"/>
    <w:rsid w:val="00553A9B"/>
    <w:rsid w:val="00556667"/>
    <w:rsid w:val="005574B6"/>
    <w:rsid w:val="00560B82"/>
    <w:rsid w:val="0056103B"/>
    <w:rsid w:val="00564BBE"/>
    <w:rsid w:val="005658C4"/>
    <w:rsid w:val="00565D58"/>
    <w:rsid w:val="005673AC"/>
    <w:rsid w:val="0057117A"/>
    <w:rsid w:val="005748E8"/>
    <w:rsid w:val="00574992"/>
    <w:rsid w:val="00575814"/>
    <w:rsid w:val="00577741"/>
    <w:rsid w:val="005824AE"/>
    <w:rsid w:val="00584A1E"/>
    <w:rsid w:val="0058578E"/>
    <w:rsid w:val="00590416"/>
    <w:rsid w:val="00591A78"/>
    <w:rsid w:val="005A1CB9"/>
    <w:rsid w:val="005A36C6"/>
    <w:rsid w:val="005A4C82"/>
    <w:rsid w:val="005A5660"/>
    <w:rsid w:val="005A5F28"/>
    <w:rsid w:val="005B0DAA"/>
    <w:rsid w:val="005B37C0"/>
    <w:rsid w:val="005B504A"/>
    <w:rsid w:val="005C0219"/>
    <w:rsid w:val="005C0A64"/>
    <w:rsid w:val="005C18FC"/>
    <w:rsid w:val="005C26FE"/>
    <w:rsid w:val="005C3693"/>
    <w:rsid w:val="005D02FD"/>
    <w:rsid w:val="005E075F"/>
    <w:rsid w:val="005E08AA"/>
    <w:rsid w:val="005E1663"/>
    <w:rsid w:val="005E2E6D"/>
    <w:rsid w:val="005E44B0"/>
    <w:rsid w:val="005E4CDD"/>
    <w:rsid w:val="005E59FD"/>
    <w:rsid w:val="005F05C0"/>
    <w:rsid w:val="005F1ABA"/>
    <w:rsid w:val="005F3F80"/>
    <w:rsid w:val="00601650"/>
    <w:rsid w:val="00601AF9"/>
    <w:rsid w:val="00602637"/>
    <w:rsid w:val="006035AB"/>
    <w:rsid w:val="00603BA7"/>
    <w:rsid w:val="006048E2"/>
    <w:rsid w:val="00605F87"/>
    <w:rsid w:val="006143C0"/>
    <w:rsid w:val="00615EA5"/>
    <w:rsid w:val="00622521"/>
    <w:rsid w:val="006234AF"/>
    <w:rsid w:val="006241F2"/>
    <w:rsid w:val="00624946"/>
    <w:rsid w:val="00626111"/>
    <w:rsid w:val="00636020"/>
    <w:rsid w:val="00640163"/>
    <w:rsid w:val="00640569"/>
    <w:rsid w:val="00642FC3"/>
    <w:rsid w:val="006438DB"/>
    <w:rsid w:val="006462C0"/>
    <w:rsid w:val="00646EBF"/>
    <w:rsid w:val="00651C22"/>
    <w:rsid w:val="00652CA3"/>
    <w:rsid w:val="006531B1"/>
    <w:rsid w:val="00653924"/>
    <w:rsid w:val="00656462"/>
    <w:rsid w:val="00661481"/>
    <w:rsid w:val="0066693E"/>
    <w:rsid w:val="0066772F"/>
    <w:rsid w:val="006711CA"/>
    <w:rsid w:val="00672495"/>
    <w:rsid w:val="00672C74"/>
    <w:rsid w:val="00673728"/>
    <w:rsid w:val="0067428D"/>
    <w:rsid w:val="00674F62"/>
    <w:rsid w:val="0067535A"/>
    <w:rsid w:val="00677914"/>
    <w:rsid w:val="006807D4"/>
    <w:rsid w:val="0068319F"/>
    <w:rsid w:val="00683260"/>
    <w:rsid w:val="0068360F"/>
    <w:rsid w:val="006836D9"/>
    <w:rsid w:val="00684EBA"/>
    <w:rsid w:val="006854C4"/>
    <w:rsid w:val="00691D2B"/>
    <w:rsid w:val="00693357"/>
    <w:rsid w:val="00694F91"/>
    <w:rsid w:val="00696085"/>
    <w:rsid w:val="006A1637"/>
    <w:rsid w:val="006A187F"/>
    <w:rsid w:val="006A1E45"/>
    <w:rsid w:val="006A30D9"/>
    <w:rsid w:val="006A3A29"/>
    <w:rsid w:val="006A5FDB"/>
    <w:rsid w:val="006B02E8"/>
    <w:rsid w:val="006B03EB"/>
    <w:rsid w:val="006B1359"/>
    <w:rsid w:val="006B1434"/>
    <w:rsid w:val="006B2BE5"/>
    <w:rsid w:val="006B48BB"/>
    <w:rsid w:val="006C0F53"/>
    <w:rsid w:val="006C2326"/>
    <w:rsid w:val="006C27BF"/>
    <w:rsid w:val="006C3EC2"/>
    <w:rsid w:val="006C6111"/>
    <w:rsid w:val="006D0CA8"/>
    <w:rsid w:val="006D2806"/>
    <w:rsid w:val="006D33FB"/>
    <w:rsid w:val="006D3C3D"/>
    <w:rsid w:val="006D5EC1"/>
    <w:rsid w:val="006D68F7"/>
    <w:rsid w:val="006D6C32"/>
    <w:rsid w:val="006D7235"/>
    <w:rsid w:val="006E0F8F"/>
    <w:rsid w:val="006E11DB"/>
    <w:rsid w:val="006E4E7F"/>
    <w:rsid w:val="006E504F"/>
    <w:rsid w:val="006E6570"/>
    <w:rsid w:val="006E7796"/>
    <w:rsid w:val="006F01FB"/>
    <w:rsid w:val="006F2303"/>
    <w:rsid w:val="006F6733"/>
    <w:rsid w:val="00702543"/>
    <w:rsid w:val="0070349E"/>
    <w:rsid w:val="00703991"/>
    <w:rsid w:val="007058A3"/>
    <w:rsid w:val="00707B11"/>
    <w:rsid w:val="007102AB"/>
    <w:rsid w:val="007106EA"/>
    <w:rsid w:val="00712AC4"/>
    <w:rsid w:val="00712FC8"/>
    <w:rsid w:val="00714590"/>
    <w:rsid w:val="0071494F"/>
    <w:rsid w:val="00715D36"/>
    <w:rsid w:val="00715FF2"/>
    <w:rsid w:val="00721D18"/>
    <w:rsid w:val="00722B1D"/>
    <w:rsid w:val="00723D88"/>
    <w:rsid w:val="0072615A"/>
    <w:rsid w:val="00726738"/>
    <w:rsid w:val="00726E16"/>
    <w:rsid w:val="00726EE9"/>
    <w:rsid w:val="007278AC"/>
    <w:rsid w:val="00731979"/>
    <w:rsid w:val="00731999"/>
    <w:rsid w:val="007346FB"/>
    <w:rsid w:val="00736041"/>
    <w:rsid w:val="0073789C"/>
    <w:rsid w:val="00741763"/>
    <w:rsid w:val="00742EF8"/>
    <w:rsid w:val="00743AE6"/>
    <w:rsid w:val="00743E36"/>
    <w:rsid w:val="007448B5"/>
    <w:rsid w:val="007462AB"/>
    <w:rsid w:val="00747063"/>
    <w:rsid w:val="00747114"/>
    <w:rsid w:val="00750306"/>
    <w:rsid w:val="00751995"/>
    <w:rsid w:val="00757061"/>
    <w:rsid w:val="007573FE"/>
    <w:rsid w:val="00757BC9"/>
    <w:rsid w:val="00762FD3"/>
    <w:rsid w:val="00764FB7"/>
    <w:rsid w:val="00765D52"/>
    <w:rsid w:val="0077185C"/>
    <w:rsid w:val="00772CDD"/>
    <w:rsid w:val="0077678C"/>
    <w:rsid w:val="007770BC"/>
    <w:rsid w:val="0077733D"/>
    <w:rsid w:val="00781656"/>
    <w:rsid w:val="00782E86"/>
    <w:rsid w:val="00783BBC"/>
    <w:rsid w:val="00791A86"/>
    <w:rsid w:val="00794848"/>
    <w:rsid w:val="007977EF"/>
    <w:rsid w:val="00797C94"/>
    <w:rsid w:val="007A0DC5"/>
    <w:rsid w:val="007A2530"/>
    <w:rsid w:val="007A5989"/>
    <w:rsid w:val="007A6450"/>
    <w:rsid w:val="007B0D42"/>
    <w:rsid w:val="007B3AC9"/>
    <w:rsid w:val="007C05DF"/>
    <w:rsid w:val="007C220E"/>
    <w:rsid w:val="007C73FA"/>
    <w:rsid w:val="007D23A5"/>
    <w:rsid w:val="007D6DD5"/>
    <w:rsid w:val="007E38BB"/>
    <w:rsid w:val="007E6E13"/>
    <w:rsid w:val="007F5768"/>
    <w:rsid w:val="007F6960"/>
    <w:rsid w:val="008006E8"/>
    <w:rsid w:val="00800EDF"/>
    <w:rsid w:val="0080253F"/>
    <w:rsid w:val="008039AB"/>
    <w:rsid w:val="00805A8D"/>
    <w:rsid w:val="008075E1"/>
    <w:rsid w:val="00807906"/>
    <w:rsid w:val="00810DB1"/>
    <w:rsid w:val="00815466"/>
    <w:rsid w:val="008233E1"/>
    <w:rsid w:val="008252B6"/>
    <w:rsid w:val="008256A3"/>
    <w:rsid w:val="008267D3"/>
    <w:rsid w:val="008273CB"/>
    <w:rsid w:val="00833290"/>
    <w:rsid w:val="00834A45"/>
    <w:rsid w:val="00836788"/>
    <w:rsid w:val="0084513A"/>
    <w:rsid w:val="00850E0E"/>
    <w:rsid w:val="00852DF2"/>
    <w:rsid w:val="008554DC"/>
    <w:rsid w:val="008561C4"/>
    <w:rsid w:val="00857155"/>
    <w:rsid w:val="0085794C"/>
    <w:rsid w:val="00857AF6"/>
    <w:rsid w:val="00860CE2"/>
    <w:rsid w:val="00863451"/>
    <w:rsid w:val="0086622D"/>
    <w:rsid w:val="0087444C"/>
    <w:rsid w:val="008744D1"/>
    <w:rsid w:val="00874DE0"/>
    <w:rsid w:val="008813D8"/>
    <w:rsid w:val="00883627"/>
    <w:rsid w:val="0088678D"/>
    <w:rsid w:val="008879DB"/>
    <w:rsid w:val="008914FB"/>
    <w:rsid w:val="00891A2D"/>
    <w:rsid w:val="00892AE4"/>
    <w:rsid w:val="00893EEE"/>
    <w:rsid w:val="00895D54"/>
    <w:rsid w:val="008A059E"/>
    <w:rsid w:val="008A0611"/>
    <w:rsid w:val="008A13A1"/>
    <w:rsid w:val="008A311A"/>
    <w:rsid w:val="008A3C98"/>
    <w:rsid w:val="008A3DFB"/>
    <w:rsid w:val="008A3E38"/>
    <w:rsid w:val="008A4D88"/>
    <w:rsid w:val="008A6B75"/>
    <w:rsid w:val="008B3607"/>
    <w:rsid w:val="008B420A"/>
    <w:rsid w:val="008B6DBA"/>
    <w:rsid w:val="008C0BF7"/>
    <w:rsid w:val="008C309F"/>
    <w:rsid w:val="008C4966"/>
    <w:rsid w:val="008D0D36"/>
    <w:rsid w:val="008D320A"/>
    <w:rsid w:val="008D4A8B"/>
    <w:rsid w:val="008D5FFF"/>
    <w:rsid w:val="008D7402"/>
    <w:rsid w:val="008E0B12"/>
    <w:rsid w:val="008E1173"/>
    <w:rsid w:val="008E314F"/>
    <w:rsid w:val="008E65C2"/>
    <w:rsid w:val="008E6A69"/>
    <w:rsid w:val="008E6D11"/>
    <w:rsid w:val="008E7AB6"/>
    <w:rsid w:val="008F37F5"/>
    <w:rsid w:val="008F53F0"/>
    <w:rsid w:val="008F723E"/>
    <w:rsid w:val="008F7E2C"/>
    <w:rsid w:val="0090055F"/>
    <w:rsid w:val="009040A1"/>
    <w:rsid w:val="009069EF"/>
    <w:rsid w:val="0091165A"/>
    <w:rsid w:val="00913CD2"/>
    <w:rsid w:val="009173AE"/>
    <w:rsid w:val="00917463"/>
    <w:rsid w:val="00921CB3"/>
    <w:rsid w:val="00923AAE"/>
    <w:rsid w:val="009259E7"/>
    <w:rsid w:val="00926012"/>
    <w:rsid w:val="0093113E"/>
    <w:rsid w:val="00931477"/>
    <w:rsid w:val="009332D6"/>
    <w:rsid w:val="00935093"/>
    <w:rsid w:val="00935B63"/>
    <w:rsid w:val="00937FA9"/>
    <w:rsid w:val="00941612"/>
    <w:rsid w:val="009429DB"/>
    <w:rsid w:val="0094356B"/>
    <w:rsid w:val="00943BDA"/>
    <w:rsid w:val="009462C3"/>
    <w:rsid w:val="00956D8C"/>
    <w:rsid w:val="00957CE7"/>
    <w:rsid w:val="00961A09"/>
    <w:rsid w:val="00961CE4"/>
    <w:rsid w:val="0096270F"/>
    <w:rsid w:val="00962FA3"/>
    <w:rsid w:val="009638C5"/>
    <w:rsid w:val="00963B6B"/>
    <w:rsid w:val="0096429A"/>
    <w:rsid w:val="00965C6E"/>
    <w:rsid w:val="00965EB8"/>
    <w:rsid w:val="0096768D"/>
    <w:rsid w:val="00970635"/>
    <w:rsid w:val="009723F5"/>
    <w:rsid w:val="009727A9"/>
    <w:rsid w:val="00973E28"/>
    <w:rsid w:val="00983401"/>
    <w:rsid w:val="00983993"/>
    <w:rsid w:val="00985BEA"/>
    <w:rsid w:val="009872B4"/>
    <w:rsid w:val="009913C9"/>
    <w:rsid w:val="00992918"/>
    <w:rsid w:val="00997468"/>
    <w:rsid w:val="00997603"/>
    <w:rsid w:val="009A0A3D"/>
    <w:rsid w:val="009A280C"/>
    <w:rsid w:val="009A2840"/>
    <w:rsid w:val="009A2DB5"/>
    <w:rsid w:val="009A35CE"/>
    <w:rsid w:val="009A7464"/>
    <w:rsid w:val="009B2575"/>
    <w:rsid w:val="009B352D"/>
    <w:rsid w:val="009B4D94"/>
    <w:rsid w:val="009B66B2"/>
    <w:rsid w:val="009B6ECB"/>
    <w:rsid w:val="009C166B"/>
    <w:rsid w:val="009C1B90"/>
    <w:rsid w:val="009C26F7"/>
    <w:rsid w:val="009C29C6"/>
    <w:rsid w:val="009C630B"/>
    <w:rsid w:val="009C7C3E"/>
    <w:rsid w:val="009C7D51"/>
    <w:rsid w:val="009D06FC"/>
    <w:rsid w:val="009D099D"/>
    <w:rsid w:val="009D3C72"/>
    <w:rsid w:val="009D580A"/>
    <w:rsid w:val="009D5D2D"/>
    <w:rsid w:val="009E0EA4"/>
    <w:rsid w:val="009E3D6A"/>
    <w:rsid w:val="009E5A45"/>
    <w:rsid w:val="009E5EB7"/>
    <w:rsid w:val="009F18BD"/>
    <w:rsid w:val="009F6DBC"/>
    <w:rsid w:val="00A01BAE"/>
    <w:rsid w:val="00A0343E"/>
    <w:rsid w:val="00A03B4F"/>
    <w:rsid w:val="00A05804"/>
    <w:rsid w:val="00A05912"/>
    <w:rsid w:val="00A06A47"/>
    <w:rsid w:val="00A1656F"/>
    <w:rsid w:val="00A207BD"/>
    <w:rsid w:val="00A21EBF"/>
    <w:rsid w:val="00A2384E"/>
    <w:rsid w:val="00A25E54"/>
    <w:rsid w:val="00A277BB"/>
    <w:rsid w:val="00A33D63"/>
    <w:rsid w:val="00A36D51"/>
    <w:rsid w:val="00A40029"/>
    <w:rsid w:val="00A42E5C"/>
    <w:rsid w:val="00A44D35"/>
    <w:rsid w:val="00A44FAC"/>
    <w:rsid w:val="00A46E02"/>
    <w:rsid w:val="00A47055"/>
    <w:rsid w:val="00A47A3B"/>
    <w:rsid w:val="00A47C2C"/>
    <w:rsid w:val="00A47F15"/>
    <w:rsid w:val="00A54056"/>
    <w:rsid w:val="00A550AE"/>
    <w:rsid w:val="00A618B6"/>
    <w:rsid w:val="00A61EF4"/>
    <w:rsid w:val="00A64B57"/>
    <w:rsid w:val="00A652A7"/>
    <w:rsid w:val="00A70714"/>
    <w:rsid w:val="00A723CA"/>
    <w:rsid w:val="00A7354D"/>
    <w:rsid w:val="00A759DD"/>
    <w:rsid w:val="00A76A6B"/>
    <w:rsid w:val="00A84668"/>
    <w:rsid w:val="00A92804"/>
    <w:rsid w:val="00A934F8"/>
    <w:rsid w:val="00A95CC8"/>
    <w:rsid w:val="00AA3E61"/>
    <w:rsid w:val="00AA494C"/>
    <w:rsid w:val="00AA498C"/>
    <w:rsid w:val="00AA4AA1"/>
    <w:rsid w:val="00AA6239"/>
    <w:rsid w:val="00AA64BA"/>
    <w:rsid w:val="00AA651D"/>
    <w:rsid w:val="00AB372E"/>
    <w:rsid w:val="00AB3FD1"/>
    <w:rsid w:val="00AB6772"/>
    <w:rsid w:val="00AB6779"/>
    <w:rsid w:val="00AB7E53"/>
    <w:rsid w:val="00AC07AC"/>
    <w:rsid w:val="00AC1C0D"/>
    <w:rsid w:val="00AC3A23"/>
    <w:rsid w:val="00AC46A4"/>
    <w:rsid w:val="00AC475D"/>
    <w:rsid w:val="00AC57CD"/>
    <w:rsid w:val="00AC59BC"/>
    <w:rsid w:val="00AC5C3C"/>
    <w:rsid w:val="00AE6027"/>
    <w:rsid w:val="00AE65F8"/>
    <w:rsid w:val="00AF359C"/>
    <w:rsid w:val="00AF3693"/>
    <w:rsid w:val="00AF3F9B"/>
    <w:rsid w:val="00AF63AD"/>
    <w:rsid w:val="00B02765"/>
    <w:rsid w:val="00B05255"/>
    <w:rsid w:val="00B116A9"/>
    <w:rsid w:val="00B14B93"/>
    <w:rsid w:val="00B16913"/>
    <w:rsid w:val="00B177AB"/>
    <w:rsid w:val="00B17B86"/>
    <w:rsid w:val="00B225C3"/>
    <w:rsid w:val="00B226D7"/>
    <w:rsid w:val="00B24A65"/>
    <w:rsid w:val="00B264EB"/>
    <w:rsid w:val="00B26B99"/>
    <w:rsid w:val="00B328F9"/>
    <w:rsid w:val="00B32AA8"/>
    <w:rsid w:val="00B345D6"/>
    <w:rsid w:val="00B34957"/>
    <w:rsid w:val="00B36FEB"/>
    <w:rsid w:val="00B42128"/>
    <w:rsid w:val="00B45A12"/>
    <w:rsid w:val="00B45D24"/>
    <w:rsid w:val="00B47C21"/>
    <w:rsid w:val="00B510CA"/>
    <w:rsid w:val="00B54173"/>
    <w:rsid w:val="00B56279"/>
    <w:rsid w:val="00B62112"/>
    <w:rsid w:val="00B62ABE"/>
    <w:rsid w:val="00B67387"/>
    <w:rsid w:val="00B67D1D"/>
    <w:rsid w:val="00B71C5E"/>
    <w:rsid w:val="00B73E14"/>
    <w:rsid w:val="00B748DB"/>
    <w:rsid w:val="00B75619"/>
    <w:rsid w:val="00B76DA6"/>
    <w:rsid w:val="00B81D04"/>
    <w:rsid w:val="00B832BE"/>
    <w:rsid w:val="00B846CD"/>
    <w:rsid w:val="00B85A29"/>
    <w:rsid w:val="00B90DC9"/>
    <w:rsid w:val="00B93479"/>
    <w:rsid w:val="00B949EF"/>
    <w:rsid w:val="00BA09D0"/>
    <w:rsid w:val="00BA1D03"/>
    <w:rsid w:val="00BA1D49"/>
    <w:rsid w:val="00BA2F3B"/>
    <w:rsid w:val="00BA4050"/>
    <w:rsid w:val="00BB333C"/>
    <w:rsid w:val="00BB3FF7"/>
    <w:rsid w:val="00BB49B0"/>
    <w:rsid w:val="00BB53D4"/>
    <w:rsid w:val="00BB5478"/>
    <w:rsid w:val="00BB5F52"/>
    <w:rsid w:val="00BB6CD6"/>
    <w:rsid w:val="00BB7247"/>
    <w:rsid w:val="00BB7F6A"/>
    <w:rsid w:val="00BC1279"/>
    <w:rsid w:val="00BC28EF"/>
    <w:rsid w:val="00BC2BBE"/>
    <w:rsid w:val="00BC3C47"/>
    <w:rsid w:val="00BC5105"/>
    <w:rsid w:val="00BC5A79"/>
    <w:rsid w:val="00BD050A"/>
    <w:rsid w:val="00BD1345"/>
    <w:rsid w:val="00BD3686"/>
    <w:rsid w:val="00BD57D9"/>
    <w:rsid w:val="00BD77DC"/>
    <w:rsid w:val="00BD7D72"/>
    <w:rsid w:val="00BE14AD"/>
    <w:rsid w:val="00BE2157"/>
    <w:rsid w:val="00BE301C"/>
    <w:rsid w:val="00BE4227"/>
    <w:rsid w:val="00BE5DBE"/>
    <w:rsid w:val="00BE64FE"/>
    <w:rsid w:val="00BE6ECC"/>
    <w:rsid w:val="00BF3002"/>
    <w:rsid w:val="00BF5736"/>
    <w:rsid w:val="00BF6B49"/>
    <w:rsid w:val="00C0423B"/>
    <w:rsid w:val="00C050B9"/>
    <w:rsid w:val="00C054E4"/>
    <w:rsid w:val="00C060C5"/>
    <w:rsid w:val="00C10424"/>
    <w:rsid w:val="00C1399E"/>
    <w:rsid w:val="00C16E8E"/>
    <w:rsid w:val="00C17E5D"/>
    <w:rsid w:val="00C20C28"/>
    <w:rsid w:val="00C21512"/>
    <w:rsid w:val="00C22415"/>
    <w:rsid w:val="00C22A70"/>
    <w:rsid w:val="00C24391"/>
    <w:rsid w:val="00C2458D"/>
    <w:rsid w:val="00C262B9"/>
    <w:rsid w:val="00C30599"/>
    <w:rsid w:val="00C32BC7"/>
    <w:rsid w:val="00C32E92"/>
    <w:rsid w:val="00C350F8"/>
    <w:rsid w:val="00C36F83"/>
    <w:rsid w:val="00C41129"/>
    <w:rsid w:val="00C41E9E"/>
    <w:rsid w:val="00C42D1C"/>
    <w:rsid w:val="00C43CC8"/>
    <w:rsid w:val="00C45F34"/>
    <w:rsid w:val="00C52E75"/>
    <w:rsid w:val="00C54F7E"/>
    <w:rsid w:val="00C56BBB"/>
    <w:rsid w:val="00C57605"/>
    <w:rsid w:val="00C61A10"/>
    <w:rsid w:val="00C6286D"/>
    <w:rsid w:val="00C63D28"/>
    <w:rsid w:val="00C71605"/>
    <w:rsid w:val="00C71F7F"/>
    <w:rsid w:val="00C7243C"/>
    <w:rsid w:val="00C732CE"/>
    <w:rsid w:val="00C75F4C"/>
    <w:rsid w:val="00C77295"/>
    <w:rsid w:val="00C84684"/>
    <w:rsid w:val="00C84DC6"/>
    <w:rsid w:val="00C862C1"/>
    <w:rsid w:val="00C868DA"/>
    <w:rsid w:val="00C87A97"/>
    <w:rsid w:val="00C91C48"/>
    <w:rsid w:val="00C931B0"/>
    <w:rsid w:val="00C937E2"/>
    <w:rsid w:val="00C94CF6"/>
    <w:rsid w:val="00CA0536"/>
    <w:rsid w:val="00CA05A6"/>
    <w:rsid w:val="00CA07D7"/>
    <w:rsid w:val="00CA0A55"/>
    <w:rsid w:val="00CA381C"/>
    <w:rsid w:val="00CA5240"/>
    <w:rsid w:val="00CA679F"/>
    <w:rsid w:val="00CA6961"/>
    <w:rsid w:val="00CB1043"/>
    <w:rsid w:val="00CB3F4E"/>
    <w:rsid w:val="00CB41C9"/>
    <w:rsid w:val="00CC3217"/>
    <w:rsid w:val="00CC3CAB"/>
    <w:rsid w:val="00CC5102"/>
    <w:rsid w:val="00CC6871"/>
    <w:rsid w:val="00CC76EE"/>
    <w:rsid w:val="00CD0A2C"/>
    <w:rsid w:val="00CD19DB"/>
    <w:rsid w:val="00CD1A0D"/>
    <w:rsid w:val="00CD24C5"/>
    <w:rsid w:val="00CD4CE8"/>
    <w:rsid w:val="00CD4D5F"/>
    <w:rsid w:val="00CE08F2"/>
    <w:rsid w:val="00CE6971"/>
    <w:rsid w:val="00CE6D17"/>
    <w:rsid w:val="00CF0550"/>
    <w:rsid w:val="00CF3415"/>
    <w:rsid w:val="00CF688A"/>
    <w:rsid w:val="00D02060"/>
    <w:rsid w:val="00D04A74"/>
    <w:rsid w:val="00D0556D"/>
    <w:rsid w:val="00D05C0D"/>
    <w:rsid w:val="00D112C6"/>
    <w:rsid w:val="00D120B2"/>
    <w:rsid w:val="00D12EA4"/>
    <w:rsid w:val="00D133B1"/>
    <w:rsid w:val="00D136C5"/>
    <w:rsid w:val="00D1376B"/>
    <w:rsid w:val="00D14BC8"/>
    <w:rsid w:val="00D169A5"/>
    <w:rsid w:val="00D17C32"/>
    <w:rsid w:val="00D21A17"/>
    <w:rsid w:val="00D22025"/>
    <w:rsid w:val="00D225C8"/>
    <w:rsid w:val="00D27645"/>
    <w:rsid w:val="00D31F10"/>
    <w:rsid w:val="00D323D9"/>
    <w:rsid w:val="00D33E70"/>
    <w:rsid w:val="00D35E30"/>
    <w:rsid w:val="00D37B33"/>
    <w:rsid w:val="00D40506"/>
    <w:rsid w:val="00D41403"/>
    <w:rsid w:val="00D43185"/>
    <w:rsid w:val="00D4343D"/>
    <w:rsid w:val="00D43671"/>
    <w:rsid w:val="00D449E7"/>
    <w:rsid w:val="00D502BE"/>
    <w:rsid w:val="00D52FAB"/>
    <w:rsid w:val="00D5404E"/>
    <w:rsid w:val="00D6017B"/>
    <w:rsid w:val="00D61193"/>
    <w:rsid w:val="00D646A6"/>
    <w:rsid w:val="00D65849"/>
    <w:rsid w:val="00D6589B"/>
    <w:rsid w:val="00D664CB"/>
    <w:rsid w:val="00D678C9"/>
    <w:rsid w:val="00D72824"/>
    <w:rsid w:val="00D72C2F"/>
    <w:rsid w:val="00D7330F"/>
    <w:rsid w:val="00D74D73"/>
    <w:rsid w:val="00D750C3"/>
    <w:rsid w:val="00D80629"/>
    <w:rsid w:val="00D80ADA"/>
    <w:rsid w:val="00D80F9A"/>
    <w:rsid w:val="00D82712"/>
    <w:rsid w:val="00D84C86"/>
    <w:rsid w:val="00D866CC"/>
    <w:rsid w:val="00D8754A"/>
    <w:rsid w:val="00D90089"/>
    <w:rsid w:val="00D93476"/>
    <w:rsid w:val="00D96147"/>
    <w:rsid w:val="00D976EE"/>
    <w:rsid w:val="00DA1358"/>
    <w:rsid w:val="00DA357F"/>
    <w:rsid w:val="00DB04B7"/>
    <w:rsid w:val="00DB2F37"/>
    <w:rsid w:val="00DB300E"/>
    <w:rsid w:val="00DC5ED3"/>
    <w:rsid w:val="00DC6E06"/>
    <w:rsid w:val="00DC742D"/>
    <w:rsid w:val="00DD02BC"/>
    <w:rsid w:val="00DD05A4"/>
    <w:rsid w:val="00DD6683"/>
    <w:rsid w:val="00DE31B6"/>
    <w:rsid w:val="00DE51BD"/>
    <w:rsid w:val="00DE742D"/>
    <w:rsid w:val="00DF0951"/>
    <w:rsid w:val="00DF3041"/>
    <w:rsid w:val="00DF5163"/>
    <w:rsid w:val="00DF6064"/>
    <w:rsid w:val="00E00B8A"/>
    <w:rsid w:val="00E00E34"/>
    <w:rsid w:val="00E076C3"/>
    <w:rsid w:val="00E07D4E"/>
    <w:rsid w:val="00E10657"/>
    <w:rsid w:val="00E10780"/>
    <w:rsid w:val="00E10CE3"/>
    <w:rsid w:val="00E13980"/>
    <w:rsid w:val="00E153DA"/>
    <w:rsid w:val="00E20779"/>
    <w:rsid w:val="00E20971"/>
    <w:rsid w:val="00E20DB8"/>
    <w:rsid w:val="00E228EA"/>
    <w:rsid w:val="00E22E52"/>
    <w:rsid w:val="00E23ABD"/>
    <w:rsid w:val="00E2615A"/>
    <w:rsid w:val="00E26D59"/>
    <w:rsid w:val="00E26DAC"/>
    <w:rsid w:val="00E314AD"/>
    <w:rsid w:val="00E31AD2"/>
    <w:rsid w:val="00E342C8"/>
    <w:rsid w:val="00E37D25"/>
    <w:rsid w:val="00E40BC2"/>
    <w:rsid w:val="00E412E8"/>
    <w:rsid w:val="00E42192"/>
    <w:rsid w:val="00E42C3C"/>
    <w:rsid w:val="00E43727"/>
    <w:rsid w:val="00E43C62"/>
    <w:rsid w:val="00E5023B"/>
    <w:rsid w:val="00E505F4"/>
    <w:rsid w:val="00E51B7A"/>
    <w:rsid w:val="00E53087"/>
    <w:rsid w:val="00E53F78"/>
    <w:rsid w:val="00E61A3A"/>
    <w:rsid w:val="00E625D6"/>
    <w:rsid w:val="00E62AC1"/>
    <w:rsid w:val="00E63370"/>
    <w:rsid w:val="00E63506"/>
    <w:rsid w:val="00E63B4E"/>
    <w:rsid w:val="00E736AF"/>
    <w:rsid w:val="00E7412B"/>
    <w:rsid w:val="00E76789"/>
    <w:rsid w:val="00E81064"/>
    <w:rsid w:val="00E85439"/>
    <w:rsid w:val="00E86718"/>
    <w:rsid w:val="00E91B24"/>
    <w:rsid w:val="00E927BF"/>
    <w:rsid w:val="00E961CB"/>
    <w:rsid w:val="00EA22A7"/>
    <w:rsid w:val="00EA345A"/>
    <w:rsid w:val="00EB4DBA"/>
    <w:rsid w:val="00EB66CA"/>
    <w:rsid w:val="00EC1E4F"/>
    <w:rsid w:val="00EC1EE0"/>
    <w:rsid w:val="00EC2969"/>
    <w:rsid w:val="00EC31B8"/>
    <w:rsid w:val="00EC4BDB"/>
    <w:rsid w:val="00EC71A2"/>
    <w:rsid w:val="00ED01A7"/>
    <w:rsid w:val="00ED0274"/>
    <w:rsid w:val="00ED1461"/>
    <w:rsid w:val="00ED254C"/>
    <w:rsid w:val="00ED2764"/>
    <w:rsid w:val="00ED4185"/>
    <w:rsid w:val="00ED62ED"/>
    <w:rsid w:val="00EE23F1"/>
    <w:rsid w:val="00EE4B34"/>
    <w:rsid w:val="00EF6F13"/>
    <w:rsid w:val="00EF77F8"/>
    <w:rsid w:val="00F014E5"/>
    <w:rsid w:val="00F065CF"/>
    <w:rsid w:val="00F06860"/>
    <w:rsid w:val="00F075B1"/>
    <w:rsid w:val="00F14B83"/>
    <w:rsid w:val="00F16E49"/>
    <w:rsid w:val="00F1746D"/>
    <w:rsid w:val="00F17FD6"/>
    <w:rsid w:val="00F22F3F"/>
    <w:rsid w:val="00F2524D"/>
    <w:rsid w:val="00F26703"/>
    <w:rsid w:val="00F274AD"/>
    <w:rsid w:val="00F30359"/>
    <w:rsid w:val="00F314F1"/>
    <w:rsid w:val="00F32B1D"/>
    <w:rsid w:val="00F32BB2"/>
    <w:rsid w:val="00F32E45"/>
    <w:rsid w:val="00F33101"/>
    <w:rsid w:val="00F354FB"/>
    <w:rsid w:val="00F35D60"/>
    <w:rsid w:val="00F37230"/>
    <w:rsid w:val="00F4198B"/>
    <w:rsid w:val="00F4560A"/>
    <w:rsid w:val="00F460D0"/>
    <w:rsid w:val="00F47739"/>
    <w:rsid w:val="00F5364D"/>
    <w:rsid w:val="00F5564C"/>
    <w:rsid w:val="00F55CC2"/>
    <w:rsid w:val="00F6005F"/>
    <w:rsid w:val="00F60B65"/>
    <w:rsid w:val="00F62DAE"/>
    <w:rsid w:val="00F63470"/>
    <w:rsid w:val="00F658B2"/>
    <w:rsid w:val="00F71002"/>
    <w:rsid w:val="00F729DE"/>
    <w:rsid w:val="00F74527"/>
    <w:rsid w:val="00F81037"/>
    <w:rsid w:val="00F87258"/>
    <w:rsid w:val="00F87B92"/>
    <w:rsid w:val="00F90A31"/>
    <w:rsid w:val="00F9114D"/>
    <w:rsid w:val="00F91CCA"/>
    <w:rsid w:val="00F9788C"/>
    <w:rsid w:val="00FA1284"/>
    <w:rsid w:val="00FA1577"/>
    <w:rsid w:val="00FA2190"/>
    <w:rsid w:val="00FA2382"/>
    <w:rsid w:val="00FA4DE3"/>
    <w:rsid w:val="00FA774E"/>
    <w:rsid w:val="00FB6994"/>
    <w:rsid w:val="00FC003E"/>
    <w:rsid w:val="00FC600B"/>
    <w:rsid w:val="00FD1F57"/>
    <w:rsid w:val="00FD2DCA"/>
    <w:rsid w:val="00FD4B82"/>
    <w:rsid w:val="00FD66A0"/>
    <w:rsid w:val="00FE0E7C"/>
    <w:rsid w:val="00FE24CD"/>
    <w:rsid w:val="00FE6DE9"/>
    <w:rsid w:val="00FF1B00"/>
    <w:rsid w:val="00FF6FEF"/>
    <w:rsid w:val="00FF6FF9"/>
    <w:rsid w:val="00FF7D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ity"/>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xBrp1">
    <w:name w:val="TxBr_p1"/>
    <w:basedOn w:val="Normal"/>
    <w:rsid w:val="00C42D1C"/>
    <w:pPr>
      <w:widowControl w:val="0"/>
      <w:tabs>
        <w:tab w:val="left" w:pos="1173"/>
        <w:tab w:val="left" w:pos="3271"/>
      </w:tabs>
      <w:autoSpaceDE w:val="0"/>
      <w:autoSpaceDN w:val="0"/>
      <w:adjustRightInd w:val="0"/>
      <w:spacing w:line="419" w:lineRule="atLeast"/>
      <w:ind w:left="812" w:hanging="1173"/>
    </w:pPr>
  </w:style>
  <w:style w:type="paragraph" w:customStyle="1" w:styleId="TxBrc1">
    <w:name w:val="TxBr_c1"/>
    <w:basedOn w:val="Normal"/>
    <w:rsid w:val="00C42D1C"/>
    <w:pPr>
      <w:widowControl w:val="0"/>
      <w:autoSpaceDE w:val="0"/>
      <w:autoSpaceDN w:val="0"/>
      <w:adjustRightInd w:val="0"/>
      <w:spacing w:line="240" w:lineRule="atLeast"/>
      <w:jc w:val="center"/>
    </w:pPr>
  </w:style>
  <w:style w:type="paragraph" w:customStyle="1" w:styleId="TxBrc2">
    <w:name w:val="TxBr_c2"/>
    <w:basedOn w:val="Normal"/>
    <w:rsid w:val="00C42D1C"/>
    <w:pPr>
      <w:widowControl w:val="0"/>
      <w:autoSpaceDE w:val="0"/>
      <w:autoSpaceDN w:val="0"/>
      <w:adjustRightInd w:val="0"/>
      <w:spacing w:line="240" w:lineRule="atLeast"/>
      <w:jc w:val="center"/>
    </w:pPr>
  </w:style>
  <w:style w:type="paragraph" w:customStyle="1" w:styleId="TxBrp3">
    <w:name w:val="TxBr_p3"/>
    <w:basedOn w:val="Normal"/>
    <w:rsid w:val="00C42D1C"/>
    <w:pPr>
      <w:widowControl w:val="0"/>
      <w:tabs>
        <w:tab w:val="left" w:pos="1479"/>
        <w:tab w:val="left" w:pos="2194"/>
      </w:tabs>
      <w:autoSpaceDE w:val="0"/>
      <w:autoSpaceDN w:val="0"/>
      <w:adjustRightInd w:val="0"/>
      <w:spacing w:line="413" w:lineRule="atLeast"/>
      <w:ind w:firstLine="1480"/>
    </w:pPr>
  </w:style>
  <w:style w:type="paragraph" w:customStyle="1" w:styleId="TxBrp2">
    <w:name w:val="TxBr_p2"/>
    <w:basedOn w:val="Normal"/>
    <w:rsid w:val="00C42D1C"/>
    <w:pPr>
      <w:widowControl w:val="0"/>
      <w:tabs>
        <w:tab w:val="left" w:pos="1451"/>
      </w:tabs>
      <w:autoSpaceDE w:val="0"/>
      <w:autoSpaceDN w:val="0"/>
      <w:adjustRightInd w:val="0"/>
      <w:spacing w:line="413" w:lineRule="atLeast"/>
      <w:ind w:firstLine="1452"/>
    </w:pPr>
  </w:style>
  <w:style w:type="paragraph" w:customStyle="1" w:styleId="TxBrp4">
    <w:name w:val="TxBr_p4"/>
    <w:basedOn w:val="Normal"/>
    <w:rsid w:val="00C42D1C"/>
    <w:pPr>
      <w:widowControl w:val="0"/>
      <w:tabs>
        <w:tab w:val="left" w:pos="204"/>
      </w:tabs>
      <w:autoSpaceDE w:val="0"/>
      <w:autoSpaceDN w:val="0"/>
      <w:adjustRightInd w:val="0"/>
      <w:spacing w:line="240" w:lineRule="atLeast"/>
    </w:pPr>
  </w:style>
  <w:style w:type="paragraph" w:customStyle="1" w:styleId="TxBrt4">
    <w:name w:val="TxBr_t4"/>
    <w:basedOn w:val="Normal"/>
    <w:rsid w:val="00C42D1C"/>
    <w:pPr>
      <w:widowControl w:val="0"/>
      <w:autoSpaceDE w:val="0"/>
      <w:autoSpaceDN w:val="0"/>
      <w:adjustRightInd w:val="0"/>
      <w:spacing w:line="240" w:lineRule="atLeast"/>
    </w:pPr>
  </w:style>
  <w:style w:type="paragraph" w:customStyle="1" w:styleId="TxBrt1">
    <w:name w:val="TxBr_t1"/>
    <w:basedOn w:val="Normal"/>
    <w:rsid w:val="00C42D1C"/>
    <w:pPr>
      <w:widowControl w:val="0"/>
      <w:autoSpaceDE w:val="0"/>
      <w:autoSpaceDN w:val="0"/>
      <w:adjustRightInd w:val="0"/>
      <w:spacing w:line="419" w:lineRule="atLeast"/>
    </w:pPr>
  </w:style>
  <w:style w:type="paragraph" w:customStyle="1" w:styleId="TxBrt2">
    <w:name w:val="TxBr_t2"/>
    <w:basedOn w:val="Normal"/>
    <w:rsid w:val="00C42D1C"/>
    <w:pPr>
      <w:widowControl w:val="0"/>
      <w:autoSpaceDE w:val="0"/>
      <w:autoSpaceDN w:val="0"/>
      <w:adjustRightInd w:val="0"/>
      <w:spacing w:line="419" w:lineRule="atLeast"/>
    </w:pPr>
  </w:style>
  <w:style w:type="paragraph" w:customStyle="1" w:styleId="TxBrp6">
    <w:name w:val="TxBr_p6"/>
    <w:basedOn w:val="Normal"/>
    <w:rsid w:val="00C42D1C"/>
    <w:pPr>
      <w:widowControl w:val="0"/>
      <w:tabs>
        <w:tab w:val="left" w:pos="2897"/>
        <w:tab w:val="left" w:pos="5816"/>
      </w:tabs>
      <w:autoSpaceDE w:val="0"/>
      <w:autoSpaceDN w:val="0"/>
      <w:adjustRightInd w:val="0"/>
      <w:spacing w:line="240" w:lineRule="atLeast"/>
      <w:ind w:left="5817" w:hanging="2920"/>
    </w:pPr>
  </w:style>
  <w:style w:type="paragraph" w:customStyle="1" w:styleId="TxBrp7">
    <w:name w:val="TxBr_p7"/>
    <w:basedOn w:val="Normal"/>
    <w:rsid w:val="00C42D1C"/>
    <w:pPr>
      <w:widowControl w:val="0"/>
      <w:tabs>
        <w:tab w:val="left" w:pos="1457"/>
        <w:tab w:val="left" w:pos="2171"/>
      </w:tabs>
      <w:autoSpaceDE w:val="0"/>
      <w:autoSpaceDN w:val="0"/>
      <w:adjustRightInd w:val="0"/>
      <w:spacing w:line="240" w:lineRule="atLeast"/>
      <w:ind w:left="2171" w:hanging="714"/>
    </w:pPr>
  </w:style>
  <w:style w:type="paragraph" w:customStyle="1" w:styleId="TxBrp9">
    <w:name w:val="TxBr_p9"/>
    <w:basedOn w:val="Normal"/>
    <w:rsid w:val="00C42D1C"/>
    <w:pPr>
      <w:widowControl w:val="0"/>
      <w:tabs>
        <w:tab w:val="left" w:pos="204"/>
      </w:tabs>
      <w:autoSpaceDE w:val="0"/>
      <w:autoSpaceDN w:val="0"/>
      <w:adjustRightInd w:val="0"/>
      <w:spacing w:line="240" w:lineRule="atLeast"/>
    </w:pPr>
  </w:style>
  <w:style w:type="paragraph" w:customStyle="1" w:styleId="TxBrt11">
    <w:name w:val="TxBr_t11"/>
    <w:basedOn w:val="Normal"/>
    <w:rsid w:val="00C42D1C"/>
    <w:pPr>
      <w:widowControl w:val="0"/>
      <w:autoSpaceDE w:val="0"/>
      <w:autoSpaceDN w:val="0"/>
      <w:adjustRightInd w:val="0"/>
      <w:spacing w:line="240" w:lineRule="atLeast"/>
    </w:pPr>
  </w:style>
  <w:style w:type="paragraph" w:customStyle="1" w:styleId="TxBrt12">
    <w:name w:val="TxBr_t12"/>
    <w:basedOn w:val="Normal"/>
    <w:rsid w:val="00C42D1C"/>
    <w:pPr>
      <w:widowControl w:val="0"/>
      <w:autoSpaceDE w:val="0"/>
      <w:autoSpaceDN w:val="0"/>
      <w:adjustRightInd w:val="0"/>
      <w:spacing w:line="240" w:lineRule="atLeast"/>
    </w:pPr>
  </w:style>
  <w:style w:type="paragraph" w:customStyle="1" w:styleId="TxBrt13">
    <w:name w:val="TxBr_t13"/>
    <w:basedOn w:val="Normal"/>
    <w:rsid w:val="00C42D1C"/>
    <w:pPr>
      <w:widowControl w:val="0"/>
      <w:autoSpaceDE w:val="0"/>
      <w:autoSpaceDN w:val="0"/>
      <w:adjustRightInd w:val="0"/>
      <w:spacing w:line="240" w:lineRule="atLeast"/>
    </w:pPr>
  </w:style>
  <w:style w:type="paragraph" w:customStyle="1" w:styleId="TxBrc4">
    <w:name w:val="TxBr_c4"/>
    <w:basedOn w:val="Normal"/>
    <w:rsid w:val="00C42D1C"/>
    <w:pPr>
      <w:widowControl w:val="0"/>
      <w:autoSpaceDE w:val="0"/>
      <w:autoSpaceDN w:val="0"/>
      <w:adjustRightInd w:val="0"/>
      <w:spacing w:line="240" w:lineRule="atLeast"/>
      <w:jc w:val="center"/>
    </w:pPr>
  </w:style>
  <w:style w:type="paragraph" w:customStyle="1" w:styleId="TxBrp5">
    <w:name w:val="TxBr_p5"/>
    <w:basedOn w:val="Normal"/>
    <w:rsid w:val="00C42D1C"/>
    <w:pPr>
      <w:widowControl w:val="0"/>
      <w:tabs>
        <w:tab w:val="left" w:pos="1422"/>
        <w:tab w:val="left" w:pos="2120"/>
      </w:tabs>
      <w:autoSpaceDE w:val="0"/>
      <w:autoSpaceDN w:val="0"/>
      <w:adjustRightInd w:val="0"/>
      <w:spacing w:line="419" w:lineRule="atLeast"/>
      <w:ind w:firstLine="1423"/>
    </w:pPr>
  </w:style>
  <w:style w:type="paragraph" w:styleId="FootnoteText">
    <w:name w:val="footnote text"/>
    <w:basedOn w:val="Normal"/>
    <w:semiHidden/>
    <w:rsid w:val="0020453F"/>
    <w:pPr>
      <w:widowControl w:val="0"/>
      <w:autoSpaceDE w:val="0"/>
      <w:autoSpaceDN w:val="0"/>
      <w:adjustRightInd w:val="0"/>
    </w:pPr>
    <w:rPr>
      <w:sz w:val="20"/>
      <w:szCs w:val="20"/>
    </w:rPr>
  </w:style>
  <w:style w:type="character" w:styleId="FootnoteReference">
    <w:name w:val="footnote reference"/>
    <w:basedOn w:val="DefaultParagraphFont"/>
    <w:semiHidden/>
    <w:rsid w:val="0020453F"/>
    <w:rPr>
      <w:vertAlign w:val="superscript"/>
    </w:rPr>
  </w:style>
  <w:style w:type="paragraph" w:styleId="Footer">
    <w:name w:val="footer"/>
    <w:basedOn w:val="Normal"/>
    <w:rsid w:val="00B56279"/>
    <w:pPr>
      <w:tabs>
        <w:tab w:val="center" w:pos="4320"/>
        <w:tab w:val="right" w:pos="8640"/>
      </w:tabs>
    </w:pPr>
  </w:style>
  <w:style w:type="character" w:styleId="PageNumber">
    <w:name w:val="page number"/>
    <w:basedOn w:val="DefaultParagraphFont"/>
    <w:rsid w:val="00B56279"/>
  </w:style>
  <w:style w:type="paragraph" w:styleId="Header">
    <w:name w:val="header"/>
    <w:basedOn w:val="Normal"/>
    <w:rsid w:val="00B56279"/>
    <w:pPr>
      <w:tabs>
        <w:tab w:val="center" w:pos="4320"/>
        <w:tab w:val="right" w:pos="8640"/>
      </w:tabs>
    </w:pPr>
  </w:style>
  <w:style w:type="paragraph" w:styleId="BodyText">
    <w:name w:val="Body Text"/>
    <w:basedOn w:val="Normal"/>
    <w:rsid w:val="00ED01A7"/>
    <w:pPr>
      <w:tabs>
        <w:tab w:val="left" w:pos="1980"/>
      </w:tabs>
      <w:spacing w:line="480" w:lineRule="auto"/>
      <w:jc w:val="both"/>
    </w:pPr>
    <w:rPr>
      <w:rFonts w:ascii="Courier" w:hAnsi="Courier"/>
      <w:szCs w:val="20"/>
    </w:rPr>
  </w:style>
  <w:style w:type="paragraph" w:styleId="BalloonText">
    <w:name w:val="Balloon Text"/>
    <w:basedOn w:val="Normal"/>
    <w:semiHidden/>
    <w:rsid w:val="003959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2180159">
      <w:bodyDiv w:val="1"/>
      <w:marLeft w:val="0"/>
      <w:marRight w:val="0"/>
      <w:marTop w:val="0"/>
      <w:marBottom w:val="0"/>
      <w:divBdr>
        <w:top w:val="none" w:sz="0" w:space="0" w:color="auto"/>
        <w:left w:val="none" w:sz="0" w:space="0" w:color="auto"/>
        <w:bottom w:val="none" w:sz="0" w:space="0" w:color="auto"/>
        <w:right w:val="none" w:sz="0" w:space="0" w:color="auto"/>
      </w:divBdr>
    </w:div>
    <w:div w:id="193331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1989</Words>
  <Characters>11339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parties of the date and time of the scheduled hearing, and advised them that the case could be dismissed if they failed to obt</vt:lpstr>
    </vt:vector>
  </TitlesOfParts>
  <Company/>
  <LinksUpToDate>false</LinksUpToDate>
  <CharactersWithSpaces>13302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parties of the date and time of the scheduled hearing, and advised them that the case could be dismissed if they failed to obt</dc:title>
  <dc:subject/>
  <dc:creator>DSA</dc:creator>
  <cp:keywords/>
  <dc:description/>
  <cp:lastModifiedBy>shoffner</cp:lastModifiedBy>
  <cp:revision>3</cp:revision>
  <cp:lastPrinted>2010-02-09T16:57:00Z</cp:lastPrinted>
  <dcterms:created xsi:type="dcterms:W3CDTF">2010-02-09T16:54:00Z</dcterms:created>
  <dcterms:modified xsi:type="dcterms:W3CDTF">2010-02-09T16:57:00Z</dcterms:modified>
</cp:coreProperties>
</file>