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A6" w:rsidRPr="00F461A6" w:rsidRDefault="00F461A6" w:rsidP="00F461A6">
      <w:pPr>
        <w:jc w:val="center"/>
        <w:rPr>
          <w:b/>
          <w:sz w:val="26"/>
          <w:szCs w:val="26"/>
        </w:rPr>
      </w:pPr>
      <w:r w:rsidRPr="00F461A6">
        <w:rPr>
          <w:b/>
          <w:sz w:val="26"/>
          <w:szCs w:val="26"/>
        </w:rPr>
        <w:t>PENNSYLVANIA</w:t>
      </w:r>
    </w:p>
    <w:p w:rsidR="00F461A6" w:rsidRPr="00F461A6" w:rsidRDefault="00F461A6" w:rsidP="00F461A6">
      <w:pPr>
        <w:jc w:val="center"/>
        <w:rPr>
          <w:b/>
          <w:sz w:val="26"/>
          <w:szCs w:val="26"/>
        </w:rPr>
      </w:pPr>
      <w:r w:rsidRPr="00F461A6">
        <w:rPr>
          <w:b/>
          <w:sz w:val="26"/>
          <w:szCs w:val="26"/>
        </w:rPr>
        <w:t>PUBLIC UTILITY COMMISSION</w:t>
      </w:r>
    </w:p>
    <w:p w:rsidR="00F461A6" w:rsidRPr="00F461A6" w:rsidRDefault="00F461A6" w:rsidP="00F461A6">
      <w:pPr>
        <w:jc w:val="center"/>
        <w:rPr>
          <w:b/>
          <w:sz w:val="26"/>
          <w:szCs w:val="26"/>
        </w:rPr>
      </w:pPr>
      <w:r w:rsidRPr="00F461A6">
        <w:rPr>
          <w:b/>
          <w:sz w:val="26"/>
          <w:szCs w:val="26"/>
        </w:rPr>
        <w:t>Harrisburg, PA  17105-3265</w:t>
      </w:r>
    </w:p>
    <w:p w:rsidR="00F461A6" w:rsidRPr="00F461A6" w:rsidRDefault="00F461A6" w:rsidP="00F461A6">
      <w:pPr>
        <w:rPr>
          <w:sz w:val="26"/>
          <w:szCs w:val="26"/>
        </w:rPr>
      </w:pPr>
    </w:p>
    <w:p w:rsidR="00F461A6" w:rsidRPr="00F461A6" w:rsidRDefault="00F461A6" w:rsidP="00F461A6">
      <w:pPr>
        <w:rPr>
          <w:sz w:val="26"/>
          <w:szCs w:val="26"/>
        </w:rPr>
      </w:pPr>
    </w:p>
    <w:p w:rsidR="00F461A6" w:rsidRPr="00F461A6" w:rsidRDefault="00F461A6" w:rsidP="00F461A6">
      <w:pPr>
        <w:jc w:val="right"/>
        <w:rPr>
          <w:sz w:val="26"/>
          <w:szCs w:val="26"/>
        </w:rPr>
      </w:pPr>
      <w:r w:rsidRPr="00F461A6">
        <w:rPr>
          <w:sz w:val="26"/>
          <w:szCs w:val="26"/>
        </w:rPr>
        <w:tab/>
      </w:r>
      <w:r w:rsidRPr="00F461A6">
        <w:rPr>
          <w:sz w:val="26"/>
          <w:szCs w:val="26"/>
        </w:rPr>
        <w:tab/>
      </w:r>
      <w:r w:rsidRPr="00F461A6">
        <w:rPr>
          <w:sz w:val="26"/>
          <w:szCs w:val="26"/>
        </w:rPr>
        <w:tab/>
      </w:r>
      <w:r w:rsidRPr="00F461A6">
        <w:rPr>
          <w:sz w:val="26"/>
          <w:szCs w:val="26"/>
        </w:rPr>
        <w:tab/>
      </w:r>
      <w:r w:rsidRPr="00F461A6">
        <w:rPr>
          <w:sz w:val="26"/>
          <w:szCs w:val="26"/>
        </w:rPr>
        <w:tab/>
      </w:r>
      <w:r w:rsidRPr="00F461A6">
        <w:rPr>
          <w:sz w:val="26"/>
          <w:szCs w:val="26"/>
        </w:rPr>
        <w:tab/>
        <w:t xml:space="preserve">            Public Meeting held </w:t>
      </w:r>
      <w:r w:rsidR="00A22038">
        <w:rPr>
          <w:sz w:val="26"/>
          <w:szCs w:val="26"/>
        </w:rPr>
        <w:t>December 17</w:t>
      </w:r>
      <w:r w:rsidR="00103F57">
        <w:rPr>
          <w:sz w:val="26"/>
          <w:szCs w:val="26"/>
        </w:rPr>
        <w:t>,</w:t>
      </w:r>
      <w:r w:rsidRPr="00F461A6">
        <w:rPr>
          <w:sz w:val="26"/>
          <w:szCs w:val="26"/>
        </w:rPr>
        <w:t xml:space="preserve"> 2009</w:t>
      </w:r>
    </w:p>
    <w:p w:rsidR="00F461A6" w:rsidRPr="00F461A6" w:rsidRDefault="00F461A6" w:rsidP="00F461A6">
      <w:pPr>
        <w:rPr>
          <w:sz w:val="26"/>
          <w:szCs w:val="26"/>
        </w:rPr>
      </w:pPr>
    </w:p>
    <w:p w:rsidR="00F461A6" w:rsidRPr="00F461A6" w:rsidRDefault="00F461A6" w:rsidP="00F461A6">
      <w:pPr>
        <w:rPr>
          <w:sz w:val="26"/>
          <w:szCs w:val="26"/>
        </w:rPr>
      </w:pPr>
      <w:r w:rsidRPr="00F461A6">
        <w:rPr>
          <w:sz w:val="26"/>
          <w:szCs w:val="26"/>
        </w:rPr>
        <w:t>Commissioners Present:</w:t>
      </w:r>
    </w:p>
    <w:p w:rsidR="00F461A6" w:rsidRPr="00F461A6" w:rsidRDefault="00F461A6" w:rsidP="00F461A6">
      <w:pPr>
        <w:rPr>
          <w:sz w:val="26"/>
          <w:szCs w:val="26"/>
        </w:rPr>
      </w:pPr>
    </w:p>
    <w:p w:rsidR="00F461A6" w:rsidRPr="00F461A6" w:rsidRDefault="00F461A6" w:rsidP="00F461A6">
      <w:pPr>
        <w:rPr>
          <w:sz w:val="26"/>
          <w:szCs w:val="26"/>
        </w:rPr>
      </w:pPr>
      <w:r w:rsidRPr="00F461A6">
        <w:rPr>
          <w:sz w:val="26"/>
          <w:szCs w:val="26"/>
        </w:rPr>
        <w:tab/>
        <w:t>James H. Cawley, Chairman</w:t>
      </w:r>
    </w:p>
    <w:p w:rsidR="00F461A6" w:rsidRPr="00F461A6" w:rsidRDefault="00F461A6" w:rsidP="00F461A6">
      <w:pPr>
        <w:rPr>
          <w:sz w:val="26"/>
          <w:szCs w:val="26"/>
        </w:rPr>
      </w:pPr>
      <w:r w:rsidRPr="00F461A6">
        <w:rPr>
          <w:sz w:val="26"/>
          <w:szCs w:val="26"/>
        </w:rPr>
        <w:tab/>
        <w:t>Tyrone J. Christy, Vice Chairman</w:t>
      </w:r>
    </w:p>
    <w:p w:rsidR="00F461A6" w:rsidRPr="00F461A6" w:rsidRDefault="00F461A6" w:rsidP="00F461A6">
      <w:pPr>
        <w:rPr>
          <w:sz w:val="26"/>
          <w:szCs w:val="26"/>
        </w:rPr>
      </w:pPr>
      <w:r w:rsidRPr="00F461A6">
        <w:rPr>
          <w:sz w:val="26"/>
          <w:szCs w:val="26"/>
        </w:rPr>
        <w:tab/>
        <w:t>Kim Pizzingrilli</w:t>
      </w:r>
    </w:p>
    <w:p w:rsidR="00F461A6" w:rsidRDefault="00F461A6" w:rsidP="00F461A6">
      <w:pPr>
        <w:rPr>
          <w:sz w:val="26"/>
          <w:szCs w:val="26"/>
        </w:rPr>
      </w:pPr>
      <w:r w:rsidRPr="00F461A6">
        <w:rPr>
          <w:sz w:val="26"/>
          <w:szCs w:val="26"/>
        </w:rPr>
        <w:tab/>
        <w:t>Wayne E. Gardner</w:t>
      </w:r>
    </w:p>
    <w:p w:rsidR="00051376" w:rsidRPr="00F461A6" w:rsidRDefault="00051376" w:rsidP="00051376">
      <w:pPr>
        <w:rPr>
          <w:sz w:val="26"/>
          <w:szCs w:val="26"/>
        </w:rPr>
      </w:pPr>
      <w:r>
        <w:rPr>
          <w:sz w:val="26"/>
          <w:szCs w:val="26"/>
        </w:rPr>
        <w:tab/>
      </w:r>
      <w:r w:rsidRPr="00F461A6">
        <w:rPr>
          <w:sz w:val="26"/>
          <w:szCs w:val="26"/>
        </w:rPr>
        <w:t>Robert F. Powelson</w:t>
      </w:r>
    </w:p>
    <w:p w:rsidR="00051376" w:rsidRPr="00F461A6" w:rsidRDefault="00051376" w:rsidP="00F461A6">
      <w:pPr>
        <w:rPr>
          <w:sz w:val="26"/>
          <w:szCs w:val="26"/>
        </w:rPr>
      </w:pPr>
    </w:p>
    <w:p w:rsidR="00F461A6" w:rsidRDefault="00F461A6" w:rsidP="00F461A6">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4428"/>
      </w:tblGrid>
      <w:tr w:rsidR="00174F01" w:rsidTr="00174F01">
        <w:tc>
          <w:tcPr>
            <w:tcW w:w="5148" w:type="dxa"/>
          </w:tcPr>
          <w:p w:rsidR="00232105" w:rsidRDefault="00174F01" w:rsidP="00232105">
            <w:pPr>
              <w:rPr>
                <w:sz w:val="26"/>
                <w:szCs w:val="26"/>
              </w:rPr>
            </w:pPr>
            <w:r>
              <w:rPr>
                <w:rFonts w:ascii="Times New (W1)" w:hAnsi="Times New (W1)"/>
                <w:sz w:val="26"/>
              </w:rPr>
              <w:t>Petition of PECO Energy Company for  Approval of its Act 129 Energy Efficiency and Conservation Plan and Expedited Approval of its Compact Fluorescent Lamp Program</w:t>
            </w:r>
            <w:r>
              <w:rPr>
                <w:sz w:val="26"/>
                <w:szCs w:val="26"/>
              </w:rPr>
              <w:t xml:space="preserve"> </w:t>
            </w:r>
          </w:p>
          <w:p w:rsidR="00174F01" w:rsidRDefault="00174F01" w:rsidP="00174F01">
            <w:pPr>
              <w:rPr>
                <w:sz w:val="26"/>
                <w:szCs w:val="26"/>
              </w:rPr>
            </w:pPr>
          </w:p>
        </w:tc>
        <w:tc>
          <w:tcPr>
            <w:tcW w:w="4428" w:type="dxa"/>
          </w:tcPr>
          <w:p w:rsidR="00174F01" w:rsidRPr="005A0A6B" w:rsidRDefault="00174F01" w:rsidP="00B42E14">
            <w:pPr>
              <w:jc w:val="right"/>
              <w:rPr>
                <w:rFonts w:ascii="Times New (W1)" w:hAnsi="Times New (W1)"/>
                <w:sz w:val="26"/>
              </w:rPr>
            </w:pPr>
            <w:r>
              <w:rPr>
                <w:rFonts w:ascii="Times New (W1)" w:hAnsi="Times New (W1)"/>
                <w:sz w:val="26"/>
              </w:rPr>
              <w:t>Docket No. M-2009-2093215</w:t>
            </w:r>
          </w:p>
        </w:tc>
      </w:tr>
    </w:tbl>
    <w:p w:rsidR="000D6940" w:rsidRDefault="000D6940" w:rsidP="00581D51">
      <w:pPr>
        <w:spacing w:line="360" w:lineRule="auto"/>
        <w:jc w:val="center"/>
        <w:rPr>
          <w:b/>
          <w:sz w:val="26"/>
          <w:szCs w:val="26"/>
        </w:rPr>
      </w:pPr>
    </w:p>
    <w:p w:rsidR="000D6940" w:rsidRDefault="000D6940" w:rsidP="00581D51">
      <w:pPr>
        <w:spacing w:line="360" w:lineRule="auto"/>
        <w:jc w:val="center"/>
        <w:rPr>
          <w:b/>
          <w:sz w:val="26"/>
          <w:szCs w:val="26"/>
        </w:rPr>
      </w:pPr>
    </w:p>
    <w:p w:rsidR="00F461A6" w:rsidRDefault="00F461A6" w:rsidP="00581D51">
      <w:pPr>
        <w:spacing w:line="360" w:lineRule="auto"/>
        <w:jc w:val="center"/>
        <w:rPr>
          <w:b/>
          <w:sz w:val="26"/>
          <w:szCs w:val="26"/>
        </w:rPr>
      </w:pPr>
      <w:r>
        <w:rPr>
          <w:b/>
          <w:sz w:val="26"/>
          <w:szCs w:val="26"/>
        </w:rPr>
        <w:t>OPINION AND ORDER</w:t>
      </w:r>
    </w:p>
    <w:p w:rsidR="00F461A6" w:rsidRDefault="00F461A6" w:rsidP="00581D51">
      <w:pPr>
        <w:spacing w:line="360" w:lineRule="auto"/>
        <w:jc w:val="center"/>
        <w:rPr>
          <w:b/>
          <w:sz w:val="26"/>
          <w:szCs w:val="26"/>
        </w:rPr>
      </w:pPr>
    </w:p>
    <w:p w:rsidR="00581D51" w:rsidRPr="00581D51" w:rsidRDefault="00581D51" w:rsidP="00581D51">
      <w:pPr>
        <w:spacing w:line="360" w:lineRule="auto"/>
        <w:rPr>
          <w:b/>
          <w:sz w:val="26"/>
          <w:szCs w:val="26"/>
        </w:rPr>
      </w:pPr>
      <w:r>
        <w:rPr>
          <w:b/>
          <w:sz w:val="26"/>
          <w:szCs w:val="26"/>
        </w:rPr>
        <w:t>BY THE COMMISSION:</w:t>
      </w:r>
    </w:p>
    <w:p w:rsidR="00581D51" w:rsidRDefault="00581D51" w:rsidP="00581D51">
      <w:pPr>
        <w:spacing w:line="360" w:lineRule="auto"/>
        <w:ind w:firstLine="1440"/>
        <w:rPr>
          <w:sz w:val="26"/>
          <w:szCs w:val="26"/>
        </w:rPr>
      </w:pPr>
    </w:p>
    <w:p w:rsidR="00DB1424" w:rsidRPr="0056717C" w:rsidRDefault="00DB1424" w:rsidP="00A628BA">
      <w:pPr>
        <w:pStyle w:val="Heading1"/>
      </w:pPr>
      <w:bookmarkStart w:id="0" w:name="_Toc236722833"/>
      <w:r w:rsidRPr="0056717C">
        <w:t>I.</w:t>
      </w:r>
      <w:r w:rsidR="00B6382E">
        <w:t xml:space="preserve">  </w:t>
      </w:r>
      <w:r w:rsidR="006F4B78">
        <w:tab/>
      </w:r>
      <w:r w:rsidRPr="00695B97">
        <w:t>Introduction</w:t>
      </w:r>
      <w:bookmarkEnd w:id="0"/>
    </w:p>
    <w:p w:rsidR="00DB1424" w:rsidRDefault="00DB1424" w:rsidP="00A628BA">
      <w:pPr>
        <w:spacing w:line="360" w:lineRule="auto"/>
        <w:jc w:val="center"/>
        <w:rPr>
          <w:sz w:val="26"/>
          <w:szCs w:val="26"/>
        </w:rPr>
      </w:pPr>
    </w:p>
    <w:p w:rsidR="00DB1424" w:rsidRDefault="00DB1424" w:rsidP="00A628BA">
      <w:pPr>
        <w:spacing w:line="360" w:lineRule="auto"/>
        <w:ind w:firstLine="1440"/>
        <w:rPr>
          <w:sz w:val="26"/>
          <w:szCs w:val="26"/>
        </w:rPr>
      </w:pPr>
      <w:r>
        <w:rPr>
          <w:sz w:val="26"/>
          <w:szCs w:val="26"/>
        </w:rPr>
        <w:t xml:space="preserve">Before the Pennsylvania Public Utility Commission (Commission) for consideration and disposition is the </w:t>
      </w:r>
      <w:r w:rsidR="00947D67">
        <w:rPr>
          <w:sz w:val="26"/>
          <w:szCs w:val="26"/>
        </w:rPr>
        <w:t xml:space="preserve">Petition </w:t>
      </w:r>
      <w:r w:rsidR="00A22038">
        <w:rPr>
          <w:sz w:val="26"/>
          <w:szCs w:val="26"/>
        </w:rPr>
        <w:t xml:space="preserve">for Reconsideration of the Office of Small Business Advocate </w:t>
      </w:r>
      <w:r w:rsidR="00947D67">
        <w:rPr>
          <w:sz w:val="26"/>
          <w:szCs w:val="26"/>
        </w:rPr>
        <w:t>(</w:t>
      </w:r>
      <w:r w:rsidR="00A22038">
        <w:rPr>
          <w:sz w:val="26"/>
          <w:szCs w:val="26"/>
        </w:rPr>
        <w:t>OSBA</w:t>
      </w:r>
      <w:r w:rsidR="006F76CB">
        <w:rPr>
          <w:sz w:val="26"/>
          <w:szCs w:val="26"/>
        </w:rPr>
        <w:t>)</w:t>
      </w:r>
      <w:r w:rsidR="00947D67">
        <w:rPr>
          <w:sz w:val="26"/>
          <w:szCs w:val="26"/>
        </w:rPr>
        <w:t xml:space="preserve"> </w:t>
      </w:r>
      <w:r w:rsidR="007616C6">
        <w:rPr>
          <w:sz w:val="26"/>
          <w:szCs w:val="26"/>
        </w:rPr>
        <w:t>of the Commission’s Opini</w:t>
      </w:r>
      <w:r w:rsidR="00A22038">
        <w:rPr>
          <w:sz w:val="26"/>
          <w:szCs w:val="26"/>
        </w:rPr>
        <w:t xml:space="preserve">on and Order of </w:t>
      </w:r>
      <w:r w:rsidR="00487A87">
        <w:rPr>
          <w:sz w:val="26"/>
          <w:szCs w:val="26"/>
        </w:rPr>
        <w:t>October 28, 2009</w:t>
      </w:r>
      <w:r w:rsidR="00167F41">
        <w:rPr>
          <w:sz w:val="26"/>
          <w:szCs w:val="26"/>
        </w:rPr>
        <w:t xml:space="preserve"> (</w:t>
      </w:r>
      <w:r w:rsidR="00167F41" w:rsidRPr="00167F41">
        <w:rPr>
          <w:i/>
          <w:sz w:val="26"/>
          <w:szCs w:val="26"/>
        </w:rPr>
        <w:t>October 28, 2009 Order</w:t>
      </w:r>
      <w:r w:rsidR="00167F41">
        <w:rPr>
          <w:sz w:val="26"/>
          <w:szCs w:val="26"/>
        </w:rPr>
        <w:t>)</w:t>
      </w:r>
      <w:r w:rsidR="00A22038">
        <w:rPr>
          <w:sz w:val="26"/>
          <w:szCs w:val="26"/>
        </w:rPr>
        <w:t xml:space="preserve">, which </w:t>
      </w:r>
      <w:r w:rsidR="00D05688">
        <w:rPr>
          <w:sz w:val="26"/>
          <w:szCs w:val="26"/>
        </w:rPr>
        <w:t>adopted</w:t>
      </w:r>
      <w:r w:rsidR="00695200">
        <w:rPr>
          <w:sz w:val="26"/>
          <w:szCs w:val="26"/>
        </w:rPr>
        <w:t>,</w:t>
      </w:r>
      <w:r w:rsidR="00D05688">
        <w:rPr>
          <w:sz w:val="26"/>
          <w:szCs w:val="26"/>
        </w:rPr>
        <w:t xml:space="preserve"> in part, and rejected</w:t>
      </w:r>
      <w:r w:rsidR="00695200">
        <w:rPr>
          <w:sz w:val="26"/>
          <w:szCs w:val="26"/>
        </w:rPr>
        <w:t>,</w:t>
      </w:r>
      <w:r w:rsidR="00D05688">
        <w:rPr>
          <w:sz w:val="26"/>
          <w:szCs w:val="26"/>
        </w:rPr>
        <w:t xml:space="preserve"> in part, </w:t>
      </w:r>
      <w:r w:rsidR="00A22038">
        <w:rPr>
          <w:sz w:val="26"/>
          <w:szCs w:val="26"/>
        </w:rPr>
        <w:t xml:space="preserve">the </w:t>
      </w:r>
      <w:r w:rsidR="00947D67">
        <w:rPr>
          <w:sz w:val="26"/>
          <w:szCs w:val="26"/>
        </w:rPr>
        <w:t>Energy Efficiency and Conservation Plan (</w:t>
      </w:r>
      <w:r w:rsidR="00A611FC">
        <w:rPr>
          <w:sz w:val="26"/>
          <w:szCs w:val="26"/>
        </w:rPr>
        <w:t>EE&amp;C</w:t>
      </w:r>
      <w:r w:rsidR="005E36B6">
        <w:rPr>
          <w:sz w:val="26"/>
          <w:szCs w:val="26"/>
        </w:rPr>
        <w:t xml:space="preserve"> </w:t>
      </w:r>
      <w:r w:rsidR="00A611FC">
        <w:rPr>
          <w:sz w:val="26"/>
          <w:szCs w:val="26"/>
        </w:rPr>
        <w:t>P</w:t>
      </w:r>
      <w:r w:rsidR="005E36B6">
        <w:rPr>
          <w:sz w:val="26"/>
          <w:szCs w:val="26"/>
        </w:rPr>
        <w:t>lan</w:t>
      </w:r>
      <w:r w:rsidR="00A611FC">
        <w:rPr>
          <w:sz w:val="26"/>
          <w:szCs w:val="26"/>
        </w:rPr>
        <w:t xml:space="preserve">, or </w:t>
      </w:r>
      <w:r w:rsidR="00947D67">
        <w:rPr>
          <w:sz w:val="26"/>
          <w:szCs w:val="26"/>
        </w:rPr>
        <w:t>Plan)</w:t>
      </w:r>
      <w:r w:rsidR="00C9744B">
        <w:rPr>
          <w:sz w:val="26"/>
          <w:szCs w:val="26"/>
        </w:rPr>
        <w:t xml:space="preserve">, filed </w:t>
      </w:r>
      <w:r w:rsidR="00A22038">
        <w:rPr>
          <w:sz w:val="26"/>
          <w:szCs w:val="26"/>
        </w:rPr>
        <w:t xml:space="preserve">by </w:t>
      </w:r>
      <w:r w:rsidR="00174F01">
        <w:rPr>
          <w:sz w:val="26"/>
          <w:szCs w:val="26"/>
        </w:rPr>
        <w:t xml:space="preserve">PECO Energy Company </w:t>
      </w:r>
      <w:r w:rsidR="00487A87">
        <w:rPr>
          <w:sz w:val="26"/>
          <w:szCs w:val="26"/>
        </w:rPr>
        <w:t xml:space="preserve">(PECO) </w:t>
      </w:r>
      <w:r w:rsidR="00C9744B">
        <w:rPr>
          <w:sz w:val="26"/>
          <w:szCs w:val="26"/>
        </w:rPr>
        <w:t xml:space="preserve">on July 1, 2009.  </w:t>
      </w:r>
    </w:p>
    <w:p w:rsidR="001A395D" w:rsidRDefault="001A395D" w:rsidP="00A628BA">
      <w:pPr>
        <w:spacing w:line="360" w:lineRule="auto"/>
        <w:ind w:firstLine="1440"/>
        <w:rPr>
          <w:sz w:val="26"/>
          <w:szCs w:val="26"/>
        </w:rPr>
      </w:pPr>
    </w:p>
    <w:p w:rsidR="001A395D" w:rsidRPr="0056717C" w:rsidRDefault="00B6382E" w:rsidP="00A628BA">
      <w:pPr>
        <w:pStyle w:val="Heading1"/>
        <w:rPr>
          <w:szCs w:val="26"/>
        </w:rPr>
      </w:pPr>
      <w:bookmarkStart w:id="1" w:name="_Toc236722834"/>
      <w:r>
        <w:rPr>
          <w:szCs w:val="26"/>
        </w:rPr>
        <w:lastRenderedPageBreak/>
        <w:t xml:space="preserve">II.  </w:t>
      </w:r>
      <w:r w:rsidR="006F4B78">
        <w:rPr>
          <w:szCs w:val="26"/>
        </w:rPr>
        <w:tab/>
      </w:r>
      <w:r w:rsidR="001A395D" w:rsidRPr="0056717C">
        <w:rPr>
          <w:szCs w:val="26"/>
        </w:rPr>
        <w:t>Background</w:t>
      </w:r>
      <w:bookmarkEnd w:id="1"/>
      <w:r w:rsidR="0056186E">
        <w:rPr>
          <w:szCs w:val="26"/>
        </w:rPr>
        <w:t xml:space="preserve"> and Procedural History</w:t>
      </w:r>
      <w:r w:rsidR="00D41572">
        <w:rPr>
          <w:rStyle w:val="FootnoteReference"/>
          <w:szCs w:val="26"/>
        </w:rPr>
        <w:footnoteReference w:id="1"/>
      </w:r>
      <w:r w:rsidR="00927547">
        <w:rPr>
          <w:szCs w:val="26"/>
        </w:rPr>
        <w:t xml:space="preserve"> </w:t>
      </w:r>
    </w:p>
    <w:p w:rsidR="001A395D" w:rsidRDefault="001A395D" w:rsidP="00A628BA">
      <w:pPr>
        <w:spacing w:line="360" w:lineRule="auto"/>
        <w:rPr>
          <w:sz w:val="26"/>
          <w:szCs w:val="26"/>
        </w:rPr>
      </w:pPr>
    </w:p>
    <w:p w:rsidR="00A23CB0" w:rsidRDefault="00075E35" w:rsidP="00A628BA">
      <w:pPr>
        <w:spacing w:line="360" w:lineRule="auto"/>
        <w:ind w:firstLine="1440"/>
        <w:rPr>
          <w:sz w:val="26"/>
          <w:szCs w:val="26"/>
        </w:rPr>
      </w:pPr>
      <w:r>
        <w:rPr>
          <w:sz w:val="26"/>
          <w:szCs w:val="26"/>
        </w:rPr>
        <w:t xml:space="preserve">Governor Edward G. Rendell signed Act 129 of 2008 (Act or Act 129) into law on October 15, 2008.  The Act took effect thirty days thereafter on November 14, 2008.  Among other things, the </w:t>
      </w:r>
      <w:r w:rsidR="0018452B">
        <w:rPr>
          <w:sz w:val="26"/>
          <w:szCs w:val="26"/>
        </w:rPr>
        <w:t xml:space="preserve">Act </w:t>
      </w:r>
      <w:r w:rsidR="000A78D1">
        <w:rPr>
          <w:sz w:val="26"/>
          <w:szCs w:val="26"/>
        </w:rPr>
        <w:t xml:space="preserve">amended the Public Utility Code (Code), 66 Pa. C.S. §§ 101 </w:t>
      </w:r>
      <w:r w:rsidR="000A78D1" w:rsidRPr="000A78D1">
        <w:rPr>
          <w:i/>
          <w:sz w:val="26"/>
          <w:szCs w:val="26"/>
        </w:rPr>
        <w:t>et seq</w:t>
      </w:r>
      <w:r w:rsidR="000A78D1">
        <w:rPr>
          <w:sz w:val="26"/>
          <w:szCs w:val="26"/>
        </w:rPr>
        <w:t>., to require</w:t>
      </w:r>
      <w:r w:rsidR="00F059CA">
        <w:rPr>
          <w:sz w:val="26"/>
          <w:szCs w:val="26"/>
        </w:rPr>
        <w:t xml:space="preserve"> the Commission to develop and adopt an Energy Efficiency and Conservation </w:t>
      </w:r>
      <w:r w:rsidR="005E36B6">
        <w:rPr>
          <w:sz w:val="26"/>
          <w:szCs w:val="26"/>
        </w:rPr>
        <w:t xml:space="preserve">(EE&amp;C) </w:t>
      </w:r>
      <w:r w:rsidR="00F059CA">
        <w:rPr>
          <w:sz w:val="26"/>
          <w:szCs w:val="26"/>
        </w:rPr>
        <w:t xml:space="preserve">Program </w:t>
      </w:r>
      <w:r w:rsidR="00AA5C75">
        <w:rPr>
          <w:sz w:val="26"/>
          <w:szCs w:val="26"/>
        </w:rPr>
        <w:t>by January 15, 2009</w:t>
      </w:r>
      <w:r w:rsidR="00F61D56">
        <w:rPr>
          <w:sz w:val="26"/>
          <w:szCs w:val="26"/>
        </w:rPr>
        <w:t xml:space="preserve">.  </w:t>
      </w:r>
    </w:p>
    <w:p w:rsidR="00A23CB0" w:rsidRDefault="00A23CB0" w:rsidP="00A628BA">
      <w:pPr>
        <w:spacing w:line="360" w:lineRule="auto"/>
        <w:ind w:firstLine="1440"/>
        <w:rPr>
          <w:sz w:val="26"/>
          <w:szCs w:val="26"/>
        </w:rPr>
      </w:pPr>
    </w:p>
    <w:p w:rsidR="00AF45F8" w:rsidRDefault="0016013C" w:rsidP="00A628BA">
      <w:pPr>
        <w:spacing w:line="360" w:lineRule="auto"/>
        <w:ind w:firstLine="1440"/>
        <w:rPr>
          <w:sz w:val="26"/>
          <w:szCs w:val="26"/>
        </w:rPr>
      </w:pPr>
      <w:r>
        <w:rPr>
          <w:sz w:val="26"/>
          <w:szCs w:val="26"/>
        </w:rPr>
        <w:t xml:space="preserve">By Opinion and Order entered January </w:t>
      </w:r>
      <w:r w:rsidR="00F31917">
        <w:rPr>
          <w:sz w:val="26"/>
          <w:szCs w:val="26"/>
        </w:rPr>
        <w:t>16,</w:t>
      </w:r>
      <w:r>
        <w:rPr>
          <w:sz w:val="26"/>
          <w:szCs w:val="26"/>
        </w:rPr>
        <w:t xml:space="preserve"> 2009</w:t>
      </w:r>
      <w:r w:rsidR="004031B3">
        <w:rPr>
          <w:sz w:val="26"/>
          <w:szCs w:val="26"/>
        </w:rPr>
        <w:t>,</w:t>
      </w:r>
      <w:r w:rsidR="00F31917">
        <w:rPr>
          <w:sz w:val="26"/>
          <w:szCs w:val="26"/>
        </w:rPr>
        <w:t xml:space="preserve"> at Docket No. </w:t>
      </w:r>
      <w:r w:rsidR="00764BDC">
        <w:rPr>
          <w:sz w:val="26"/>
          <w:szCs w:val="26"/>
        </w:rPr>
        <w:t xml:space="preserve">                </w:t>
      </w:r>
      <w:r w:rsidR="00F31917">
        <w:rPr>
          <w:sz w:val="26"/>
          <w:szCs w:val="26"/>
        </w:rPr>
        <w:t>M-2008-2069887</w:t>
      </w:r>
      <w:r>
        <w:rPr>
          <w:sz w:val="26"/>
          <w:szCs w:val="26"/>
        </w:rPr>
        <w:t xml:space="preserve"> (</w:t>
      </w:r>
      <w:r w:rsidRPr="0016013C">
        <w:rPr>
          <w:i/>
          <w:sz w:val="26"/>
          <w:szCs w:val="26"/>
        </w:rPr>
        <w:t>Implementation Order</w:t>
      </w:r>
      <w:r>
        <w:rPr>
          <w:sz w:val="26"/>
          <w:szCs w:val="26"/>
        </w:rPr>
        <w:t>)</w:t>
      </w:r>
      <w:r w:rsidR="007B3D5C">
        <w:rPr>
          <w:sz w:val="26"/>
          <w:szCs w:val="26"/>
        </w:rPr>
        <w:t xml:space="preserve">, </w:t>
      </w:r>
      <w:r w:rsidR="005E4C3B">
        <w:rPr>
          <w:sz w:val="26"/>
          <w:szCs w:val="26"/>
        </w:rPr>
        <w:t xml:space="preserve">the Commission </w:t>
      </w:r>
      <w:r w:rsidR="00C145FD">
        <w:rPr>
          <w:sz w:val="26"/>
          <w:szCs w:val="26"/>
        </w:rPr>
        <w:t xml:space="preserve">(1) </w:t>
      </w:r>
      <w:r w:rsidR="005E4C3B">
        <w:rPr>
          <w:sz w:val="26"/>
          <w:szCs w:val="26"/>
        </w:rPr>
        <w:t xml:space="preserve">established the standards </w:t>
      </w:r>
      <w:r w:rsidR="00922B86">
        <w:rPr>
          <w:sz w:val="26"/>
          <w:szCs w:val="26"/>
        </w:rPr>
        <w:t xml:space="preserve">that </w:t>
      </w:r>
      <w:r w:rsidR="004031B3">
        <w:rPr>
          <w:sz w:val="26"/>
          <w:szCs w:val="26"/>
        </w:rPr>
        <w:t xml:space="preserve">Electric Distribution Utility (EDC) </w:t>
      </w:r>
      <w:r w:rsidR="00F61D56">
        <w:rPr>
          <w:sz w:val="26"/>
          <w:szCs w:val="26"/>
        </w:rPr>
        <w:t>EE&amp;C</w:t>
      </w:r>
      <w:r w:rsidR="005E4C3B">
        <w:rPr>
          <w:sz w:val="26"/>
          <w:szCs w:val="26"/>
        </w:rPr>
        <w:t xml:space="preserve"> </w:t>
      </w:r>
      <w:r w:rsidR="002C625C">
        <w:rPr>
          <w:sz w:val="26"/>
          <w:szCs w:val="26"/>
        </w:rPr>
        <w:t>P</w:t>
      </w:r>
      <w:r w:rsidR="005E4C3B">
        <w:rPr>
          <w:sz w:val="26"/>
          <w:szCs w:val="26"/>
        </w:rPr>
        <w:t>lan</w:t>
      </w:r>
      <w:r w:rsidR="00E564BF">
        <w:rPr>
          <w:sz w:val="26"/>
          <w:szCs w:val="26"/>
        </w:rPr>
        <w:t>s</w:t>
      </w:r>
      <w:r w:rsidR="005E4C3B">
        <w:rPr>
          <w:sz w:val="26"/>
          <w:szCs w:val="26"/>
        </w:rPr>
        <w:t xml:space="preserve"> must meet</w:t>
      </w:r>
      <w:r w:rsidR="00C145FD">
        <w:rPr>
          <w:sz w:val="26"/>
          <w:szCs w:val="26"/>
        </w:rPr>
        <w:t>,</w:t>
      </w:r>
      <w:r w:rsidR="005E4C3B">
        <w:rPr>
          <w:sz w:val="26"/>
          <w:szCs w:val="26"/>
        </w:rPr>
        <w:t xml:space="preserve"> and </w:t>
      </w:r>
      <w:r w:rsidR="00C145FD">
        <w:rPr>
          <w:sz w:val="26"/>
          <w:szCs w:val="26"/>
        </w:rPr>
        <w:t xml:space="preserve">(2) </w:t>
      </w:r>
      <w:r w:rsidR="005E4C3B">
        <w:rPr>
          <w:sz w:val="26"/>
          <w:szCs w:val="26"/>
        </w:rPr>
        <w:t xml:space="preserve">provided guidance on the procedures to be followed for submittal, review and approval of all aspects of </w:t>
      </w:r>
      <w:r w:rsidR="004031B3">
        <w:rPr>
          <w:sz w:val="26"/>
          <w:szCs w:val="26"/>
        </w:rPr>
        <w:t xml:space="preserve">EDC </w:t>
      </w:r>
      <w:r w:rsidR="005E4C3B">
        <w:rPr>
          <w:sz w:val="26"/>
          <w:szCs w:val="26"/>
        </w:rPr>
        <w:t>E</w:t>
      </w:r>
      <w:r w:rsidR="00CF08F7">
        <w:rPr>
          <w:sz w:val="26"/>
          <w:szCs w:val="26"/>
        </w:rPr>
        <w:t>E&amp;C</w:t>
      </w:r>
      <w:r w:rsidR="005E4C3B">
        <w:rPr>
          <w:sz w:val="26"/>
          <w:szCs w:val="26"/>
        </w:rPr>
        <w:t xml:space="preserve"> </w:t>
      </w:r>
      <w:r w:rsidR="00CF08F7">
        <w:rPr>
          <w:sz w:val="26"/>
          <w:szCs w:val="26"/>
        </w:rPr>
        <w:t>P</w:t>
      </w:r>
      <w:r w:rsidR="005E4C3B">
        <w:rPr>
          <w:sz w:val="26"/>
          <w:szCs w:val="26"/>
        </w:rPr>
        <w:t>lans</w:t>
      </w:r>
      <w:r w:rsidR="00F31917">
        <w:rPr>
          <w:sz w:val="26"/>
          <w:szCs w:val="26"/>
        </w:rPr>
        <w:t>.</w:t>
      </w:r>
      <w:r w:rsidR="00764BDC">
        <w:rPr>
          <w:sz w:val="26"/>
          <w:szCs w:val="26"/>
        </w:rPr>
        <w:t xml:space="preserve"> </w:t>
      </w:r>
    </w:p>
    <w:p w:rsidR="006B2D6A" w:rsidRDefault="006B2D6A" w:rsidP="00A628BA">
      <w:pPr>
        <w:spacing w:line="360" w:lineRule="auto"/>
        <w:ind w:firstLine="1440"/>
        <w:rPr>
          <w:sz w:val="26"/>
          <w:szCs w:val="26"/>
        </w:rPr>
      </w:pPr>
    </w:p>
    <w:p w:rsidR="00AB42A6" w:rsidRDefault="00487A87" w:rsidP="00A628BA">
      <w:pPr>
        <w:spacing w:line="360" w:lineRule="auto"/>
        <w:ind w:firstLine="1440"/>
        <w:rPr>
          <w:sz w:val="26"/>
          <w:szCs w:val="26"/>
        </w:rPr>
      </w:pPr>
      <w:r>
        <w:rPr>
          <w:sz w:val="26"/>
          <w:szCs w:val="26"/>
        </w:rPr>
        <w:t>PECO</w:t>
      </w:r>
      <w:r w:rsidR="0056186E">
        <w:rPr>
          <w:sz w:val="26"/>
          <w:szCs w:val="26"/>
        </w:rPr>
        <w:t xml:space="preserve"> filed its </w:t>
      </w:r>
      <w:r w:rsidR="002C625C">
        <w:rPr>
          <w:sz w:val="26"/>
          <w:szCs w:val="26"/>
        </w:rPr>
        <w:t>EE&amp;C</w:t>
      </w:r>
      <w:r w:rsidR="005E36B6">
        <w:rPr>
          <w:sz w:val="26"/>
          <w:szCs w:val="26"/>
        </w:rPr>
        <w:t xml:space="preserve"> </w:t>
      </w:r>
      <w:r w:rsidR="0056186E">
        <w:rPr>
          <w:sz w:val="26"/>
          <w:szCs w:val="26"/>
        </w:rPr>
        <w:t>P</w:t>
      </w:r>
      <w:r w:rsidR="005E36B6">
        <w:rPr>
          <w:sz w:val="26"/>
          <w:szCs w:val="26"/>
        </w:rPr>
        <w:t>lan</w:t>
      </w:r>
      <w:r w:rsidR="0056186E">
        <w:rPr>
          <w:sz w:val="26"/>
          <w:szCs w:val="26"/>
        </w:rPr>
        <w:t xml:space="preserve"> on </w:t>
      </w:r>
      <w:r>
        <w:rPr>
          <w:sz w:val="26"/>
          <w:szCs w:val="26"/>
        </w:rPr>
        <w:t>July 1</w:t>
      </w:r>
      <w:r w:rsidR="0056186E">
        <w:rPr>
          <w:sz w:val="26"/>
          <w:szCs w:val="26"/>
        </w:rPr>
        <w:t xml:space="preserve">, 2009.   </w:t>
      </w:r>
      <w:r w:rsidR="0056186E" w:rsidRPr="00F56087">
        <w:rPr>
          <w:sz w:val="26"/>
          <w:szCs w:val="26"/>
        </w:rPr>
        <w:t>Numerous parties intervened prior to or at the prehearing conference, including the</w:t>
      </w:r>
      <w:r w:rsidR="0056186E">
        <w:rPr>
          <w:sz w:val="26"/>
          <w:szCs w:val="26"/>
        </w:rPr>
        <w:t xml:space="preserve"> OSBA.  The Plan was referred to Administrative Law Judge (ALJ) </w:t>
      </w:r>
      <w:r w:rsidR="00D96B97">
        <w:rPr>
          <w:sz w:val="26"/>
          <w:szCs w:val="26"/>
        </w:rPr>
        <w:t>Marlane R. Chestnut</w:t>
      </w:r>
      <w:r w:rsidR="0056186E">
        <w:rPr>
          <w:sz w:val="26"/>
          <w:szCs w:val="26"/>
        </w:rPr>
        <w:t xml:space="preserve">, and on </w:t>
      </w:r>
      <w:r w:rsidR="00D96B97">
        <w:rPr>
          <w:sz w:val="26"/>
          <w:szCs w:val="26"/>
        </w:rPr>
        <w:t>September 14, 2009</w:t>
      </w:r>
      <w:r w:rsidR="0056186E">
        <w:rPr>
          <w:sz w:val="26"/>
          <w:szCs w:val="26"/>
        </w:rPr>
        <w:t xml:space="preserve">, </w:t>
      </w:r>
      <w:r w:rsidR="00D96B97">
        <w:rPr>
          <w:sz w:val="26"/>
          <w:szCs w:val="26"/>
        </w:rPr>
        <w:t xml:space="preserve">the </w:t>
      </w:r>
      <w:r w:rsidR="0056186E">
        <w:rPr>
          <w:sz w:val="26"/>
          <w:szCs w:val="26"/>
        </w:rPr>
        <w:t>ALJ certified the record to the Commission for consideration and disposition.</w:t>
      </w:r>
    </w:p>
    <w:p w:rsidR="0056186E" w:rsidRDefault="0056186E" w:rsidP="00A628BA">
      <w:pPr>
        <w:spacing w:line="360" w:lineRule="auto"/>
        <w:ind w:firstLine="1440"/>
        <w:rPr>
          <w:sz w:val="26"/>
          <w:szCs w:val="26"/>
        </w:rPr>
      </w:pPr>
    </w:p>
    <w:p w:rsidR="00E73A89" w:rsidRDefault="00D96B97" w:rsidP="00A628BA">
      <w:pPr>
        <w:spacing w:line="360" w:lineRule="auto"/>
        <w:ind w:firstLine="1440"/>
        <w:rPr>
          <w:sz w:val="26"/>
          <w:szCs w:val="26"/>
        </w:rPr>
      </w:pPr>
      <w:r>
        <w:rPr>
          <w:sz w:val="26"/>
          <w:szCs w:val="26"/>
        </w:rPr>
        <w:t xml:space="preserve">By </w:t>
      </w:r>
      <w:r w:rsidR="00167F41">
        <w:rPr>
          <w:sz w:val="26"/>
          <w:szCs w:val="26"/>
        </w:rPr>
        <w:t xml:space="preserve">our </w:t>
      </w:r>
      <w:r w:rsidR="0040565B" w:rsidRPr="0040565B">
        <w:rPr>
          <w:i/>
          <w:sz w:val="26"/>
          <w:szCs w:val="26"/>
        </w:rPr>
        <w:t>October 28, 2009 Orde</w:t>
      </w:r>
      <w:r w:rsidR="00167F41">
        <w:rPr>
          <w:i/>
          <w:sz w:val="26"/>
          <w:szCs w:val="26"/>
        </w:rPr>
        <w:t>r</w:t>
      </w:r>
      <w:r w:rsidR="0040565B">
        <w:rPr>
          <w:sz w:val="26"/>
          <w:szCs w:val="26"/>
        </w:rPr>
        <w:t xml:space="preserve">, </w:t>
      </w:r>
      <w:r w:rsidR="007436ED">
        <w:rPr>
          <w:sz w:val="26"/>
          <w:szCs w:val="26"/>
        </w:rPr>
        <w:t xml:space="preserve">the Commission </w:t>
      </w:r>
      <w:r w:rsidR="00D05688">
        <w:rPr>
          <w:sz w:val="26"/>
          <w:szCs w:val="26"/>
        </w:rPr>
        <w:t xml:space="preserve">adopted in part, and rejected in part, </w:t>
      </w:r>
      <w:r w:rsidR="00167F41">
        <w:rPr>
          <w:sz w:val="26"/>
          <w:szCs w:val="26"/>
        </w:rPr>
        <w:t xml:space="preserve">subject to </w:t>
      </w:r>
      <w:r w:rsidR="00E73A89">
        <w:rPr>
          <w:sz w:val="26"/>
          <w:szCs w:val="26"/>
        </w:rPr>
        <w:t>modifications,</w:t>
      </w:r>
      <w:r w:rsidR="0040565B">
        <w:rPr>
          <w:sz w:val="26"/>
          <w:szCs w:val="26"/>
        </w:rPr>
        <w:t xml:space="preserve"> PECO’s</w:t>
      </w:r>
      <w:r w:rsidR="00E73A89">
        <w:rPr>
          <w:sz w:val="26"/>
          <w:szCs w:val="26"/>
        </w:rPr>
        <w:t xml:space="preserve"> EE&amp;C</w:t>
      </w:r>
      <w:r w:rsidR="005E36B6">
        <w:rPr>
          <w:sz w:val="26"/>
          <w:szCs w:val="26"/>
        </w:rPr>
        <w:t xml:space="preserve"> </w:t>
      </w:r>
      <w:r w:rsidR="00E73A89">
        <w:rPr>
          <w:sz w:val="26"/>
          <w:szCs w:val="26"/>
        </w:rPr>
        <w:t>P</w:t>
      </w:r>
      <w:r w:rsidR="005E36B6">
        <w:rPr>
          <w:sz w:val="26"/>
          <w:szCs w:val="26"/>
        </w:rPr>
        <w:t>lan</w:t>
      </w:r>
      <w:r w:rsidR="00E73A89">
        <w:rPr>
          <w:sz w:val="26"/>
          <w:szCs w:val="26"/>
        </w:rPr>
        <w:t>.</w:t>
      </w:r>
    </w:p>
    <w:p w:rsidR="00E73A89" w:rsidRDefault="00E73A89" w:rsidP="00A628BA">
      <w:pPr>
        <w:spacing w:line="360" w:lineRule="auto"/>
        <w:ind w:firstLine="1440"/>
        <w:rPr>
          <w:sz w:val="26"/>
          <w:szCs w:val="26"/>
        </w:rPr>
      </w:pPr>
    </w:p>
    <w:p w:rsidR="0056186E" w:rsidRDefault="00E73A89" w:rsidP="00A628BA">
      <w:pPr>
        <w:spacing w:line="360" w:lineRule="auto"/>
        <w:ind w:firstLine="1440"/>
        <w:rPr>
          <w:sz w:val="26"/>
          <w:szCs w:val="26"/>
        </w:rPr>
      </w:pPr>
      <w:r>
        <w:rPr>
          <w:sz w:val="26"/>
          <w:szCs w:val="26"/>
        </w:rPr>
        <w:t xml:space="preserve">On </w:t>
      </w:r>
      <w:r w:rsidR="00CA15C1">
        <w:rPr>
          <w:sz w:val="26"/>
          <w:szCs w:val="26"/>
        </w:rPr>
        <w:t>November 12, 2009,</w:t>
      </w:r>
      <w:r w:rsidR="007616C6">
        <w:rPr>
          <w:sz w:val="26"/>
          <w:szCs w:val="26"/>
        </w:rPr>
        <w:t xml:space="preserve"> the OSBA filed a</w:t>
      </w:r>
      <w:r>
        <w:rPr>
          <w:sz w:val="26"/>
          <w:szCs w:val="26"/>
        </w:rPr>
        <w:t xml:space="preserve"> </w:t>
      </w:r>
      <w:r w:rsidR="007616C6">
        <w:rPr>
          <w:sz w:val="26"/>
          <w:szCs w:val="26"/>
        </w:rPr>
        <w:t>Petition for Reconsideration</w:t>
      </w:r>
      <w:r>
        <w:rPr>
          <w:sz w:val="26"/>
          <w:szCs w:val="26"/>
        </w:rPr>
        <w:t xml:space="preserve"> </w:t>
      </w:r>
      <w:r w:rsidR="007616C6">
        <w:rPr>
          <w:sz w:val="26"/>
          <w:szCs w:val="26"/>
        </w:rPr>
        <w:t xml:space="preserve">(Petition) of the Commission’s </w:t>
      </w:r>
      <w:r w:rsidR="0040565B" w:rsidRPr="0040565B">
        <w:rPr>
          <w:i/>
          <w:sz w:val="26"/>
          <w:szCs w:val="26"/>
        </w:rPr>
        <w:t>October 28, 2009 Order</w:t>
      </w:r>
      <w:r w:rsidR="007616C6">
        <w:rPr>
          <w:sz w:val="26"/>
          <w:szCs w:val="26"/>
        </w:rPr>
        <w:t>.</w:t>
      </w:r>
      <w:r w:rsidR="003A5207">
        <w:rPr>
          <w:sz w:val="26"/>
          <w:szCs w:val="26"/>
        </w:rPr>
        <w:t xml:space="preserve">  No Answers to </w:t>
      </w:r>
      <w:r w:rsidR="00232105">
        <w:rPr>
          <w:sz w:val="26"/>
          <w:szCs w:val="26"/>
        </w:rPr>
        <w:t xml:space="preserve">the Petition were filed. </w:t>
      </w:r>
    </w:p>
    <w:p w:rsidR="00232105" w:rsidRDefault="00232105" w:rsidP="00A628BA">
      <w:pPr>
        <w:spacing w:line="360" w:lineRule="auto"/>
        <w:ind w:firstLine="1440"/>
        <w:rPr>
          <w:sz w:val="26"/>
          <w:szCs w:val="26"/>
        </w:rPr>
      </w:pPr>
    </w:p>
    <w:p w:rsidR="00232105" w:rsidRDefault="00232105" w:rsidP="00A628BA">
      <w:pPr>
        <w:spacing w:line="360" w:lineRule="auto"/>
        <w:ind w:firstLine="1440"/>
        <w:rPr>
          <w:sz w:val="26"/>
          <w:szCs w:val="26"/>
        </w:rPr>
      </w:pPr>
      <w:r>
        <w:rPr>
          <w:sz w:val="26"/>
          <w:szCs w:val="26"/>
        </w:rPr>
        <w:lastRenderedPageBreak/>
        <w:t>By Opinion and Order entered November 19, 2009, the Commission granted the Petition pending review of, and consideration on</w:t>
      </w:r>
      <w:r w:rsidR="00695200">
        <w:rPr>
          <w:sz w:val="26"/>
          <w:szCs w:val="26"/>
        </w:rPr>
        <w:t>,</w:t>
      </w:r>
      <w:r>
        <w:rPr>
          <w:sz w:val="26"/>
          <w:szCs w:val="26"/>
        </w:rPr>
        <w:t xml:space="preserve"> the merits. </w:t>
      </w:r>
    </w:p>
    <w:p w:rsidR="004031B3" w:rsidRDefault="004031B3" w:rsidP="00A628BA">
      <w:pPr>
        <w:spacing w:line="360" w:lineRule="auto"/>
        <w:ind w:firstLine="1440"/>
        <w:rPr>
          <w:sz w:val="26"/>
          <w:szCs w:val="26"/>
        </w:rPr>
      </w:pPr>
    </w:p>
    <w:p w:rsidR="0049512E" w:rsidRPr="00B9690C" w:rsidRDefault="00B830F4" w:rsidP="00A628BA">
      <w:pPr>
        <w:pStyle w:val="Heading1"/>
        <w:rPr>
          <w:szCs w:val="26"/>
        </w:rPr>
      </w:pPr>
      <w:bookmarkStart w:id="2" w:name="_Toc236722835"/>
      <w:r>
        <w:rPr>
          <w:szCs w:val="26"/>
        </w:rPr>
        <w:t xml:space="preserve">III.  </w:t>
      </w:r>
      <w:r>
        <w:rPr>
          <w:szCs w:val="26"/>
        </w:rPr>
        <w:tab/>
      </w:r>
      <w:bookmarkEnd w:id="2"/>
      <w:r w:rsidR="0049512E" w:rsidRPr="00B9690C">
        <w:rPr>
          <w:szCs w:val="26"/>
        </w:rPr>
        <w:t xml:space="preserve"> </w:t>
      </w:r>
      <w:r w:rsidR="00BA59C2">
        <w:rPr>
          <w:szCs w:val="26"/>
        </w:rPr>
        <w:t>Discussion</w:t>
      </w:r>
    </w:p>
    <w:p w:rsidR="0049512E" w:rsidRDefault="0049512E" w:rsidP="00A628BA">
      <w:pPr>
        <w:spacing w:line="360" w:lineRule="auto"/>
        <w:rPr>
          <w:sz w:val="26"/>
          <w:szCs w:val="26"/>
        </w:rPr>
      </w:pPr>
    </w:p>
    <w:p w:rsidR="00BA59C2" w:rsidRPr="00BA59C2" w:rsidRDefault="00BA59C2" w:rsidP="00A628BA">
      <w:pPr>
        <w:spacing w:line="360" w:lineRule="auto"/>
        <w:ind w:firstLine="1440"/>
        <w:rPr>
          <w:sz w:val="26"/>
          <w:szCs w:val="26"/>
        </w:rPr>
      </w:pPr>
      <w:r w:rsidRPr="00BA59C2">
        <w:rPr>
          <w:sz w:val="26"/>
          <w:szCs w:val="26"/>
        </w:rPr>
        <w:t xml:space="preserve">The standards for granting a </w:t>
      </w:r>
      <w:r w:rsidRPr="00BA59C2">
        <w:rPr>
          <w:bCs/>
          <w:sz w:val="26"/>
          <w:szCs w:val="26"/>
        </w:rPr>
        <w:t>Petition</w:t>
      </w:r>
      <w:r w:rsidRPr="00BA59C2">
        <w:rPr>
          <w:sz w:val="26"/>
          <w:szCs w:val="26"/>
        </w:rPr>
        <w:t xml:space="preserve"> for </w:t>
      </w:r>
      <w:r w:rsidRPr="00BA59C2">
        <w:rPr>
          <w:bCs/>
          <w:sz w:val="26"/>
          <w:szCs w:val="26"/>
        </w:rPr>
        <w:t>Reconsideration</w:t>
      </w:r>
      <w:r w:rsidRPr="00BA59C2">
        <w:rPr>
          <w:sz w:val="26"/>
          <w:szCs w:val="26"/>
        </w:rPr>
        <w:t xml:space="preserve"> were set forth in </w:t>
      </w:r>
      <w:r w:rsidRPr="00BA59C2">
        <w:rPr>
          <w:bCs/>
          <w:i/>
          <w:iCs/>
          <w:sz w:val="26"/>
          <w:szCs w:val="26"/>
        </w:rPr>
        <w:t>Duick</w:t>
      </w:r>
      <w:r w:rsidRPr="00BA59C2">
        <w:rPr>
          <w:i/>
          <w:iCs/>
          <w:sz w:val="26"/>
          <w:szCs w:val="26"/>
        </w:rPr>
        <w:t xml:space="preserve"> v. Pennsylvania Gas and Water Co.</w:t>
      </w:r>
      <w:r w:rsidRPr="00BA59C2">
        <w:rPr>
          <w:sz w:val="26"/>
          <w:szCs w:val="26"/>
        </w:rPr>
        <w:t xml:space="preserve">, Docket No. C-R0597001 </w:t>
      </w:r>
      <w:r w:rsidRPr="00BA59C2">
        <w:rPr>
          <w:i/>
          <w:iCs/>
          <w:sz w:val="26"/>
          <w:szCs w:val="26"/>
        </w:rPr>
        <w:t>et al.</w:t>
      </w:r>
      <w:r w:rsidRPr="00BA59C2">
        <w:rPr>
          <w:sz w:val="26"/>
          <w:szCs w:val="26"/>
        </w:rPr>
        <w:t xml:space="preserve">, 56 </w:t>
      </w:r>
      <w:smartTag w:uri="urn:schemas-microsoft-com:office:smarttags" w:element="place">
        <w:smartTag w:uri="urn:schemas-microsoft-com:office:smarttags" w:element="State">
          <w:r w:rsidRPr="00BA59C2">
            <w:rPr>
              <w:sz w:val="26"/>
              <w:szCs w:val="26"/>
            </w:rPr>
            <w:t>Pa.</w:t>
          </w:r>
        </w:smartTag>
      </w:smartTag>
      <w:r w:rsidRPr="00BA59C2">
        <w:rPr>
          <w:sz w:val="26"/>
          <w:szCs w:val="26"/>
        </w:rPr>
        <w:t xml:space="preserve"> P.U.C. 553, 559, (1982).   Under the standards set forth in </w:t>
      </w:r>
      <w:r w:rsidRPr="00BA59C2">
        <w:rPr>
          <w:i/>
          <w:sz w:val="26"/>
          <w:szCs w:val="26"/>
        </w:rPr>
        <w:t>Duick</w:t>
      </w:r>
      <w:r w:rsidRPr="00BA59C2">
        <w:rPr>
          <w:sz w:val="26"/>
          <w:szCs w:val="26"/>
        </w:rPr>
        <w:t xml:space="preserve">, a </w:t>
      </w:r>
      <w:r w:rsidR="005E36B6">
        <w:rPr>
          <w:sz w:val="26"/>
          <w:szCs w:val="26"/>
        </w:rPr>
        <w:t>Petition for R</w:t>
      </w:r>
      <w:r w:rsidRPr="00BA59C2">
        <w:rPr>
          <w:sz w:val="26"/>
          <w:szCs w:val="26"/>
        </w:rPr>
        <w:t xml:space="preserve">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that appear to have been overlooked or not addressed by the Commission.  </w:t>
      </w:r>
      <w:r w:rsidRPr="00BA59C2">
        <w:rPr>
          <w:i/>
          <w:sz w:val="26"/>
          <w:szCs w:val="26"/>
        </w:rPr>
        <w:t>Duick</w:t>
      </w:r>
      <w:r w:rsidRPr="00BA59C2">
        <w:rPr>
          <w:sz w:val="26"/>
          <w:szCs w:val="26"/>
        </w:rPr>
        <w:t xml:space="preserve"> at 559.  It has also been held that, because a grant of relief on such petitions may result in the disturbance of final orders, it should be granted judiciously and only under appropriate circumstances. </w:t>
      </w:r>
      <w:r w:rsidRPr="00BA59C2">
        <w:rPr>
          <w:i/>
          <w:iCs/>
          <w:sz w:val="26"/>
          <w:szCs w:val="26"/>
        </w:rPr>
        <w:t>West Penn Power v. Pennsylvania Public Utility Commission</w:t>
      </w:r>
      <w:r w:rsidRPr="00BA59C2">
        <w:rPr>
          <w:iCs/>
          <w:sz w:val="26"/>
          <w:szCs w:val="26"/>
        </w:rPr>
        <w:t>,</w:t>
      </w:r>
      <w:r w:rsidRPr="00BA59C2">
        <w:rPr>
          <w:sz w:val="26"/>
          <w:szCs w:val="26"/>
        </w:rPr>
        <w:t xml:space="preserve"> 659 A.2d 1055 (Pa. Cmwlth. 1995), </w:t>
      </w:r>
      <w:r w:rsidRPr="00BA59C2">
        <w:rPr>
          <w:i/>
          <w:sz w:val="26"/>
          <w:szCs w:val="26"/>
        </w:rPr>
        <w:t>petition for allowance of appeal denied</w:t>
      </w:r>
      <w:r w:rsidRPr="00BA59C2">
        <w:rPr>
          <w:sz w:val="26"/>
          <w:szCs w:val="26"/>
        </w:rPr>
        <w:t xml:space="preserve">, No. 576 W.D., Allocatur Docket (April 9, 1996); </w:t>
      </w:r>
      <w:r w:rsidRPr="00BA59C2">
        <w:rPr>
          <w:i/>
          <w:sz w:val="26"/>
          <w:szCs w:val="26"/>
        </w:rPr>
        <w:t>City</w:t>
      </w:r>
      <w:r w:rsidRPr="00BA59C2">
        <w:rPr>
          <w:i/>
          <w:iCs/>
          <w:sz w:val="26"/>
          <w:szCs w:val="26"/>
        </w:rPr>
        <w:t xml:space="preserve"> of Pittsburgh v. PennDOT</w:t>
      </w:r>
      <w:r w:rsidRPr="00BA59C2">
        <w:rPr>
          <w:sz w:val="26"/>
          <w:szCs w:val="26"/>
        </w:rPr>
        <w:t>, 490 Pa. 264, 416 A.2d 461 (1980).</w:t>
      </w:r>
    </w:p>
    <w:p w:rsidR="00BA59C2" w:rsidRDefault="00BA59C2" w:rsidP="00A628BA">
      <w:pPr>
        <w:spacing w:line="360" w:lineRule="auto"/>
        <w:rPr>
          <w:sz w:val="26"/>
          <w:szCs w:val="26"/>
        </w:rPr>
      </w:pPr>
    </w:p>
    <w:p w:rsidR="00BA59C2" w:rsidRDefault="00BA59C2" w:rsidP="00A628BA">
      <w:pPr>
        <w:spacing w:line="360" w:lineRule="auto"/>
        <w:rPr>
          <w:sz w:val="26"/>
          <w:szCs w:val="26"/>
        </w:rPr>
      </w:pPr>
      <w:r>
        <w:rPr>
          <w:sz w:val="26"/>
          <w:szCs w:val="26"/>
        </w:rPr>
        <w:tab/>
      </w:r>
      <w:r w:rsidRPr="00BA59C2">
        <w:rPr>
          <w:sz w:val="26"/>
          <w:szCs w:val="26"/>
        </w:rPr>
        <w:tab/>
        <w:t xml:space="preserve">We note that any issue, which we do not specifically address herein, has been duly considered and will be denied without further discussion.  It is well settled that we are not required to consider expressly or at length each contention or argument raised by the parties.  </w:t>
      </w:r>
      <w:r w:rsidRPr="00BA59C2">
        <w:rPr>
          <w:i/>
          <w:sz w:val="26"/>
          <w:szCs w:val="26"/>
        </w:rPr>
        <w:t>Consolidated Rail Corp. v. Pa. PUC</w:t>
      </w:r>
      <w:r w:rsidRPr="00BA59C2">
        <w:rPr>
          <w:sz w:val="26"/>
          <w:szCs w:val="26"/>
        </w:rPr>
        <w:t xml:space="preserve">, 625 A.2d 741 (Pa. Cmwlth. 1993); also </w:t>
      </w:r>
      <w:r w:rsidRPr="00BA59C2">
        <w:rPr>
          <w:i/>
          <w:sz w:val="26"/>
          <w:szCs w:val="26"/>
        </w:rPr>
        <w:t>see, generally, University of Pennsylvania v. Pa. PUC</w:t>
      </w:r>
      <w:r w:rsidRPr="00BA59C2">
        <w:rPr>
          <w:sz w:val="26"/>
          <w:szCs w:val="26"/>
        </w:rPr>
        <w:t>, 485 A.2d 1217 (Pa. Cmwlth. 1984).</w:t>
      </w:r>
    </w:p>
    <w:p w:rsidR="00A628BA" w:rsidRPr="00BA59C2" w:rsidRDefault="00A628BA" w:rsidP="00A628BA">
      <w:pPr>
        <w:spacing w:line="360" w:lineRule="auto"/>
        <w:rPr>
          <w:sz w:val="26"/>
          <w:szCs w:val="26"/>
        </w:rPr>
      </w:pPr>
    </w:p>
    <w:p w:rsidR="00E337EB" w:rsidRDefault="00E337EB" w:rsidP="00A628BA">
      <w:pPr>
        <w:spacing w:line="360" w:lineRule="auto"/>
        <w:ind w:firstLine="1440"/>
        <w:rPr>
          <w:sz w:val="26"/>
          <w:szCs w:val="26"/>
        </w:rPr>
      </w:pPr>
      <w:r w:rsidRPr="00411D0D">
        <w:rPr>
          <w:sz w:val="26"/>
          <w:szCs w:val="26"/>
        </w:rPr>
        <w:t xml:space="preserve">In its Petition, OSBA requests that </w:t>
      </w:r>
      <w:r>
        <w:rPr>
          <w:sz w:val="26"/>
          <w:szCs w:val="26"/>
        </w:rPr>
        <w:t>PECO</w:t>
      </w:r>
      <w:r w:rsidRPr="00411D0D">
        <w:rPr>
          <w:sz w:val="26"/>
          <w:szCs w:val="26"/>
        </w:rPr>
        <w:t xml:space="preserve"> be required to file a red-lined version of its </w:t>
      </w:r>
      <w:r w:rsidR="00B42E14">
        <w:rPr>
          <w:sz w:val="26"/>
          <w:szCs w:val="26"/>
        </w:rPr>
        <w:t xml:space="preserve">revised </w:t>
      </w:r>
      <w:r w:rsidRPr="00411D0D">
        <w:rPr>
          <w:sz w:val="26"/>
          <w:szCs w:val="26"/>
        </w:rPr>
        <w:t>EE&amp;C Plan</w:t>
      </w:r>
      <w:r w:rsidR="00B42E14">
        <w:rPr>
          <w:sz w:val="26"/>
          <w:szCs w:val="26"/>
        </w:rPr>
        <w:t xml:space="preserve"> that PECO will submit in response to our </w:t>
      </w:r>
      <w:r w:rsidR="00B42E14" w:rsidRPr="00CE4540">
        <w:rPr>
          <w:i/>
          <w:sz w:val="26"/>
          <w:szCs w:val="26"/>
        </w:rPr>
        <w:t>October 28, 2009 Order</w:t>
      </w:r>
      <w:r w:rsidR="00B42E14">
        <w:rPr>
          <w:sz w:val="26"/>
          <w:szCs w:val="26"/>
        </w:rPr>
        <w:t>.</w:t>
      </w:r>
      <w:r w:rsidRPr="00411D0D">
        <w:rPr>
          <w:sz w:val="26"/>
          <w:szCs w:val="26"/>
        </w:rPr>
        <w:t xml:space="preserve"> </w:t>
      </w:r>
      <w:r>
        <w:rPr>
          <w:sz w:val="26"/>
          <w:szCs w:val="26"/>
        </w:rPr>
        <w:t xml:space="preserve"> OSBA points outs out that PECO’s revised EE&amp;C Plan is due on </w:t>
      </w:r>
      <w:r>
        <w:rPr>
          <w:sz w:val="26"/>
          <w:szCs w:val="26"/>
        </w:rPr>
        <w:lastRenderedPageBreak/>
        <w:t>December</w:t>
      </w:r>
      <w:r w:rsidR="008414F6">
        <w:rPr>
          <w:sz w:val="26"/>
          <w:szCs w:val="26"/>
        </w:rPr>
        <w:t> </w:t>
      </w:r>
      <w:r>
        <w:rPr>
          <w:sz w:val="26"/>
          <w:szCs w:val="26"/>
        </w:rPr>
        <w:t>28, 2009</w:t>
      </w:r>
      <w:r w:rsidR="00B42E14">
        <w:rPr>
          <w:sz w:val="26"/>
          <w:szCs w:val="26"/>
        </w:rPr>
        <w:t xml:space="preserve">.  If PECO files its revised Plan on December 28, 2009, </w:t>
      </w:r>
      <w:r>
        <w:rPr>
          <w:sz w:val="26"/>
          <w:szCs w:val="26"/>
        </w:rPr>
        <w:t xml:space="preserve">the </w:t>
      </w:r>
      <w:r w:rsidR="00CE4540">
        <w:rPr>
          <w:sz w:val="26"/>
          <w:szCs w:val="26"/>
        </w:rPr>
        <w:t>P</w:t>
      </w:r>
      <w:r>
        <w:rPr>
          <w:sz w:val="26"/>
          <w:szCs w:val="26"/>
        </w:rPr>
        <w:t xml:space="preserve">arties’ </w:t>
      </w:r>
      <w:r w:rsidR="00CE4540">
        <w:rPr>
          <w:sz w:val="26"/>
          <w:szCs w:val="26"/>
        </w:rPr>
        <w:t>C</w:t>
      </w:r>
      <w:r>
        <w:rPr>
          <w:sz w:val="26"/>
          <w:szCs w:val="26"/>
        </w:rPr>
        <w:t xml:space="preserve">omments will be due on January </w:t>
      </w:r>
      <w:r w:rsidR="00344536">
        <w:rPr>
          <w:sz w:val="26"/>
          <w:szCs w:val="26"/>
        </w:rPr>
        <w:t>7</w:t>
      </w:r>
      <w:r>
        <w:rPr>
          <w:sz w:val="26"/>
          <w:szCs w:val="26"/>
        </w:rPr>
        <w:t xml:space="preserve">, 2009, and </w:t>
      </w:r>
      <w:r w:rsidR="00CE4540">
        <w:rPr>
          <w:sz w:val="26"/>
          <w:szCs w:val="26"/>
        </w:rPr>
        <w:t>R</w:t>
      </w:r>
      <w:r>
        <w:rPr>
          <w:sz w:val="26"/>
          <w:szCs w:val="26"/>
        </w:rPr>
        <w:t xml:space="preserve">eply </w:t>
      </w:r>
      <w:r w:rsidR="00CE4540">
        <w:rPr>
          <w:sz w:val="26"/>
          <w:szCs w:val="26"/>
        </w:rPr>
        <w:t>C</w:t>
      </w:r>
      <w:r w:rsidR="008414F6">
        <w:rPr>
          <w:sz w:val="26"/>
          <w:szCs w:val="26"/>
        </w:rPr>
        <w:t>omments will be due on January </w:t>
      </w:r>
      <w:r>
        <w:rPr>
          <w:sz w:val="26"/>
          <w:szCs w:val="26"/>
        </w:rPr>
        <w:t>18</w:t>
      </w:r>
      <w:r w:rsidR="00344536">
        <w:rPr>
          <w:sz w:val="26"/>
          <w:szCs w:val="26"/>
        </w:rPr>
        <w:t>,</w:t>
      </w:r>
      <w:r>
        <w:rPr>
          <w:sz w:val="26"/>
          <w:szCs w:val="26"/>
        </w:rPr>
        <w:t xml:space="preserve"> 2010.  OSBA submits that requiring the </w:t>
      </w:r>
      <w:r w:rsidR="00CE4540">
        <w:rPr>
          <w:sz w:val="26"/>
          <w:szCs w:val="26"/>
        </w:rPr>
        <w:t>P</w:t>
      </w:r>
      <w:r>
        <w:rPr>
          <w:sz w:val="26"/>
          <w:szCs w:val="26"/>
        </w:rPr>
        <w:t xml:space="preserve">arties to review the revised EE&amp;C Plans in multiple proceedings over the holidays is not conducive to the close scrutiny warranted for such complex cases.  OSBA argues that a red-lined version would facilitate meaningful review within a tight time frame.  Petition at </w:t>
      </w:r>
      <w:r w:rsidRPr="004055A8">
        <w:rPr>
          <w:sz w:val="26"/>
          <w:szCs w:val="26"/>
        </w:rPr>
        <w:t>4-5.</w:t>
      </w:r>
    </w:p>
    <w:p w:rsidR="004055A8" w:rsidRDefault="004055A8" w:rsidP="00A628BA">
      <w:pPr>
        <w:spacing w:line="360" w:lineRule="auto"/>
        <w:ind w:firstLine="1440"/>
        <w:rPr>
          <w:sz w:val="26"/>
          <w:szCs w:val="26"/>
        </w:rPr>
      </w:pPr>
    </w:p>
    <w:p w:rsidR="00E337EB" w:rsidRDefault="00057BB8" w:rsidP="00A628BA">
      <w:pPr>
        <w:spacing w:line="360" w:lineRule="auto"/>
        <w:ind w:firstLine="1440"/>
        <w:rPr>
          <w:sz w:val="26"/>
          <w:szCs w:val="26"/>
        </w:rPr>
      </w:pPr>
      <w:r>
        <w:rPr>
          <w:sz w:val="26"/>
          <w:szCs w:val="26"/>
        </w:rPr>
        <w:t xml:space="preserve">The </w:t>
      </w:r>
      <w:r w:rsidR="00E337EB">
        <w:rPr>
          <w:sz w:val="26"/>
          <w:szCs w:val="26"/>
        </w:rPr>
        <w:t xml:space="preserve">OSBA also submits that the Commission regulations governing compliance filing in a rate proceeding at 52 Pa. Code §5.592(a) states that “[a] utility may also be required to provide an electronic, red-lined copy of any filing made to assist the parties in promptly indentifying and analyzing the filing.”  OSBA avers while the revised EE&amp;C Plan may not be a compliance filing in a rate proceeding as contemplated in Section 5.592(a), it is at least analogous to one.  </w:t>
      </w:r>
      <w:r w:rsidR="00E337EB" w:rsidRPr="00496C5D">
        <w:rPr>
          <w:i/>
          <w:sz w:val="26"/>
          <w:szCs w:val="26"/>
        </w:rPr>
        <w:t>Id</w:t>
      </w:r>
      <w:r w:rsidR="00E337EB">
        <w:rPr>
          <w:sz w:val="26"/>
          <w:szCs w:val="26"/>
        </w:rPr>
        <w:t xml:space="preserve">. at </w:t>
      </w:r>
      <w:r w:rsidR="00C752B9">
        <w:rPr>
          <w:sz w:val="26"/>
          <w:szCs w:val="26"/>
        </w:rPr>
        <w:t>5</w:t>
      </w:r>
      <w:r w:rsidR="00E337EB">
        <w:rPr>
          <w:sz w:val="26"/>
          <w:szCs w:val="26"/>
        </w:rPr>
        <w:t>.</w:t>
      </w:r>
    </w:p>
    <w:p w:rsidR="006E5AE4" w:rsidRDefault="006E5AE4" w:rsidP="00A628BA">
      <w:pPr>
        <w:spacing w:line="360" w:lineRule="auto"/>
        <w:ind w:firstLine="1440"/>
        <w:rPr>
          <w:sz w:val="26"/>
          <w:szCs w:val="26"/>
        </w:rPr>
      </w:pPr>
    </w:p>
    <w:p w:rsidR="006E5AE4" w:rsidRDefault="004031B3" w:rsidP="00A628BA">
      <w:pPr>
        <w:spacing w:line="360" w:lineRule="auto"/>
        <w:ind w:firstLine="1440"/>
        <w:rPr>
          <w:sz w:val="26"/>
          <w:szCs w:val="26"/>
        </w:rPr>
      </w:pPr>
      <w:r>
        <w:rPr>
          <w:sz w:val="26"/>
          <w:szCs w:val="26"/>
        </w:rPr>
        <w:t>Although w</w:t>
      </w:r>
      <w:r w:rsidR="006E5AE4">
        <w:rPr>
          <w:sz w:val="26"/>
          <w:szCs w:val="26"/>
        </w:rPr>
        <w:t xml:space="preserve">e agree with the OSBA that issue of requiring a red-lined version of the revised EE&amp;C Plan is relevant to the filing schedule in this proceeding, we question whether this issue is in strict accord with the </w:t>
      </w:r>
      <w:r w:rsidR="006E5AE4" w:rsidRPr="00A70598">
        <w:rPr>
          <w:i/>
          <w:sz w:val="26"/>
          <w:szCs w:val="26"/>
        </w:rPr>
        <w:t>Duick</w:t>
      </w:r>
      <w:r w:rsidR="006E5AE4">
        <w:rPr>
          <w:sz w:val="26"/>
          <w:szCs w:val="26"/>
        </w:rPr>
        <w:t xml:space="preserve"> standard.  Nonetheless, we will consider the OSBA’s request in this Opinion and Order consistent with our authority under </w:t>
      </w:r>
      <w:r w:rsidR="006E5AE4" w:rsidRPr="006918B9">
        <w:rPr>
          <w:sz w:val="26"/>
          <w:szCs w:val="26"/>
        </w:rPr>
        <w:t>Section 703(g) of the Code, 66 Pa. C.S. § 703(g), relati</w:t>
      </w:r>
      <w:r w:rsidR="006E5AE4">
        <w:rPr>
          <w:sz w:val="26"/>
          <w:szCs w:val="26"/>
        </w:rPr>
        <w:t>ve</w:t>
      </w:r>
      <w:r w:rsidR="006E5AE4" w:rsidRPr="006918B9">
        <w:rPr>
          <w:sz w:val="26"/>
          <w:szCs w:val="26"/>
        </w:rPr>
        <w:t xml:space="preserve"> to rescission and amendment of orders</w:t>
      </w:r>
      <w:r w:rsidR="006E5AE4">
        <w:rPr>
          <w:sz w:val="26"/>
          <w:szCs w:val="26"/>
        </w:rPr>
        <w:t>.</w:t>
      </w:r>
    </w:p>
    <w:p w:rsidR="00A628BA" w:rsidRPr="00744CC7" w:rsidRDefault="00A628BA" w:rsidP="00A628BA">
      <w:pPr>
        <w:spacing w:line="360" w:lineRule="auto"/>
        <w:ind w:firstLine="1440"/>
        <w:rPr>
          <w:sz w:val="26"/>
          <w:szCs w:val="26"/>
        </w:rPr>
      </w:pPr>
    </w:p>
    <w:p w:rsidR="00A445FC" w:rsidRDefault="0057116C" w:rsidP="00A628BA">
      <w:pPr>
        <w:spacing w:line="360" w:lineRule="auto"/>
        <w:rPr>
          <w:b/>
          <w:sz w:val="26"/>
          <w:szCs w:val="26"/>
        </w:rPr>
      </w:pPr>
      <w:r w:rsidRPr="0057116C">
        <w:rPr>
          <w:b/>
          <w:sz w:val="26"/>
          <w:szCs w:val="26"/>
        </w:rPr>
        <w:t>IV.</w:t>
      </w:r>
      <w:r w:rsidRPr="0057116C">
        <w:rPr>
          <w:b/>
          <w:sz w:val="26"/>
          <w:szCs w:val="26"/>
        </w:rPr>
        <w:tab/>
        <w:t>Dispo</w:t>
      </w:r>
      <w:r>
        <w:rPr>
          <w:b/>
          <w:sz w:val="26"/>
          <w:szCs w:val="26"/>
        </w:rPr>
        <w:t>s</w:t>
      </w:r>
      <w:r w:rsidRPr="0057116C">
        <w:rPr>
          <w:b/>
          <w:sz w:val="26"/>
          <w:szCs w:val="26"/>
        </w:rPr>
        <w:t>ition</w:t>
      </w:r>
      <w:r w:rsidR="00EC1160" w:rsidRPr="0057116C">
        <w:rPr>
          <w:b/>
          <w:sz w:val="26"/>
          <w:szCs w:val="26"/>
        </w:rPr>
        <w:tab/>
      </w:r>
      <w:r w:rsidR="00BA59C2" w:rsidRPr="0057116C">
        <w:rPr>
          <w:b/>
          <w:sz w:val="26"/>
          <w:szCs w:val="26"/>
        </w:rPr>
        <w:t xml:space="preserve"> </w:t>
      </w:r>
      <w:bookmarkStart w:id="3" w:name="_Toc236722912"/>
    </w:p>
    <w:p w:rsidR="00A628BA" w:rsidRDefault="00A628BA" w:rsidP="00A628BA">
      <w:pPr>
        <w:spacing w:line="360" w:lineRule="auto"/>
        <w:rPr>
          <w:b/>
          <w:sz w:val="26"/>
          <w:szCs w:val="26"/>
        </w:rPr>
      </w:pPr>
    </w:p>
    <w:p w:rsidR="00A72DC8" w:rsidRDefault="00A72DC8" w:rsidP="00A628BA">
      <w:pPr>
        <w:spacing w:line="360" w:lineRule="auto"/>
        <w:ind w:firstLine="1440"/>
        <w:rPr>
          <w:sz w:val="26"/>
          <w:szCs w:val="26"/>
        </w:rPr>
      </w:pPr>
      <w:r>
        <w:rPr>
          <w:sz w:val="26"/>
          <w:szCs w:val="26"/>
        </w:rPr>
        <w:t xml:space="preserve">We will grant OSBA’s request and require that PECO file with the Commission and all </w:t>
      </w:r>
      <w:r w:rsidR="00633A3A">
        <w:rPr>
          <w:sz w:val="26"/>
          <w:szCs w:val="26"/>
        </w:rPr>
        <w:t>P</w:t>
      </w:r>
      <w:r>
        <w:rPr>
          <w:sz w:val="26"/>
          <w:szCs w:val="26"/>
        </w:rPr>
        <w:t>arties a red-lined version that reflect all modifications made in its</w:t>
      </w:r>
      <w:r w:rsidR="008414F6">
        <w:rPr>
          <w:sz w:val="26"/>
          <w:szCs w:val="26"/>
        </w:rPr>
        <w:t xml:space="preserve"> revised EE&amp;C Plan.  Upon due consideration of </w:t>
      </w:r>
      <w:r>
        <w:rPr>
          <w:sz w:val="26"/>
          <w:szCs w:val="26"/>
        </w:rPr>
        <w:t xml:space="preserve"> </w:t>
      </w:r>
      <w:r w:rsidR="004031B3">
        <w:rPr>
          <w:sz w:val="26"/>
          <w:szCs w:val="26"/>
        </w:rPr>
        <w:t>(</w:t>
      </w:r>
      <w:r>
        <w:rPr>
          <w:sz w:val="26"/>
          <w:szCs w:val="26"/>
        </w:rPr>
        <w:t>1) the brea</w:t>
      </w:r>
      <w:r w:rsidR="00633A3A">
        <w:rPr>
          <w:sz w:val="26"/>
          <w:szCs w:val="26"/>
        </w:rPr>
        <w:t>d</w:t>
      </w:r>
      <w:r>
        <w:rPr>
          <w:sz w:val="26"/>
          <w:szCs w:val="26"/>
        </w:rPr>
        <w:t xml:space="preserve">th and complexity of </w:t>
      </w:r>
      <w:r w:rsidR="00D37B9D">
        <w:rPr>
          <w:sz w:val="26"/>
          <w:szCs w:val="26"/>
        </w:rPr>
        <w:t>PECO’s</w:t>
      </w:r>
      <w:r>
        <w:rPr>
          <w:sz w:val="26"/>
          <w:szCs w:val="26"/>
        </w:rPr>
        <w:t xml:space="preserve"> EE&amp;C Plan,  </w:t>
      </w:r>
      <w:r w:rsidR="004031B3">
        <w:rPr>
          <w:sz w:val="26"/>
          <w:szCs w:val="26"/>
        </w:rPr>
        <w:t>(</w:t>
      </w:r>
      <w:r>
        <w:rPr>
          <w:sz w:val="26"/>
          <w:szCs w:val="26"/>
        </w:rPr>
        <w:t xml:space="preserve">2) the number of changes directed by our </w:t>
      </w:r>
      <w:r w:rsidRPr="00946457">
        <w:rPr>
          <w:i/>
          <w:sz w:val="26"/>
          <w:szCs w:val="26"/>
        </w:rPr>
        <w:t>October 28</w:t>
      </w:r>
      <w:r w:rsidR="00E258F9">
        <w:rPr>
          <w:i/>
          <w:sz w:val="26"/>
          <w:szCs w:val="26"/>
        </w:rPr>
        <w:t xml:space="preserve">, 2009 </w:t>
      </w:r>
      <w:r w:rsidRPr="00946457">
        <w:rPr>
          <w:i/>
          <w:sz w:val="26"/>
          <w:szCs w:val="26"/>
        </w:rPr>
        <w:t>Order</w:t>
      </w:r>
      <w:r>
        <w:rPr>
          <w:sz w:val="26"/>
          <w:szCs w:val="26"/>
        </w:rPr>
        <w:t xml:space="preserve">,  </w:t>
      </w:r>
      <w:r w:rsidR="004031B3">
        <w:rPr>
          <w:sz w:val="26"/>
          <w:szCs w:val="26"/>
        </w:rPr>
        <w:t>(</w:t>
      </w:r>
      <w:r>
        <w:rPr>
          <w:sz w:val="26"/>
          <w:szCs w:val="26"/>
        </w:rPr>
        <w:t xml:space="preserve">3) the fact that the Commission and many of the </w:t>
      </w:r>
      <w:r w:rsidR="00633A3A">
        <w:rPr>
          <w:sz w:val="26"/>
          <w:szCs w:val="26"/>
        </w:rPr>
        <w:t>P</w:t>
      </w:r>
      <w:r>
        <w:rPr>
          <w:sz w:val="26"/>
          <w:szCs w:val="26"/>
        </w:rPr>
        <w:t xml:space="preserve">arties </w:t>
      </w:r>
      <w:r w:rsidR="00E258F9">
        <w:rPr>
          <w:sz w:val="26"/>
          <w:szCs w:val="26"/>
        </w:rPr>
        <w:t>may</w:t>
      </w:r>
      <w:r>
        <w:rPr>
          <w:sz w:val="26"/>
          <w:szCs w:val="26"/>
        </w:rPr>
        <w:t xml:space="preserve"> be reviewing multiple EE&amp;C plans concurrently,  </w:t>
      </w:r>
      <w:r w:rsidR="004031B3">
        <w:rPr>
          <w:sz w:val="26"/>
          <w:szCs w:val="26"/>
        </w:rPr>
        <w:t>(</w:t>
      </w:r>
      <w:r>
        <w:rPr>
          <w:sz w:val="26"/>
          <w:szCs w:val="26"/>
        </w:rPr>
        <w:t xml:space="preserve">4) the ten-day filing deadlines for Comments and Reply </w:t>
      </w:r>
      <w:r>
        <w:rPr>
          <w:sz w:val="26"/>
          <w:szCs w:val="26"/>
        </w:rPr>
        <w:lastRenderedPageBreak/>
        <w:t xml:space="preserve">Comments established in our </w:t>
      </w:r>
      <w:r w:rsidRPr="00EB5972">
        <w:rPr>
          <w:i/>
          <w:sz w:val="26"/>
          <w:szCs w:val="26"/>
        </w:rPr>
        <w:t>October 28, 2009 Order</w:t>
      </w:r>
      <w:r>
        <w:rPr>
          <w:sz w:val="26"/>
          <w:szCs w:val="26"/>
        </w:rPr>
        <w:t xml:space="preserve"> and  </w:t>
      </w:r>
      <w:r w:rsidR="00450E88">
        <w:rPr>
          <w:sz w:val="26"/>
          <w:szCs w:val="26"/>
        </w:rPr>
        <w:t>(</w:t>
      </w:r>
      <w:r>
        <w:rPr>
          <w:sz w:val="26"/>
          <w:szCs w:val="26"/>
        </w:rPr>
        <w:t xml:space="preserve">5) the Commission’s time constraints for EE&amp;C </w:t>
      </w:r>
      <w:r w:rsidR="00450E88">
        <w:rPr>
          <w:sz w:val="26"/>
          <w:szCs w:val="26"/>
        </w:rPr>
        <w:t>P</w:t>
      </w:r>
      <w:r>
        <w:rPr>
          <w:sz w:val="26"/>
          <w:szCs w:val="26"/>
        </w:rPr>
        <w:t xml:space="preserve">lan review set forth in 66 Pa. C.S. § 2806.1(e)(2)(ii); we find that the clear identification of all Plan changes is essential to the effective and efficient review of </w:t>
      </w:r>
      <w:r w:rsidR="004055A8">
        <w:rPr>
          <w:sz w:val="26"/>
          <w:szCs w:val="26"/>
        </w:rPr>
        <w:t>PECO’s</w:t>
      </w:r>
      <w:r>
        <w:rPr>
          <w:sz w:val="26"/>
          <w:szCs w:val="26"/>
        </w:rPr>
        <w:t xml:space="preserve"> revised Plan.  </w:t>
      </w:r>
    </w:p>
    <w:p w:rsidR="00E258F9" w:rsidRDefault="00E258F9" w:rsidP="00A628BA">
      <w:pPr>
        <w:spacing w:line="360" w:lineRule="auto"/>
        <w:ind w:firstLine="1440"/>
        <w:rPr>
          <w:sz w:val="26"/>
          <w:szCs w:val="26"/>
        </w:rPr>
      </w:pPr>
    </w:p>
    <w:p w:rsidR="009A077C" w:rsidRPr="00352094" w:rsidRDefault="001706F4" w:rsidP="00A628BA">
      <w:pPr>
        <w:pStyle w:val="Heading1"/>
      </w:pPr>
      <w:r>
        <w:t>V</w:t>
      </w:r>
      <w:r w:rsidR="00B6382E">
        <w:t xml:space="preserve">.  </w:t>
      </w:r>
      <w:r w:rsidR="006F4B78">
        <w:tab/>
      </w:r>
      <w:r w:rsidR="009A077C" w:rsidRPr="00352094">
        <w:t>Conclusion</w:t>
      </w:r>
      <w:bookmarkEnd w:id="3"/>
    </w:p>
    <w:p w:rsidR="009A077C" w:rsidRDefault="009A077C" w:rsidP="00A628BA">
      <w:pPr>
        <w:spacing w:line="360" w:lineRule="auto"/>
        <w:rPr>
          <w:sz w:val="26"/>
          <w:szCs w:val="26"/>
        </w:rPr>
      </w:pPr>
    </w:p>
    <w:p w:rsidR="00D47468" w:rsidRDefault="00D47468" w:rsidP="00A628BA">
      <w:pPr>
        <w:spacing w:line="360" w:lineRule="auto"/>
        <w:ind w:firstLine="1440"/>
        <w:rPr>
          <w:b/>
          <w:sz w:val="26"/>
        </w:rPr>
      </w:pPr>
      <w:r>
        <w:rPr>
          <w:sz w:val="26"/>
          <w:szCs w:val="26"/>
        </w:rPr>
        <w:t xml:space="preserve">For the reasons set forth above, we will </w:t>
      </w:r>
      <w:r w:rsidR="00C93FF6">
        <w:rPr>
          <w:sz w:val="26"/>
          <w:szCs w:val="26"/>
        </w:rPr>
        <w:t>grant</w:t>
      </w:r>
      <w:r>
        <w:rPr>
          <w:sz w:val="26"/>
          <w:szCs w:val="26"/>
        </w:rPr>
        <w:t xml:space="preserve"> the Petition </w:t>
      </w:r>
      <w:r w:rsidR="001706F4">
        <w:rPr>
          <w:sz w:val="26"/>
          <w:szCs w:val="26"/>
        </w:rPr>
        <w:t xml:space="preserve">for </w:t>
      </w:r>
      <w:r w:rsidR="008A4962">
        <w:rPr>
          <w:sz w:val="26"/>
          <w:szCs w:val="26"/>
        </w:rPr>
        <w:t>R</w:t>
      </w:r>
      <w:r w:rsidR="001706F4">
        <w:rPr>
          <w:sz w:val="26"/>
          <w:szCs w:val="26"/>
        </w:rPr>
        <w:t>econsideration of the Office of Small Business Advocate</w:t>
      </w:r>
      <w:r w:rsidR="007A47D5">
        <w:rPr>
          <w:sz w:val="26"/>
          <w:szCs w:val="26"/>
        </w:rPr>
        <w:t xml:space="preserve">; </w:t>
      </w:r>
      <w:r w:rsidR="00CF08F7">
        <w:rPr>
          <w:b/>
          <w:sz w:val="26"/>
        </w:rPr>
        <w:t>THEREFORE,</w:t>
      </w:r>
      <w:r w:rsidR="009F398E" w:rsidRPr="003C63B1">
        <w:rPr>
          <w:b/>
          <w:sz w:val="26"/>
        </w:rPr>
        <w:t xml:space="preserve"> </w:t>
      </w:r>
    </w:p>
    <w:p w:rsidR="00D47468" w:rsidRDefault="00D47468" w:rsidP="00A628BA">
      <w:pPr>
        <w:spacing w:line="360" w:lineRule="auto"/>
        <w:rPr>
          <w:b/>
          <w:sz w:val="26"/>
        </w:rPr>
      </w:pPr>
    </w:p>
    <w:p w:rsidR="009F398E" w:rsidRPr="003C63B1" w:rsidRDefault="009F398E" w:rsidP="00A628BA">
      <w:pPr>
        <w:spacing w:line="360" w:lineRule="auto"/>
        <w:rPr>
          <w:sz w:val="26"/>
        </w:rPr>
      </w:pPr>
      <w:r w:rsidRPr="003C63B1">
        <w:rPr>
          <w:b/>
          <w:sz w:val="26"/>
        </w:rPr>
        <w:t>IT IS ORDERED:</w:t>
      </w:r>
    </w:p>
    <w:p w:rsidR="009F398E" w:rsidRDefault="009F398E" w:rsidP="00A628BA">
      <w:pPr>
        <w:spacing w:line="360" w:lineRule="auto"/>
        <w:rPr>
          <w:sz w:val="26"/>
          <w:szCs w:val="26"/>
        </w:rPr>
      </w:pPr>
    </w:p>
    <w:p w:rsidR="009F398E" w:rsidRDefault="00D47468" w:rsidP="00A628BA">
      <w:pPr>
        <w:spacing w:line="360" w:lineRule="auto"/>
        <w:ind w:firstLine="1440"/>
        <w:rPr>
          <w:sz w:val="26"/>
          <w:szCs w:val="26"/>
        </w:rPr>
      </w:pPr>
      <w:r>
        <w:rPr>
          <w:sz w:val="26"/>
          <w:szCs w:val="26"/>
        </w:rPr>
        <w:t>1.</w:t>
      </w:r>
      <w:r>
        <w:rPr>
          <w:sz w:val="26"/>
          <w:szCs w:val="26"/>
        </w:rPr>
        <w:tab/>
        <w:t xml:space="preserve">That the Petition </w:t>
      </w:r>
      <w:r w:rsidR="008A4962">
        <w:rPr>
          <w:sz w:val="26"/>
          <w:szCs w:val="26"/>
        </w:rPr>
        <w:t xml:space="preserve">for Reconsideration </w:t>
      </w:r>
      <w:r>
        <w:rPr>
          <w:sz w:val="26"/>
          <w:szCs w:val="26"/>
        </w:rPr>
        <w:t xml:space="preserve">of </w:t>
      </w:r>
      <w:r w:rsidR="00472D01">
        <w:rPr>
          <w:sz w:val="26"/>
          <w:szCs w:val="26"/>
        </w:rPr>
        <w:t xml:space="preserve">the Office of Small Business Advocate of the </w:t>
      </w:r>
      <w:r w:rsidR="00472D01" w:rsidRPr="00472D01">
        <w:rPr>
          <w:sz w:val="26"/>
          <w:szCs w:val="26"/>
        </w:rPr>
        <w:t xml:space="preserve">Opinion and Order of </w:t>
      </w:r>
      <w:r w:rsidR="00D37B9D">
        <w:rPr>
          <w:sz w:val="26"/>
          <w:szCs w:val="26"/>
        </w:rPr>
        <w:t>October 28</w:t>
      </w:r>
      <w:r w:rsidR="00472D01" w:rsidRPr="00472D01">
        <w:rPr>
          <w:sz w:val="26"/>
          <w:szCs w:val="26"/>
        </w:rPr>
        <w:t xml:space="preserve">, 2009, which </w:t>
      </w:r>
      <w:r w:rsidR="00633A3A">
        <w:rPr>
          <w:sz w:val="26"/>
          <w:szCs w:val="26"/>
        </w:rPr>
        <w:t xml:space="preserve">approved in part, and denied in part, </w:t>
      </w:r>
      <w:r w:rsidR="00472D01" w:rsidRPr="00472D01">
        <w:rPr>
          <w:sz w:val="26"/>
          <w:szCs w:val="26"/>
        </w:rPr>
        <w:t xml:space="preserve">the Energy Efficiency and Conservation Plan </w:t>
      </w:r>
      <w:r w:rsidR="00472D01">
        <w:rPr>
          <w:sz w:val="26"/>
          <w:szCs w:val="26"/>
        </w:rPr>
        <w:t xml:space="preserve">of </w:t>
      </w:r>
      <w:r w:rsidR="00D61E09">
        <w:rPr>
          <w:sz w:val="26"/>
          <w:szCs w:val="26"/>
        </w:rPr>
        <w:t>PECO Energy Company</w:t>
      </w:r>
      <w:r w:rsidR="00E258F9">
        <w:rPr>
          <w:sz w:val="26"/>
          <w:szCs w:val="26"/>
        </w:rPr>
        <w:t>,</w:t>
      </w:r>
      <w:r w:rsidR="00D61E09">
        <w:rPr>
          <w:sz w:val="26"/>
          <w:szCs w:val="26"/>
        </w:rPr>
        <w:t xml:space="preserve"> </w:t>
      </w:r>
      <w:r>
        <w:rPr>
          <w:sz w:val="26"/>
          <w:szCs w:val="26"/>
        </w:rPr>
        <w:t xml:space="preserve">is </w:t>
      </w:r>
      <w:r w:rsidR="00C93FF6">
        <w:rPr>
          <w:sz w:val="26"/>
          <w:szCs w:val="26"/>
        </w:rPr>
        <w:t>granted</w:t>
      </w:r>
      <w:r w:rsidR="00D37B9D">
        <w:rPr>
          <w:sz w:val="26"/>
          <w:szCs w:val="26"/>
        </w:rPr>
        <w:t>.</w:t>
      </w:r>
    </w:p>
    <w:p w:rsidR="00D47468" w:rsidRDefault="00D47468" w:rsidP="00A628BA">
      <w:pPr>
        <w:spacing w:line="360" w:lineRule="auto"/>
        <w:ind w:firstLine="1440"/>
        <w:rPr>
          <w:sz w:val="26"/>
          <w:szCs w:val="26"/>
        </w:rPr>
      </w:pPr>
    </w:p>
    <w:p w:rsidR="00BC199F" w:rsidRDefault="00D47468" w:rsidP="00A628BA">
      <w:pPr>
        <w:spacing w:line="360" w:lineRule="auto"/>
        <w:ind w:firstLine="1440"/>
        <w:rPr>
          <w:sz w:val="26"/>
          <w:szCs w:val="26"/>
        </w:rPr>
      </w:pPr>
      <w:r>
        <w:rPr>
          <w:sz w:val="26"/>
          <w:szCs w:val="26"/>
        </w:rPr>
        <w:t>2.</w:t>
      </w:r>
      <w:r w:rsidR="00BC199F">
        <w:rPr>
          <w:sz w:val="26"/>
          <w:szCs w:val="26"/>
        </w:rPr>
        <w:tab/>
      </w:r>
      <w:r w:rsidR="00CF05F0" w:rsidRPr="00CF05F0">
        <w:rPr>
          <w:sz w:val="26"/>
          <w:szCs w:val="26"/>
        </w:rPr>
        <w:t xml:space="preserve">That the requirements of the Opinion and Order of </w:t>
      </w:r>
      <w:r w:rsidR="00D61E09">
        <w:rPr>
          <w:sz w:val="26"/>
          <w:szCs w:val="26"/>
        </w:rPr>
        <w:t xml:space="preserve">October 28, 2009 </w:t>
      </w:r>
      <w:r w:rsidR="00892F52">
        <w:rPr>
          <w:sz w:val="26"/>
          <w:szCs w:val="26"/>
        </w:rPr>
        <w:t>are</w:t>
      </w:r>
      <w:r w:rsidR="00CF05F0" w:rsidRPr="00CF05F0">
        <w:rPr>
          <w:sz w:val="26"/>
          <w:szCs w:val="26"/>
        </w:rPr>
        <w:t xml:space="preserve"> </w:t>
      </w:r>
      <w:r w:rsidR="00CF05F0">
        <w:rPr>
          <w:sz w:val="26"/>
          <w:szCs w:val="26"/>
        </w:rPr>
        <w:t xml:space="preserve">amended </w:t>
      </w:r>
      <w:r w:rsidR="00D61E09">
        <w:rPr>
          <w:sz w:val="26"/>
          <w:szCs w:val="26"/>
        </w:rPr>
        <w:t xml:space="preserve">to require that PECO Energy Company </w:t>
      </w:r>
      <w:r w:rsidR="00116E60">
        <w:rPr>
          <w:sz w:val="26"/>
          <w:szCs w:val="26"/>
        </w:rPr>
        <w:t xml:space="preserve">shall submit to the Commission and Parties to this proceeding a red-lined version of its Energy Conservation and Efficiency Plan that reflects all </w:t>
      </w:r>
      <w:r w:rsidR="0010682E">
        <w:rPr>
          <w:sz w:val="26"/>
          <w:szCs w:val="26"/>
        </w:rPr>
        <w:t xml:space="preserve">of the </w:t>
      </w:r>
      <w:r w:rsidR="00116E60">
        <w:rPr>
          <w:sz w:val="26"/>
          <w:szCs w:val="26"/>
        </w:rPr>
        <w:t>modifications to its Plan</w:t>
      </w:r>
      <w:r w:rsidR="00E258F9">
        <w:rPr>
          <w:sz w:val="26"/>
          <w:szCs w:val="26"/>
        </w:rPr>
        <w:t>.</w:t>
      </w:r>
      <w:r w:rsidR="0010682E">
        <w:rPr>
          <w:sz w:val="26"/>
          <w:szCs w:val="26"/>
        </w:rPr>
        <w:t xml:space="preserve"> </w:t>
      </w:r>
    </w:p>
    <w:p w:rsidR="008A5B21" w:rsidRDefault="008A5B21">
      <w:pPr>
        <w:spacing w:after="200" w:line="276" w:lineRule="auto"/>
        <w:rPr>
          <w:sz w:val="26"/>
          <w:szCs w:val="26"/>
        </w:rPr>
      </w:pPr>
      <w:r>
        <w:rPr>
          <w:sz w:val="26"/>
          <w:szCs w:val="26"/>
        </w:rPr>
        <w:br w:type="page"/>
      </w:r>
    </w:p>
    <w:p w:rsidR="00E258F9" w:rsidRDefault="00E258F9" w:rsidP="00A628BA">
      <w:pPr>
        <w:spacing w:line="360" w:lineRule="auto"/>
        <w:ind w:firstLine="1440"/>
        <w:rPr>
          <w:sz w:val="26"/>
          <w:szCs w:val="26"/>
        </w:rPr>
      </w:pPr>
    </w:p>
    <w:p w:rsidR="00BC199F" w:rsidRDefault="00BC199F" w:rsidP="00A628BA">
      <w:pPr>
        <w:spacing w:line="360" w:lineRule="auto"/>
        <w:ind w:firstLine="1440"/>
        <w:rPr>
          <w:sz w:val="26"/>
          <w:szCs w:val="26"/>
        </w:rPr>
      </w:pPr>
      <w:r>
        <w:rPr>
          <w:sz w:val="26"/>
          <w:szCs w:val="26"/>
        </w:rPr>
        <w:t>3.</w:t>
      </w:r>
      <w:r>
        <w:rPr>
          <w:sz w:val="26"/>
          <w:szCs w:val="26"/>
        </w:rPr>
        <w:tab/>
      </w:r>
      <w:r w:rsidR="00CF05F0">
        <w:rPr>
          <w:sz w:val="26"/>
          <w:szCs w:val="26"/>
        </w:rPr>
        <w:t>That a copy of this Opinion and Order be served on the Parties to this proceeding.</w:t>
      </w:r>
    </w:p>
    <w:p w:rsidR="00CF05F0" w:rsidRDefault="005542A8" w:rsidP="00A628BA">
      <w:pPr>
        <w:spacing w:line="360" w:lineRule="auto"/>
        <w:ind w:firstLine="1440"/>
        <w:rPr>
          <w:sz w:val="26"/>
          <w:szCs w:val="26"/>
        </w:rPr>
      </w:pPr>
      <w:r>
        <w:rPr>
          <w:noProof/>
          <w:sz w:val="26"/>
          <w:szCs w:val="26"/>
        </w:rPr>
        <w:drawing>
          <wp:anchor distT="0" distB="0" distL="114300" distR="114300" simplePos="0" relativeHeight="251660288" behindDoc="1" locked="0" layoutInCell="1" allowOverlap="1">
            <wp:simplePos x="0" y="0"/>
            <wp:positionH relativeFrom="column">
              <wp:posOffset>2762250</wp:posOffset>
            </wp:positionH>
            <wp:positionV relativeFrom="paragraph">
              <wp:posOffset>231775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4C1CD2" w:rsidRPr="003C63B1" w:rsidRDefault="004C1CD2" w:rsidP="00A628BA">
      <w:pPr>
        <w:tabs>
          <w:tab w:val="left" w:pos="-720"/>
        </w:tabs>
        <w:suppressAutoHyphens/>
        <w:spacing w:line="360" w:lineRule="auto"/>
        <w:rPr>
          <w:sz w:val="26"/>
        </w:rPr>
      </w:pPr>
      <w:r w:rsidRPr="003C63B1">
        <w:rPr>
          <w:b/>
          <w:sz w:val="26"/>
        </w:rPr>
        <w:tab/>
      </w:r>
      <w:r w:rsidRPr="003C63B1">
        <w:rPr>
          <w:b/>
          <w:sz w:val="26"/>
        </w:rPr>
        <w:tab/>
      </w:r>
      <w:r w:rsidRPr="003C63B1">
        <w:rPr>
          <w:b/>
          <w:sz w:val="26"/>
        </w:rPr>
        <w:tab/>
      </w:r>
      <w:r w:rsidRPr="003C63B1">
        <w:rPr>
          <w:b/>
          <w:sz w:val="26"/>
        </w:rPr>
        <w:tab/>
      </w:r>
      <w:r w:rsidRPr="003C63B1">
        <w:rPr>
          <w:b/>
          <w:sz w:val="26"/>
        </w:rPr>
        <w:tab/>
      </w:r>
      <w:r w:rsidRPr="003C63B1">
        <w:rPr>
          <w:b/>
          <w:sz w:val="26"/>
        </w:rPr>
        <w:tab/>
      </w:r>
      <w:r w:rsidRPr="003C63B1">
        <w:rPr>
          <w:b/>
          <w:sz w:val="26"/>
        </w:rPr>
        <w:tab/>
        <w:t>BY THE COMMISSION,</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James J. McNulty</w:t>
      </w:r>
    </w:p>
    <w:p w:rsidR="004C1CD2" w:rsidRPr="003C63B1" w:rsidRDefault="004C1CD2" w:rsidP="004C1CD2">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sidRPr="003C63B1">
        <w:rPr>
          <w:sz w:val="26"/>
        </w:rPr>
        <w:t>(SEAL)</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Pr>
          <w:sz w:val="26"/>
        </w:rPr>
        <w:t xml:space="preserve">ORDER ADOPTED:  </w:t>
      </w:r>
      <w:r w:rsidR="0057116C">
        <w:rPr>
          <w:sz w:val="26"/>
        </w:rPr>
        <w:t>December 17, 2009</w:t>
      </w:r>
    </w:p>
    <w:p w:rsidR="004C1CD2" w:rsidRPr="003C63B1" w:rsidRDefault="004C1CD2" w:rsidP="004C1CD2">
      <w:pPr>
        <w:tabs>
          <w:tab w:val="left" w:pos="-720"/>
        </w:tabs>
        <w:suppressAutoHyphens/>
        <w:rPr>
          <w:sz w:val="26"/>
        </w:rPr>
      </w:pPr>
    </w:p>
    <w:p w:rsidR="009A077C" w:rsidRPr="005542A8" w:rsidRDefault="004C1CD2" w:rsidP="00497A44">
      <w:pPr>
        <w:tabs>
          <w:tab w:val="left" w:pos="-720"/>
        </w:tabs>
        <w:suppressAutoHyphens/>
        <w:rPr>
          <w:b/>
          <w:sz w:val="26"/>
          <w:szCs w:val="26"/>
        </w:rPr>
      </w:pPr>
      <w:r w:rsidRPr="003C63B1">
        <w:rPr>
          <w:sz w:val="26"/>
        </w:rPr>
        <w:t xml:space="preserve">ORDER ENTERED: </w:t>
      </w:r>
      <w:r w:rsidR="005542A8">
        <w:rPr>
          <w:sz w:val="26"/>
        </w:rPr>
        <w:t xml:space="preserve"> </w:t>
      </w:r>
      <w:r w:rsidR="005542A8">
        <w:rPr>
          <w:b/>
          <w:sz w:val="26"/>
        </w:rPr>
        <w:t>December 23, 2009</w:t>
      </w:r>
    </w:p>
    <w:sectPr w:rsidR="009A077C" w:rsidRPr="005542A8" w:rsidSect="00805EB4">
      <w:footerReference w:type="defaul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B0B" w:rsidRDefault="003C2B0B" w:rsidP="008F250B">
      <w:r>
        <w:separator/>
      </w:r>
    </w:p>
  </w:endnote>
  <w:endnote w:type="continuationSeparator" w:id="0">
    <w:p w:rsidR="003C2B0B" w:rsidRDefault="003C2B0B" w:rsidP="008F25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807017"/>
      <w:docPartObj>
        <w:docPartGallery w:val="Page Numbers (Bottom of Page)"/>
        <w:docPartUnique/>
      </w:docPartObj>
    </w:sdtPr>
    <w:sdtContent>
      <w:p w:rsidR="00B42E14" w:rsidRDefault="00941B8B">
        <w:pPr>
          <w:pStyle w:val="Footer"/>
          <w:jc w:val="center"/>
        </w:pPr>
        <w:fldSimple w:instr=" PAGE   \* MERGEFORMAT ">
          <w:r w:rsidR="005542A8">
            <w:rPr>
              <w:noProof/>
            </w:rPr>
            <w:t>6</w:t>
          </w:r>
        </w:fldSimple>
      </w:p>
    </w:sdtContent>
  </w:sdt>
  <w:p w:rsidR="00B42E14" w:rsidRDefault="00B42E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807016"/>
      <w:docPartObj>
        <w:docPartGallery w:val="Page Numbers (Bottom of Page)"/>
        <w:docPartUnique/>
      </w:docPartObj>
    </w:sdtPr>
    <w:sdtContent>
      <w:p w:rsidR="00B42E14" w:rsidRDefault="00941B8B">
        <w:pPr>
          <w:pStyle w:val="Footer"/>
          <w:jc w:val="center"/>
        </w:pPr>
        <w:fldSimple w:instr=" PAGE   \* MERGEFORMAT ">
          <w:r w:rsidR="005542A8">
            <w:rPr>
              <w:noProof/>
            </w:rPr>
            <w:t>1</w:t>
          </w:r>
        </w:fldSimple>
      </w:p>
    </w:sdtContent>
  </w:sdt>
  <w:p w:rsidR="00B42E14" w:rsidRDefault="00B42E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B0B" w:rsidRDefault="003C2B0B" w:rsidP="008F250B">
      <w:r>
        <w:separator/>
      </w:r>
    </w:p>
  </w:footnote>
  <w:footnote w:type="continuationSeparator" w:id="0">
    <w:p w:rsidR="003C2B0B" w:rsidRDefault="003C2B0B" w:rsidP="008F250B">
      <w:r>
        <w:continuationSeparator/>
      </w:r>
    </w:p>
  </w:footnote>
  <w:footnote w:id="1">
    <w:p w:rsidR="00B42E14" w:rsidRPr="00D41572" w:rsidRDefault="00B42E14" w:rsidP="00D41572">
      <w:pPr>
        <w:pStyle w:val="FootnoteText"/>
        <w:ind w:firstLine="720"/>
        <w:rPr>
          <w:sz w:val="26"/>
          <w:szCs w:val="26"/>
        </w:rPr>
      </w:pPr>
      <w:r w:rsidRPr="00D41572">
        <w:rPr>
          <w:rStyle w:val="FootnoteReference"/>
          <w:sz w:val="26"/>
          <w:szCs w:val="26"/>
        </w:rPr>
        <w:footnoteRef/>
      </w:r>
      <w:r w:rsidRPr="00D41572">
        <w:rPr>
          <w:sz w:val="26"/>
          <w:szCs w:val="26"/>
        </w:rPr>
        <w:t xml:space="preserve"> </w:t>
      </w:r>
      <w:r w:rsidRPr="00D41572">
        <w:rPr>
          <w:sz w:val="26"/>
          <w:szCs w:val="26"/>
        </w:rPr>
        <w:tab/>
        <w:t xml:space="preserve">A more complete </w:t>
      </w:r>
      <w:r>
        <w:rPr>
          <w:sz w:val="26"/>
          <w:szCs w:val="26"/>
        </w:rPr>
        <w:t xml:space="preserve">background and </w:t>
      </w:r>
      <w:r w:rsidRPr="00D41572">
        <w:rPr>
          <w:sz w:val="26"/>
          <w:szCs w:val="26"/>
        </w:rPr>
        <w:t xml:space="preserve">history of this proceeding is presented in our </w:t>
      </w:r>
      <w:r w:rsidRPr="00D41572">
        <w:rPr>
          <w:i/>
          <w:sz w:val="26"/>
          <w:szCs w:val="26"/>
        </w:rPr>
        <w:t>October 28, 2009 Order</w:t>
      </w:r>
      <w:r w:rsidRPr="00D41572">
        <w:rPr>
          <w:sz w:val="26"/>
          <w:szCs w:val="26"/>
        </w:rPr>
        <w:t xml:space="preserve"> at </w:t>
      </w:r>
      <w:r>
        <w:rPr>
          <w:sz w:val="26"/>
          <w:szCs w:val="26"/>
        </w:rPr>
        <w:t>1</w:t>
      </w:r>
      <w:r w:rsidRPr="00D41572">
        <w:rPr>
          <w:sz w:val="26"/>
          <w:szCs w:val="26"/>
        </w:rPr>
        <w:t>-11.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2144"/>
    <w:multiLevelType w:val="hybridMultilevel"/>
    <w:tmpl w:val="E230F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5350EB"/>
    <w:multiLevelType w:val="hybridMultilevel"/>
    <w:tmpl w:val="3180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A505B7"/>
    <w:multiLevelType w:val="hybridMultilevel"/>
    <w:tmpl w:val="E4289790"/>
    <w:lvl w:ilvl="0" w:tplc="0DD60D4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8F61CAE"/>
    <w:multiLevelType w:val="hybridMultilevel"/>
    <w:tmpl w:val="92261E46"/>
    <w:lvl w:ilvl="0" w:tplc="457C0234">
      <w:start w:val="1"/>
      <w:numFmt w:val="decimal"/>
      <w:lvlText w:val="(%1)"/>
      <w:lvlJc w:val="left"/>
      <w:pPr>
        <w:ind w:left="3240" w:hanging="360"/>
      </w:pPr>
      <w:rPr>
        <w:rFonts w:hint="default"/>
        <w:b w:val="0"/>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3B8A6E55"/>
    <w:multiLevelType w:val="hybridMultilevel"/>
    <w:tmpl w:val="237CC600"/>
    <w:lvl w:ilvl="0" w:tplc="58EA9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3C741D"/>
    <w:multiLevelType w:val="hybridMultilevel"/>
    <w:tmpl w:val="E4C2A038"/>
    <w:lvl w:ilvl="0" w:tplc="664AB9D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6EF03DC9"/>
    <w:multiLevelType w:val="hybridMultilevel"/>
    <w:tmpl w:val="04AC82C2"/>
    <w:lvl w:ilvl="0" w:tplc="123281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7127237A"/>
    <w:multiLevelType w:val="hybridMultilevel"/>
    <w:tmpl w:val="D0DC3730"/>
    <w:lvl w:ilvl="0" w:tplc="8A6EFF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6"/>
  </w:num>
  <w:num w:numId="5">
    <w:abstractNumId w:val="5"/>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63490"/>
  </w:hdrShapeDefaults>
  <w:footnotePr>
    <w:footnote w:id="-1"/>
    <w:footnote w:id="0"/>
  </w:footnotePr>
  <w:endnotePr>
    <w:endnote w:id="-1"/>
    <w:endnote w:id="0"/>
  </w:endnotePr>
  <w:compat/>
  <w:rsids>
    <w:rsidRoot w:val="00F461A6"/>
    <w:rsid w:val="00004819"/>
    <w:rsid w:val="000056EC"/>
    <w:rsid w:val="00017852"/>
    <w:rsid w:val="00020509"/>
    <w:rsid w:val="00022B74"/>
    <w:rsid w:val="00026207"/>
    <w:rsid w:val="00034C14"/>
    <w:rsid w:val="00041EA2"/>
    <w:rsid w:val="0004330A"/>
    <w:rsid w:val="00043761"/>
    <w:rsid w:val="00046631"/>
    <w:rsid w:val="00047404"/>
    <w:rsid w:val="00047F4A"/>
    <w:rsid w:val="00051376"/>
    <w:rsid w:val="00054612"/>
    <w:rsid w:val="000547D7"/>
    <w:rsid w:val="00054A83"/>
    <w:rsid w:val="0005598E"/>
    <w:rsid w:val="00056286"/>
    <w:rsid w:val="00057BB8"/>
    <w:rsid w:val="000649EC"/>
    <w:rsid w:val="00075E35"/>
    <w:rsid w:val="0008530D"/>
    <w:rsid w:val="00090B35"/>
    <w:rsid w:val="00095C0E"/>
    <w:rsid w:val="00095C29"/>
    <w:rsid w:val="00097504"/>
    <w:rsid w:val="000A29ED"/>
    <w:rsid w:val="000A365D"/>
    <w:rsid w:val="000A78D1"/>
    <w:rsid w:val="000B216D"/>
    <w:rsid w:val="000B4EAE"/>
    <w:rsid w:val="000B6478"/>
    <w:rsid w:val="000B6B15"/>
    <w:rsid w:val="000C16A7"/>
    <w:rsid w:val="000C2AE3"/>
    <w:rsid w:val="000C414C"/>
    <w:rsid w:val="000D6940"/>
    <w:rsid w:val="000E6033"/>
    <w:rsid w:val="000F0964"/>
    <w:rsid w:val="000F325B"/>
    <w:rsid w:val="0010258A"/>
    <w:rsid w:val="00103F57"/>
    <w:rsid w:val="001059B5"/>
    <w:rsid w:val="0010682E"/>
    <w:rsid w:val="0011561B"/>
    <w:rsid w:val="00116E60"/>
    <w:rsid w:val="00117CB2"/>
    <w:rsid w:val="001267D4"/>
    <w:rsid w:val="0012745A"/>
    <w:rsid w:val="00127636"/>
    <w:rsid w:val="001360FC"/>
    <w:rsid w:val="00147145"/>
    <w:rsid w:val="00154497"/>
    <w:rsid w:val="0016013C"/>
    <w:rsid w:val="00161EF5"/>
    <w:rsid w:val="0016632E"/>
    <w:rsid w:val="001663C8"/>
    <w:rsid w:val="00167F41"/>
    <w:rsid w:val="001706F4"/>
    <w:rsid w:val="00173AC1"/>
    <w:rsid w:val="00174D3D"/>
    <w:rsid w:val="00174F01"/>
    <w:rsid w:val="00180B61"/>
    <w:rsid w:val="00182D0B"/>
    <w:rsid w:val="0018452B"/>
    <w:rsid w:val="001A395D"/>
    <w:rsid w:val="001A6364"/>
    <w:rsid w:val="001A70B8"/>
    <w:rsid w:val="001C48A5"/>
    <w:rsid w:val="001D1065"/>
    <w:rsid w:val="001D133A"/>
    <w:rsid w:val="001D6D44"/>
    <w:rsid w:val="001D6E22"/>
    <w:rsid w:val="001E0F58"/>
    <w:rsid w:val="001E1276"/>
    <w:rsid w:val="001F2831"/>
    <w:rsid w:val="002127FA"/>
    <w:rsid w:val="00213A65"/>
    <w:rsid w:val="00214764"/>
    <w:rsid w:val="00222251"/>
    <w:rsid w:val="00230A3F"/>
    <w:rsid w:val="00230BEA"/>
    <w:rsid w:val="00232105"/>
    <w:rsid w:val="002400CC"/>
    <w:rsid w:val="00240D7B"/>
    <w:rsid w:val="002411FB"/>
    <w:rsid w:val="0024539A"/>
    <w:rsid w:val="00252DF4"/>
    <w:rsid w:val="00261518"/>
    <w:rsid w:val="0026453E"/>
    <w:rsid w:val="0027625C"/>
    <w:rsid w:val="00287D7F"/>
    <w:rsid w:val="00291F68"/>
    <w:rsid w:val="00292EA9"/>
    <w:rsid w:val="0029321C"/>
    <w:rsid w:val="002967E4"/>
    <w:rsid w:val="002A116F"/>
    <w:rsid w:val="002A4065"/>
    <w:rsid w:val="002B0240"/>
    <w:rsid w:val="002B3D8D"/>
    <w:rsid w:val="002B6813"/>
    <w:rsid w:val="002B68AF"/>
    <w:rsid w:val="002B7558"/>
    <w:rsid w:val="002C625C"/>
    <w:rsid w:val="002D6357"/>
    <w:rsid w:val="002D7742"/>
    <w:rsid w:val="002F4C05"/>
    <w:rsid w:val="002F68DA"/>
    <w:rsid w:val="003018AA"/>
    <w:rsid w:val="00302A29"/>
    <w:rsid w:val="00302D5F"/>
    <w:rsid w:val="00325B18"/>
    <w:rsid w:val="00340970"/>
    <w:rsid w:val="003417AA"/>
    <w:rsid w:val="003421C1"/>
    <w:rsid w:val="00344536"/>
    <w:rsid w:val="003508E4"/>
    <w:rsid w:val="00351A54"/>
    <w:rsid w:val="00352094"/>
    <w:rsid w:val="00364307"/>
    <w:rsid w:val="00367B7D"/>
    <w:rsid w:val="00370117"/>
    <w:rsid w:val="003755FB"/>
    <w:rsid w:val="0037577C"/>
    <w:rsid w:val="00377A9F"/>
    <w:rsid w:val="00382B11"/>
    <w:rsid w:val="00385502"/>
    <w:rsid w:val="00386156"/>
    <w:rsid w:val="003870B4"/>
    <w:rsid w:val="0038785C"/>
    <w:rsid w:val="00396BF8"/>
    <w:rsid w:val="003970F2"/>
    <w:rsid w:val="003A1640"/>
    <w:rsid w:val="003A325E"/>
    <w:rsid w:val="003A5207"/>
    <w:rsid w:val="003B7DD6"/>
    <w:rsid w:val="003C2B0B"/>
    <w:rsid w:val="003C3140"/>
    <w:rsid w:val="003C545C"/>
    <w:rsid w:val="003C6B66"/>
    <w:rsid w:val="003C7E95"/>
    <w:rsid w:val="003D6AB5"/>
    <w:rsid w:val="003E58B9"/>
    <w:rsid w:val="003E693B"/>
    <w:rsid w:val="003F163C"/>
    <w:rsid w:val="003F1652"/>
    <w:rsid w:val="003F7DD4"/>
    <w:rsid w:val="0040224C"/>
    <w:rsid w:val="004031B3"/>
    <w:rsid w:val="00404FAE"/>
    <w:rsid w:val="004055A8"/>
    <w:rsid w:val="0040565B"/>
    <w:rsid w:val="00406575"/>
    <w:rsid w:val="0041017E"/>
    <w:rsid w:val="004150F1"/>
    <w:rsid w:val="004177CF"/>
    <w:rsid w:val="00421358"/>
    <w:rsid w:val="00422346"/>
    <w:rsid w:val="004261E0"/>
    <w:rsid w:val="00427DA7"/>
    <w:rsid w:val="0043023F"/>
    <w:rsid w:val="00435B8D"/>
    <w:rsid w:val="00445362"/>
    <w:rsid w:val="004462A9"/>
    <w:rsid w:val="00450E88"/>
    <w:rsid w:val="00462DFA"/>
    <w:rsid w:val="00472D01"/>
    <w:rsid w:val="00473EBE"/>
    <w:rsid w:val="00476017"/>
    <w:rsid w:val="0047608F"/>
    <w:rsid w:val="00476554"/>
    <w:rsid w:val="00480185"/>
    <w:rsid w:val="00481FFC"/>
    <w:rsid w:val="00483B95"/>
    <w:rsid w:val="00485DC0"/>
    <w:rsid w:val="00487A87"/>
    <w:rsid w:val="00491BE3"/>
    <w:rsid w:val="00491D91"/>
    <w:rsid w:val="00492A14"/>
    <w:rsid w:val="0049512E"/>
    <w:rsid w:val="00497A44"/>
    <w:rsid w:val="004A085D"/>
    <w:rsid w:val="004A3CDD"/>
    <w:rsid w:val="004A4DEB"/>
    <w:rsid w:val="004C1B8B"/>
    <w:rsid w:val="004C1CD2"/>
    <w:rsid w:val="004D1CC1"/>
    <w:rsid w:val="004D2793"/>
    <w:rsid w:val="004D497D"/>
    <w:rsid w:val="004D5664"/>
    <w:rsid w:val="004E0D67"/>
    <w:rsid w:val="004E45E6"/>
    <w:rsid w:val="004F22DA"/>
    <w:rsid w:val="00504834"/>
    <w:rsid w:val="00505AEE"/>
    <w:rsid w:val="0050632E"/>
    <w:rsid w:val="005076C2"/>
    <w:rsid w:val="00514507"/>
    <w:rsid w:val="005158A0"/>
    <w:rsid w:val="005218D0"/>
    <w:rsid w:val="005335AE"/>
    <w:rsid w:val="00536011"/>
    <w:rsid w:val="00540AE0"/>
    <w:rsid w:val="005446CA"/>
    <w:rsid w:val="00544AE6"/>
    <w:rsid w:val="00551C9D"/>
    <w:rsid w:val="005528BA"/>
    <w:rsid w:val="005532F9"/>
    <w:rsid w:val="0055359F"/>
    <w:rsid w:val="005542A8"/>
    <w:rsid w:val="0055440B"/>
    <w:rsid w:val="0055708D"/>
    <w:rsid w:val="005603C9"/>
    <w:rsid w:val="0056186E"/>
    <w:rsid w:val="00561CA6"/>
    <w:rsid w:val="0056717C"/>
    <w:rsid w:val="0056737B"/>
    <w:rsid w:val="00570FF7"/>
    <w:rsid w:val="0057116C"/>
    <w:rsid w:val="0057204D"/>
    <w:rsid w:val="00581D51"/>
    <w:rsid w:val="005826DC"/>
    <w:rsid w:val="0059498A"/>
    <w:rsid w:val="00596A0B"/>
    <w:rsid w:val="00596E05"/>
    <w:rsid w:val="005970FA"/>
    <w:rsid w:val="005A2298"/>
    <w:rsid w:val="005A3D8C"/>
    <w:rsid w:val="005A47EC"/>
    <w:rsid w:val="005A4A33"/>
    <w:rsid w:val="005A5BF9"/>
    <w:rsid w:val="005A69BD"/>
    <w:rsid w:val="005B109A"/>
    <w:rsid w:val="005B1144"/>
    <w:rsid w:val="005B427B"/>
    <w:rsid w:val="005B4E52"/>
    <w:rsid w:val="005C1CD3"/>
    <w:rsid w:val="005C4B5B"/>
    <w:rsid w:val="005C7BA5"/>
    <w:rsid w:val="005D62F2"/>
    <w:rsid w:val="005E36B6"/>
    <w:rsid w:val="005E4C3B"/>
    <w:rsid w:val="005E6960"/>
    <w:rsid w:val="005F1C2A"/>
    <w:rsid w:val="005F2B7C"/>
    <w:rsid w:val="005F7EB5"/>
    <w:rsid w:val="0060795D"/>
    <w:rsid w:val="0061268A"/>
    <w:rsid w:val="006146C4"/>
    <w:rsid w:val="00615EEC"/>
    <w:rsid w:val="0061673B"/>
    <w:rsid w:val="00624415"/>
    <w:rsid w:val="006260D5"/>
    <w:rsid w:val="00632DF1"/>
    <w:rsid w:val="00633A3A"/>
    <w:rsid w:val="00633A49"/>
    <w:rsid w:val="00640A40"/>
    <w:rsid w:val="006412D0"/>
    <w:rsid w:val="00647F38"/>
    <w:rsid w:val="00654E90"/>
    <w:rsid w:val="006573A1"/>
    <w:rsid w:val="00660766"/>
    <w:rsid w:val="0066715A"/>
    <w:rsid w:val="006730D4"/>
    <w:rsid w:val="00684268"/>
    <w:rsid w:val="006918B9"/>
    <w:rsid w:val="006933C1"/>
    <w:rsid w:val="00695200"/>
    <w:rsid w:val="00695B97"/>
    <w:rsid w:val="006A264D"/>
    <w:rsid w:val="006A3996"/>
    <w:rsid w:val="006A6019"/>
    <w:rsid w:val="006B2D6A"/>
    <w:rsid w:val="006C3FEA"/>
    <w:rsid w:val="006C494A"/>
    <w:rsid w:val="006D5400"/>
    <w:rsid w:val="006E08FF"/>
    <w:rsid w:val="006E2EDA"/>
    <w:rsid w:val="006E5AE4"/>
    <w:rsid w:val="006F240A"/>
    <w:rsid w:val="006F4B78"/>
    <w:rsid w:val="006F62BC"/>
    <w:rsid w:val="006F709E"/>
    <w:rsid w:val="006F76CB"/>
    <w:rsid w:val="00701083"/>
    <w:rsid w:val="00714AB0"/>
    <w:rsid w:val="00716AEF"/>
    <w:rsid w:val="0071795A"/>
    <w:rsid w:val="00720949"/>
    <w:rsid w:val="00727370"/>
    <w:rsid w:val="00731930"/>
    <w:rsid w:val="00742972"/>
    <w:rsid w:val="007436ED"/>
    <w:rsid w:val="00744CC7"/>
    <w:rsid w:val="007543B0"/>
    <w:rsid w:val="007568A9"/>
    <w:rsid w:val="007616C6"/>
    <w:rsid w:val="00762592"/>
    <w:rsid w:val="00762F13"/>
    <w:rsid w:val="00764BDC"/>
    <w:rsid w:val="0076687C"/>
    <w:rsid w:val="0077639A"/>
    <w:rsid w:val="00777C7C"/>
    <w:rsid w:val="0078100C"/>
    <w:rsid w:val="007819FC"/>
    <w:rsid w:val="00784830"/>
    <w:rsid w:val="00787404"/>
    <w:rsid w:val="0078772C"/>
    <w:rsid w:val="007878E4"/>
    <w:rsid w:val="0079322D"/>
    <w:rsid w:val="007A232D"/>
    <w:rsid w:val="007A3B85"/>
    <w:rsid w:val="007A47D5"/>
    <w:rsid w:val="007A5191"/>
    <w:rsid w:val="007A7C25"/>
    <w:rsid w:val="007B131F"/>
    <w:rsid w:val="007B3AE8"/>
    <w:rsid w:val="007B3D5C"/>
    <w:rsid w:val="007B4418"/>
    <w:rsid w:val="007C2380"/>
    <w:rsid w:val="007C34FB"/>
    <w:rsid w:val="007D3AA0"/>
    <w:rsid w:val="007D3C69"/>
    <w:rsid w:val="007F0D61"/>
    <w:rsid w:val="00805EB4"/>
    <w:rsid w:val="00810603"/>
    <w:rsid w:val="0081218E"/>
    <w:rsid w:val="00815212"/>
    <w:rsid w:val="0082028B"/>
    <w:rsid w:val="0082040D"/>
    <w:rsid w:val="00823010"/>
    <w:rsid w:val="0083324D"/>
    <w:rsid w:val="00834594"/>
    <w:rsid w:val="008414F6"/>
    <w:rsid w:val="00841733"/>
    <w:rsid w:val="008522F9"/>
    <w:rsid w:val="00853BC2"/>
    <w:rsid w:val="00856F77"/>
    <w:rsid w:val="0086236A"/>
    <w:rsid w:val="008645DE"/>
    <w:rsid w:val="00871B38"/>
    <w:rsid w:val="00872BC0"/>
    <w:rsid w:val="00873E5B"/>
    <w:rsid w:val="00883785"/>
    <w:rsid w:val="008871B0"/>
    <w:rsid w:val="00892F52"/>
    <w:rsid w:val="008A1CAC"/>
    <w:rsid w:val="008A3898"/>
    <w:rsid w:val="008A4962"/>
    <w:rsid w:val="008A5B21"/>
    <w:rsid w:val="008C1E55"/>
    <w:rsid w:val="008C567A"/>
    <w:rsid w:val="008E0959"/>
    <w:rsid w:val="008E1D71"/>
    <w:rsid w:val="008E7710"/>
    <w:rsid w:val="008E7C8E"/>
    <w:rsid w:val="008F2179"/>
    <w:rsid w:val="008F250B"/>
    <w:rsid w:val="00901A60"/>
    <w:rsid w:val="00902200"/>
    <w:rsid w:val="00903526"/>
    <w:rsid w:val="00903F34"/>
    <w:rsid w:val="00905219"/>
    <w:rsid w:val="009078F5"/>
    <w:rsid w:val="00917E05"/>
    <w:rsid w:val="009200D2"/>
    <w:rsid w:val="00922B86"/>
    <w:rsid w:val="00925C05"/>
    <w:rsid w:val="00927547"/>
    <w:rsid w:val="00931279"/>
    <w:rsid w:val="00940B59"/>
    <w:rsid w:val="00941B8B"/>
    <w:rsid w:val="0094211B"/>
    <w:rsid w:val="00942436"/>
    <w:rsid w:val="009446ED"/>
    <w:rsid w:val="009462E2"/>
    <w:rsid w:val="00946C60"/>
    <w:rsid w:val="00947D67"/>
    <w:rsid w:val="009509D8"/>
    <w:rsid w:val="00957A1D"/>
    <w:rsid w:val="00960D31"/>
    <w:rsid w:val="00961602"/>
    <w:rsid w:val="009677C1"/>
    <w:rsid w:val="00970F81"/>
    <w:rsid w:val="0097570F"/>
    <w:rsid w:val="00985537"/>
    <w:rsid w:val="009907E6"/>
    <w:rsid w:val="00992186"/>
    <w:rsid w:val="00992D1E"/>
    <w:rsid w:val="009A077C"/>
    <w:rsid w:val="009A0788"/>
    <w:rsid w:val="009A0828"/>
    <w:rsid w:val="009B5017"/>
    <w:rsid w:val="009C7173"/>
    <w:rsid w:val="009C75A5"/>
    <w:rsid w:val="009D7D33"/>
    <w:rsid w:val="009E26A1"/>
    <w:rsid w:val="009E2C16"/>
    <w:rsid w:val="009F0E94"/>
    <w:rsid w:val="009F1547"/>
    <w:rsid w:val="009F398E"/>
    <w:rsid w:val="009F7924"/>
    <w:rsid w:val="00A02CE8"/>
    <w:rsid w:val="00A0470A"/>
    <w:rsid w:val="00A07949"/>
    <w:rsid w:val="00A15CFA"/>
    <w:rsid w:val="00A22038"/>
    <w:rsid w:val="00A23CB0"/>
    <w:rsid w:val="00A27DEE"/>
    <w:rsid w:val="00A3026D"/>
    <w:rsid w:val="00A308F1"/>
    <w:rsid w:val="00A41062"/>
    <w:rsid w:val="00A445FC"/>
    <w:rsid w:val="00A51BD1"/>
    <w:rsid w:val="00A55D5C"/>
    <w:rsid w:val="00A56697"/>
    <w:rsid w:val="00A611FC"/>
    <w:rsid w:val="00A628BA"/>
    <w:rsid w:val="00A668C3"/>
    <w:rsid w:val="00A67923"/>
    <w:rsid w:val="00A70598"/>
    <w:rsid w:val="00A72DC8"/>
    <w:rsid w:val="00A76C1A"/>
    <w:rsid w:val="00A833D9"/>
    <w:rsid w:val="00A90A4F"/>
    <w:rsid w:val="00AA204C"/>
    <w:rsid w:val="00AA5C75"/>
    <w:rsid w:val="00AA5CE2"/>
    <w:rsid w:val="00AB0363"/>
    <w:rsid w:val="00AB42A6"/>
    <w:rsid w:val="00AC1061"/>
    <w:rsid w:val="00AC6099"/>
    <w:rsid w:val="00AC78FF"/>
    <w:rsid w:val="00AE33FF"/>
    <w:rsid w:val="00AF45F8"/>
    <w:rsid w:val="00AF4AFC"/>
    <w:rsid w:val="00B02655"/>
    <w:rsid w:val="00B037D6"/>
    <w:rsid w:val="00B0480F"/>
    <w:rsid w:val="00B05076"/>
    <w:rsid w:val="00B05852"/>
    <w:rsid w:val="00B05BA5"/>
    <w:rsid w:val="00B1413D"/>
    <w:rsid w:val="00B15FC5"/>
    <w:rsid w:val="00B42E14"/>
    <w:rsid w:val="00B51310"/>
    <w:rsid w:val="00B60A36"/>
    <w:rsid w:val="00B6382E"/>
    <w:rsid w:val="00B711E5"/>
    <w:rsid w:val="00B81395"/>
    <w:rsid w:val="00B82BDB"/>
    <w:rsid w:val="00B830F4"/>
    <w:rsid w:val="00B858C2"/>
    <w:rsid w:val="00B85AAE"/>
    <w:rsid w:val="00B8762A"/>
    <w:rsid w:val="00B90667"/>
    <w:rsid w:val="00B94786"/>
    <w:rsid w:val="00BA01A5"/>
    <w:rsid w:val="00BA2165"/>
    <w:rsid w:val="00BA59C2"/>
    <w:rsid w:val="00BC199F"/>
    <w:rsid w:val="00BC4922"/>
    <w:rsid w:val="00BD46FE"/>
    <w:rsid w:val="00BD7268"/>
    <w:rsid w:val="00BD7C68"/>
    <w:rsid w:val="00BE2FC7"/>
    <w:rsid w:val="00BE41FA"/>
    <w:rsid w:val="00BE5834"/>
    <w:rsid w:val="00BF05A1"/>
    <w:rsid w:val="00BF6BE5"/>
    <w:rsid w:val="00C03022"/>
    <w:rsid w:val="00C03776"/>
    <w:rsid w:val="00C06722"/>
    <w:rsid w:val="00C06DE2"/>
    <w:rsid w:val="00C13821"/>
    <w:rsid w:val="00C144C3"/>
    <w:rsid w:val="00C145FD"/>
    <w:rsid w:val="00C34D7A"/>
    <w:rsid w:val="00C4654A"/>
    <w:rsid w:val="00C54021"/>
    <w:rsid w:val="00C70CCA"/>
    <w:rsid w:val="00C70F06"/>
    <w:rsid w:val="00C714AE"/>
    <w:rsid w:val="00C752B9"/>
    <w:rsid w:val="00C75655"/>
    <w:rsid w:val="00C868F6"/>
    <w:rsid w:val="00C9391D"/>
    <w:rsid w:val="00C93FF6"/>
    <w:rsid w:val="00C9744B"/>
    <w:rsid w:val="00C97FE1"/>
    <w:rsid w:val="00CA0DDD"/>
    <w:rsid w:val="00CA15C1"/>
    <w:rsid w:val="00CA6289"/>
    <w:rsid w:val="00CA76B8"/>
    <w:rsid w:val="00CB15CA"/>
    <w:rsid w:val="00CB589A"/>
    <w:rsid w:val="00CB6DCE"/>
    <w:rsid w:val="00CB7302"/>
    <w:rsid w:val="00CC2E82"/>
    <w:rsid w:val="00CD78A6"/>
    <w:rsid w:val="00CE4540"/>
    <w:rsid w:val="00CE4BFF"/>
    <w:rsid w:val="00CF05F0"/>
    <w:rsid w:val="00CF08F7"/>
    <w:rsid w:val="00CF23E2"/>
    <w:rsid w:val="00CF5B47"/>
    <w:rsid w:val="00D0315A"/>
    <w:rsid w:val="00D05688"/>
    <w:rsid w:val="00D05F28"/>
    <w:rsid w:val="00D11463"/>
    <w:rsid w:val="00D13E3B"/>
    <w:rsid w:val="00D16008"/>
    <w:rsid w:val="00D212D1"/>
    <w:rsid w:val="00D246E8"/>
    <w:rsid w:val="00D33D87"/>
    <w:rsid w:val="00D33DF6"/>
    <w:rsid w:val="00D37B9D"/>
    <w:rsid w:val="00D41572"/>
    <w:rsid w:val="00D44ACE"/>
    <w:rsid w:val="00D46C46"/>
    <w:rsid w:val="00D47468"/>
    <w:rsid w:val="00D5449E"/>
    <w:rsid w:val="00D54513"/>
    <w:rsid w:val="00D54C9B"/>
    <w:rsid w:val="00D60FED"/>
    <w:rsid w:val="00D61003"/>
    <w:rsid w:val="00D61E09"/>
    <w:rsid w:val="00D67449"/>
    <w:rsid w:val="00D722DF"/>
    <w:rsid w:val="00D83188"/>
    <w:rsid w:val="00D83261"/>
    <w:rsid w:val="00D844EC"/>
    <w:rsid w:val="00D96B97"/>
    <w:rsid w:val="00DA31F1"/>
    <w:rsid w:val="00DB1424"/>
    <w:rsid w:val="00DB3AEE"/>
    <w:rsid w:val="00DB4FE6"/>
    <w:rsid w:val="00DD63B0"/>
    <w:rsid w:val="00DE1703"/>
    <w:rsid w:val="00DE4D5F"/>
    <w:rsid w:val="00E132F9"/>
    <w:rsid w:val="00E1696D"/>
    <w:rsid w:val="00E20740"/>
    <w:rsid w:val="00E258F9"/>
    <w:rsid w:val="00E31CBD"/>
    <w:rsid w:val="00E337EB"/>
    <w:rsid w:val="00E350CD"/>
    <w:rsid w:val="00E564BF"/>
    <w:rsid w:val="00E705B7"/>
    <w:rsid w:val="00E73A89"/>
    <w:rsid w:val="00E7726F"/>
    <w:rsid w:val="00EB055B"/>
    <w:rsid w:val="00EB2ABA"/>
    <w:rsid w:val="00EB3F90"/>
    <w:rsid w:val="00EB713A"/>
    <w:rsid w:val="00EC1160"/>
    <w:rsid w:val="00EC1212"/>
    <w:rsid w:val="00EC1D3D"/>
    <w:rsid w:val="00EC26DE"/>
    <w:rsid w:val="00EC40F6"/>
    <w:rsid w:val="00EC7E67"/>
    <w:rsid w:val="00ED6D0F"/>
    <w:rsid w:val="00EE0B3E"/>
    <w:rsid w:val="00EE5A4D"/>
    <w:rsid w:val="00EF090C"/>
    <w:rsid w:val="00EF1230"/>
    <w:rsid w:val="00EF5959"/>
    <w:rsid w:val="00F01C4C"/>
    <w:rsid w:val="00F05718"/>
    <w:rsid w:val="00F059CA"/>
    <w:rsid w:val="00F10202"/>
    <w:rsid w:val="00F11F73"/>
    <w:rsid w:val="00F13036"/>
    <w:rsid w:val="00F143FE"/>
    <w:rsid w:val="00F1448C"/>
    <w:rsid w:val="00F15DBB"/>
    <w:rsid w:val="00F23A41"/>
    <w:rsid w:val="00F24D75"/>
    <w:rsid w:val="00F261E3"/>
    <w:rsid w:val="00F31917"/>
    <w:rsid w:val="00F34F33"/>
    <w:rsid w:val="00F3742D"/>
    <w:rsid w:val="00F420DE"/>
    <w:rsid w:val="00F461A6"/>
    <w:rsid w:val="00F56087"/>
    <w:rsid w:val="00F61D56"/>
    <w:rsid w:val="00F63AA2"/>
    <w:rsid w:val="00F666BD"/>
    <w:rsid w:val="00F67442"/>
    <w:rsid w:val="00F730DD"/>
    <w:rsid w:val="00F75906"/>
    <w:rsid w:val="00F77D0C"/>
    <w:rsid w:val="00F8320E"/>
    <w:rsid w:val="00F86D6F"/>
    <w:rsid w:val="00F94D77"/>
    <w:rsid w:val="00FA3DB2"/>
    <w:rsid w:val="00FA4F23"/>
    <w:rsid w:val="00FB0249"/>
    <w:rsid w:val="00FB6681"/>
    <w:rsid w:val="00FB6C1D"/>
    <w:rsid w:val="00FC22D2"/>
    <w:rsid w:val="00FD4C77"/>
    <w:rsid w:val="00FE5D35"/>
    <w:rsid w:val="00FE7F25"/>
    <w:rsid w:val="00FF0956"/>
    <w:rsid w:val="00FF3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5B97"/>
    <w:pPr>
      <w:keepNext/>
      <w:keepLines/>
      <w:spacing w:line="360" w:lineRule="auto"/>
      <w:outlineLvl w:val="0"/>
    </w:pPr>
    <w:rPr>
      <w:rFonts w:eastAsiaTheme="majorEastAsia" w:cstheme="majorBidi"/>
      <w:b/>
      <w:bCs/>
      <w:sz w:val="26"/>
      <w:szCs w:val="28"/>
    </w:rPr>
  </w:style>
  <w:style w:type="paragraph" w:styleId="Heading2">
    <w:name w:val="heading 2"/>
    <w:basedOn w:val="Normal"/>
    <w:next w:val="Normal"/>
    <w:link w:val="Heading2Char"/>
    <w:uiPriority w:val="9"/>
    <w:unhideWhenUsed/>
    <w:qFormat/>
    <w:rsid w:val="00695B97"/>
    <w:pPr>
      <w:keepNext/>
      <w:keepLines/>
      <w:spacing w:line="360" w:lineRule="auto"/>
      <w:ind w:left="72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95B97"/>
    <w:pPr>
      <w:keepNext/>
      <w:keepLines/>
      <w:spacing w:line="360" w:lineRule="auto"/>
      <w:ind w:left="144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695B97"/>
    <w:pPr>
      <w:keepNext/>
      <w:keepLines/>
      <w:spacing w:line="360" w:lineRule="auto"/>
      <w:ind w:left="216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695B97"/>
    <w:pPr>
      <w:keepNext/>
      <w:keepLines/>
      <w:spacing w:line="360" w:lineRule="auto"/>
      <w:ind w:left="2880"/>
      <w:outlineLvl w:val="4"/>
    </w:pPr>
    <w:rPr>
      <w:rFonts w:eastAsiaTheme="majorEastAsia"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1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95B97"/>
    <w:rPr>
      <w:rFonts w:ascii="Times New Roman" w:eastAsiaTheme="majorEastAsia" w:hAnsi="Times New Roman" w:cstheme="majorBidi"/>
      <w:b/>
      <w:bCs/>
      <w:sz w:val="26"/>
      <w:szCs w:val="28"/>
    </w:rPr>
  </w:style>
  <w:style w:type="paragraph" w:styleId="ListParagraph">
    <w:name w:val="List Paragraph"/>
    <w:basedOn w:val="Normal"/>
    <w:uiPriority w:val="34"/>
    <w:qFormat/>
    <w:rsid w:val="00DB1424"/>
    <w:pPr>
      <w:ind w:left="720"/>
      <w:contextualSpacing/>
    </w:pPr>
  </w:style>
  <w:style w:type="paragraph" w:styleId="TOC1">
    <w:name w:val="toc 1"/>
    <w:basedOn w:val="Normal"/>
    <w:next w:val="Normal"/>
    <w:autoRedefine/>
    <w:uiPriority w:val="39"/>
    <w:unhideWhenUsed/>
    <w:rsid w:val="004D1CC1"/>
    <w:pPr>
      <w:spacing w:after="100"/>
    </w:pPr>
  </w:style>
  <w:style w:type="character" w:styleId="Hyperlink">
    <w:name w:val="Hyperlink"/>
    <w:basedOn w:val="DefaultParagraphFont"/>
    <w:uiPriority w:val="99"/>
    <w:unhideWhenUsed/>
    <w:rsid w:val="004D1CC1"/>
    <w:rPr>
      <w:color w:val="0000FF" w:themeColor="hyperlink"/>
      <w:u w:val="single"/>
    </w:rPr>
  </w:style>
  <w:style w:type="character" w:customStyle="1" w:styleId="Heading2Char">
    <w:name w:val="Heading 2 Char"/>
    <w:basedOn w:val="DefaultParagraphFont"/>
    <w:link w:val="Heading2"/>
    <w:uiPriority w:val="9"/>
    <w:rsid w:val="00695B97"/>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695B97"/>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uiPriority w:val="9"/>
    <w:rsid w:val="00695B97"/>
    <w:rPr>
      <w:rFonts w:ascii="Times New Roman" w:eastAsiaTheme="majorEastAsia" w:hAnsi="Times New Roman" w:cstheme="majorBidi"/>
      <w:b/>
      <w:bCs/>
      <w:iCs/>
      <w:sz w:val="26"/>
      <w:szCs w:val="24"/>
    </w:rPr>
  </w:style>
  <w:style w:type="paragraph" w:styleId="TOC2">
    <w:name w:val="toc 2"/>
    <w:basedOn w:val="Normal"/>
    <w:next w:val="Normal"/>
    <w:autoRedefine/>
    <w:uiPriority w:val="39"/>
    <w:unhideWhenUsed/>
    <w:rsid w:val="007D3C69"/>
    <w:pPr>
      <w:spacing w:after="100"/>
      <w:ind w:left="240"/>
    </w:pPr>
  </w:style>
  <w:style w:type="paragraph" w:styleId="TOC3">
    <w:name w:val="toc 3"/>
    <w:basedOn w:val="Normal"/>
    <w:next w:val="Normal"/>
    <w:autoRedefine/>
    <w:uiPriority w:val="39"/>
    <w:unhideWhenUsed/>
    <w:rsid w:val="007D3C69"/>
    <w:pPr>
      <w:spacing w:after="100"/>
      <w:ind w:left="480"/>
    </w:pPr>
  </w:style>
  <w:style w:type="paragraph" w:styleId="TOC4">
    <w:name w:val="toc 4"/>
    <w:basedOn w:val="Normal"/>
    <w:next w:val="Normal"/>
    <w:autoRedefine/>
    <w:uiPriority w:val="39"/>
    <w:unhideWhenUsed/>
    <w:rsid w:val="007D3C69"/>
    <w:pPr>
      <w:spacing w:after="100"/>
      <w:ind w:left="720"/>
    </w:pPr>
  </w:style>
  <w:style w:type="character" w:customStyle="1" w:styleId="Heading5Char">
    <w:name w:val="Heading 5 Char"/>
    <w:basedOn w:val="DefaultParagraphFont"/>
    <w:link w:val="Heading5"/>
    <w:uiPriority w:val="9"/>
    <w:rsid w:val="00695B97"/>
    <w:rPr>
      <w:rFonts w:ascii="Times New Roman" w:eastAsiaTheme="majorEastAsia" w:hAnsi="Times New Roman" w:cstheme="majorBidi"/>
      <w:b/>
      <w:sz w:val="26"/>
      <w:szCs w:val="24"/>
    </w:rPr>
  </w:style>
  <w:style w:type="paragraph" w:styleId="TOC5">
    <w:name w:val="toc 5"/>
    <w:basedOn w:val="Normal"/>
    <w:next w:val="Normal"/>
    <w:autoRedefine/>
    <w:uiPriority w:val="39"/>
    <w:unhideWhenUsed/>
    <w:rsid w:val="00A833D9"/>
    <w:pPr>
      <w:spacing w:after="100"/>
      <w:ind w:left="960"/>
    </w:pPr>
  </w:style>
  <w:style w:type="paragraph" w:styleId="Header">
    <w:name w:val="header"/>
    <w:basedOn w:val="Normal"/>
    <w:link w:val="HeaderChar"/>
    <w:uiPriority w:val="99"/>
    <w:unhideWhenUsed/>
    <w:rsid w:val="008F250B"/>
    <w:pPr>
      <w:tabs>
        <w:tab w:val="center" w:pos="4680"/>
        <w:tab w:val="right" w:pos="9360"/>
      </w:tabs>
    </w:pPr>
  </w:style>
  <w:style w:type="character" w:customStyle="1" w:styleId="HeaderChar">
    <w:name w:val="Header Char"/>
    <w:basedOn w:val="DefaultParagraphFont"/>
    <w:link w:val="Header"/>
    <w:uiPriority w:val="99"/>
    <w:rsid w:val="008F25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250B"/>
    <w:pPr>
      <w:tabs>
        <w:tab w:val="center" w:pos="4680"/>
        <w:tab w:val="right" w:pos="9360"/>
      </w:tabs>
    </w:pPr>
  </w:style>
  <w:style w:type="character" w:customStyle="1" w:styleId="FooterChar">
    <w:name w:val="Footer Char"/>
    <w:basedOn w:val="DefaultParagraphFont"/>
    <w:link w:val="Footer"/>
    <w:uiPriority w:val="99"/>
    <w:rsid w:val="008F250B"/>
    <w:rPr>
      <w:rFonts w:ascii="Times New Roman" w:eastAsia="Times New Roman" w:hAnsi="Times New Roman" w:cs="Times New Roman"/>
      <w:sz w:val="24"/>
      <w:szCs w:val="24"/>
    </w:rPr>
  </w:style>
  <w:style w:type="paragraph" w:styleId="FootnoteText">
    <w:name w:val="footnote text"/>
    <w:aliases w:val="TBG Style,ALTS FOOTNOTE,Footnote Text 2,fn,Footnote text,FOOTNOTE"/>
    <w:basedOn w:val="Normal"/>
    <w:link w:val="FootnoteTextChar"/>
    <w:uiPriority w:val="99"/>
    <w:unhideWhenUsed/>
    <w:rsid w:val="003E58B9"/>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uiPriority w:val="99"/>
    <w:rsid w:val="003E58B9"/>
    <w:rPr>
      <w:rFonts w:ascii="Times New Roman" w:eastAsia="Times New Roman" w:hAnsi="Times New Roman" w:cs="Times New Roman"/>
      <w:sz w:val="20"/>
      <w:szCs w:val="20"/>
    </w:rPr>
  </w:style>
  <w:style w:type="character" w:styleId="FootnoteReference">
    <w:name w:val="footnote reference"/>
    <w:basedOn w:val="DefaultParagraphFont"/>
    <w:unhideWhenUsed/>
    <w:rsid w:val="003E58B9"/>
    <w:rPr>
      <w:vertAlign w:val="superscript"/>
    </w:rPr>
  </w:style>
  <w:style w:type="paragraph" w:customStyle="1" w:styleId="p3">
    <w:name w:val="p3"/>
    <w:basedOn w:val="Normal"/>
    <w:rsid w:val="00A308F1"/>
    <w:pPr>
      <w:widowControl w:val="0"/>
      <w:tabs>
        <w:tab w:val="left" w:pos="204"/>
      </w:tabs>
      <w:autoSpaceDE w:val="0"/>
      <w:autoSpaceDN w:val="0"/>
      <w:adjustRightInd w:val="0"/>
    </w:pPr>
  </w:style>
  <w:style w:type="paragraph" w:styleId="NoSpacing">
    <w:name w:val="No Spacing"/>
    <w:uiPriority w:val="1"/>
    <w:qFormat/>
    <w:rsid w:val="00476017"/>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D61003"/>
    <w:pPr>
      <w:spacing w:line="480" w:lineRule="auto"/>
      <w:ind w:firstLine="720"/>
      <w:jc w:val="both"/>
    </w:pPr>
  </w:style>
  <w:style w:type="character" w:customStyle="1" w:styleId="BodyText2Char">
    <w:name w:val="Body Text 2 Char"/>
    <w:basedOn w:val="DefaultParagraphFont"/>
    <w:link w:val="BodyText2"/>
    <w:rsid w:val="00D61003"/>
    <w:rPr>
      <w:rFonts w:ascii="Times New Roman" w:eastAsia="Times New Roman" w:hAnsi="Times New Roman" w:cs="Times New Roman"/>
      <w:sz w:val="24"/>
      <w:szCs w:val="24"/>
    </w:rPr>
  </w:style>
  <w:style w:type="paragraph" w:customStyle="1" w:styleId="FirmDouble05">
    <w:name w:val="Firm Double 05"/>
    <w:basedOn w:val="Normal"/>
    <w:rsid w:val="00BA2165"/>
    <w:pPr>
      <w:spacing w:after="120" w:line="480" w:lineRule="auto"/>
      <w:ind w:firstLine="720"/>
    </w:pPr>
  </w:style>
  <w:style w:type="paragraph" w:styleId="BalloonText">
    <w:name w:val="Balloon Text"/>
    <w:basedOn w:val="Normal"/>
    <w:link w:val="BalloonTextChar"/>
    <w:uiPriority w:val="99"/>
    <w:semiHidden/>
    <w:unhideWhenUsed/>
    <w:rsid w:val="003C545C"/>
    <w:rPr>
      <w:rFonts w:ascii="Tahoma" w:hAnsi="Tahoma" w:cs="Tahoma"/>
      <w:sz w:val="16"/>
      <w:szCs w:val="16"/>
    </w:rPr>
  </w:style>
  <w:style w:type="character" w:customStyle="1" w:styleId="BalloonTextChar">
    <w:name w:val="Balloon Text Char"/>
    <w:basedOn w:val="DefaultParagraphFont"/>
    <w:link w:val="BalloonText"/>
    <w:uiPriority w:val="99"/>
    <w:semiHidden/>
    <w:rsid w:val="003C545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177261">
      <w:bodyDiv w:val="1"/>
      <w:marLeft w:val="0"/>
      <w:marRight w:val="0"/>
      <w:marTop w:val="0"/>
      <w:marBottom w:val="0"/>
      <w:divBdr>
        <w:top w:val="none" w:sz="0" w:space="0" w:color="auto"/>
        <w:left w:val="none" w:sz="0" w:space="0" w:color="auto"/>
        <w:bottom w:val="none" w:sz="0" w:space="0" w:color="auto"/>
        <w:right w:val="none" w:sz="0" w:space="0" w:color="auto"/>
      </w:divBdr>
    </w:div>
    <w:div w:id="111378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13B8E-9389-4090-A05E-4F8F5A6D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jnase</dc:creator>
  <cp:keywords/>
  <dc:description/>
  <cp:lastModifiedBy>joyce marie farner</cp:lastModifiedBy>
  <cp:revision>3</cp:revision>
  <cp:lastPrinted>2009-12-23T18:56:00Z</cp:lastPrinted>
  <dcterms:created xsi:type="dcterms:W3CDTF">2009-12-09T14:51:00Z</dcterms:created>
  <dcterms:modified xsi:type="dcterms:W3CDTF">2009-12-23T18:56:00Z</dcterms:modified>
</cp:coreProperties>
</file>