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96"/>
        <w:tblW w:w="10890" w:type="dxa"/>
        <w:tblLayout w:type="fixed"/>
        <w:tblLook w:val="0000"/>
      </w:tblPr>
      <w:tblGrid>
        <w:gridCol w:w="1363"/>
        <w:gridCol w:w="8075"/>
        <w:gridCol w:w="1452"/>
      </w:tblGrid>
      <w:tr w:rsidR="00431235" w:rsidRPr="00D8760E" w:rsidTr="00586FC1">
        <w:trPr>
          <w:trHeight w:val="990"/>
        </w:trPr>
        <w:tc>
          <w:tcPr>
            <w:tcW w:w="1363" w:type="dxa"/>
          </w:tcPr>
          <w:p w:rsidR="00431235" w:rsidRPr="00D8760E" w:rsidRDefault="00431235" w:rsidP="00586FC1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431235" w:rsidRPr="00D8760E" w:rsidRDefault="00431235" w:rsidP="00586FC1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431235" w:rsidRPr="00D8760E" w:rsidRDefault="00431235" w:rsidP="00586FC1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431235" w:rsidRPr="00D8760E" w:rsidRDefault="00431235" w:rsidP="00586FC1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431235" w:rsidRPr="00D8760E" w:rsidRDefault="00431235" w:rsidP="00586FC1">
            <w:pPr>
              <w:jc w:val="center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431235" w:rsidRPr="00D8760E" w:rsidRDefault="00431235" w:rsidP="00586FC1">
            <w:pPr>
              <w:rPr>
                <w:rFonts w:ascii="Arial" w:hAnsi="Arial"/>
                <w:sz w:val="12"/>
              </w:rPr>
            </w:pPr>
          </w:p>
          <w:p w:rsidR="00431235" w:rsidRPr="00D8760E" w:rsidRDefault="00431235" w:rsidP="00586FC1">
            <w:pPr>
              <w:rPr>
                <w:rFonts w:ascii="Arial" w:hAnsi="Arial"/>
                <w:sz w:val="12"/>
              </w:rPr>
            </w:pPr>
          </w:p>
          <w:p w:rsidR="00431235" w:rsidRPr="00D8760E" w:rsidRDefault="00431235" w:rsidP="00586FC1">
            <w:pPr>
              <w:rPr>
                <w:rFonts w:ascii="Arial" w:hAnsi="Arial"/>
                <w:sz w:val="12"/>
              </w:rPr>
            </w:pPr>
          </w:p>
          <w:p w:rsidR="00431235" w:rsidRPr="00D8760E" w:rsidRDefault="00431235" w:rsidP="00586FC1">
            <w:pPr>
              <w:rPr>
                <w:rFonts w:ascii="Arial" w:hAnsi="Arial"/>
                <w:sz w:val="12"/>
              </w:rPr>
            </w:pPr>
          </w:p>
          <w:p w:rsidR="00431235" w:rsidRPr="00D8760E" w:rsidRDefault="00431235" w:rsidP="00586FC1">
            <w:pPr>
              <w:rPr>
                <w:rFonts w:ascii="Arial" w:hAnsi="Arial"/>
                <w:sz w:val="12"/>
              </w:rPr>
            </w:pPr>
          </w:p>
          <w:p w:rsidR="00431235" w:rsidRPr="00D8760E" w:rsidRDefault="00431235" w:rsidP="00586FC1">
            <w:pPr>
              <w:rPr>
                <w:rFonts w:ascii="Arial" w:hAnsi="Arial"/>
                <w:sz w:val="12"/>
              </w:rPr>
            </w:pPr>
          </w:p>
          <w:p w:rsidR="00431235" w:rsidRPr="00D8760E" w:rsidRDefault="00431235" w:rsidP="00586FC1">
            <w:pPr>
              <w:jc w:val="right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431235" w:rsidRPr="000D510F" w:rsidRDefault="00431235" w:rsidP="00431235">
      <w:pPr>
        <w:ind w:left="-480" w:right="-720"/>
        <w:jc w:val="center"/>
        <w:rPr>
          <w:rFonts w:ascii="Arial" w:hAnsi="Arial" w:cs="Arial"/>
          <w:b/>
          <w:color w:val="FF0000"/>
          <w:u w:val="single"/>
        </w:rPr>
      </w:pPr>
    </w:p>
    <w:p w:rsidR="00431235" w:rsidRPr="00EF5ECF" w:rsidRDefault="00431235" w:rsidP="00431235">
      <w:pPr>
        <w:ind w:left="-480" w:right="-720"/>
        <w:rPr>
          <w:rFonts w:ascii="Arial" w:hAnsi="Arial"/>
          <w:b/>
          <w:u w:val="single"/>
        </w:rPr>
      </w:pPr>
      <w:r w:rsidRPr="0050388D">
        <w:t xml:space="preserve"> </w:t>
      </w:r>
      <w:r w:rsidRPr="00EF5ECF">
        <w:rPr>
          <w:rFonts w:ascii="Arial" w:hAnsi="Arial"/>
          <w:b/>
          <w:u w:val="single"/>
        </w:rPr>
        <w:t>PRESS RELEASE</w:t>
      </w:r>
    </w:p>
    <w:p w:rsidR="00431235" w:rsidRPr="00EF5ECF" w:rsidRDefault="00431235" w:rsidP="00431235">
      <w:pPr>
        <w:ind w:left="-540" w:right="-720"/>
        <w:rPr>
          <w:rFonts w:ascii="Arial" w:hAnsi="Arial"/>
        </w:rPr>
      </w:pPr>
      <w:r w:rsidRPr="00EF5ECF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Pr="00262D8B">
        <w:rPr>
          <w:rFonts w:ascii="Arial" w:hAnsi="Arial"/>
        </w:rPr>
        <w:t xml:space="preserve">Date: </w:t>
      </w:r>
      <w:r w:rsidRPr="00262D8B">
        <w:rPr>
          <w:rFonts w:ascii="Arial" w:hAnsi="Arial"/>
        </w:rPr>
        <w:tab/>
      </w:r>
      <w:r w:rsidR="0002737F" w:rsidRPr="00262D8B">
        <w:rPr>
          <w:rFonts w:ascii="Arial" w:hAnsi="Arial"/>
        </w:rPr>
        <w:t>Aug. 27</w:t>
      </w:r>
      <w:r w:rsidRPr="00262D8B">
        <w:rPr>
          <w:rFonts w:ascii="Arial" w:hAnsi="Arial"/>
        </w:rPr>
        <w:t>, 2009</w:t>
      </w:r>
      <w:r w:rsidRPr="00EF5ECF">
        <w:rPr>
          <w:rFonts w:ascii="Arial" w:hAnsi="Arial"/>
        </w:rPr>
        <w:tab/>
      </w:r>
      <w:r w:rsidRPr="00EF5ECF">
        <w:rPr>
          <w:rFonts w:ascii="Arial" w:hAnsi="Arial"/>
        </w:rPr>
        <w:tab/>
      </w:r>
      <w:r w:rsidRPr="00EF5ECF">
        <w:rPr>
          <w:rFonts w:ascii="Arial" w:hAnsi="Arial"/>
        </w:rPr>
        <w:tab/>
      </w:r>
    </w:p>
    <w:p w:rsidR="00431235" w:rsidRDefault="00431235" w:rsidP="00431235">
      <w:pPr>
        <w:ind w:left="-480" w:right="-720"/>
        <w:rPr>
          <w:rFonts w:ascii="Arial" w:hAnsi="Arial"/>
        </w:rPr>
      </w:pPr>
      <w:r w:rsidRPr="00EF5ECF">
        <w:rPr>
          <w:rFonts w:ascii="Arial" w:hAnsi="Arial"/>
        </w:rPr>
        <w:t xml:space="preserve"> Contact:</w:t>
      </w:r>
      <w:r w:rsidRPr="00EF5ECF">
        <w:rPr>
          <w:rFonts w:ascii="Arial" w:hAnsi="Arial"/>
        </w:rPr>
        <w:tab/>
      </w:r>
      <w:r>
        <w:rPr>
          <w:rFonts w:ascii="Arial" w:hAnsi="Arial"/>
        </w:rPr>
        <w:t>Jennifer Kocher, Press Secretary</w:t>
      </w:r>
    </w:p>
    <w:p w:rsidR="00431235" w:rsidRPr="00EF5ECF" w:rsidRDefault="00431235" w:rsidP="00431235">
      <w:pPr>
        <w:ind w:left="-480" w:right="-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(717) 787-5722 or </w:t>
      </w:r>
      <w:hyperlink r:id="rId5" w:history="1">
        <w:r w:rsidRPr="00A726D4">
          <w:rPr>
            <w:rStyle w:val="Hyperlink"/>
            <w:rFonts w:ascii="Arial" w:hAnsi="Arial"/>
          </w:rPr>
          <w:t>jekocher@state.pa.us</w:t>
        </w:r>
      </w:hyperlink>
      <w:r>
        <w:rPr>
          <w:rFonts w:ascii="Arial" w:hAnsi="Arial"/>
        </w:rPr>
        <w:t xml:space="preserve"> </w:t>
      </w:r>
    </w:p>
    <w:p w:rsidR="00431235" w:rsidRDefault="00431235" w:rsidP="00431235">
      <w:pPr>
        <w:ind w:left="-540" w:right="-720"/>
        <w:jc w:val="center"/>
        <w:rPr>
          <w:rFonts w:ascii="Arial" w:hAnsi="Arial"/>
          <w:b/>
        </w:rPr>
      </w:pPr>
    </w:p>
    <w:p w:rsidR="00DB7641" w:rsidRPr="00DB7641" w:rsidRDefault="00DB7641" w:rsidP="00DB7641">
      <w:pPr>
        <w:ind w:left="-900" w:right="-1080"/>
        <w:jc w:val="center"/>
        <w:rPr>
          <w:rFonts w:eastAsiaTheme="minorHAnsi"/>
          <w:color w:val="000000"/>
        </w:rPr>
      </w:pPr>
      <w:r w:rsidRPr="00DB7641">
        <w:rPr>
          <w:rFonts w:ascii="Arial" w:eastAsiaTheme="minorHAnsi" w:hAnsi="Arial"/>
          <w:b/>
          <w:color w:val="000000"/>
        </w:rPr>
        <w:t>PUC Approves Settlement to Allow PECO to Buy Solar Alternative Energy Credits</w:t>
      </w:r>
    </w:p>
    <w:p w:rsidR="00DB7641" w:rsidRPr="00DB7641" w:rsidRDefault="00DB7641" w:rsidP="00DB7641">
      <w:pPr>
        <w:spacing w:before="100" w:beforeAutospacing="1" w:after="240"/>
        <w:ind w:left="-900" w:right="-1080" w:firstLine="540"/>
        <w:rPr>
          <w:rFonts w:eastAsiaTheme="minorHAnsi"/>
          <w:color w:val="000000"/>
        </w:rPr>
      </w:pPr>
      <w:r w:rsidRPr="00DB7641">
        <w:rPr>
          <w:rFonts w:ascii="Arial" w:eastAsiaTheme="minorHAnsi" w:hAnsi="Arial"/>
          <w:b/>
          <w:color w:val="000000"/>
        </w:rPr>
        <w:tab/>
      </w:r>
      <w:r w:rsidRPr="00DB7641">
        <w:rPr>
          <w:rFonts w:ascii="Arial" w:eastAsiaTheme="minorHAnsi" w:hAnsi="Arial"/>
          <w:color w:val="000000"/>
        </w:rPr>
        <w:t>HARRISBURG – The Pennsylvania Public Utility Commission (PUC) today approved a settlement that will allow PECO Energy Co. to begin purchasing solar alternative energy credits (AECs) to satisfy future Alternative Energy Portfolio Standards Act (AEPS) requirements</w:t>
      </w:r>
      <w:r w:rsidR="00FD4218">
        <w:rPr>
          <w:rFonts w:ascii="Arial" w:eastAsiaTheme="minorHAnsi" w:hAnsi="Arial"/>
          <w:color w:val="000000"/>
        </w:rPr>
        <w:t xml:space="preserve"> pursuant to a competitive request for proposal process</w:t>
      </w:r>
      <w:r w:rsidRPr="00DB7641">
        <w:rPr>
          <w:rFonts w:ascii="Arial" w:eastAsiaTheme="minorHAnsi" w:hAnsi="Arial"/>
          <w:color w:val="000000"/>
        </w:rPr>
        <w:t>.</w:t>
      </w:r>
    </w:p>
    <w:p w:rsidR="000475BA" w:rsidRDefault="00DB7641" w:rsidP="00DB7641">
      <w:pPr>
        <w:spacing w:before="100" w:beforeAutospacing="1" w:after="240"/>
        <w:ind w:left="-900" w:right="-1080" w:firstLine="540"/>
        <w:rPr>
          <w:rFonts w:ascii="Arial" w:eastAsiaTheme="minorHAnsi" w:hAnsi="Arial"/>
          <w:color w:val="000000"/>
        </w:rPr>
      </w:pPr>
      <w:r w:rsidRPr="00DB7641">
        <w:rPr>
          <w:rFonts w:ascii="Arial" w:eastAsiaTheme="minorHAnsi" w:hAnsi="Arial"/>
          <w:color w:val="000000"/>
        </w:rPr>
        <w:t xml:space="preserve">The Commission voted </w:t>
      </w:r>
      <w:r w:rsidR="000475BA">
        <w:rPr>
          <w:rFonts w:ascii="Arial" w:eastAsiaTheme="minorHAnsi" w:hAnsi="Arial"/>
          <w:color w:val="000000"/>
        </w:rPr>
        <w:t>5-0</w:t>
      </w:r>
      <w:r w:rsidR="00C86FCF">
        <w:rPr>
          <w:rFonts w:ascii="Arial" w:eastAsiaTheme="minorHAnsi" w:hAnsi="Arial"/>
          <w:color w:val="000000"/>
        </w:rPr>
        <w:t xml:space="preserve"> to approve the settlement, </w:t>
      </w:r>
      <w:r w:rsidRPr="00DB7641">
        <w:rPr>
          <w:rFonts w:ascii="Arial" w:eastAsiaTheme="minorHAnsi" w:hAnsi="Arial"/>
          <w:color w:val="000000"/>
        </w:rPr>
        <w:t>which allow</w:t>
      </w:r>
      <w:r w:rsidR="00DD5BD5">
        <w:rPr>
          <w:rFonts w:ascii="Arial" w:eastAsiaTheme="minorHAnsi" w:hAnsi="Arial"/>
          <w:color w:val="000000"/>
        </w:rPr>
        <w:t>s</w:t>
      </w:r>
      <w:r w:rsidRPr="00DB7641">
        <w:rPr>
          <w:rFonts w:ascii="Arial" w:eastAsiaTheme="minorHAnsi" w:hAnsi="Arial"/>
          <w:color w:val="000000"/>
        </w:rPr>
        <w:t xml:space="preserve"> PECO to purchase up to 8,000 solar Tier I AECs annual</w:t>
      </w:r>
      <w:r w:rsidR="00E64F19">
        <w:rPr>
          <w:rFonts w:ascii="Arial" w:eastAsiaTheme="minorHAnsi" w:hAnsi="Arial"/>
          <w:color w:val="000000"/>
        </w:rPr>
        <w:t>ly</w:t>
      </w:r>
      <w:r w:rsidRPr="00DB7641">
        <w:rPr>
          <w:rFonts w:ascii="Arial" w:eastAsiaTheme="minorHAnsi" w:hAnsi="Arial"/>
          <w:color w:val="000000"/>
        </w:rPr>
        <w:t xml:space="preserve"> for a 10-year period to satisfy a portion of </w:t>
      </w:r>
      <w:r w:rsidR="00E64F19">
        <w:rPr>
          <w:rFonts w:ascii="Arial" w:eastAsiaTheme="minorHAnsi" w:hAnsi="Arial"/>
          <w:color w:val="000000"/>
        </w:rPr>
        <w:t>the company</w:t>
      </w:r>
      <w:r w:rsidRPr="00DB7641">
        <w:rPr>
          <w:rFonts w:ascii="Arial" w:eastAsiaTheme="minorHAnsi" w:hAnsi="Arial"/>
          <w:color w:val="000000"/>
        </w:rPr>
        <w:t xml:space="preserve">’s solar-related AEPS requirements. </w:t>
      </w:r>
      <w:r w:rsidR="000475BA">
        <w:rPr>
          <w:rFonts w:ascii="Arial" w:eastAsiaTheme="minorHAnsi" w:hAnsi="Arial"/>
          <w:color w:val="000000"/>
        </w:rPr>
        <w:t xml:space="preserve">PUC Chairman James H. Cawley issued a </w:t>
      </w:r>
      <w:hyperlink r:id="rId6" w:history="1">
        <w:r w:rsidR="000475BA" w:rsidRPr="000475BA">
          <w:rPr>
            <w:rStyle w:val="Hyperlink"/>
            <w:rFonts w:ascii="Arial" w:eastAsiaTheme="minorHAnsi" w:hAnsi="Arial"/>
          </w:rPr>
          <w:t>statement</w:t>
        </w:r>
      </w:hyperlink>
      <w:r w:rsidR="000475BA">
        <w:rPr>
          <w:rFonts w:ascii="Arial" w:eastAsiaTheme="minorHAnsi" w:hAnsi="Arial"/>
          <w:color w:val="000000"/>
        </w:rPr>
        <w:t xml:space="preserve">. Vice Chairman Tyrone J. Christy also issued a </w:t>
      </w:r>
      <w:hyperlink r:id="rId7" w:history="1">
        <w:r w:rsidR="000475BA" w:rsidRPr="000475BA">
          <w:rPr>
            <w:rStyle w:val="Hyperlink"/>
            <w:rFonts w:ascii="Arial" w:eastAsiaTheme="minorHAnsi" w:hAnsi="Arial"/>
          </w:rPr>
          <w:t>statement</w:t>
        </w:r>
      </w:hyperlink>
      <w:r w:rsidR="000475BA">
        <w:rPr>
          <w:rFonts w:ascii="Arial" w:eastAsiaTheme="minorHAnsi" w:hAnsi="Arial"/>
          <w:color w:val="000000"/>
        </w:rPr>
        <w:t>.</w:t>
      </w:r>
    </w:p>
    <w:p w:rsidR="00DB7641" w:rsidRPr="00DB7641" w:rsidRDefault="00DB7641" w:rsidP="00DB7641">
      <w:pPr>
        <w:spacing w:before="100" w:beforeAutospacing="1" w:after="240"/>
        <w:ind w:left="-900" w:right="-1080" w:firstLine="540"/>
        <w:rPr>
          <w:rFonts w:eastAsiaTheme="minorHAnsi"/>
          <w:color w:val="000000"/>
        </w:rPr>
      </w:pPr>
      <w:r w:rsidRPr="00DB7641">
        <w:rPr>
          <w:rFonts w:ascii="Arial" w:eastAsiaTheme="minorHAnsi" w:hAnsi="Arial"/>
          <w:color w:val="000000"/>
        </w:rPr>
        <w:t xml:space="preserve">The settlement addresses issues such as market benchmarking analysis; minimum bidder requirements; solar AEC price caps; minimum size of eligible solar facilities; and Commission review periods. The settlement was reached </w:t>
      </w:r>
      <w:r w:rsidR="002D79E3">
        <w:rPr>
          <w:rFonts w:ascii="Arial" w:eastAsiaTheme="minorHAnsi" w:hAnsi="Arial"/>
          <w:color w:val="000000"/>
        </w:rPr>
        <w:t>a</w:t>
      </w:r>
      <w:r w:rsidR="009162F2">
        <w:rPr>
          <w:rFonts w:ascii="Arial" w:eastAsiaTheme="minorHAnsi" w:hAnsi="Arial"/>
          <w:color w:val="000000"/>
        </w:rPr>
        <w:t>mong</w:t>
      </w:r>
      <w:r w:rsidRPr="00DB7641">
        <w:rPr>
          <w:rFonts w:ascii="Arial" w:eastAsiaTheme="minorHAnsi" w:hAnsi="Arial"/>
          <w:color w:val="000000"/>
        </w:rPr>
        <w:t xml:space="preserve"> the company and the Office of Consumer Advocate, Office of Small Business Advocate, Solar Alliance and Beacon</w:t>
      </w:r>
      <w:r w:rsidR="007B16E0">
        <w:rPr>
          <w:rFonts w:ascii="Arial" w:eastAsiaTheme="minorHAnsi" w:hAnsi="Arial"/>
          <w:color w:val="000000"/>
        </w:rPr>
        <w:t>.</w:t>
      </w:r>
    </w:p>
    <w:p w:rsidR="00DB7641" w:rsidRPr="00DB7641" w:rsidRDefault="00DB7641" w:rsidP="00DB7641">
      <w:pPr>
        <w:spacing w:before="100" w:beforeAutospacing="1" w:after="240"/>
        <w:ind w:left="-900" w:right="-1080" w:firstLine="540"/>
        <w:rPr>
          <w:rFonts w:eastAsiaTheme="minorHAnsi"/>
          <w:color w:val="000000"/>
        </w:rPr>
      </w:pPr>
      <w:r w:rsidRPr="00DB7641">
        <w:rPr>
          <w:rFonts w:ascii="Arial" w:eastAsiaTheme="minorHAnsi" w:hAnsi="Arial"/>
          <w:color w:val="000000"/>
        </w:rPr>
        <w:t xml:space="preserve">In general, AEPS requires that a certain percentage of all electric energy sold to retail customers be derived from alternative energy sources such as solar, wind, hydropower, geothermal, biomass, </w:t>
      </w:r>
      <w:r w:rsidR="00F64919">
        <w:rPr>
          <w:rFonts w:ascii="Arial" w:eastAsiaTheme="minorHAnsi" w:hAnsi="Arial"/>
          <w:color w:val="000000"/>
        </w:rPr>
        <w:t xml:space="preserve">waste coal </w:t>
      </w:r>
      <w:r w:rsidRPr="00DB7641">
        <w:rPr>
          <w:rFonts w:ascii="Arial" w:eastAsiaTheme="minorHAnsi" w:hAnsi="Arial"/>
          <w:color w:val="000000"/>
        </w:rPr>
        <w:t>and demand side management resources. The law applies to both electric distribution companies and electric generation suppliers</w:t>
      </w:r>
      <w:r w:rsidR="00FC3CF6">
        <w:rPr>
          <w:rFonts w:ascii="Arial" w:eastAsiaTheme="minorHAnsi" w:hAnsi="Arial"/>
          <w:color w:val="000000"/>
        </w:rPr>
        <w:t>,</w:t>
      </w:r>
      <w:r w:rsidRPr="00DB7641">
        <w:rPr>
          <w:rFonts w:ascii="Arial" w:eastAsiaTheme="minorHAnsi" w:hAnsi="Arial"/>
          <w:color w:val="000000"/>
        </w:rPr>
        <w:t xml:space="preserve"> who must demonstrate their compliance on an annual basis.  The level of alternative energy required gradually increases </w:t>
      </w:r>
      <w:r w:rsidR="00861BE1">
        <w:rPr>
          <w:rFonts w:ascii="Arial" w:eastAsiaTheme="minorHAnsi" w:hAnsi="Arial"/>
          <w:color w:val="000000"/>
        </w:rPr>
        <w:t xml:space="preserve">according to a 15-year schedule </w:t>
      </w:r>
      <w:r w:rsidR="009A112D">
        <w:rPr>
          <w:rFonts w:ascii="Arial" w:eastAsiaTheme="minorHAnsi" w:hAnsi="Arial"/>
          <w:color w:val="000000"/>
        </w:rPr>
        <w:t xml:space="preserve">to </w:t>
      </w:r>
      <w:r w:rsidR="00861BE1">
        <w:rPr>
          <w:rFonts w:ascii="Arial" w:eastAsiaTheme="minorHAnsi" w:hAnsi="Arial"/>
          <w:color w:val="000000"/>
        </w:rPr>
        <w:t>18 percent by 2020.</w:t>
      </w:r>
    </w:p>
    <w:p w:rsidR="00DB7641" w:rsidRPr="00DB7641" w:rsidRDefault="00DB7641" w:rsidP="00DB7641">
      <w:pPr>
        <w:spacing w:before="100" w:beforeAutospacing="1" w:after="240"/>
        <w:ind w:left="-900" w:right="-1080" w:firstLine="540"/>
        <w:rPr>
          <w:rFonts w:eastAsiaTheme="minorHAnsi"/>
          <w:color w:val="000000"/>
        </w:rPr>
      </w:pPr>
      <w:r w:rsidRPr="00DB7641">
        <w:rPr>
          <w:rFonts w:ascii="Arial" w:eastAsiaTheme="minorHAnsi" w:hAnsi="Arial"/>
          <w:color w:val="000000"/>
        </w:rPr>
        <w:t xml:space="preserve">PECO’s compliance period for AEPS begins Jan. 1, 2011, however, under the </w:t>
      </w:r>
      <w:proofErr w:type="gramStart"/>
      <w:r w:rsidRPr="00DB7641">
        <w:rPr>
          <w:rFonts w:ascii="Arial" w:eastAsiaTheme="minorHAnsi" w:hAnsi="Arial"/>
          <w:color w:val="000000"/>
        </w:rPr>
        <w:t>law,</w:t>
      </w:r>
      <w:proofErr w:type="gramEnd"/>
      <w:r w:rsidRPr="00DB7641">
        <w:rPr>
          <w:rFonts w:ascii="Arial" w:eastAsiaTheme="minorHAnsi" w:hAnsi="Arial"/>
          <w:color w:val="000000"/>
        </w:rPr>
        <w:t xml:space="preserve"> PECO may now begin acquiring alternative energy credits,</w:t>
      </w:r>
      <w:r w:rsidR="00F64919">
        <w:rPr>
          <w:rFonts w:ascii="Arial" w:eastAsiaTheme="minorHAnsi" w:hAnsi="Arial"/>
          <w:color w:val="000000"/>
        </w:rPr>
        <w:t xml:space="preserve"> and</w:t>
      </w:r>
      <w:r w:rsidRPr="00DB7641">
        <w:rPr>
          <w:rFonts w:ascii="Arial" w:eastAsiaTheme="minorHAnsi" w:hAnsi="Arial"/>
          <w:color w:val="000000"/>
        </w:rPr>
        <w:t xml:space="preserve"> “banking” those credits for use at the start of its compliance period. Banked credits may be used for up to two consecutive years.</w:t>
      </w:r>
    </w:p>
    <w:p w:rsidR="00DB7641" w:rsidRPr="00DB7641" w:rsidRDefault="00DB7641" w:rsidP="00DB7641">
      <w:pPr>
        <w:spacing w:before="100" w:beforeAutospacing="1" w:after="240"/>
        <w:ind w:left="-900" w:right="-1080" w:firstLine="540"/>
        <w:rPr>
          <w:rFonts w:eastAsiaTheme="minorHAnsi"/>
          <w:color w:val="000000"/>
        </w:rPr>
      </w:pPr>
      <w:r w:rsidRPr="00DB7641">
        <w:rPr>
          <w:rFonts w:ascii="Arial" w:eastAsiaTheme="minorHAnsi" w:hAnsi="Arial"/>
          <w:color w:val="000000"/>
        </w:rPr>
        <w:t> </w:t>
      </w:r>
      <w:r w:rsidRPr="00DB7641">
        <w:rPr>
          <w:rFonts w:ascii="Arial" w:eastAsiaTheme="minorHAnsi" w:hAnsi="Arial" w:cs="Arial"/>
          <w:color w:val="000000"/>
        </w:rPr>
        <w:t>The Pennsylvania Public Utility Commission balances the needs of consumers and utilities to ensure safe and reliable utility service at reasonable rates; protect the public interest; educate consumers to make independent and informed utility choices; further economic development; and foster new technologies and competitive markets in an environmentally sound manner.</w:t>
      </w:r>
    </w:p>
    <w:p w:rsidR="00DB7641" w:rsidRPr="00DB7641" w:rsidRDefault="00DB7641" w:rsidP="00DB7641">
      <w:pPr>
        <w:spacing w:before="100" w:beforeAutospacing="1" w:after="240"/>
        <w:ind w:left="-900" w:right="-1080" w:firstLine="540"/>
        <w:rPr>
          <w:rFonts w:eastAsiaTheme="minorHAnsi"/>
          <w:color w:val="000000"/>
        </w:rPr>
      </w:pPr>
      <w:r w:rsidRPr="00DB7641">
        <w:rPr>
          <w:rFonts w:ascii="Arial" w:eastAsiaTheme="minorHAnsi" w:hAnsi="Arial" w:cs="Arial"/>
          <w:color w:val="000000"/>
        </w:rPr>
        <w:t xml:space="preserve">For recent news releases, audio of select Commission proceedings or more information about the PUC, visit our website at </w:t>
      </w:r>
      <w:hyperlink r:id="rId8" w:history="1">
        <w:r w:rsidRPr="00DB7641">
          <w:rPr>
            <w:rFonts w:ascii="Arial" w:eastAsiaTheme="minorHAnsi" w:hAnsi="Arial" w:cs="Arial"/>
            <w:color w:val="0000FF"/>
            <w:u w:val="single"/>
          </w:rPr>
          <w:t>www.puc.state.pa.us</w:t>
        </w:r>
      </w:hyperlink>
      <w:r w:rsidRPr="00DB7641">
        <w:rPr>
          <w:rFonts w:ascii="Arial" w:eastAsiaTheme="minorHAnsi" w:hAnsi="Arial" w:cs="Arial"/>
          <w:color w:val="000000"/>
        </w:rPr>
        <w:t>.</w:t>
      </w:r>
    </w:p>
    <w:p w:rsidR="00DB7641" w:rsidRPr="00DB7641" w:rsidRDefault="00DB7641" w:rsidP="00DB7641">
      <w:pPr>
        <w:spacing w:before="100" w:beforeAutospacing="1" w:after="240"/>
        <w:ind w:left="-900" w:right="-1080" w:firstLine="540"/>
        <w:jc w:val="center"/>
        <w:rPr>
          <w:rFonts w:eastAsiaTheme="minorHAnsi"/>
          <w:color w:val="000000"/>
        </w:rPr>
      </w:pPr>
      <w:r w:rsidRPr="00DB7641">
        <w:rPr>
          <w:rFonts w:ascii="Arial" w:eastAsiaTheme="minorHAnsi" w:hAnsi="Arial"/>
          <w:color w:val="000000"/>
        </w:rPr>
        <w:t># # #</w:t>
      </w:r>
    </w:p>
    <w:p w:rsidR="00AF02D0" w:rsidRDefault="00DB7641" w:rsidP="007E7E7D">
      <w:pPr>
        <w:spacing w:before="100" w:beforeAutospacing="1" w:after="240"/>
        <w:ind w:left="-900" w:right="-1080" w:firstLine="540"/>
      </w:pPr>
      <w:r w:rsidRPr="00DB7641">
        <w:rPr>
          <w:rFonts w:ascii="Arial" w:eastAsiaTheme="minorHAnsi" w:hAnsi="Arial"/>
          <w:color w:val="000000"/>
        </w:rPr>
        <w:t>Docket No. P-2009-2094494</w:t>
      </w:r>
    </w:p>
    <w:sectPr w:rsidR="00AF02D0" w:rsidSect="00790D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1235"/>
    <w:rsid w:val="0002737F"/>
    <w:rsid w:val="000475BA"/>
    <w:rsid w:val="000576F9"/>
    <w:rsid w:val="00095E83"/>
    <w:rsid w:val="00167150"/>
    <w:rsid w:val="00171BE7"/>
    <w:rsid w:val="0019794E"/>
    <w:rsid w:val="001B0B79"/>
    <w:rsid w:val="00262D8B"/>
    <w:rsid w:val="002D79E3"/>
    <w:rsid w:val="002F6AC3"/>
    <w:rsid w:val="00301D65"/>
    <w:rsid w:val="003A2CDA"/>
    <w:rsid w:val="00431235"/>
    <w:rsid w:val="00471A12"/>
    <w:rsid w:val="00515214"/>
    <w:rsid w:val="005705EE"/>
    <w:rsid w:val="006312BB"/>
    <w:rsid w:val="00651C29"/>
    <w:rsid w:val="007167A8"/>
    <w:rsid w:val="007171C4"/>
    <w:rsid w:val="00782596"/>
    <w:rsid w:val="007B16E0"/>
    <w:rsid w:val="007E42AB"/>
    <w:rsid w:val="007E7E7D"/>
    <w:rsid w:val="008412E0"/>
    <w:rsid w:val="00841A0A"/>
    <w:rsid w:val="00861BE1"/>
    <w:rsid w:val="00890FDB"/>
    <w:rsid w:val="008D7124"/>
    <w:rsid w:val="008F16F0"/>
    <w:rsid w:val="009162F2"/>
    <w:rsid w:val="0094300F"/>
    <w:rsid w:val="00973034"/>
    <w:rsid w:val="00981740"/>
    <w:rsid w:val="009A112D"/>
    <w:rsid w:val="00A07DF9"/>
    <w:rsid w:val="00A336F0"/>
    <w:rsid w:val="00A76B19"/>
    <w:rsid w:val="00AA4CA7"/>
    <w:rsid w:val="00AE72C3"/>
    <w:rsid w:val="00BD4377"/>
    <w:rsid w:val="00C86F54"/>
    <w:rsid w:val="00C86FCF"/>
    <w:rsid w:val="00CC6098"/>
    <w:rsid w:val="00D776C8"/>
    <w:rsid w:val="00DB7641"/>
    <w:rsid w:val="00DD5BD5"/>
    <w:rsid w:val="00E64F19"/>
    <w:rsid w:val="00EA6048"/>
    <w:rsid w:val="00EE2681"/>
    <w:rsid w:val="00F42F59"/>
    <w:rsid w:val="00F64919"/>
    <w:rsid w:val="00FA345D"/>
    <w:rsid w:val="00FC3CF6"/>
    <w:rsid w:val="00FD3B3A"/>
    <w:rsid w:val="00FD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12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2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626">
      <w:bodyDiv w:val="1"/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46">
      <w:bodyDiv w:val="1"/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6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state.pa.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uc.state.pa.us/general/pdf/Comm-SM/Christy_Stmt_2094494ALJ_08270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c.state.pa.us/general/pdf/Comm-SM/Cawley_stmt_2094494ALJ_082709.pdf" TargetMode="External"/><Relationship Id="rId5" Type="http://schemas.openxmlformats.org/officeDocument/2006/relationships/hyperlink" Target="mailto:jekocher@state.pa.u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jekocher</dc:creator>
  <cp:keywords/>
  <dc:description/>
  <cp:lastModifiedBy>jekocher</cp:lastModifiedBy>
  <cp:revision>31</cp:revision>
  <cp:lastPrinted>2009-08-27T12:28:00Z</cp:lastPrinted>
  <dcterms:created xsi:type="dcterms:W3CDTF">2009-08-25T15:56:00Z</dcterms:created>
  <dcterms:modified xsi:type="dcterms:W3CDTF">2009-08-27T15:20:00Z</dcterms:modified>
</cp:coreProperties>
</file>