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896"/>
        <w:tblW w:w="10890" w:type="dxa"/>
        <w:tblLayout w:type="fixed"/>
        <w:tblLook w:val="0000"/>
      </w:tblPr>
      <w:tblGrid>
        <w:gridCol w:w="1363"/>
        <w:gridCol w:w="8075"/>
        <w:gridCol w:w="1452"/>
      </w:tblGrid>
      <w:tr w:rsidR="00CD4243" w:rsidRPr="00D8760E" w:rsidTr="00AF5262">
        <w:trPr>
          <w:trHeight w:val="990"/>
        </w:trPr>
        <w:tc>
          <w:tcPr>
            <w:tcW w:w="1363" w:type="dxa"/>
          </w:tcPr>
          <w:p w:rsidR="00CD4243" w:rsidRPr="00D8760E" w:rsidRDefault="00CD4243" w:rsidP="00AF5262">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D4243" w:rsidRPr="00D8760E" w:rsidRDefault="00CD4243" w:rsidP="00AF5262">
            <w:pPr>
              <w:tabs>
                <w:tab w:val="left" w:pos="2505"/>
              </w:tabs>
              <w:suppressAutoHyphens/>
              <w:rPr>
                <w:rFonts w:ascii="Arial" w:hAnsi="Arial"/>
                <w:color w:val="000080"/>
                <w:spacing w:val="-3"/>
                <w:sz w:val="26"/>
              </w:rPr>
            </w:pPr>
            <w:r>
              <w:rPr>
                <w:rFonts w:ascii="Arial" w:hAnsi="Arial"/>
                <w:color w:val="000080"/>
                <w:spacing w:val="-3"/>
                <w:sz w:val="26"/>
              </w:rPr>
              <w:tab/>
            </w:r>
          </w:p>
          <w:p w:rsidR="00CD4243" w:rsidRPr="00D8760E" w:rsidRDefault="00CD4243" w:rsidP="00AF5262">
            <w:pPr>
              <w:suppressAutoHyphens/>
              <w:jc w:val="center"/>
              <w:rPr>
                <w:rFonts w:ascii="Arial" w:hAnsi="Arial"/>
                <w:color w:val="000080"/>
                <w:spacing w:val="-3"/>
                <w:sz w:val="26"/>
              </w:rPr>
            </w:pPr>
            <w:smartTag w:uri="urn:schemas-microsoft-com:office:smarttags" w:element="place">
              <w:smartTag w:uri="urn:schemas-microsoft-com:office:smarttags" w:element="PlaceType">
                <w:r w:rsidRPr="00D8760E">
                  <w:rPr>
                    <w:rFonts w:ascii="Arial" w:hAnsi="Arial"/>
                    <w:color w:val="000080"/>
                    <w:spacing w:val="-3"/>
                    <w:sz w:val="26"/>
                  </w:rPr>
                  <w:t>COMMONWEALTH</w:t>
                </w:r>
              </w:smartTag>
              <w:r w:rsidRPr="00D8760E">
                <w:rPr>
                  <w:rFonts w:ascii="Arial" w:hAnsi="Arial"/>
                  <w:color w:val="000080"/>
                  <w:spacing w:val="-3"/>
                  <w:sz w:val="26"/>
                </w:rPr>
                <w:t xml:space="preserve"> OF </w:t>
              </w:r>
              <w:smartTag w:uri="urn:schemas-microsoft-com:office:smarttags" w:element="PlaceName">
                <w:r w:rsidRPr="00D8760E">
                  <w:rPr>
                    <w:rFonts w:ascii="Arial" w:hAnsi="Arial"/>
                    <w:color w:val="000080"/>
                    <w:spacing w:val="-3"/>
                    <w:sz w:val="26"/>
                  </w:rPr>
                  <w:t>PENNSYLVANIA</w:t>
                </w:r>
              </w:smartTag>
            </w:smartTag>
          </w:p>
          <w:p w:rsidR="00CD4243" w:rsidRPr="00D8760E" w:rsidRDefault="00CD4243" w:rsidP="00AF5262">
            <w:pPr>
              <w:suppressAutoHyphens/>
              <w:jc w:val="center"/>
              <w:rPr>
                <w:rFonts w:ascii="Arial" w:hAnsi="Arial"/>
                <w:color w:val="000080"/>
                <w:spacing w:val="-3"/>
                <w:sz w:val="26"/>
              </w:rPr>
            </w:pPr>
            <w:smartTag w:uri="urn:schemas-microsoft-com:office:smarttags" w:element="place">
              <w:smartTag w:uri="urn:schemas-microsoft-com:office:smarttags" w:element="State">
                <w:r w:rsidRPr="00D8760E">
                  <w:rPr>
                    <w:rFonts w:ascii="Arial" w:hAnsi="Arial"/>
                    <w:color w:val="000080"/>
                    <w:spacing w:val="-3"/>
                    <w:sz w:val="26"/>
                  </w:rPr>
                  <w:t>PENNSYLVANIA</w:t>
                </w:r>
              </w:smartTag>
            </w:smartTag>
            <w:r w:rsidRPr="00D8760E">
              <w:rPr>
                <w:rFonts w:ascii="Arial" w:hAnsi="Arial"/>
                <w:color w:val="000080"/>
                <w:spacing w:val="-3"/>
                <w:sz w:val="26"/>
              </w:rPr>
              <w:t xml:space="preserve"> PUBLIC UTILITY COMMISSION</w:t>
            </w:r>
          </w:p>
          <w:p w:rsidR="00CD4243" w:rsidRPr="00D8760E" w:rsidRDefault="00CD4243" w:rsidP="00AF5262">
            <w:pPr>
              <w:jc w:val="center"/>
              <w:rPr>
                <w:rFonts w:ascii="Arial" w:hAnsi="Arial"/>
                <w:sz w:val="12"/>
              </w:rPr>
            </w:pPr>
            <w:r w:rsidRPr="00D8760E">
              <w:rPr>
                <w:rFonts w:ascii="Arial" w:hAnsi="Arial"/>
                <w:color w:val="000080"/>
                <w:spacing w:val="-3"/>
                <w:sz w:val="26"/>
              </w:rPr>
              <w:t xml:space="preserve">P.O. </w:t>
            </w:r>
            <w:smartTag w:uri="urn:schemas-microsoft-com:office:smarttags" w:element="address">
              <w:smartTag w:uri="urn:schemas-microsoft-com:office:smarttags" w:element="Street">
                <w:r w:rsidRPr="00D8760E">
                  <w:rPr>
                    <w:rFonts w:ascii="Arial" w:hAnsi="Arial"/>
                    <w:color w:val="000080"/>
                    <w:spacing w:val="-3"/>
                    <w:sz w:val="26"/>
                  </w:rPr>
                  <w:t>BOX 3265</w:t>
                </w:r>
              </w:smartTag>
              <w:r w:rsidRPr="00D8760E">
                <w:rPr>
                  <w:rFonts w:ascii="Arial" w:hAnsi="Arial"/>
                  <w:color w:val="000080"/>
                  <w:spacing w:val="-3"/>
                  <w:sz w:val="26"/>
                </w:rPr>
                <w:t xml:space="preserve">, </w:t>
              </w:r>
              <w:smartTag w:uri="urn:schemas-microsoft-com:office:smarttags" w:element="City">
                <w:r w:rsidRPr="00D8760E">
                  <w:rPr>
                    <w:rFonts w:ascii="Arial" w:hAnsi="Arial"/>
                    <w:color w:val="000080"/>
                    <w:spacing w:val="-3"/>
                    <w:sz w:val="26"/>
                  </w:rPr>
                  <w:t>HARRISBURG</w:t>
                </w:r>
              </w:smartTag>
              <w:r w:rsidRPr="00D8760E">
                <w:rPr>
                  <w:rFonts w:ascii="Arial" w:hAnsi="Arial"/>
                  <w:color w:val="000080"/>
                  <w:spacing w:val="-3"/>
                  <w:sz w:val="26"/>
                </w:rPr>
                <w:t xml:space="preserve">, </w:t>
              </w:r>
              <w:smartTag w:uri="urn:schemas-microsoft-com:office:smarttags" w:element="State">
                <w:r w:rsidRPr="00D8760E">
                  <w:rPr>
                    <w:rFonts w:ascii="Arial" w:hAnsi="Arial"/>
                    <w:color w:val="000080"/>
                    <w:spacing w:val="-3"/>
                    <w:sz w:val="26"/>
                  </w:rPr>
                  <w:t>PA</w:t>
                </w:r>
              </w:smartTag>
              <w:r w:rsidRPr="00D8760E">
                <w:rPr>
                  <w:rFonts w:ascii="Arial" w:hAnsi="Arial"/>
                  <w:color w:val="000080"/>
                  <w:spacing w:val="-3"/>
                  <w:sz w:val="26"/>
                </w:rPr>
                <w:t xml:space="preserve"> </w:t>
              </w:r>
              <w:smartTag w:uri="urn:schemas-microsoft-com:office:smarttags" w:element="PostalCode">
                <w:r w:rsidRPr="00D8760E">
                  <w:rPr>
                    <w:rFonts w:ascii="Arial" w:hAnsi="Arial"/>
                    <w:color w:val="000080"/>
                    <w:spacing w:val="-3"/>
                    <w:sz w:val="26"/>
                  </w:rPr>
                  <w:t>17105-3265</w:t>
                </w:r>
              </w:smartTag>
            </w:smartTag>
          </w:p>
        </w:tc>
        <w:tc>
          <w:tcPr>
            <w:tcW w:w="1452" w:type="dxa"/>
          </w:tcPr>
          <w:p w:rsidR="00CD4243" w:rsidRPr="00D8760E" w:rsidRDefault="00CD4243" w:rsidP="00AF5262">
            <w:pPr>
              <w:rPr>
                <w:rFonts w:ascii="Arial" w:hAnsi="Arial"/>
                <w:sz w:val="12"/>
              </w:rPr>
            </w:pPr>
          </w:p>
          <w:p w:rsidR="00CD4243" w:rsidRPr="00D8760E" w:rsidRDefault="00CD4243" w:rsidP="00AF5262">
            <w:pPr>
              <w:rPr>
                <w:rFonts w:ascii="Arial" w:hAnsi="Arial"/>
                <w:sz w:val="12"/>
              </w:rPr>
            </w:pPr>
          </w:p>
          <w:p w:rsidR="00CD4243" w:rsidRPr="00D8760E" w:rsidRDefault="00CD4243" w:rsidP="00AF5262">
            <w:pPr>
              <w:rPr>
                <w:rFonts w:ascii="Arial" w:hAnsi="Arial"/>
                <w:sz w:val="12"/>
              </w:rPr>
            </w:pPr>
          </w:p>
          <w:p w:rsidR="00CD4243" w:rsidRPr="00D8760E" w:rsidRDefault="00CD4243" w:rsidP="00AF5262">
            <w:pPr>
              <w:rPr>
                <w:rFonts w:ascii="Arial" w:hAnsi="Arial"/>
                <w:sz w:val="12"/>
              </w:rPr>
            </w:pPr>
          </w:p>
          <w:p w:rsidR="00CD4243" w:rsidRPr="00D8760E" w:rsidRDefault="00CD4243" w:rsidP="00AF5262">
            <w:pPr>
              <w:rPr>
                <w:rFonts w:ascii="Arial" w:hAnsi="Arial"/>
                <w:sz w:val="12"/>
              </w:rPr>
            </w:pPr>
          </w:p>
          <w:p w:rsidR="00CD4243" w:rsidRPr="00D8760E" w:rsidRDefault="00CD4243" w:rsidP="00AF5262">
            <w:pPr>
              <w:rPr>
                <w:rFonts w:ascii="Arial" w:hAnsi="Arial"/>
                <w:sz w:val="12"/>
              </w:rPr>
            </w:pPr>
          </w:p>
          <w:p w:rsidR="00CD4243" w:rsidRPr="00D8760E" w:rsidRDefault="00CD4243" w:rsidP="00AF5262">
            <w:pPr>
              <w:jc w:val="right"/>
              <w:rPr>
                <w:rFonts w:ascii="Arial" w:hAnsi="Arial"/>
                <w:sz w:val="12"/>
              </w:rPr>
            </w:pPr>
            <w:r w:rsidRPr="00D8760E">
              <w:rPr>
                <w:rFonts w:ascii="Arial" w:hAnsi="Arial"/>
                <w:b/>
                <w:spacing w:val="-1"/>
                <w:sz w:val="12"/>
              </w:rPr>
              <w:t>IN REPLY PLEASE REFER TO OUR FILE</w:t>
            </w:r>
          </w:p>
        </w:tc>
      </w:tr>
    </w:tbl>
    <w:p w:rsidR="00CD4243" w:rsidRPr="00282026" w:rsidRDefault="00CD4243" w:rsidP="00CD4243">
      <w:pPr>
        <w:ind w:left="-360" w:right="-720"/>
        <w:rPr>
          <w:rFonts w:ascii="Arial" w:hAnsi="Arial" w:cs="Arial"/>
          <w:b/>
          <w:color w:val="FF0000"/>
        </w:rPr>
      </w:pPr>
      <w:r w:rsidRPr="00991C8E">
        <w:rPr>
          <w:rFonts w:ascii="Arial" w:hAnsi="Arial" w:cs="Arial"/>
          <w:b/>
          <w:u w:val="single"/>
        </w:rPr>
        <w:t>PRESS RELEASE</w:t>
      </w:r>
    </w:p>
    <w:p w:rsidR="00CD4243" w:rsidRPr="00991C8E" w:rsidRDefault="00CD4243" w:rsidP="00CD4243">
      <w:pPr>
        <w:ind w:left="-360" w:right="-720"/>
        <w:rPr>
          <w:rFonts w:ascii="Arial" w:hAnsi="Arial" w:cs="Arial"/>
        </w:rPr>
      </w:pPr>
      <w:r>
        <w:rPr>
          <w:rFonts w:ascii="Arial" w:hAnsi="Arial" w:cs="Arial"/>
        </w:rPr>
        <w:t xml:space="preserve">Date: </w:t>
      </w:r>
      <w:r>
        <w:rPr>
          <w:rFonts w:ascii="Arial" w:hAnsi="Arial" w:cs="Arial"/>
        </w:rPr>
        <w:tab/>
        <w:t>Dec. 17, 2009</w:t>
      </w:r>
      <w:r>
        <w:rPr>
          <w:rFonts w:ascii="Arial" w:hAnsi="Arial" w:cs="Arial"/>
        </w:rPr>
        <w:tab/>
      </w:r>
      <w:r>
        <w:rPr>
          <w:rFonts w:ascii="Arial" w:hAnsi="Arial" w:cs="Arial"/>
        </w:rPr>
        <w:tab/>
      </w:r>
      <w:r w:rsidRPr="00991C8E">
        <w:rPr>
          <w:rFonts w:ascii="Arial" w:hAnsi="Arial" w:cs="Arial"/>
        </w:rPr>
        <w:tab/>
      </w:r>
    </w:p>
    <w:p w:rsidR="00CD4243" w:rsidRDefault="00CD4243" w:rsidP="00CD4243">
      <w:pPr>
        <w:ind w:left="-360" w:right="-720"/>
        <w:rPr>
          <w:rFonts w:ascii="Arial" w:hAnsi="Arial" w:cs="Arial"/>
        </w:rPr>
      </w:pPr>
      <w:r w:rsidRPr="00991C8E">
        <w:rPr>
          <w:rFonts w:ascii="Arial" w:hAnsi="Arial" w:cs="Arial"/>
        </w:rPr>
        <w:t>Contact</w:t>
      </w:r>
      <w:r w:rsidRPr="00362D61">
        <w:rPr>
          <w:rFonts w:ascii="Arial" w:hAnsi="Arial" w:cs="Arial"/>
        </w:rPr>
        <w:t>:</w:t>
      </w:r>
      <w:r w:rsidRPr="00362D61">
        <w:rPr>
          <w:rFonts w:ascii="Arial" w:hAnsi="Arial" w:cs="Arial"/>
        </w:rPr>
        <w:tab/>
      </w:r>
      <w:r>
        <w:rPr>
          <w:rFonts w:ascii="Arial" w:hAnsi="Arial" w:cs="Arial"/>
        </w:rPr>
        <w:t>Jennifer Kocher, Press Secretary</w:t>
      </w:r>
    </w:p>
    <w:p w:rsidR="00CD4243" w:rsidRPr="00362D61" w:rsidRDefault="00CD4243" w:rsidP="00CD4243">
      <w:pPr>
        <w:ind w:left="-360" w:right="-720"/>
        <w:rPr>
          <w:rFonts w:ascii="Arial" w:hAnsi="Arial"/>
        </w:rPr>
      </w:pPr>
      <w:r>
        <w:rPr>
          <w:rFonts w:ascii="Arial" w:hAnsi="Arial" w:cs="Arial"/>
        </w:rPr>
        <w:tab/>
      </w:r>
      <w:r>
        <w:rPr>
          <w:rFonts w:ascii="Arial" w:hAnsi="Arial" w:cs="Arial"/>
        </w:rPr>
        <w:tab/>
        <w:t>(717)787-5722 or jekocher@state.pa.us</w:t>
      </w:r>
    </w:p>
    <w:p w:rsidR="00CD4243" w:rsidRDefault="00CD4243" w:rsidP="00CD4243">
      <w:pPr>
        <w:ind w:left="-360" w:right="-270" w:firstLine="1080"/>
        <w:jc w:val="center"/>
        <w:rPr>
          <w:rFonts w:ascii="Arial" w:hAnsi="Arial"/>
          <w:b/>
          <w:color w:val="000000"/>
        </w:rPr>
      </w:pPr>
      <w:r w:rsidRPr="00990B48">
        <w:rPr>
          <w:b/>
          <w:color w:val="000000"/>
        </w:rPr>
        <w:br/>
      </w:r>
      <w:r>
        <w:rPr>
          <w:rFonts w:ascii="Arial" w:hAnsi="Arial"/>
          <w:b/>
          <w:color w:val="000000"/>
        </w:rPr>
        <w:t xml:space="preserve">PUC </w:t>
      </w:r>
      <w:r w:rsidR="004D1578">
        <w:rPr>
          <w:rFonts w:ascii="Arial" w:hAnsi="Arial"/>
          <w:b/>
          <w:color w:val="000000"/>
        </w:rPr>
        <w:t>Sets Guidelines for</w:t>
      </w:r>
      <w:r w:rsidR="007F73A9">
        <w:rPr>
          <w:rFonts w:ascii="Arial" w:hAnsi="Arial"/>
          <w:b/>
          <w:color w:val="000000"/>
        </w:rPr>
        <w:t xml:space="preserve"> </w:t>
      </w:r>
      <w:r w:rsidR="00AA70AE">
        <w:rPr>
          <w:rFonts w:ascii="Arial" w:hAnsi="Arial"/>
          <w:b/>
          <w:color w:val="000000"/>
        </w:rPr>
        <w:t>Sma</w:t>
      </w:r>
      <w:r w:rsidR="007F73A9">
        <w:rPr>
          <w:rFonts w:ascii="Arial" w:hAnsi="Arial"/>
          <w:b/>
          <w:color w:val="000000"/>
        </w:rPr>
        <w:t>ll</w:t>
      </w:r>
      <w:r w:rsidR="00AA70AE">
        <w:rPr>
          <w:rFonts w:ascii="Arial" w:hAnsi="Arial"/>
          <w:b/>
          <w:color w:val="000000"/>
        </w:rPr>
        <w:t>er</w:t>
      </w:r>
      <w:r w:rsidR="004D0C75">
        <w:rPr>
          <w:rFonts w:ascii="Arial" w:hAnsi="Arial"/>
          <w:b/>
          <w:color w:val="000000"/>
        </w:rPr>
        <w:t xml:space="preserve"> Electric Utilities </w:t>
      </w:r>
      <w:r w:rsidR="004D1578">
        <w:rPr>
          <w:rFonts w:ascii="Arial" w:hAnsi="Arial"/>
          <w:b/>
          <w:color w:val="000000"/>
        </w:rPr>
        <w:t xml:space="preserve">Wishing </w:t>
      </w:r>
      <w:r w:rsidR="004D0C75">
        <w:rPr>
          <w:rFonts w:ascii="Arial" w:hAnsi="Arial"/>
          <w:b/>
          <w:color w:val="000000"/>
        </w:rPr>
        <w:t>to Develop Energy Efficiency, Conservation Programs</w:t>
      </w:r>
    </w:p>
    <w:p w:rsidR="00CD4243" w:rsidRDefault="00CD4243" w:rsidP="004C051B">
      <w:pPr>
        <w:spacing w:before="100" w:beforeAutospacing="1" w:after="100" w:afterAutospacing="1"/>
        <w:ind w:firstLine="720"/>
        <w:rPr>
          <w:rFonts w:ascii="Arial" w:hAnsi="Arial"/>
        </w:rPr>
      </w:pPr>
      <w:r w:rsidRPr="00990B48">
        <w:rPr>
          <w:rFonts w:ascii="Arial" w:hAnsi="Arial"/>
        </w:rPr>
        <w:t>HARRISBURG –</w:t>
      </w:r>
      <w:r>
        <w:rPr>
          <w:rFonts w:ascii="Arial" w:hAnsi="Arial"/>
        </w:rPr>
        <w:t xml:space="preserve"> The Pennsylvania Public Utility Commission (PUC) today </w:t>
      </w:r>
      <w:r w:rsidR="004D1578">
        <w:rPr>
          <w:rFonts w:ascii="Arial" w:hAnsi="Arial"/>
        </w:rPr>
        <w:t xml:space="preserve">set guidelines for </w:t>
      </w:r>
      <w:r w:rsidR="009A6D39">
        <w:rPr>
          <w:rFonts w:ascii="Arial" w:hAnsi="Arial"/>
        </w:rPr>
        <w:t xml:space="preserve">the </w:t>
      </w:r>
      <w:r w:rsidR="007F73A9">
        <w:rPr>
          <w:rFonts w:ascii="Arial" w:hAnsi="Arial"/>
        </w:rPr>
        <w:t xml:space="preserve">state’s </w:t>
      </w:r>
      <w:r w:rsidR="00AA70AE">
        <w:rPr>
          <w:rFonts w:ascii="Arial" w:hAnsi="Arial"/>
        </w:rPr>
        <w:t xml:space="preserve">smaller electric distribution companies (EDCs) </w:t>
      </w:r>
      <w:r w:rsidR="004D1578">
        <w:rPr>
          <w:rFonts w:ascii="Arial" w:hAnsi="Arial"/>
        </w:rPr>
        <w:t xml:space="preserve">wishing </w:t>
      </w:r>
      <w:r w:rsidR="00AA70AE">
        <w:rPr>
          <w:rFonts w:ascii="Arial" w:hAnsi="Arial"/>
        </w:rPr>
        <w:t xml:space="preserve">to develop energy efficiency and conservation (EE&amp;C) programs </w:t>
      </w:r>
      <w:r w:rsidR="000A7875">
        <w:rPr>
          <w:rFonts w:ascii="Arial" w:hAnsi="Arial"/>
        </w:rPr>
        <w:t xml:space="preserve">similar to those required </w:t>
      </w:r>
      <w:r w:rsidR="00275FA7">
        <w:rPr>
          <w:rFonts w:ascii="Arial" w:hAnsi="Arial"/>
        </w:rPr>
        <w:t xml:space="preserve">for the larger EDCs </w:t>
      </w:r>
      <w:r w:rsidR="000A7875">
        <w:rPr>
          <w:rFonts w:ascii="Arial" w:hAnsi="Arial"/>
        </w:rPr>
        <w:t>under Act 12</w:t>
      </w:r>
      <w:r w:rsidR="00C55DBA">
        <w:rPr>
          <w:rFonts w:ascii="Arial" w:hAnsi="Arial"/>
        </w:rPr>
        <w:t>9</w:t>
      </w:r>
      <w:r w:rsidR="000A7875">
        <w:rPr>
          <w:rFonts w:ascii="Arial" w:hAnsi="Arial"/>
        </w:rPr>
        <w:t xml:space="preserve"> of 2008</w:t>
      </w:r>
      <w:r w:rsidR="00275FA7">
        <w:rPr>
          <w:rFonts w:ascii="Arial" w:hAnsi="Arial"/>
        </w:rPr>
        <w:t>.</w:t>
      </w:r>
      <w:r w:rsidR="00CF5968">
        <w:rPr>
          <w:rFonts w:ascii="Arial" w:hAnsi="Arial"/>
        </w:rPr>
        <w:t xml:space="preserve"> </w:t>
      </w:r>
    </w:p>
    <w:p w:rsidR="00954FDE" w:rsidRDefault="00954FDE" w:rsidP="004C051B">
      <w:pPr>
        <w:spacing w:before="100" w:beforeAutospacing="1" w:after="100" w:afterAutospacing="1"/>
        <w:ind w:firstLine="720"/>
        <w:rPr>
          <w:rFonts w:ascii="Arial" w:hAnsi="Arial"/>
        </w:rPr>
      </w:pPr>
      <w:r>
        <w:rPr>
          <w:rFonts w:ascii="Arial" w:hAnsi="Arial"/>
        </w:rPr>
        <w:t xml:space="preserve">The Commission voted </w:t>
      </w:r>
      <w:r w:rsidR="00C772F7">
        <w:rPr>
          <w:rFonts w:ascii="Arial" w:hAnsi="Arial"/>
        </w:rPr>
        <w:t>5-0</w:t>
      </w:r>
      <w:r>
        <w:rPr>
          <w:rFonts w:ascii="Arial" w:hAnsi="Arial"/>
        </w:rPr>
        <w:t xml:space="preserve"> to </w:t>
      </w:r>
      <w:r w:rsidR="004D1578">
        <w:rPr>
          <w:rFonts w:ascii="Arial" w:hAnsi="Arial"/>
        </w:rPr>
        <w:t xml:space="preserve">offer </w:t>
      </w:r>
      <w:r w:rsidR="00BE2FEA">
        <w:rPr>
          <w:rFonts w:ascii="Arial" w:hAnsi="Arial"/>
        </w:rPr>
        <w:t xml:space="preserve">the </w:t>
      </w:r>
      <w:r w:rsidR="00C55DBA">
        <w:rPr>
          <w:rFonts w:ascii="Arial" w:hAnsi="Arial"/>
        </w:rPr>
        <w:t xml:space="preserve">state’s </w:t>
      </w:r>
      <w:r w:rsidR="00BE2FEA">
        <w:rPr>
          <w:rFonts w:ascii="Arial" w:hAnsi="Arial"/>
        </w:rPr>
        <w:t xml:space="preserve">smaller EDCs </w:t>
      </w:r>
      <w:r w:rsidR="004D1578">
        <w:rPr>
          <w:rFonts w:ascii="Arial" w:hAnsi="Arial"/>
        </w:rPr>
        <w:t xml:space="preserve">guidance on filing </w:t>
      </w:r>
      <w:r w:rsidR="00BE2FEA">
        <w:rPr>
          <w:rFonts w:ascii="Arial" w:hAnsi="Arial"/>
        </w:rPr>
        <w:t xml:space="preserve">plans. </w:t>
      </w:r>
      <w:r w:rsidR="001863BC">
        <w:rPr>
          <w:rFonts w:ascii="Arial" w:hAnsi="Arial"/>
        </w:rPr>
        <w:t>The companies include: Citizens’ Electric Co.; Pike County Light &amp; Power Co.; UGI Utilities Inc. – Electric; and Wellsboro Electric Co.</w:t>
      </w:r>
      <w:r w:rsidR="00BE5D4E">
        <w:rPr>
          <w:rFonts w:ascii="Arial" w:hAnsi="Arial"/>
        </w:rPr>
        <w:t xml:space="preserve"> </w:t>
      </w:r>
    </w:p>
    <w:p w:rsidR="00373800" w:rsidRDefault="00BE2FEA" w:rsidP="00373800">
      <w:pPr>
        <w:spacing w:before="100" w:beforeAutospacing="1" w:after="100" w:afterAutospacing="1"/>
        <w:ind w:firstLine="720"/>
        <w:rPr>
          <w:rFonts w:ascii="Arial" w:hAnsi="Arial"/>
        </w:rPr>
      </w:pPr>
      <w:r>
        <w:rPr>
          <w:rFonts w:ascii="Arial" w:hAnsi="Arial"/>
        </w:rPr>
        <w:t>The Commission asked that each of the plans include:</w:t>
      </w:r>
    </w:p>
    <w:p w:rsidR="00373800" w:rsidRPr="00373800" w:rsidRDefault="00373800" w:rsidP="00373800">
      <w:pPr>
        <w:pStyle w:val="ListParagraph"/>
        <w:numPr>
          <w:ilvl w:val="0"/>
          <w:numId w:val="1"/>
        </w:numPr>
        <w:spacing w:before="100" w:beforeAutospacing="1" w:after="100" w:afterAutospacing="1"/>
        <w:rPr>
          <w:rFonts w:ascii="Arial" w:hAnsi="Arial"/>
        </w:rPr>
      </w:pPr>
      <w:r w:rsidRPr="00373800">
        <w:rPr>
          <w:rFonts w:ascii="Arial" w:hAnsi="Arial"/>
        </w:rPr>
        <w:t xml:space="preserve">A detailed plan with a description of EE&amp;C measures to be offered; </w:t>
      </w:r>
    </w:p>
    <w:p w:rsidR="00373800" w:rsidRPr="00373800" w:rsidRDefault="00373800" w:rsidP="00373800">
      <w:pPr>
        <w:pStyle w:val="ListParagraph"/>
        <w:numPr>
          <w:ilvl w:val="0"/>
          <w:numId w:val="1"/>
        </w:numPr>
        <w:spacing w:before="100" w:beforeAutospacing="1" w:after="100" w:afterAutospacing="1"/>
        <w:rPr>
          <w:rFonts w:ascii="Arial" w:hAnsi="Arial"/>
        </w:rPr>
      </w:pPr>
      <w:r w:rsidRPr="00373800">
        <w:rPr>
          <w:rFonts w:ascii="Arial" w:hAnsi="Arial"/>
        </w:rPr>
        <w:t>Sufficient supporting documentation and verified statements or testimony or both;</w:t>
      </w:r>
    </w:p>
    <w:p w:rsidR="00373800" w:rsidRPr="00373800" w:rsidRDefault="00373800" w:rsidP="00373800">
      <w:pPr>
        <w:pStyle w:val="ListParagraph"/>
        <w:numPr>
          <w:ilvl w:val="0"/>
          <w:numId w:val="1"/>
        </w:numPr>
        <w:spacing w:before="100" w:beforeAutospacing="1" w:after="100" w:afterAutospacing="1"/>
        <w:rPr>
          <w:rFonts w:ascii="Arial" w:hAnsi="Arial"/>
        </w:rPr>
      </w:pPr>
      <w:r w:rsidRPr="00373800">
        <w:rPr>
          <w:rFonts w:ascii="Arial" w:hAnsi="Arial"/>
        </w:rPr>
        <w:t>Proposed energy consumption or peak demand reduction objectives or both, with proposed dates the objectives are to be met;</w:t>
      </w:r>
    </w:p>
    <w:p w:rsidR="00373800" w:rsidRPr="00373800" w:rsidRDefault="00373800" w:rsidP="00373800">
      <w:pPr>
        <w:pStyle w:val="ListParagraph"/>
        <w:numPr>
          <w:ilvl w:val="0"/>
          <w:numId w:val="1"/>
        </w:numPr>
        <w:spacing w:before="100" w:beforeAutospacing="1" w:after="100" w:afterAutospacing="1"/>
        <w:rPr>
          <w:rFonts w:ascii="Arial" w:hAnsi="Arial"/>
        </w:rPr>
      </w:pPr>
      <w:r w:rsidRPr="00373800">
        <w:rPr>
          <w:rFonts w:ascii="Arial" w:hAnsi="Arial"/>
        </w:rPr>
        <w:t>A budget showing total planned expenditures by program and customer class;</w:t>
      </w:r>
    </w:p>
    <w:p w:rsidR="00373800" w:rsidRPr="00373800" w:rsidRDefault="00373800" w:rsidP="00373800">
      <w:pPr>
        <w:pStyle w:val="ListParagraph"/>
        <w:numPr>
          <w:ilvl w:val="0"/>
          <w:numId w:val="1"/>
        </w:numPr>
        <w:spacing w:before="100" w:beforeAutospacing="1" w:after="100" w:afterAutospacing="1"/>
        <w:rPr>
          <w:rFonts w:ascii="Arial" w:hAnsi="Arial"/>
        </w:rPr>
      </w:pPr>
      <w:r w:rsidRPr="00373800">
        <w:rPr>
          <w:rFonts w:ascii="Arial" w:hAnsi="Arial"/>
        </w:rPr>
        <w:t xml:space="preserve">Tariffs and a section 1307 cost recovery mechanism; and </w:t>
      </w:r>
    </w:p>
    <w:p w:rsidR="009A6D39" w:rsidRPr="00373800" w:rsidRDefault="00373800" w:rsidP="00373800">
      <w:pPr>
        <w:pStyle w:val="ListParagraph"/>
        <w:numPr>
          <w:ilvl w:val="0"/>
          <w:numId w:val="1"/>
        </w:numPr>
        <w:spacing w:before="100" w:beforeAutospacing="1" w:after="100" w:afterAutospacing="1"/>
        <w:rPr>
          <w:rFonts w:ascii="Arial" w:hAnsi="Arial"/>
        </w:rPr>
      </w:pPr>
      <w:r w:rsidRPr="00373800">
        <w:rPr>
          <w:rFonts w:ascii="Arial" w:hAnsi="Arial"/>
        </w:rPr>
        <w:t xml:space="preserve">A description of the method for monitoring and verifying plan results.  </w:t>
      </w:r>
    </w:p>
    <w:p w:rsidR="006A39A2" w:rsidRDefault="006A39A2" w:rsidP="004C051B">
      <w:pPr>
        <w:spacing w:before="100" w:beforeAutospacing="1" w:after="100" w:afterAutospacing="1"/>
        <w:ind w:firstLine="720"/>
        <w:rPr>
          <w:rFonts w:ascii="Arial" w:hAnsi="Arial"/>
        </w:rPr>
      </w:pPr>
      <w:r w:rsidRPr="006A39A2">
        <w:rPr>
          <w:rFonts w:ascii="Arial" w:hAnsi="Arial"/>
        </w:rPr>
        <w:t xml:space="preserve">In </w:t>
      </w:r>
      <w:r>
        <w:rPr>
          <w:rFonts w:ascii="Arial" w:hAnsi="Arial"/>
        </w:rPr>
        <w:t>outlining</w:t>
      </w:r>
      <w:r w:rsidRPr="006A39A2">
        <w:rPr>
          <w:rFonts w:ascii="Arial" w:hAnsi="Arial"/>
        </w:rPr>
        <w:t xml:space="preserve"> the </w:t>
      </w:r>
      <w:r>
        <w:rPr>
          <w:rFonts w:ascii="Arial" w:hAnsi="Arial"/>
        </w:rPr>
        <w:t xml:space="preserve">suggested guidelines for the voluntary </w:t>
      </w:r>
      <w:r w:rsidRPr="006A39A2">
        <w:rPr>
          <w:rFonts w:ascii="Arial" w:hAnsi="Arial"/>
        </w:rPr>
        <w:t>EE&amp;C program</w:t>
      </w:r>
      <w:r>
        <w:rPr>
          <w:rFonts w:ascii="Arial" w:hAnsi="Arial"/>
        </w:rPr>
        <w:t>s</w:t>
      </w:r>
      <w:r w:rsidRPr="006A39A2">
        <w:rPr>
          <w:rFonts w:ascii="Arial" w:hAnsi="Arial"/>
        </w:rPr>
        <w:t xml:space="preserve">, the Commission recognized a “one-size-fits-all” approach would not work. The PUC’s program </w:t>
      </w:r>
      <w:r w:rsidR="0095226C">
        <w:rPr>
          <w:rFonts w:ascii="Arial" w:hAnsi="Arial"/>
        </w:rPr>
        <w:t>guidelines</w:t>
      </w:r>
      <w:r w:rsidRPr="006A39A2">
        <w:rPr>
          <w:rFonts w:ascii="Arial" w:hAnsi="Arial"/>
        </w:rPr>
        <w:t xml:space="preserve"> provide each EDC with the ability to tailor its </w:t>
      </w:r>
      <w:r w:rsidR="00AE7F5F">
        <w:rPr>
          <w:rFonts w:ascii="Arial" w:hAnsi="Arial"/>
        </w:rPr>
        <w:t>EE&amp;C</w:t>
      </w:r>
      <w:r w:rsidRPr="006A39A2">
        <w:rPr>
          <w:rFonts w:ascii="Arial" w:hAnsi="Arial"/>
        </w:rPr>
        <w:t xml:space="preserve"> plan to its service territory and consumers.  </w:t>
      </w:r>
      <w:r w:rsidR="000E0857">
        <w:rPr>
          <w:rFonts w:ascii="Arial" w:hAnsi="Arial"/>
        </w:rPr>
        <w:t>While the Commission did not establish mandatory energy reduction targets as found in Act 129, it</w:t>
      </w:r>
      <w:r w:rsidR="000E0857" w:rsidRPr="006A39A2">
        <w:rPr>
          <w:rFonts w:ascii="Arial" w:hAnsi="Arial"/>
        </w:rPr>
        <w:t xml:space="preserve"> </w:t>
      </w:r>
      <w:r w:rsidRPr="006A39A2">
        <w:rPr>
          <w:rFonts w:ascii="Arial" w:hAnsi="Arial"/>
        </w:rPr>
        <w:t>will monitor the EDC plan implementation to ensure the programs are cost-effective and achieving the intended results.</w:t>
      </w:r>
      <w:r w:rsidR="00B215A4">
        <w:rPr>
          <w:rFonts w:ascii="Arial" w:hAnsi="Arial"/>
        </w:rPr>
        <w:t xml:space="preserve"> </w:t>
      </w:r>
    </w:p>
    <w:p w:rsidR="001863BC" w:rsidRPr="001863BC" w:rsidRDefault="001863BC" w:rsidP="001863BC">
      <w:pPr>
        <w:spacing w:before="100" w:beforeAutospacing="1" w:after="100" w:afterAutospacing="1"/>
        <w:ind w:firstLine="720"/>
        <w:rPr>
          <w:rFonts w:ascii="Arial" w:hAnsi="Arial"/>
        </w:rPr>
      </w:pPr>
      <w:r w:rsidRPr="001863BC">
        <w:rPr>
          <w:rFonts w:ascii="Arial" w:hAnsi="Arial"/>
        </w:rPr>
        <w:t>Act 129 expanded the PUC’s oversight responsibilities and imposed new requirements with the overall goal of reducing electricity consumption and demand. It added several new sections to and amended several existing sections of the Public Utility Code.  The Commission is implementing the Act in phases that address EDC responsibilities to implement energy efficiency and conservation programs; smart meter technology; time-of-use rates; real-time pricing plans; default service procurement; market misconduct; alternative energy sources; and cost recovery.</w:t>
      </w:r>
    </w:p>
    <w:p w:rsidR="001863BC" w:rsidRPr="001863BC" w:rsidRDefault="001863BC" w:rsidP="001863BC">
      <w:pPr>
        <w:spacing w:before="100" w:beforeAutospacing="1" w:after="100" w:afterAutospacing="1"/>
        <w:ind w:firstLine="720"/>
        <w:rPr>
          <w:rFonts w:ascii="Arial" w:hAnsi="Arial"/>
        </w:rPr>
      </w:pPr>
      <w:r w:rsidRPr="001863BC">
        <w:rPr>
          <w:rFonts w:ascii="Arial" w:hAnsi="Arial"/>
        </w:rPr>
        <w:lastRenderedPageBreak/>
        <w:t>Under Act 129, the seven largest Pennsylvania EDCs</w:t>
      </w:r>
      <w:r w:rsidR="002C5A87">
        <w:rPr>
          <w:rFonts w:ascii="Arial" w:hAnsi="Arial"/>
        </w:rPr>
        <w:t xml:space="preserve"> – </w:t>
      </w:r>
      <w:r w:rsidR="002C5A87" w:rsidRPr="001863BC">
        <w:rPr>
          <w:rFonts w:ascii="Arial" w:hAnsi="Arial"/>
        </w:rPr>
        <w:t xml:space="preserve">Allegheny Power Co.; Duquesne Light Co.; Metropolitan Edison Co.; PECO Energy Co.; Pennsylvania Electric Co.; Pennsylvania Power Co. and PPL Electric Utilities Corp. – </w:t>
      </w:r>
      <w:r w:rsidRPr="001863BC">
        <w:rPr>
          <w:rFonts w:ascii="Arial" w:hAnsi="Arial"/>
        </w:rPr>
        <w:t xml:space="preserve">were required to file plans detailing how they intend to achieve consumption and peak demand reductions.  </w:t>
      </w:r>
      <w:r w:rsidR="002C5A87">
        <w:rPr>
          <w:rFonts w:ascii="Arial" w:hAnsi="Arial"/>
        </w:rPr>
        <w:t xml:space="preserve">Adopted in October 2009, </w:t>
      </w:r>
      <w:r w:rsidR="00905E1B">
        <w:rPr>
          <w:rFonts w:ascii="Arial" w:hAnsi="Arial"/>
        </w:rPr>
        <w:t>t</w:t>
      </w:r>
      <w:r w:rsidRPr="001863BC">
        <w:rPr>
          <w:rFonts w:ascii="Arial" w:hAnsi="Arial"/>
        </w:rPr>
        <w:t xml:space="preserve">he EE&amp;C plans </w:t>
      </w:r>
      <w:r w:rsidR="002C5A87">
        <w:rPr>
          <w:rFonts w:ascii="Arial" w:hAnsi="Arial"/>
        </w:rPr>
        <w:t>are</w:t>
      </w:r>
      <w:r w:rsidRPr="001863BC">
        <w:rPr>
          <w:rFonts w:ascii="Arial" w:hAnsi="Arial"/>
        </w:rPr>
        <w:t xml:space="preserve"> designed to help the EDCs meet established electricity consumption reduction </w:t>
      </w:r>
      <w:hyperlink r:id="rId8" w:history="1">
        <w:r w:rsidRPr="001863BC">
          <w:rPr>
            <w:rStyle w:val="Hyperlink"/>
            <w:rFonts w:ascii="Arial" w:hAnsi="Arial"/>
          </w:rPr>
          <w:t>targets</w:t>
        </w:r>
      </w:hyperlink>
      <w:r w:rsidRPr="001863BC">
        <w:rPr>
          <w:rFonts w:ascii="Arial" w:hAnsi="Arial"/>
        </w:rPr>
        <w:t xml:space="preserve"> of 1 percent by May 31, 2011, and 3 percent by May 31, 2013. The EDCs also are required to meet a 4.5 percent reduction in peak demand by May 31, 2013. Peak demand is defined as the systems top 100 hours of highest demand.</w:t>
      </w:r>
    </w:p>
    <w:p w:rsidR="00CD4243" w:rsidRPr="00990B48" w:rsidRDefault="00CD4243" w:rsidP="00CD4243">
      <w:pPr>
        <w:spacing w:before="100" w:beforeAutospacing="1" w:after="100" w:afterAutospacing="1"/>
        <w:ind w:firstLine="720"/>
        <w:rPr>
          <w:rFonts w:ascii="Arial" w:hAnsi="Arial"/>
        </w:rPr>
      </w:pPr>
      <w:r w:rsidRPr="00990B48">
        <w:rPr>
          <w:rFonts w:ascii="Arial" w:hAnsi="Arial"/>
        </w:rPr>
        <w:t>The Pennsylvania Public Utility Commission balances the needs of consumers and utilities to ensure safe and reliable utility service at reasonable rates; protect the public interest; educate consumers to make independent and informed utility choices; further economic development; and foster new technologies and competitive markets in an environmentally sound manner.</w:t>
      </w:r>
    </w:p>
    <w:p w:rsidR="00CD4243" w:rsidRPr="00990B48" w:rsidRDefault="00CD4243" w:rsidP="00CD4243">
      <w:pPr>
        <w:spacing w:before="100" w:beforeAutospacing="1" w:after="100" w:afterAutospacing="1"/>
        <w:ind w:firstLine="720"/>
        <w:rPr>
          <w:rFonts w:ascii="Arial" w:hAnsi="Arial"/>
        </w:rPr>
      </w:pPr>
      <w:r w:rsidRPr="00990B48">
        <w:rPr>
          <w:rFonts w:ascii="Arial" w:hAnsi="Arial"/>
        </w:rPr>
        <w:t>For recent news releases, audio of select Commission proceedings or more inform</w:t>
      </w:r>
      <w:r>
        <w:rPr>
          <w:rFonts w:ascii="Arial" w:hAnsi="Arial"/>
        </w:rPr>
        <w:t>ation about the PUC, visit our web</w:t>
      </w:r>
      <w:r w:rsidRPr="00990B48">
        <w:rPr>
          <w:rFonts w:ascii="Arial" w:hAnsi="Arial"/>
        </w:rPr>
        <w:t xml:space="preserve">site at </w:t>
      </w:r>
      <w:hyperlink r:id="rId9" w:history="1">
        <w:r w:rsidRPr="00990B48">
          <w:rPr>
            <w:rFonts w:ascii="Arial" w:hAnsi="Arial"/>
            <w:color w:val="0000FF"/>
            <w:u w:val="single"/>
          </w:rPr>
          <w:t>www.puc.state.pa.us</w:t>
        </w:r>
      </w:hyperlink>
      <w:r w:rsidRPr="00990B48">
        <w:rPr>
          <w:rFonts w:ascii="Arial" w:hAnsi="Arial"/>
        </w:rPr>
        <w:t>.</w:t>
      </w:r>
    </w:p>
    <w:p w:rsidR="00CD4243" w:rsidRPr="00990B48" w:rsidRDefault="00CD4243" w:rsidP="00CD4243">
      <w:pPr>
        <w:spacing w:before="100" w:beforeAutospacing="1" w:after="100" w:afterAutospacing="1"/>
        <w:jc w:val="center"/>
        <w:rPr>
          <w:rFonts w:ascii="Arial" w:hAnsi="Arial"/>
        </w:rPr>
      </w:pPr>
      <w:r w:rsidRPr="00990B48">
        <w:rPr>
          <w:rFonts w:ascii="Arial" w:hAnsi="Arial"/>
        </w:rPr>
        <w:t># # #</w:t>
      </w:r>
    </w:p>
    <w:p w:rsidR="00CD4243" w:rsidRDefault="00CD4243" w:rsidP="00CD4243">
      <w:pPr>
        <w:spacing w:before="100" w:beforeAutospacing="1" w:after="100" w:afterAutospacing="1"/>
      </w:pPr>
      <w:r w:rsidRPr="00990B48">
        <w:rPr>
          <w:rFonts w:ascii="Arial" w:hAnsi="Arial"/>
        </w:rPr>
        <w:t>Docket N</w:t>
      </w:r>
      <w:r>
        <w:rPr>
          <w:rFonts w:ascii="Arial" w:hAnsi="Arial"/>
        </w:rPr>
        <w:t xml:space="preserve">o. </w:t>
      </w:r>
      <w:r w:rsidR="000650FD">
        <w:rPr>
          <w:rFonts w:ascii="Arial" w:hAnsi="Arial"/>
        </w:rPr>
        <w:t>M</w:t>
      </w:r>
      <w:r w:rsidRPr="00A70A51">
        <w:rPr>
          <w:rFonts w:ascii="Arial" w:hAnsi="Arial"/>
          <w:bCs/>
        </w:rPr>
        <w:t>-2009-</w:t>
      </w:r>
      <w:r>
        <w:rPr>
          <w:rFonts w:ascii="Arial" w:hAnsi="Arial"/>
          <w:bCs/>
        </w:rPr>
        <w:t>21</w:t>
      </w:r>
      <w:r w:rsidR="000650FD">
        <w:rPr>
          <w:rFonts w:ascii="Arial" w:hAnsi="Arial"/>
          <w:bCs/>
        </w:rPr>
        <w:t>42851</w:t>
      </w:r>
    </w:p>
    <w:p w:rsidR="00CD4243" w:rsidRDefault="00CD4243" w:rsidP="00CD4243"/>
    <w:p w:rsidR="00AF02D0" w:rsidRDefault="00702A60"/>
    <w:sectPr w:rsidR="00AF02D0" w:rsidSect="00C33479">
      <w:footerReference w:type="default" r:id="rId10"/>
      <w:footerReference w:type="first" r:id="rId11"/>
      <w:pgSz w:w="12240" w:h="15840"/>
      <w:pgMar w:top="1440" w:right="1440" w:bottom="117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A60" w:rsidRDefault="00702A60" w:rsidP="00A96E93">
      <w:r>
        <w:separator/>
      </w:r>
    </w:p>
  </w:endnote>
  <w:endnote w:type="continuationSeparator" w:id="0">
    <w:p w:rsidR="00702A60" w:rsidRDefault="00702A60" w:rsidP="00A96E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479" w:rsidRDefault="00702A60">
    <w:pPr>
      <w:pStyle w:val="Footer"/>
    </w:pPr>
  </w:p>
  <w:p w:rsidR="00C33479" w:rsidRDefault="00702A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479" w:rsidRPr="00C33479" w:rsidRDefault="000E6EAA" w:rsidP="00C33479">
    <w:pPr>
      <w:pStyle w:val="Footer"/>
      <w:jc w:val="center"/>
      <w:rPr>
        <w:rFonts w:ascii="Arial" w:hAnsi="Arial" w:cs="Arial"/>
        <w:sz w:val="20"/>
        <w:szCs w:val="20"/>
      </w:rPr>
    </w:pPr>
    <w:r w:rsidRPr="00C33479">
      <w:rPr>
        <w:rFonts w:ascii="Arial" w:hAnsi="Arial" w:cs="Arial"/>
        <w:sz w:val="20"/>
        <w:szCs w:val="20"/>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A60" w:rsidRDefault="00702A60" w:rsidP="00A96E93">
      <w:r>
        <w:separator/>
      </w:r>
    </w:p>
  </w:footnote>
  <w:footnote w:type="continuationSeparator" w:id="0">
    <w:p w:rsidR="00702A60" w:rsidRDefault="00702A60" w:rsidP="00A96E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FB14B3"/>
    <w:multiLevelType w:val="hybridMultilevel"/>
    <w:tmpl w:val="B344DE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D4243"/>
    <w:rsid w:val="000576F9"/>
    <w:rsid w:val="00061110"/>
    <w:rsid w:val="00063CE9"/>
    <w:rsid w:val="000650FD"/>
    <w:rsid w:val="00095E83"/>
    <w:rsid w:val="000A7875"/>
    <w:rsid w:val="000B1E4A"/>
    <w:rsid w:val="000E0857"/>
    <w:rsid w:val="000E6EAA"/>
    <w:rsid w:val="001260DD"/>
    <w:rsid w:val="001863BC"/>
    <w:rsid w:val="0019794E"/>
    <w:rsid w:val="001B0B79"/>
    <w:rsid w:val="001C5B6B"/>
    <w:rsid w:val="00275FA7"/>
    <w:rsid w:val="002C5A87"/>
    <w:rsid w:val="00301D65"/>
    <w:rsid w:val="0030676E"/>
    <w:rsid w:val="00373800"/>
    <w:rsid w:val="00382019"/>
    <w:rsid w:val="00420945"/>
    <w:rsid w:val="004C051B"/>
    <w:rsid w:val="004C37DB"/>
    <w:rsid w:val="004D0C75"/>
    <w:rsid w:val="004D1578"/>
    <w:rsid w:val="00515214"/>
    <w:rsid w:val="005442EB"/>
    <w:rsid w:val="005571C8"/>
    <w:rsid w:val="005705EE"/>
    <w:rsid w:val="005C1DC5"/>
    <w:rsid w:val="005D4DE5"/>
    <w:rsid w:val="006312BB"/>
    <w:rsid w:val="00651C29"/>
    <w:rsid w:val="0067048D"/>
    <w:rsid w:val="006A39A2"/>
    <w:rsid w:val="00702A60"/>
    <w:rsid w:val="007171C4"/>
    <w:rsid w:val="00767B4A"/>
    <w:rsid w:val="00774798"/>
    <w:rsid w:val="007A0297"/>
    <w:rsid w:val="007F73A9"/>
    <w:rsid w:val="008326F5"/>
    <w:rsid w:val="00841A0A"/>
    <w:rsid w:val="00877EE9"/>
    <w:rsid w:val="008B6E12"/>
    <w:rsid w:val="00905E1B"/>
    <w:rsid w:val="0094300F"/>
    <w:rsid w:val="0095226C"/>
    <w:rsid w:val="00954FDE"/>
    <w:rsid w:val="00973034"/>
    <w:rsid w:val="009A6D39"/>
    <w:rsid w:val="009B4923"/>
    <w:rsid w:val="00A96E93"/>
    <w:rsid w:val="00AA70AE"/>
    <w:rsid w:val="00AE7F5F"/>
    <w:rsid w:val="00B215A4"/>
    <w:rsid w:val="00B359FC"/>
    <w:rsid w:val="00BC5BDE"/>
    <w:rsid w:val="00BD4377"/>
    <w:rsid w:val="00BE2FEA"/>
    <w:rsid w:val="00BE5D4E"/>
    <w:rsid w:val="00C54F3B"/>
    <w:rsid w:val="00C55DBA"/>
    <w:rsid w:val="00C76A74"/>
    <w:rsid w:val="00C772F7"/>
    <w:rsid w:val="00C86F54"/>
    <w:rsid w:val="00C91687"/>
    <w:rsid w:val="00C94CD5"/>
    <w:rsid w:val="00C97315"/>
    <w:rsid w:val="00CC6098"/>
    <w:rsid w:val="00CD4243"/>
    <w:rsid w:val="00CF5968"/>
    <w:rsid w:val="00DA5642"/>
    <w:rsid w:val="00DE306C"/>
    <w:rsid w:val="00E2313B"/>
    <w:rsid w:val="00E4254A"/>
    <w:rsid w:val="00E70E6F"/>
    <w:rsid w:val="00EA6048"/>
    <w:rsid w:val="00EE2681"/>
    <w:rsid w:val="00EF43E1"/>
    <w:rsid w:val="00F111D1"/>
    <w:rsid w:val="00F13D16"/>
    <w:rsid w:val="00F307E7"/>
    <w:rsid w:val="00F73C5A"/>
    <w:rsid w:val="00FA345D"/>
    <w:rsid w:val="00FD3B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2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4243"/>
    <w:rPr>
      <w:color w:val="0000FF" w:themeColor="hyperlink"/>
      <w:u w:val="single"/>
    </w:rPr>
  </w:style>
  <w:style w:type="paragraph" w:styleId="Footer">
    <w:name w:val="footer"/>
    <w:basedOn w:val="Normal"/>
    <w:link w:val="FooterChar"/>
    <w:uiPriority w:val="99"/>
    <w:unhideWhenUsed/>
    <w:rsid w:val="00CD4243"/>
    <w:pPr>
      <w:tabs>
        <w:tab w:val="center" w:pos="4680"/>
        <w:tab w:val="right" w:pos="9360"/>
      </w:tabs>
    </w:pPr>
  </w:style>
  <w:style w:type="character" w:customStyle="1" w:styleId="FooterChar">
    <w:name w:val="Footer Char"/>
    <w:basedOn w:val="DefaultParagraphFont"/>
    <w:link w:val="Footer"/>
    <w:uiPriority w:val="99"/>
    <w:rsid w:val="00CD424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4243"/>
    <w:rPr>
      <w:rFonts w:ascii="Tahoma" w:hAnsi="Tahoma" w:cs="Tahoma"/>
      <w:sz w:val="16"/>
      <w:szCs w:val="16"/>
    </w:rPr>
  </w:style>
  <w:style w:type="character" w:customStyle="1" w:styleId="BalloonTextChar">
    <w:name w:val="Balloon Text Char"/>
    <w:basedOn w:val="DefaultParagraphFont"/>
    <w:link w:val="BalloonText"/>
    <w:uiPriority w:val="99"/>
    <w:semiHidden/>
    <w:rsid w:val="00CD4243"/>
    <w:rPr>
      <w:rFonts w:ascii="Tahoma" w:eastAsia="Times New Roman" w:hAnsi="Tahoma" w:cs="Tahoma"/>
      <w:sz w:val="16"/>
      <w:szCs w:val="16"/>
    </w:rPr>
  </w:style>
  <w:style w:type="paragraph" w:styleId="ListParagraph">
    <w:name w:val="List Paragraph"/>
    <w:basedOn w:val="Normal"/>
    <w:uiPriority w:val="34"/>
    <w:qFormat/>
    <w:rsid w:val="00373800"/>
    <w:pPr>
      <w:ind w:left="720"/>
      <w:contextualSpacing/>
    </w:pPr>
  </w:style>
</w:styles>
</file>

<file path=word/webSettings.xml><?xml version="1.0" encoding="utf-8"?>
<w:webSettings xmlns:r="http://schemas.openxmlformats.org/officeDocument/2006/relationships" xmlns:w="http://schemas.openxmlformats.org/wordprocessingml/2006/main">
  <w:divs>
    <w:div w:id="586839810">
      <w:bodyDiv w:val="1"/>
      <w:marLeft w:val="15"/>
      <w:marRight w:val="0"/>
      <w:marTop w:val="15"/>
      <w:marBottom w:val="0"/>
      <w:divBdr>
        <w:top w:val="none" w:sz="0" w:space="0" w:color="auto"/>
        <w:left w:val="none" w:sz="0" w:space="0" w:color="auto"/>
        <w:bottom w:val="none" w:sz="0" w:space="0" w:color="auto"/>
        <w:right w:val="none" w:sz="0" w:space="0" w:color="auto"/>
      </w:divBdr>
      <w:divsChild>
        <w:div w:id="1286931187">
          <w:marLeft w:val="0"/>
          <w:marRight w:val="0"/>
          <w:marTop w:val="0"/>
          <w:marBottom w:val="0"/>
          <w:divBdr>
            <w:top w:val="none" w:sz="0" w:space="0" w:color="auto"/>
            <w:left w:val="none" w:sz="0" w:space="0" w:color="auto"/>
            <w:bottom w:val="none" w:sz="0" w:space="0" w:color="auto"/>
            <w:right w:val="none" w:sz="0" w:space="0" w:color="auto"/>
          </w:divBdr>
          <w:divsChild>
            <w:div w:id="142726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85221">
      <w:bodyDiv w:val="1"/>
      <w:marLeft w:val="15"/>
      <w:marRight w:val="0"/>
      <w:marTop w:val="15"/>
      <w:marBottom w:val="0"/>
      <w:divBdr>
        <w:top w:val="none" w:sz="0" w:space="0" w:color="auto"/>
        <w:left w:val="none" w:sz="0" w:space="0" w:color="auto"/>
        <w:bottom w:val="none" w:sz="0" w:space="0" w:color="auto"/>
        <w:right w:val="none" w:sz="0" w:space="0" w:color="auto"/>
      </w:divBdr>
      <w:divsChild>
        <w:div w:id="909383841">
          <w:marLeft w:val="0"/>
          <w:marRight w:val="0"/>
          <w:marTop w:val="0"/>
          <w:marBottom w:val="0"/>
          <w:divBdr>
            <w:top w:val="none" w:sz="0" w:space="0" w:color="auto"/>
            <w:left w:val="none" w:sz="0" w:space="0" w:color="auto"/>
            <w:bottom w:val="none" w:sz="0" w:space="0" w:color="auto"/>
            <w:right w:val="none" w:sz="0" w:space="0" w:color="auto"/>
          </w:divBdr>
          <w:divsChild>
            <w:div w:id="79340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General/press_releases/Press_Releases.aspx?ShowPR=222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uc.state.p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2</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jekocher</dc:creator>
  <cp:keywords/>
  <dc:description/>
  <cp:lastModifiedBy>jekocher</cp:lastModifiedBy>
  <cp:revision>61</cp:revision>
  <cp:lastPrinted>2009-12-16T19:24:00Z</cp:lastPrinted>
  <dcterms:created xsi:type="dcterms:W3CDTF">2009-12-16T15:52:00Z</dcterms:created>
  <dcterms:modified xsi:type="dcterms:W3CDTF">2009-12-17T16:44:00Z</dcterms:modified>
</cp:coreProperties>
</file>