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A741E" w:rsidRPr="00C40556" w:rsidRDefault="005A741E" w:rsidP="00880D5A">
      <w:pPr>
        <w:tabs>
          <w:tab w:val="center" w:pos="4680"/>
        </w:tabs>
        <w:jc w:val="both"/>
        <w:rPr>
          <w:b/>
          <w:szCs w:val="24"/>
        </w:rPr>
      </w:pPr>
      <w:r w:rsidRPr="00C40556">
        <w:rPr>
          <w:b/>
          <w:szCs w:val="24"/>
        </w:rPr>
        <w:tab/>
        <w:t>BEFORE THE</w:t>
      </w:r>
    </w:p>
    <w:p w:rsidR="005A741E" w:rsidRPr="00C40556" w:rsidRDefault="005A741E" w:rsidP="00880D5A">
      <w:pPr>
        <w:tabs>
          <w:tab w:val="center" w:pos="4680"/>
        </w:tabs>
        <w:jc w:val="both"/>
        <w:rPr>
          <w:b/>
          <w:szCs w:val="24"/>
        </w:rPr>
      </w:pPr>
      <w:r w:rsidRPr="00C40556">
        <w:rPr>
          <w:b/>
          <w:szCs w:val="24"/>
        </w:rPr>
        <w:tab/>
        <w:t>PENNSYLVANIA PUBLIC UTILITY COMMISSION</w:t>
      </w:r>
    </w:p>
    <w:p w:rsidR="005A741E" w:rsidRPr="00C40556" w:rsidRDefault="005A741E" w:rsidP="00880D5A">
      <w:pPr>
        <w:jc w:val="both"/>
        <w:rPr>
          <w:szCs w:val="24"/>
        </w:rPr>
      </w:pPr>
    </w:p>
    <w:p w:rsidR="005A741E" w:rsidRPr="00C40556" w:rsidRDefault="005A741E" w:rsidP="00880D5A">
      <w:pPr>
        <w:jc w:val="both"/>
        <w:rPr>
          <w:szCs w:val="24"/>
        </w:rPr>
      </w:pPr>
    </w:p>
    <w:p w:rsidR="005A741E" w:rsidRPr="00C40556" w:rsidRDefault="005A741E" w:rsidP="00880D5A">
      <w:pPr>
        <w:jc w:val="both"/>
        <w:rPr>
          <w:szCs w:val="24"/>
        </w:rPr>
      </w:pPr>
    </w:p>
    <w:p w:rsidR="005A741E" w:rsidRPr="00C40556" w:rsidRDefault="005A741E" w:rsidP="00880D5A">
      <w:pPr>
        <w:jc w:val="both"/>
        <w:rPr>
          <w:szCs w:val="24"/>
        </w:rPr>
      </w:pPr>
      <w:r w:rsidRPr="00C40556">
        <w:rPr>
          <w:szCs w:val="24"/>
        </w:rPr>
        <w:t>Pennsylvania Public Utility Commission</w:t>
      </w:r>
      <w:r>
        <w:rPr>
          <w:szCs w:val="24"/>
        </w:rPr>
        <w:tab/>
      </w:r>
      <w:r w:rsidRPr="00C40556">
        <w:rPr>
          <w:szCs w:val="24"/>
        </w:rPr>
        <w:tab/>
        <w:t>:</w:t>
      </w:r>
      <w:r w:rsidRPr="006B7F59">
        <w:rPr>
          <w:szCs w:val="24"/>
        </w:rPr>
        <w:t xml:space="preserve"> </w:t>
      </w:r>
      <w:r>
        <w:rPr>
          <w:szCs w:val="24"/>
        </w:rPr>
        <w:tab/>
      </w:r>
      <w:r>
        <w:rPr>
          <w:szCs w:val="24"/>
        </w:rPr>
        <w:tab/>
        <w:t>R</w:t>
      </w:r>
      <w:r>
        <w:rPr>
          <w:szCs w:val="24"/>
        </w:rPr>
        <w:noBreakHyphen/>
        <w:t>2009-2115743</w:t>
      </w:r>
    </w:p>
    <w:p w:rsidR="005A741E" w:rsidRPr="00C40556" w:rsidRDefault="005A741E" w:rsidP="00880D5A">
      <w:pPr>
        <w:jc w:val="both"/>
        <w:rPr>
          <w:szCs w:val="24"/>
        </w:rPr>
      </w:pPr>
      <w:r>
        <w:rPr>
          <w:szCs w:val="24"/>
        </w:rPr>
        <w:t>Office of Consumer Advocate</w:t>
      </w:r>
      <w:r>
        <w:rPr>
          <w:szCs w:val="24"/>
        </w:rPr>
        <w:tab/>
      </w:r>
      <w:r>
        <w:rPr>
          <w:szCs w:val="24"/>
        </w:rPr>
        <w:tab/>
      </w:r>
      <w:r w:rsidRPr="00C40556">
        <w:rPr>
          <w:szCs w:val="24"/>
        </w:rPr>
        <w:tab/>
        <w:t>:</w:t>
      </w:r>
      <w:r>
        <w:rPr>
          <w:szCs w:val="24"/>
        </w:rPr>
        <w:tab/>
      </w:r>
      <w:r>
        <w:rPr>
          <w:szCs w:val="24"/>
        </w:rPr>
        <w:tab/>
      </w:r>
      <w:r w:rsidRPr="00C40556">
        <w:rPr>
          <w:szCs w:val="24"/>
        </w:rPr>
        <w:t>C-2009-212</w:t>
      </w:r>
      <w:r>
        <w:rPr>
          <w:szCs w:val="24"/>
        </w:rPr>
        <w:t>0536</w:t>
      </w:r>
    </w:p>
    <w:p w:rsidR="005A741E" w:rsidRDefault="005A741E" w:rsidP="00880D5A">
      <w:pPr>
        <w:jc w:val="both"/>
        <w:rPr>
          <w:szCs w:val="24"/>
        </w:rPr>
      </w:pPr>
      <w:r>
        <w:rPr>
          <w:szCs w:val="24"/>
        </w:rPr>
        <w:t>Lee Wotanis</w:t>
      </w:r>
      <w:r>
        <w:rPr>
          <w:szCs w:val="24"/>
        </w:rPr>
        <w:tab/>
      </w:r>
      <w:r>
        <w:rPr>
          <w:szCs w:val="24"/>
        </w:rPr>
        <w:tab/>
      </w:r>
      <w:r>
        <w:rPr>
          <w:szCs w:val="24"/>
        </w:rPr>
        <w:tab/>
      </w:r>
      <w:r>
        <w:rPr>
          <w:szCs w:val="24"/>
        </w:rPr>
        <w:tab/>
      </w:r>
      <w:r>
        <w:rPr>
          <w:szCs w:val="24"/>
        </w:rPr>
        <w:tab/>
      </w:r>
      <w:r>
        <w:rPr>
          <w:szCs w:val="24"/>
        </w:rPr>
        <w:tab/>
        <w:t>:</w:t>
      </w:r>
      <w:r>
        <w:rPr>
          <w:szCs w:val="24"/>
        </w:rPr>
        <w:tab/>
      </w:r>
      <w:r>
        <w:rPr>
          <w:szCs w:val="24"/>
        </w:rPr>
        <w:tab/>
        <w:t>C-2009-2126531</w:t>
      </w:r>
    </w:p>
    <w:p w:rsidR="005A741E" w:rsidRDefault="005A741E" w:rsidP="00880D5A">
      <w:pPr>
        <w:jc w:val="both"/>
        <w:rPr>
          <w:szCs w:val="24"/>
        </w:rPr>
      </w:pPr>
      <w:r>
        <w:rPr>
          <w:szCs w:val="24"/>
        </w:rPr>
        <w:t>Thomas Tubiolo</w:t>
      </w:r>
      <w:r>
        <w:rPr>
          <w:szCs w:val="24"/>
        </w:rPr>
        <w:tab/>
      </w:r>
      <w:r>
        <w:rPr>
          <w:szCs w:val="24"/>
        </w:rPr>
        <w:tab/>
      </w:r>
      <w:r>
        <w:rPr>
          <w:szCs w:val="24"/>
        </w:rPr>
        <w:tab/>
      </w:r>
      <w:r>
        <w:rPr>
          <w:szCs w:val="24"/>
        </w:rPr>
        <w:tab/>
      </w:r>
      <w:r>
        <w:rPr>
          <w:szCs w:val="24"/>
        </w:rPr>
        <w:tab/>
        <w:t>:</w:t>
      </w:r>
      <w:r>
        <w:rPr>
          <w:szCs w:val="24"/>
        </w:rPr>
        <w:tab/>
      </w:r>
      <w:r>
        <w:rPr>
          <w:szCs w:val="24"/>
        </w:rPr>
        <w:tab/>
        <w:t>C-2009-2119255</w:t>
      </w:r>
    </w:p>
    <w:p w:rsidR="005A741E" w:rsidRDefault="005A741E" w:rsidP="00880D5A">
      <w:pPr>
        <w:jc w:val="both"/>
        <w:rPr>
          <w:szCs w:val="24"/>
        </w:rPr>
      </w:pPr>
      <w:r>
        <w:rPr>
          <w:szCs w:val="24"/>
        </w:rPr>
        <w:t>Gerald J. Dougherty, Sr.</w:t>
      </w:r>
      <w:r>
        <w:rPr>
          <w:szCs w:val="24"/>
        </w:rPr>
        <w:tab/>
      </w:r>
      <w:r>
        <w:rPr>
          <w:szCs w:val="24"/>
        </w:rPr>
        <w:tab/>
      </w:r>
      <w:r>
        <w:rPr>
          <w:szCs w:val="24"/>
        </w:rPr>
        <w:tab/>
      </w:r>
      <w:r>
        <w:rPr>
          <w:szCs w:val="24"/>
        </w:rPr>
        <w:tab/>
        <w:t>:</w:t>
      </w:r>
      <w:r>
        <w:rPr>
          <w:szCs w:val="24"/>
        </w:rPr>
        <w:tab/>
      </w:r>
      <w:r>
        <w:rPr>
          <w:szCs w:val="24"/>
        </w:rPr>
        <w:tab/>
        <w:t>C-2009-2122588</w:t>
      </w:r>
    </w:p>
    <w:p w:rsidR="005A741E" w:rsidRDefault="005A741E" w:rsidP="00880D5A">
      <w:pPr>
        <w:jc w:val="both"/>
        <w:rPr>
          <w:szCs w:val="24"/>
        </w:rPr>
      </w:pPr>
      <w:r>
        <w:rPr>
          <w:szCs w:val="24"/>
        </w:rPr>
        <w:t>George J. Pitely</w:t>
      </w:r>
      <w:r>
        <w:rPr>
          <w:szCs w:val="24"/>
        </w:rPr>
        <w:tab/>
      </w:r>
      <w:r>
        <w:rPr>
          <w:szCs w:val="24"/>
        </w:rPr>
        <w:tab/>
      </w:r>
      <w:r>
        <w:rPr>
          <w:szCs w:val="24"/>
        </w:rPr>
        <w:tab/>
      </w:r>
      <w:r>
        <w:rPr>
          <w:szCs w:val="24"/>
        </w:rPr>
        <w:tab/>
      </w:r>
      <w:r>
        <w:rPr>
          <w:szCs w:val="24"/>
        </w:rPr>
        <w:tab/>
        <w:t>:</w:t>
      </w:r>
      <w:r>
        <w:rPr>
          <w:szCs w:val="24"/>
        </w:rPr>
        <w:tab/>
      </w:r>
      <w:r>
        <w:rPr>
          <w:szCs w:val="24"/>
        </w:rPr>
        <w:tab/>
        <w:t>C-2009-2126525</w:t>
      </w:r>
    </w:p>
    <w:p w:rsidR="005A741E" w:rsidRDefault="005A741E" w:rsidP="00880D5A">
      <w:pPr>
        <w:jc w:val="both"/>
        <w:rPr>
          <w:szCs w:val="24"/>
        </w:rPr>
      </w:pPr>
      <w:r>
        <w:rPr>
          <w:szCs w:val="24"/>
        </w:rPr>
        <w:t>Gary and Frances Sawyer</w:t>
      </w:r>
      <w:r>
        <w:rPr>
          <w:szCs w:val="24"/>
        </w:rPr>
        <w:tab/>
      </w:r>
      <w:r>
        <w:rPr>
          <w:szCs w:val="24"/>
        </w:rPr>
        <w:tab/>
      </w:r>
      <w:r>
        <w:rPr>
          <w:szCs w:val="24"/>
        </w:rPr>
        <w:tab/>
      </w:r>
      <w:r>
        <w:rPr>
          <w:szCs w:val="24"/>
        </w:rPr>
        <w:tab/>
        <w:t>:</w:t>
      </w:r>
      <w:r>
        <w:rPr>
          <w:szCs w:val="24"/>
        </w:rPr>
        <w:tab/>
      </w:r>
      <w:r>
        <w:rPr>
          <w:szCs w:val="24"/>
        </w:rPr>
        <w:tab/>
        <w:t>C-2009-2126537</w:t>
      </w:r>
    </w:p>
    <w:p w:rsidR="005A741E" w:rsidRDefault="005A741E" w:rsidP="00880D5A">
      <w:pPr>
        <w:jc w:val="both"/>
        <w:rPr>
          <w:szCs w:val="24"/>
        </w:rPr>
      </w:pPr>
      <w:r>
        <w:rPr>
          <w:szCs w:val="24"/>
        </w:rPr>
        <w:t>Veronika Rosin</w:t>
      </w:r>
      <w:r>
        <w:rPr>
          <w:szCs w:val="24"/>
        </w:rPr>
        <w:tab/>
      </w:r>
      <w:r>
        <w:rPr>
          <w:szCs w:val="24"/>
        </w:rPr>
        <w:tab/>
      </w:r>
      <w:r w:rsidRPr="00C40556">
        <w:rPr>
          <w:szCs w:val="24"/>
        </w:rPr>
        <w:tab/>
      </w:r>
      <w:r w:rsidRPr="00C40556">
        <w:rPr>
          <w:szCs w:val="24"/>
        </w:rPr>
        <w:tab/>
      </w:r>
      <w:r w:rsidRPr="00C40556">
        <w:rPr>
          <w:szCs w:val="24"/>
        </w:rPr>
        <w:tab/>
        <w:t>:</w:t>
      </w:r>
      <w:r w:rsidRPr="00C40556">
        <w:rPr>
          <w:szCs w:val="24"/>
        </w:rPr>
        <w:tab/>
      </w:r>
      <w:r w:rsidRPr="00C40556">
        <w:rPr>
          <w:szCs w:val="24"/>
        </w:rPr>
        <w:tab/>
      </w:r>
      <w:r>
        <w:rPr>
          <w:szCs w:val="24"/>
        </w:rPr>
        <w:t>C-2009-2129331</w:t>
      </w:r>
    </w:p>
    <w:p w:rsidR="005A741E" w:rsidRDefault="005A741E" w:rsidP="00880D5A">
      <w:pPr>
        <w:tabs>
          <w:tab w:val="left" w:pos="5040"/>
        </w:tabs>
        <w:jc w:val="both"/>
        <w:rPr>
          <w:szCs w:val="24"/>
        </w:rPr>
      </w:pPr>
      <w:r>
        <w:rPr>
          <w:szCs w:val="24"/>
        </w:rPr>
        <w:tab/>
        <w:t>:</w:t>
      </w:r>
    </w:p>
    <w:p w:rsidR="005A741E" w:rsidRDefault="005A741E" w:rsidP="00880D5A">
      <w:pPr>
        <w:tabs>
          <w:tab w:val="left" w:pos="5040"/>
        </w:tabs>
        <w:ind w:firstLine="720"/>
        <w:jc w:val="both"/>
        <w:rPr>
          <w:szCs w:val="24"/>
        </w:rPr>
      </w:pPr>
      <w:r>
        <w:rPr>
          <w:szCs w:val="24"/>
        </w:rPr>
        <w:t>v.</w:t>
      </w:r>
      <w:r>
        <w:rPr>
          <w:szCs w:val="24"/>
        </w:rPr>
        <w:tab/>
        <w:t>:</w:t>
      </w:r>
    </w:p>
    <w:p w:rsidR="005A741E" w:rsidRPr="00C40556" w:rsidRDefault="005A741E" w:rsidP="00880D5A">
      <w:pPr>
        <w:ind w:firstLine="720"/>
        <w:jc w:val="both"/>
        <w:rPr>
          <w:szCs w:val="24"/>
        </w:rPr>
      </w:pPr>
      <w:r>
        <w:rPr>
          <w:szCs w:val="24"/>
        </w:rPr>
        <w:tab/>
      </w:r>
      <w:r>
        <w:rPr>
          <w:szCs w:val="24"/>
        </w:rPr>
        <w:tab/>
      </w:r>
      <w:r>
        <w:rPr>
          <w:szCs w:val="24"/>
        </w:rPr>
        <w:tab/>
      </w:r>
      <w:r>
        <w:rPr>
          <w:szCs w:val="24"/>
        </w:rPr>
        <w:tab/>
      </w:r>
      <w:r>
        <w:rPr>
          <w:szCs w:val="24"/>
        </w:rPr>
        <w:tab/>
      </w:r>
      <w:r>
        <w:rPr>
          <w:szCs w:val="24"/>
        </w:rPr>
        <w:tab/>
        <w:t>:</w:t>
      </w:r>
    </w:p>
    <w:p w:rsidR="005A741E" w:rsidRPr="00C40556" w:rsidRDefault="005A741E" w:rsidP="00880D5A">
      <w:pPr>
        <w:jc w:val="both"/>
        <w:rPr>
          <w:szCs w:val="24"/>
        </w:rPr>
      </w:pPr>
      <w:r>
        <w:rPr>
          <w:szCs w:val="24"/>
        </w:rPr>
        <w:t>Lake Spangenberg Water Company</w:t>
      </w:r>
      <w:r>
        <w:rPr>
          <w:szCs w:val="24"/>
        </w:rPr>
        <w:tab/>
      </w:r>
      <w:r>
        <w:rPr>
          <w:szCs w:val="24"/>
        </w:rPr>
        <w:tab/>
      </w:r>
      <w:r>
        <w:rPr>
          <w:szCs w:val="24"/>
        </w:rPr>
        <w:tab/>
        <w:t>:</w:t>
      </w:r>
    </w:p>
    <w:p w:rsidR="005A741E" w:rsidRDefault="005A741E" w:rsidP="00880D5A">
      <w:pPr>
        <w:rPr>
          <w:szCs w:val="24"/>
        </w:rPr>
      </w:pPr>
    </w:p>
    <w:p w:rsidR="005A741E" w:rsidRDefault="005A741E" w:rsidP="00880D5A">
      <w:pPr>
        <w:rPr>
          <w:szCs w:val="24"/>
        </w:rPr>
      </w:pPr>
    </w:p>
    <w:p w:rsidR="005A741E" w:rsidRDefault="005A741E" w:rsidP="00880D5A">
      <w:pPr>
        <w:rPr>
          <w:szCs w:val="24"/>
        </w:rPr>
      </w:pPr>
    </w:p>
    <w:p w:rsidR="005A741E" w:rsidRDefault="005A741E" w:rsidP="00880D5A">
      <w:pPr>
        <w:jc w:val="center"/>
        <w:rPr>
          <w:b/>
          <w:u w:val="single"/>
        </w:rPr>
      </w:pPr>
      <w:r w:rsidRPr="00C40556">
        <w:rPr>
          <w:b/>
          <w:u w:val="single"/>
        </w:rPr>
        <w:t>RECOMMENDED DECISION</w:t>
      </w:r>
    </w:p>
    <w:p w:rsidR="005A741E" w:rsidRDefault="005A741E" w:rsidP="00880D5A">
      <w:pPr>
        <w:jc w:val="center"/>
        <w:rPr>
          <w:b/>
          <w:u w:val="single"/>
        </w:rPr>
      </w:pPr>
    </w:p>
    <w:p w:rsidR="005A741E" w:rsidRPr="001171BE" w:rsidRDefault="005A741E" w:rsidP="00880D5A">
      <w:pPr>
        <w:jc w:val="center"/>
        <w:rPr>
          <w:b/>
          <w:szCs w:val="24"/>
          <w:u w:val="single"/>
        </w:rPr>
      </w:pPr>
    </w:p>
    <w:p w:rsidR="005A741E" w:rsidRPr="001171BE" w:rsidRDefault="005A741E" w:rsidP="00880D5A">
      <w:pPr>
        <w:jc w:val="center"/>
        <w:rPr>
          <w:szCs w:val="24"/>
        </w:rPr>
      </w:pPr>
      <w:r w:rsidRPr="001171BE">
        <w:rPr>
          <w:szCs w:val="24"/>
        </w:rPr>
        <w:t>Before</w:t>
      </w:r>
    </w:p>
    <w:p w:rsidR="005A741E" w:rsidRPr="001171BE" w:rsidRDefault="005A741E" w:rsidP="00880D5A">
      <w:pPr>
        <w:jc w:val="center"/>
        <w:rPr>
          <w:szCs w:val="24"/>
        </w:rPr>
      </w:pPr>
      <w:r w:rsidRPr="001171BE">
        <w:rPr>
          <w:szCs w:val="24"/>
        </w:rPr>
        <w:t>Ember S. Jandebeur</w:t>
      </w:r>
    </w:p>
    <w:p w:rsidR="005A741E" w:rsidRPr="001171BE" w:rsidRDefault="005A741E" w:rsidP="00880D5A">
      <w:pPr>
        <w:jc w:val="center"/>
        <w:rPr>
          <w:szCs w:val="24"/>
        </w:rPr>
      </w:pPr>
      <w:r w:rsidRPr="001171BE">
        <w:rPr>
          <w:szCs w:val="24"/>
        </w:rPr>
        <w:t>Administrative Law Judge</w:t>
      </w:r>
    </w:p>
    <w:p w:rsidR="005A741E" w:rsidRPr="001171BE" w:rsidRDefault="005A741E" w:rsidP="00880D5A">
      <w:pPr>
        <w:rPr>
          <w:szCs w:val="24"/>
        </w:rPr>
      </w:pPr>
    </w:p>
    <w:p w:rsidR="005A741E" w:rsidRPr="001171BE" w:rsidRDefault="005A741E" w:rsidP="00880D5A">
      <w:pPr>
        <w:rPr>
          <w:szCs w:val="24"/>
        </w:rPr>
      </w:pPr>
    </w:p>
    <w:p w:rsidR="005A741E" w:rsidRPr="001171BE" w:rsidRDefault="005A741E" w:rsidP="004F0F9A">
      <w:pPr>
        <w:spacing w:line="360" w:lineRule="auto"/>
        <w:ind w:firstLine="1440"/>
        <w:rPr>
          <w:szCs w:val="24"/>
        </w:rPr>
      </w:pPr>
      <w:r w:rsidRPr="001171BE">
        <w:rPr>
          <w:szCs w:val="24"/>
        </w:rPr>
        <w:t xml:space="preserve">This Decision recommends the Commission approve the Joint Petition for Settlement </w:t>
      </w:r>
      <w:r w:rsidR="00EA3BBA">
        <w:rPr>
          <w:szCs w:val="24"/>
        </w:rPr>
        <w:t xml:space="preserve">(with one notation or correction) </w:t>
      </w:r>
      <w:r w:rsidRPr="001171BE">
        <w:rPr>
          <w:szCs w:val="24"/>
        </w:rPr>
        <w:t xml:space="preserve">which </w:t>
      </w:r>
      <w:r w:rsidR="00880D5A">
        <w:rPr>
          <w:szCs w:val="24"/>
        </w:rPr>
        <w:t>was</w:t>
      </w:r>
      <w:r w:rsidRPr="001171BE">
        <w:rPr>
          <w:szCs w:val="24"/>
        </w:rPr>
        <w:t xml:space="preserve"> submitted by</w:t>
      </w:r>
      <w:r w:rsidR="00EA3BBA">
        <w:rPr>
          <w:szCs w:val="24"/>
        </w:rPr>
        <w:t xml:space="preserve"> Lake Spangenberg Water Company, </w:t>
      </w:r>
      <w:r w:rsidRPr="001171BE">
        <w:rPr>
          <w:szCs w:val="24"/>
        </w:rPr>
        <w:t xml:space="preserve">the Commission’s Office of Trial Staff (OTS), </w:t>
      </w:r>
      <w:r>
        <w:rPr>
          <w:szCs w:val="24"/>
        </w:rPr>
        <w:t xml:space="preserve">and </w:t>
      </w:r>
      <w:r w:rsidRPr="001171BE">
        <w:rPr>
          <w:szCs w:val="24"/>
        </w:rPr>
        <w:t>the Office of Consumer Advocate (OCA)</w:t>
      </w:r>
      <w:r>
        <w:rPr>
          <w:szCs w:val="24"/>
        </w:rPr>
        <w:t>.</w:t>
      </w:r>
      <w:r w:rsidR="00EA3BBA">
        <w:rPr>
          <w:szCs w:val="24"/>
        </w:rPr>
        <w:t xml:space="preserve">  </w:t>
      </w:r>
    </w:p>
    <w:p w:rsidR="005A741E" w:rsidRPr="001171BE" w:rsidRDefault="005A741E" w:rsidP="00880D5A">
      <w:pPr>
        <w:spacing w:line="360" w:lineRule="auto"/>
        <w:rPr>
          <w:szCs w:val="24"/>
        </w:rPr>
      </w:pPr>
    </w:p>
    <w:p w:rsidR="005A741E" w:rsidRDefault="005A741E" w:rsidP="00880D5A">
      <w:pPr>
        <w:jc w:val="center"/>
        <w:rPr>
          <w:szCs w:val="24"/>
          <w:u w:val="single"/>
        </w:rPr>
      </w:pPr>
      <w:r w:rsidRPr="001171BE">
        <w:rPr>
          <w:szCs w:val="24"/>
          <w:u w:val="single"/>
        </w:rPr>
        <w:t>HISTORY OF THE PROCEEDING</w:t>
      </w:r>
    </w:p>
    <w:p w:rsidR="00880D5A" w:rsidRPr="001171BE" w:rsidRDefault="00880D5A" w:rsidP="00880D5A">
      <w:pPr>
        <w:jc w:val="center"/>
        <w:rPr>
          <w:szCs w:val="24"/>
        </w:rPr>
      </w:pPr>
    </w:p>
    <w:p w:rsidR="005A741E" w:rsidRPr="001171BE" w:rsidRDefault="005A741E" w:rsidP="00880D5A">
      <w:pPr>
        <w:rPr>
          <w:szCs w:val="24"/>
        </w:rPr>
      </w:pPr>
    </w:p>
    <w:p w:rsidR="005A741E" w:rsidRPr="001171BE" w:rsidRDefault="005A741E" w:rsidP="00626C8F">
      <w:pPr>
        <w:spacing w:line="360" w:lineRule="auto"/>
        <w:ind w:firstLine="1440"/>
        <w:rPr>
          <w:szCs w:val="24"/>
        </w:rPr>
      </w:pPr>
      <w:r w:rsidRPr="001171BE">
        <w:rPr>
          <w:szCs w:val="24"/>
        </w:rPr>
        <w:t>On June 24, 2009, Lake S</w:t>
      </w:r>
      <w:r>
        <w:rPr>
          <w:szCs w:val="24"/>
        </w:rPr>
        <w:t>pangenberg Water Company (LSWC or Company</w:t>
      </w:r>
      <w:r w:rsidRPr="001171BE">
        <w:rPr>
          <w:szCs w:val="24"/>
        </w:rPr>
        <w:t>) filed its Tariff Water-Pa. P.U.C. No. 5 to become effective on September 1, 2009, containing proposed changes in rates, rules, and regulat</w:t>
      </w:r>
      <w:r w:rsidR="00EA3BBA">
        <w:rPr>
          <w:szCs w:val="24"/>
        </w:rPr>
        <w:t xml:space="preserve">ions calculated to produce $92, </w:t>
      </w:r>
      <w:r w:rsidRPr="001171BE">
        <w:rPr>
          <w:szCs w:val="24"/>
        </w:rPr>
        <w:t xml:space="preserve">292 (or 400%) in additional annual revenues based on a test year ended December 31, 2008.  </w:t>
      </w:r>
      <w:r w:rsidRPr="001171BE">
        <w:rPr>
          <w:color w:val="000000"/>
          <w:szCs w:val="24"/>
          <w:lang w:bidi="he-IL"/>
        </w:rPr>
        <w:t xml:space="preserve">LSWC is a </w:t>
      </w:r>
      <w:r w:rsidRPr="001171BE">
        <w:rPr>
          <w:color w:val="000000"/>
          <w:szCs w:val="24"/>
          <w:lang w:bidi="he-IL"/>
        </w:rPr>
        <w:lastRenderedPageBreak/>
        <w:t xml:space="preserve">Pennsylvania public utility that provides water service to the public in Jefferson Township, Lackawanna County, Pennsylvania. </w:t>
      </w:r>
    </w:p>
    <w:p w:rsidR="005A741E" w:rsidRPr="001171BE" w:rsidRDefault="005A741E" w:rsidP="00880D5A">
      <w:pPr>
        <w:pStyle w:val="Style"/>
        <w:tabs>
          <w:tab w:val="left" w:pos="2671"/>
          <w:tab w:val="left" w:pos="3334"/>
        </w:tabs>
        <w:spacing w:line="360" w:lineRule="auto"/>
        <w:rPr>
          <w:color w:val="000000"/>
          <w:lang w:bidi="he-IL"/>
        </w:rPr>
      </w:pPr>
    </w:p>
    <w:p w:rsidR="005A741E" w:rsidRPr="001171BE" w:rsidRDefault="005A741E" w:rsidP="00880D5A">
      <w:pPr>
        <w:pStyle w:val="Style"/>
        <w:tabs>
          <w:tab w:val="left" w:pos="663"/>
          <w:tab w:val="left" w:pos="1339"/>
        </w:tabs>
        <w:spacing w:line="360" w:lineRule="auto"/>
        <w:ind w:firstLine="1440"/>
      </w:pPr>
      <w:r>
        <w:t>On August 27</w:t>
      </w:r>
      <w:r w:rsidRPr="00C40556">
        <w:t xml:space="preserve">, 2009, </w:t>
      </w:r>
      <w:r w:rsidRPr="001171BE">
        <w:t xml:space="preserve">the Public Utility Commission (PUC or Commission) </w:t>
      </w:r>
      <w:r w:rsidRPr="00C40556">
        <w:t>suspended the proposed tariff supplement until</w:t>
      </w:r>
      <w:r>
        <w:t xml:space="preserve"> April 1</w:t>
      </w:r>
      <w:r w:rsidRPr="00C40556">
        <w:t xml:space="preserve">, 2010, ordered an investigation into the proposed rate increase and assigned this case to the Office of Administrative Law Judge.  </w:t>
      </w:r>
      <w:r w:rsidRPr="001171BE">
        <w:rPr>
          <w:color w:val="000000"/>
          <w:lang w:bidi="he-IL"/>
        </w:rPr>
        <w:t>A Formal Complaint against Tariff No.</w:t>
      </w:r>
      <w:r>
        <w:rPr>
          <w:color w:val="000000"/>
          <w:lang w:bidi="he-IL"/>
        </w:rPr>
        <w:t xml:space="preserve"> </w:t>
      </w:r>
      <w:r w:rsidRPr="001171BE">
        <w:rPr>
          <w:color w:val="000000"/>
          <w:lang w:bidi="he-IL"/>
        </w:rPr>
        <w:t xml:space="preserve">5 was filed by the OCA at </w:t>
      </w:r>
      <w:r w:rsidR="00EA3BBA">
        <w:rPr>
          <w:color w:val="000000"/>
          <w:lang w:bidi="he-IL"/>
        </w:rPr>
        <w:t xml:space="preserve">Docket No. </w:t>
      </w:r>
      <w:r w:rsidRPr="001171BE">
        <w:rPr>
          <w:color w:val="000000"/>
          <w:lang w:bidi="he-IL"/>
        </w:rPr>
        <w:t xml:space="preserve">C-2009- 2124274, by Gerald J. Dougherty, Sr., at Docket No. C-2009-2122588, by George J. Pitely at Docket No. C-2009-2126525, by Veronika Rosin at Docket No. C-2009-2129331, by Thomas Tubiolo at Docket No. C-2009-2119255, by Lee Wotanis at Docket No. C-2009-2126531 and by Gary Frances Sawyer at Docket No. C-20092126537.  A Notice of Appearance was filed by OTS on September </w:t>
      </w:r>
      <w:r>
        <w:rPr>
          <w:color w:val="000000"/>
          <w:lang w:bidi="he-IL"/>
        </w:rPr>
        <w:t xml:space="preserve">11, 2009. </w:t>
      </w:r>
    </w:p>
    <w:p w:rsidR="005A741E" w:rsidRPr="001171BE" w:rsidRDefault="005A741E" w:rsidP="00880D5A">
      <w:pPr>
        <w:spacing w:line="360" w:lineRule="auto"/>
        <w:rPr>
          <w:szCs w:val="24"/>
          <w:lang w:bidi="he-IL"/>
        </w:rPr>
      </w:pPr>
    </w:p>
    <w:p w:rsidR="005A741E" w:rsidRDefault="005A741E" w:rsidP="00880D5A">
      <w:pPr>
        <w:spacing w:line="360" w:lineRule="auto"/>
        <w:ind w:firstLine="1440"/>
        <w:rPr>
          <w:szCs w:val="24"/>
        </w:rPr>
      </w:pPr>
      <w:r w:rsidRPr="00C40556">
        <w:rPr>
          <w:szCs w:val="24"/>
        </w:rPr>
        <w:t>The presiding officer conducted a pre-hearing conference on</w:t>
      </w:r>
      <w:r>
        <w:rPr>
          <w:szCs w:val="24"/>
        </w:rPr>
        <w:t xml:space="preserve"> September 11</w:t>
      </w:r>
      <w:r w:rsidRPr="00C40556">
        <w:rPr>
          <w:szCs w:val="24"/>
        </w:rPr>
        <w:t>, 2009 at which counsel for Company, OTS and OCA were present, in addition to</w:t>
      </w:r>
      <w:r>
        <w:rPr>
          <w:szCs w:val="24"/>
        </w:rPr>
        <w:t xml:space="preserve"> Mr. Pitely</w:t>
      </w:r>
      <w:r w:rsidRPr="00C40556">
        <w:rPr>
          <w:szCs w:val="24"/>
        </w:rPr>
        <w:t>.  The parties present unanimously indicated a willingness to engage in a mediation process and</w:t>
      </w:r>
      <w:r>
        <w:rPr>
          <w:szCs w:val="24"/>
        </w:rPr>
        <w:t xml:space="preserve"> were </w:t>
      </w:r>
      <w:r w:rsidRPr="00C40556">
        <w:rPr>
          <w:szCs w:val="24"/>
        </w:rPr>
        <w:t xml:space="preserve">referred for mediation.  </w:t>
      </w:r>
      <w:r>
        <w:rPr>
          <w:szCs w:val="24"/>
        </w:rPr>
        <w:t xml:space="preserve">LSWC </w:t>
      </w:r>
      <w:r w:rsidRPr="00C40556">
        <w:rPr>
          <w:szCs w:val="24"/>
        </w:rPr>
        <w:t>consented to the Commission’s mediation process provided for by 52 Pa. Code §§</w:t>
      </w:r>
      <w:r>
        <w:rPr>
          <w:szCs w:val="24"/>
        </w:rPr>
        <w:t xml:space="preserve"> </w:t>
      </w:r>
      <w:r w:rsidRPr="00C40556">
        <w:rPr>
          <w:szCs w:val="24"/>
        </w:rPr>
        <w:t>69.391-69.397 and issued Supplement No.</w:t>
      </w:r>
      <w:r>
        <w:rPr>
          <w:szCs w:val="24"/>
        </w:rPr>
        <w:t xml:space="preserve"> 2</w:t>
      </w:r>
      <w:r w:rsidRPr="00C40556">
        <w:rPr>
          <w:szCs w:val="24"/>
        </w:rPr>
        <w:t xml:space="preserve"> to </w:t>
      </w:r>
      <w:r>
        <w:rPr>
          <w:szCs w:val="24"/>
        </w:rPr>
        <w:t xml:space="preserve">Tariff </w:t>
      </w:r>
      <w:r w:rsidRPr="00C40556">
        <w:rPr>
          <w:szCs w:val="24"/>
        </w:rPr>
        <w:t>Water-Pa</w:t>
      </w:r>
      <w:r>
        <w:rPr>
          <w:szCs w:val="24"/>
        </w:rPr>
        <w:t xml:space="preserve">. </w:t>
      </w:r>
      <w:r w:rsidRPr="00C40556">
        <w:rPr>
          <w:szCs w:val="24"/>
        </w:rPr>
        <w:t xml:space="preserve">P.U.C. </w:t>
      </w:r>
    </w:p>
    <w:p w:rsidR="005A741E" w:rsidRPr="00C40556" w:rsidRDefault="005A741E" w:rsidP="00880D5A">
      <w:pPr>
        <w:spacing w:line="360" w:lineRule="auto"/>
        <w:rPr>
          <w:szCs w:val="24"/>
        </w:rPr>
      </w:pPr>
      <w:r w:rsidRPr="00C40556">
        <w:rPr>
          <w:szCs w:val="24"/>
        </w:rPr>
        <w:t>No.</w:t>
      </w:r>
      <w:r>
        <w:rPr>
          <w:szCs w:val="24"/>
        </w:rPr>
        <w:t xml:space="preserve"> 5</w:t>
      </w:r>
      <w:r w:rsidRPr="00C40556">
        <w:rPr>
          <w:szCs w:val="24"/>
        </w:rPr>
        <w:t xml:space="preserve">, on </w:t>
      </w:r>
      <w:r>
        <w:rPr>
          <w:szCs w:val="24"/>
        </w:rPr>
        <w:t>September 18,</w:t>
      </w:r>
      <w:r w:rsidRPr="00C40556">
        <w:rPr>
          <w:szCs w:val="24"/>
        </w:rPr>
        <w:t xml:space="preserve"> 2009 that voluntarily extended the end of the statutory suspension period </w:t>
      </w:r>
      <w:r>
        <w:rPr>
          <w:szCs w:val="24"/>
        </w:rPr>
        <w:t>to June 1, 2010.</w:t>
      </w:r>
      <w:r w:rsidRPr="00C40556">
        <w:rPr>
          <w:szCs w:val="24"/>
        </w:rPr>
        <w:t xml:space="preserve">  On</w:t>
      </w:r>
      <w:r>
        <w:rPr>
          <w:szCs w:val="24"/>
        </w:rPr>
        <w:t xml:space="preserve"> October 1, 2009,</w:t>
      </w:r>
      <w:r w:rsidRPr="00C40556">
        <w:rPr>
          <w:szCs w:val="24"/>
        </w:rPr>
        <w:t xml:space="preserve"> Commission Mediator </w:t>
      </w:r>
      <w:r>
        <w:rPr>
          <w:szCs w:val="24"/>
        </w:rPr>
        <w:t xml:space="preserve">Herbert Nurick, Esq. </w:t>
      </w:r>
      <w:r w:rsidRPr="00C40556">
        <w:rPr>
          <w:szCs w:val="24"/>
        </w:rPr>
        <w:t>conducted a medi</w:t>
      </w:r>
      <w:r w:rsidR="00880D5A">
        <w:rPr>
          <w:szCs w:val="24"/>
        </w:rPr>
        <w:t xml:space="preserve">ation session on this matter.  </w:t>
      </w:r>
      <w:r w:rsidRPr="00C40556">
        <w:rPr>
          <w:szCs w:val="24"/>
        </w:rPr>
        <w:t>A</w:t>
      </w:r>
      <w:r>
        <w:rPr>
          <w:szCs w:val="24"/>
        </w:rPr>
        <w:t>fter</w:t>
      </w:r>
      <w:r w:rsidRPr="00C40556">
        <w:rPr>
          <w:szCs w:val="24"/>
        </w:rPr>
        <w:t xml:space="preserve"> the mediation session, the terms and conditions set forth in this Joint Petition for Settlement (Settlement) were agreed upon by counsel for the Company and </w:t>
      </w:r>
      <w:r>
        <w:rPr>
          <w:szCs w:val="24"/>
        </w:rPr>
        <w:t>the statutory parties.</w:t>
      </w:r>
    </w:p>
    <w:p w:rsidR="005A741E" w:rsidRPr="001171BE" w:rsidRDefault="005A741E" w:rsidP="00880D5A">
      <w:pPr>
        <w:pStyle w:val="Style"/>
        <w:tabs>
          <w:tab w:val="right" w:pos="843"/>
          <w:tab w:val="right" w:pos="8273"/>
        </w:tabs>
        <w:spacing w:line="360" w:lineRule="auto"/>
        <w:ind w:firstLine="1440"/>
        <w:rPr>
          <w:color w:val="000000"/>
          <w:lang w:bidi="he-IL"/>
        </w:rPr>
      </w:pPr>
    </w:p>
    <w:p w:rsidR="005A741E" w:rsidRDefault="005A741E" w:rsidP="00880D5A">
      <w:pPr>
        <w:pStyle w:val="Style"/>
        <w:tabs>
          <w:tab w:val="right" w:pos="843"/>
          <w:tab w:val="right" w:pos="8273"/>
        </w:tabs>
        <w:spacing w:line="360" w:lineRule="auto"/>
        <w:ind w:firstLine="1440"/>
        <w:rPr>
          <w:color w:val="000000"/>
          <w:lang w:bidi="he-IL"/>
        </w:rPr>
      </w:pPr>
      <w:r w:rsidRPr="001171BE">
        <w:rPr>
          <w:color w:val="000000"/>
          <w:lang w:bidi="he-IL"/>
        </w:rPr>
        <w:t>Public input hearings were held at the Jefferson Township Municipal Building</w:t>
      </w:r>
      <w:r>
        <w:rPr>
          <w:color w:val="000000"/>
          <w:lang w:bidi="he-IL"/>
        </w:rPr>
        <w:t xml:space="preserve"> in Lackawanna County at 2:00 p.m. and 6:00 p.m.</w:t>
      </w:r>
      <w:r w:rsidRPr="001171BE">
        <w:rPr>
          <w:color w:val="000000"/>
          <w:lang w:bidi="he-IL"/>
        </w:rPr>
        <w:t xml:space="preserve"> on October 27, 2009</w:t>
      </w:r>
      <w:r>
        <w:rPr>
          <w:color w:val="000000"/>
          <w:lang w:bidi="he-IL"/>
        </w:rPr>
        <w:t>, at which 13 witnesses testified.</w:t>
      </w:r>
    </w:p>
    <w:p w:rsidR="005A741E" w:rsidRPr="00684515" w:rsidRDefault="005A741E" w:rsidP="00880D5A">
      <w:pPr>
        <w:spacing w:line="360" w:lineRule="auto"/>
      </w:pPr>
    </w:p>
    <w:p w:rsidR="005A741E" w:rsidRDefault="005A741E" w:rsidP="00880D5A">
      <w:pPr>
        <w:spacing w:line="360" w:lineRule="auto"/>
        <w:ind w:firstLine="1440"/>
      </w:pPr>
      <w:r w:rsidRPr="00684515">
        <w:t xml:space="preserve">The Company submitted the Settlement to the presiding officer by letter dated December 10, 2009.  At the same time, OCA provided a copy of the Settlement to Lee Wotanis, Thomas Tubiolo, Gerald J. Dougherty, Sr., George J. Pitely, Gary and Frances Sawyer, </w:t>
      </w:r>
      <w:r>
        <w:t xml:space="preserve">and </w:t>
      </w:r>
      <w:r>
        <w:lastRenderedPageBreak/>
        <w:t>Veronika</w:t>
      </w:r>
      <w:r w:rsidRPr="00684515">
        <w:t xml:space="preserve"> Rosin explaining the available options with respect to joining in</w:t>
      </w:r>
      <w:r w:rsidR="0058485E">
        <w:t>,</w:t>
      </w:r>
      <w:r w:rsidRPr="00684515">
        <w:t xml:space="preserve"> or o</w:t>
      </w:r>
      <w:r>
        <w:t>bjecting to</w:t>
      </w:r>
      <w:r w:rsidR="0058485E">
        <w:t>,</w:t>
      </w:r>
      <w:r>
        <w:t xml:space="preserve"> the Settlement. </w:t>
      </w:r>
    </w:p>
    <w:p w:rsidR="005A741E" w:rsidRDefault="005A741E" w:rsidP="00880D5A">
      <w:pPr>
        <w:spacing w:line="360" w:lineRule="auto"/>
        <w:ind w:firstLine="1440"/>
      </w:pPr>
    </w:p>
    <w:p w:rsidR="005A741E" w:rsidRDefault="005A741E" w:rsidP="00880D5A">
      <w:pPr>
        <w:spacing w:line="360" w:lineRule="auto"/>
        <w:ind w:firstLine="1440"/>
      </w:pPr>
      <w:r>
        <w:t>T</w:t>
      </w:r>
      <w:r w:rsidRPr="00684515">
        <w:t xml:space="preserve">he presiding officer received </w:t>
      </w:r>
      <w:r>
        <w:t>a letter da</w:t>
      </w:r>
      <w:r w:rsidR="00626C8F">
        <w:t>ted December 17, 2009, from Mr. </w:t>
      </w:r>
      <w:r>
        <w:t>Tubiolo.  In his letter, Mr. Tubiolo expressed his objections to the rate increase proposed in the Settlement in view of the increased cost of other services and the poor quality of service provided by LSWC.</w:t>
      </w:r>
    </w:p>
    <w:p w:rsidR="005A741E" w:rsidRDefault="005A741E" w:rsidP="00880D5A">
      <w:pPr>
        <w:spacing w:line="360" w:lineRule="auto"/>
        <w:ind w:firstLine="1440"/>
      </w:pPr>
    </w:p>
    <w:p w:rsidR="005A741E" w:rsidRDefault="005A741E" w:rsidP="006F7751">
      <w:pPr>
        <w:spacing w:line="360" w:lineRule="auto"/>
        <w:ind w:firstLine="1440"/>
      </w:pPr>
      <w:r>
        <w:t>The presiding officer also received a letter da</w:t>
      </w:r>
      <w:r w:rsidR="00626C8F">
        <w:t>ted December 21, 2009, from Mr. </w:t>
      </w:r>
      <w:r>
        <w:t>Pitel</w:t>
      </w:r>
      <w:r w:rsidR="00463C28">
        <w:t xml:space="preserve">y objecting to the Settlement. </w:t>
      </w:r>
      <w:r>
        <w:t xml:space="preserve"> Mr. Pitely</w:t>
      </w:r>
      <w:r w:rsidR="0058485E">
        <w:t>’s objection</w:t>
      </w:r>
      <w:r>
        <w:t xml:space="preserve"> lists the Company’s high percentage of unaccounted for water; the Company’s desire to provide water pressure between 25 psi and 150 psi; the deed covenants which prevent property owners, who are also LSWC customers, from drilling water wells in their properties; LSWC’s charge of $40.00 to have its meters tested; the cost of water service for those LSWC customers that use more than 7,000 gallons of water each quarter if the Settlement is approved by the Commission; and finally, the poor quality of service provid</w:t>
      </w:r>
      <w:r w:rsidR="0058485E">
        <w:t>ed by LSWC</w:t>
      </w:r>
      <w:r>
        <w:t>.</w:t>
      </w:r>
    </w:p>
    <w:p w:rsidR="006F7751" w:rsidRDefault="006F7751" w:rsidP="006F7751">
      <w:pPr>
        <w:spacing w:line="360" w:lineRule="auto"/>
        <w:ind w:firstLine="1440"/>
      </w:pPr>
    </w:p>
    <w:p w:rsidR="005A741E" w:rsidRDefault="005A741E" w:rsidP="00463C28">
      <w:pPr>
        <w:spacing w:line="360" w:lineRule="auto"/>
        <w:jc w:val="center"/>
        <w:rPr>
          <w:szCs w:val="24"/>
          <w:u w:val="single"/>
        </w:rPr>
      </w:pPr>
      <w:r w:rsidRPr="006B18A3">
        <w:rPr>
          <w:szCs w:val="24"/>
          <w:u w:val="single"/>
        </w:rPr>
        <w:t>THE PUBLIC INPUT HEARINGS</w:t>
      </w:r>
    </w:p>
    <w:p w:rsidR="005A741E" w:rsidRPr="00684515" w:rsidRDefault="005A741E" w:rsidP="00463C28">
      <w:pPr>
        <w:spacing w:line="360" w:lineRule="auto"/>
        <w:jc w:val="center"/>
      </w:pPr>
    </w:p>
    <w:p w:rsidR="005A741E" w:rsidRDefault="005A741E" w:rsidP="00463C28">
      <w:pPr>
        <w:pStyle w:val="Style"/>
        <w:tabs>
          <w:tab w:val="right" w:pos="843"/>
          <w:tab w:val="right" w:pos="8273"/>
        </w:tabs>
        <w:spacing w:line="360" w:lineRule="auto"/>
        <w:ind w:firstLine="1440"/>
        <w:rPr>
          <w:color w:val="000000"/>
          <w:lang w:bidi="he-IL"/>
        </w:rPr>
      </w:pPr>
      <w:r w:rsidRPr="001171BE">
        <w:rPr>
          <w:color w:val="000000"/>
          <w:lang w:bidi="he-IL"/>
        </w:rPr>
        <w:t>Public input hearings were held at the Jefferson Township Municipal Building</w:t>
      </w:r>
      <w:r>
        <w:rPr>
          <w:color w:val="000000"/>
          <w:lang w:bidi="he-IL"/>
        </w:rPr>
        <w:t xml:space="preserve"> in Lackawanna County at 2:00 p.m. and 6:00 p.m.</w:t>
      </w:r>
      <w:r w:rsidRPr="001171BE">
        <w:rPr>
          <w:color w:val="000000"/>
          <w:lang w:bidi="he-IL"/>
        </w:rPr>
        <w:t xml:space="preserve"> on October 27, 2009</w:t>
      </w:r>
      <w:r>
        <w:rPr>
          <w:color w:val="000000"/>
          <w:lang w:bidi="he-IL"/>
        </w:rPr>
        <w:t>.</w:t>
      </w:r>
    </w:p>
    <w:p w:rsidR="005A741E" w:rsidRPr="006B18A3" w:rsidRDefault="005A741E" w:rsidP="00463C28">
      <w:pPr>
        <w:spacing w:line="360" w:lineRule="auto"/>
        <w:ind w:firstLine="1440"/>
        <w:outlineLvl w:val="0"/>
        <w:rPr>
          <w:szCs w:val="24"/>
        </w:rPr>
      </w:pPr>
    </w:p>
    <w:p w:rsidR="005A741E" w:rsidRDefault="005A741E" w:rsidP="00880D5A">
      <w:pPr>
        <w:pStyle w:val="ListParagraph"/>
        <w:numPr>
          <w:ilvl w:val="0"/>
          <w:numId w:val="1"/>
        </w:numPr>
        <w:spacing w:line="360" w:lineRule="auto"/>
        <w:outlineLvl w:val="0"/>
        <w:rPr>
          <w:szCs w:val="24"/>
          <w:u w:val="single"/>
        </w:rPr>
      </w:pPr>
      <w:r w:rsidRPr="00D557EF">
        <w:rPr>
          <w:szCs w:val="24"/>
          <w:u w:val="single"/>
        </w:rPr>
        <w:t>October 27, 2009, 2:00 p.m.</w:t>
      </w:r>
    </w:p>
    <w:p w:rsidR="005A741E" w:rsidRDefault="005A741E" w:rsidP="00880D5A">
      <w:pPr>
        <w:spacing w:line="360" w:lineRule="auto"/>
        <w:ind w:left="360"/>
        <w:outlineLvl w:val="0"/>
        <w:rPr>
          <w:szCs w:val="24"/>
          <w:u w:val="single"/>
        </w:rPr>
      </w:pPr>
    </w:p>
    <w:p w:rsidR="005A741E" w:rsidRDefault="005A741E" w:rsidP="00880D5A">
      <w:pPr>
        <w:spacing w:line="360" w:lineRule="auto"/>
        <w:ind w:firstLine="1440"/>
        <w:outlineLvl w:val="0"/>
        <w:rPr>
          <w:szCs w:val="24"/>
        </w:rPr>
      </w:pPr>
      <w:r>
        <w:rPr>
          <w:szCs w:val="24"/>
          <w:u w:val="single"/>
        </w:rPr>
        <w:t>John Mancus</w:t>
      </w:r>
      <w:r>
        <w:rPr>
          <w:szCs w:val="24"/>
        </w:rPr>
        <w:t xml:space="preserve"> resides on George Drive</w:t>
      </w:r>
      <w:r>
        <w:rPr>
          <w:rStyle w:val="FootnoteReference"/>
          <w:szCs w:val="24"/>
        </w:rPr>
        <w:footnoteReference w:id="1"/>
      </w:r>
      <w:r>
        <w:rPr>
          <w:szCs w:val="24"/>
        </w:rPr>
        <w:t>,</w:t>
      </w:r>
      <w:r w:rsidRPr="00AD734A">
        <w:rPr>
          <w:szCs w:val="24"/>
        </w:rPr>
        <w:t xml:space="preserve"> </w:t>
      </w:r>
      <w:r w:rsidRPr="00D557EF">
        <w:rPr>
          <w:szCs w:val="24"/>
        </w:rPr>
        <w:t>Jefferson Township</w:t>
      </w:r>
      <w:r>
        <w:rPr>
          <w:szCs w:val="24"/>
        </w:rPr>
        <w:t xml:space="preserve">, Pennsylvania. </w:t>
      </w:r>
      <w:r w:rsidR="00463C28">
        <w:rPr>
          <w:szCs w:val="24"/>
        </w:rPr>
        <w:t xml:space="preserve"> </w:t>
      </w:r>
      <w:r>
        <w:rPr>
          <w:szCs w:val="24"/>
        </w:rPr>
        <w:t>He related that the Company was unresponsive to his report of a water leak and that he had to hire a plumber himself to repair the water line (N.T. 38-49).</w:t>
      </w:r>
    </w:p>
    <w:p w:rsidR="00557977" w:rsidRDefault="00557977" w:rsidP="00880D5A">
      <w:pPr>
        <w:spacing w:line="360" w:lineRule="auto"/>
        <w:ind w:firstLine="1440"/>
        <w:outlineLvl w:val="0"/>
        <w:rPr>
          <w:szCs w:val="24"/>
        </w:rPr>
      </w:pPr>
    </w:p>
    <w:p w:rsidR="005A741E" w:rsidRDefault="005A741E" w:rsidP="00880D5A">
      <w:pPr>
        <w:spacing w:line="360" w:lineRule="auto"/>
        <w:ind w:firstLine="1440"/>
        <w:outlineLvl w:val="0"/>
        <w:rPr>
          <w:szCs w:val="24"/>
        </w:rPr>
      </w:pPr>
      <w:r w:rsidRPr="006E1985">
        <w:rPr>
          <w:szCs w:val="24"/>
          <w:u w:val="single"/>
        </w:rPr>
        <w:t>William Greitz</w:t>
      </w:r>
      <w:r>
        <w:rPr>
          <w:szCs w:val="24"/>
        </w:rPr>
        <w:t xml:space="preserve"> resides at 31 Hemlock Lane, </w:t>
      </w:r>
      <w:r w:rsidRPr="00D557EF">
        <w:rPr>
          <w:szCs w:val="24"/>
        </w:rPr>
        <w:t>Jefferson Township</w:t>
      </w:r>
      <w:r>
        <w:rPr>
          <w:szCs w:val="24"/>
        </w:rPr>
        <w:t xml:space="preserve">, Pennsylvania, and has been a customer of LSWC for over 30 years. </w:t>
      </w:r>
      <w:r w:rsidR="009B2F8F">
        <w:rPr>
          <w:szCs w:val="24"/>
        </w:rPr>
        <w:t xml:space="preserve"> </w:t>
      </w:r>
      <w:r>
        <w:rPr>
          <w:szCs w:val="24"/>
        </w:rPr>
        <w:t xml:space="preserve">He related that there have been many </w:t>
      </w:r>
      <w:r>
        <w:rPr>
          <w:szCs w:val="24"/>
        </w:rPr>
        <w:lastRenderedPageBreak/>
        <w:t>water leaks which resulted in service being shut off until the leaks were repaired.  He noted that the customers are inconvenienced every time the Company fails to notify them when it shuts down the line to make repairs.  There have never been any improvements to the system, only necessary repairs when the lines broke.  In addition, customers have been added to the system reducing water pressure (N.T. 50-57).</w:t>
      </w:r>
    </w:p>
    <w:p w:rsidR="005A741E" w:rsidRDefault="005A741E" w:rsidP="00880D5A">
      <w:pPr>
        <w:spacing w:line="360" w:lineRule="auto"/>
        <w:ind w:firstLine="1440"/>
        <w:outlineLvl w:val="0"/>
        <w:rPr>
          <w:szCs w:val="24"/>
        </w:rPr>
      </w:pPr>
    </w:p>
    <w:p w:rsidR="005A741E" w:rsidRDefault="005A741E" w:rsidP="00880D5A">
      <w:pPr>
        <w:spacing w:line="360" w:lineRule="auto"/>
        <w:ind w:firstLine="1440"/>
        <w:outlineLvl w:val="0"/>
        <w:rPr>
          <w:szCs w:val="24"/>
        </w:rPr>
      </w:pPr>
      <w:r>
        <w:rPr>
          <w:szCs w:val="24"/>
          <w:u w:val="single"/>
        </w:rPr>
        <w:t>Veronika</w:t>
      </w:r>
      <w:r w:rsidRPr="00E70BA8">
        <w:rPr>
          <w:szCs w:val="24"/>
          <w:u w:val="single"/>
        </w:rPr>
        <w:t xml:space="preserve"> Rosin</w:t>
      </w:r>
      <w:r>
        <w:rPr>
          <w:szCs w:val="24"/>
        </w:rPr>
        <w:t xml:space="preserve"> resides at 501 Lake Spangenberg, </w:t>
      </w:r>
      <w:r w:rsidRPr="00D557EF">
        <w:rPr>
          <w:szCs w:val="24"/>
        </w:rPr>
        <w:t>Jefferson Township</w:t>
      </w:r>
      <w:r w:rsidR="00463C28">
        <w:rPr>
          <w:szCs w:val="24"/>
        </w:rPr>
        <w:t xml:space="preserve">, Pennsylvania.  </w:t>
      </w:r>
      <w:r>
        <w:rPr>
          <w:szCs w:val="24"/>
        </w:rPr>
        <w:t xml:space="preserve">She related that she has two water meters attached to her house line, one inside and one outside of her house, which constantly report different readings.  At first, the company billed her on the higher reading, but this practice stopped after Ms. Rosin filed a complaint with the Commission.  The two meters, however, continue to be attached to her line.  She relates that her potable water is of very poor quality.  It makes her nauseous and has caused skin problems for her.  In addition she relates that due to low water pressure, her children can only take showers after 10:00 p.m. </w:t>
      </w:r>
      <w:r w:rsidR="00463C28">
        <w:rPr>
          <w:szCs w:val="24"/>
        </w:rPr>
        <w:t xml:space="preserve"> </w:t>
      </w:r>
      <w:r>
        <w:rPr>
          <w:szCs w:val="24"/>
        </w:rPr>
        <w:t>(N.T. 58-68).</w:t>
      </w:r>
    </w:p>
    <w:p w:rsidR="005A741E" w:rsidRPr="00AD734A" w:rsidRDefault="005A741E" w:rsidP="00880D5A">
      <w:pPr>
        <w:spacing w:line="360" w:lineRule="auto"/>
        <w:ind w:firstLine="1440"/>
        <w:outlineLvl w:val="0"/>
        <w:rPr>
          <w:szCs w:val="24"/>
        </w:rPr>
      </w:pPr>
    </w:p>
    <w:p w:rsidR="005A741E" w:rsidRDefault="005A741E" w:rsidP="00880D5A">
      <w:pPr>
        <w:pStyle w:val="ListParagraph"/>
        <w:numPr>
          <w:ilvl w:val="0"/>
          <w:numId w:val="1"/>
        </w:numPr>
        <w:spacing w:line="360" w:lineRule="auto"/>
        <w:outlineLvl w:val="0"/>
        <w:rPr>
          <w:szCs w:val="24"/>
          <w:u w:val="single"/>
        </w:rPr>
      </w:pPr>
      <w:r w:rsidRPr="00D557EF">
        <w:rPr>
          <w:szCs w:val="24"/>
          <w:u w:val="single"/>
        </w:rPr>
        <w:t>October 27</w:t>
      </w:r>
      <w:r>
        <w:rPr>
          <w:szCs w:val="24"/>
          <w:u w:val="single"/>
        </w:rPr>
        <w:t>, 2009, 6</w:t>
      </w:r>
      <w:r w:rsidRPr="00D557EF">
        <w:rPr>
          <w:szCs w:val="24"/>
          <w:u w:val="single"/>
        </w:rPr>
        <w:t>:00 p.m.</w:t>
      </w:r>
    </w:p>
    <w:p w:rsidR="005A741E" w:rsidRPr="00621E39" w:rsidRDefault="005A741E" w:rsidP="00880D5A">
      <w:pPr>
        <w:spacing w:line="360" w:lineRule="auto"/>
        <w:outlineLvl w:val="0"/>
        <w:rPr>
          <w:szCs w:val="24"/>
          <w:u w:val="single"/>
        </w:rPr>
      </w:pPr>
    </w:p>
    <w:p w:rsidR="005A741E" w:rsidRDefault="005A741E" w:rsidP="00880D5A">
      <w:pPr>
        <w:pStyle w:val="ListParagraph"/>
        <w:spacing w:line="360" w:lineRule="auto"/>
        <w:ind w:left="0" w:firstLine="1440"/>
        <w:outlineLvl w:val="0"/>
        <w:rPr>
          <w:szCs w:val="24"/>
        </w:rPr>
      </w:pPr>
      <w:r>
        <w:rPr>
          <w:szCs w:val="24"/>
          <w:u w:val="single"/>
        </w:rPr>
        <w:t>John Demore</w:t>
      </w:r>
      <w:r w:rsidRPr="00D557EF">
        <w:rPr>
          <w:szCs w:val="24"/>
        </w:rPr>
        <w:t xml:space="preserve"> resides at 40 Sunrise Boulevard</w:t>
      </w:r>
      <w:r>
        <w:rPr>
          <w:szCs w:val="24"/>
        </w:rPr>
        <w:t>,</w:t>
      </w:r>
      <w:r w:rsidRPr="00D557EF">
        <w:rPr>
          <w:szCs w:val="24"/>
        </w:rPr>
        <w:t xml:space="preserve"> Jefferson Township</w:t>
      </w:r>
      <w:r>
        <w:rPr>
          <w:szCs w:val="24"/>
        </w:rPr>
        <w:t>, Pennsylvania.  His service line from the meter to his house is 100 feet long and has broken twice.  He does not understand why his line is so long while his neighbors’ are shorter.  He noted that his water pressure is so low he cannot wash his car.  He believed that there is sand in the line because his gaskets in the bathtub are worn out from the sand.  He related that the waterline is 40 years old.  This he assumed was the cause of the two line breaks that he experienced.  Finally, Mr. Demore noted that the water meters are no</w:t>
      </w:r>
      <w:r w:rsidR="009B2F8F">
        <w:rPr>
          <w:szCs w:val="24"/>
        </w:rPr>
        <w:t>t calibrated on a regular basis</w:t>
      </w:r>
      <w:r w:rsidR="00463C28">
        <w:rPr>
          <w:szCs w:val="24"/>
        </w:rPr>
        <w:t xml:space="preserve"> </w:t>
      </w:r>
      <w:r>
        <w:rPr>
          <w:szCs w:val="24"/>
        </w:rPr>
        <w:t>(N.T. 87-100).</w:t>
      </w:r>
    </w:p>
    <w:p w:rsidR="005A741E" w:rsidRDefault="005A741E" w:rsidP="00880D5A">
      <w:pPr>
        <w:pStyle w:val="ListParagraph"/>
        <w:spacing w:line="360" w:lineRule="auto"/>
        <w:ind w:left="0" w:firstLine="1440"/>
        <w:outlineLvl w:val="0"/>
        <w:rPr>
          <w:szCs w:val="24"/>
        </w:rPr>
      </w:pPr>
    </w:p>
    <w:p w:rsidR="005A741E" w:rsidRDefault="005A741E" w:rsidP="00880D5A">
      <w:pPr>
        <w:pStyle w:val="ListParagraph"/>
        <w:spacing w:line="360" w:lineRule="auto"/>
        <w:ind w:left="0" w:firstLine="1440"/>
        <w:outlineLvl w:val="0"/>
        <w:rPr>
          <w:szCs w:val="24"/>
        </w:rPr>
      </w:pPr>
      <w:r w:rsidRPr="00600B87">
        <w:rPr>
          <w:szCs w:val="24"/>
          <w:u w:val="single"/>
        </w:rPr>
        <w:t>David Moore</w:t>
      </w:r>
      <w:r>
        <w:rPr>
          <w:szCs w:val="24"/>
        </w:rPr>
        <w:t xml:space="preserve"> resides at </w:t>
      </w:r>
      <w:r w:rsidRPr="004844AF">
        <w:rPr>
          <w:szCs w:val="24"/>
        </w:rPr>
        <w:t>8 Victoria Circle,</w:t>
      </w:r>
      <w:r w:rsidRPr="00600B87">
        <w:rPr>
          <w:szCs w:val="24"/>
        </w:rPr>
        <w:t xml:space="preserve"> </w:t>
      </w:r>
      <w:r w:rsidRPr="00D557EF">
        <w:rPr>
          <w:szCs w:val="24"/>
        </w:rPr>
        <w:t>Jefferson Township</w:t>
      </w:r>
      <w:r>
        <w:rPr>
          <w:szCs w:val="24"/>
        </w:rPr>
        <w:t>, Pennsylvania.</w:t>
      </w:r>
      <w:r w:rsidR="00463C28">
        <w:rPr>
          <w:szCs w:val="24"/>
        </w:rPr>
        <w:t xml:space="preserve"> </w:t>
      </w:r>
      <w:r>
        <w:rPr>
          <w:szCs w:val="24"/>
        </w:rPr>
        <w:t xml:space="preserve"> He related that he experiences very low water pressure in his house which makes it very hard to shower for the members of his household.  The Company </w:t>
      </w:r>
      <w:r w:rsidRPr="00600B87">
        <w:rPr>
          <w:szCs w:val="24"/>
        </w:rPr>
        <w:t>blames t</w:t>
      </w:r>
      <w:r>
        <w:rPr>
          <w:szCs w:val="24"/>
        </w:rPr>
        <w:t xml:space="preserve">he house pipes for the low pressure, but Mr. Moore believes that the more houses are built in the development the less pressure the existing customers get.  He noted that he gets less than a gallon per minute from his household faucets, that the low water pressure has damaged his appliances and that he cannot </w:t>
      </w:r>
      <w:r>
        <w:rPr>
          <w:szCs w:val="24"/>
        </w:rPr>
        <w:lastRenderedPageBreak/>
        <w:t xml:space="preserve">wash his car. </w:t>
      </w:r>
      <w:r w:rsidR="00FE6312">
        <w:rPr>
          <w:szCs w:val="24"/>
        </w:rPr>
        <w:t xml:space="preserve"> </w:t>
      </w:r>
      <w:r>
        <w:rPr>
          <w:szCs w:val="24"/>
        </w:rPr>
        <w:t>He related that the Company has ignored his calls reporting water breaks, and his concern about LSWC’s failure to inform its customers about line breaks or issue boiling advisories.  Mr. Moore noted that his tap water is cloudy and has a sulfur smell to it.  Finally, he noted that 12 years ago LSWC told its customers that it was going to build a new pump house in the area but has not constructed the pump house yet (N.T. 101-112).</w:t>
      </w:r>
    </w:p>
    <w:p w:rsidR="005A741E" w:rsidRDefault="005A741E" w:rsidP="00880D5A">
      <w:pPr>
        <w:pStyle w:val="ListParagraph"/>
        <w:spacing w:line="360" w:lineRule="auto"/>
        <w:ind w:left="0" w:firstLine="1440"/>
        <w:outlineLvl w:val="0"/>
        <w:rPr>
          <w:szCs w:val="24"/>
        </w:rPr>
      </w:pPr>
    </w:p>
    <w:p w:rsidR="005A741E" w:rsidRDefault="005A741E" w:rsidP="00880D5A">
      <w:pPr>
        <w:pStyle w:val="ListParagraph"/>
        <w:spacing w:line="360" w:lineRule="auto"/>
        <w:ind w:left="0" w:firstLine="1440"/>
        <w:outlineLvl w:val="0"/>
        <w:rPr>
          <w:szCs w:val="24"/>
        </w:rPr>
      </w:pPr>
      <w:r w:rsidRPr="0068287D">
        <w:rPr>
          <w:szCs w:val="24"/>
          <w:u w:val="single"/>
        </w:rPr>
        <w:t>Matthew Pendrake</w:t>
      </w:r>
      <w:r w:rsidRPr="00E0260B">
        <w:rPr>
          <w:szCs w:val="24"/>
        </w:rPr>
        <w:t xml:space="preserve"> </w:t>
      </w:r>
      <w:r>
        <w:rPr>
          <w:szCs w:val="24"/>
        </w:rPr>
        <w:t xml:space="preserve">resides at 14 Victoria Circle, </w:t>
      </w:r>
      <w:r w:rsidRPr="00D557EF">
        <w:rPr>
          <w:szCs w:val="24"/>
        </w:rPr>
        <w:t>Jefferson Township</w:t>
      </w:r>
      <w:r>
        <w:rPr>
          <w:szCs w:val="24"/>
        </w:rPr>
        <w:t>, Pennsylvania.  He related that the water pressure at his house is below 20 psi (between 16 psi and 18 psi) and that he had to purchase a pressure booster in order to correct the situation.  During the construction of his home, he noted that LSWC did not know the exact route of the waterline and had requested that the water meter be installed outside, in a curb below the ground.  Finally, he related that the Company had made no improvements to the line in the last 12 years (N.T. 112-120).</w:t>
      </w:r>
    </w:p>
    <w:p w:rsidR="005A741E" w:rsidRDefault="005A741E" w:rsidP="00880D5A">
      <w:pPr>
        <w:pStyle w:val="ListParagraph"/>
        <w:spacing w:line="360" w:lineRule="auto"/>
        <w:ind w:left="0" w:firstLine="1440"/>
        <w:outlineLvl w:val="0"/>
        <w:rPr>
          <w:szCs w:val="24"/>
        </w:rPr>
      </w:pPr>
    </w:p>
    <w:p w:rsidR="005A741E" w:rsidRDefault="005A741E" w:rsidP="00880D5A">
      <w:pPr>
        <w:pStyle w:val="ListParagraph"/>
        <w:spacing w:line="360" w:lineRule="auto"/>
        <w:ind w:left="0" w:firstLine="1440"/>
        <w:outlineLvl w:val="0"/>
        <w:rPr>
          <w:szCs w:val="24"/>
        </w:rPr>
      </w:pPr>
      <w:r w:rsidRPr="008709EE">
        <w:rPr>
          <w:szCs w:val="24"/>
          <w:u w:val="single"/>
        </w:rPr>
        <w:t>Nancy Vadimski</w:t>
      </w:r>
      <w:r>
        <w:rPr>
          <w:szCs w:val="24"/>
        </w:rPr>
        <w:t xml:space="preserve"> resides at 160 George Drive, </w:t>
      </w:r>
      <w:r w:rsidRPr="00D557EF">
        <w:rPr>
          <w:szCs w:val="24"/>
        </w:rPr>
        <w:t>Jefferson Township</w:t>
      </w:r>
      <w:r>
        <w:rPr>
          <w:szCs w:val="24"/>
        </w:rPr>
        <w:t xml:space="preserve">, Pennsylvania.  She reported that she experiences low water pressure at her residence and that she is concerned about its effect on her appliances. </w:t>
      </w:r>
      <w:r w:rsidR="00FE6312">
        <w:rPr>
          <w:szCs w:val="24"/>
        </w:rPr>
        <w:t xml:space="preserve"> </w:t>
      </w:r>
      <w:r>
        <w:rPr>
          <w:szCs w:val="24"/>
        </w:rPr>
        <w:t xml:space="preserve">She also related that there is air in the line which causes interruptions in the water flow at her home.  She was told by the Company that the air in the pipes results from breaks in the line.  She finally related that she has seen </w:t>
      </w:r>
      <w:r w:rsidR="004F0F9A">
        <w:rPr>
          <w:szCs w:val="24"/>
        </w:rPr>
        <w:t>n</w:t>
      </w:r>
      <w:r>
        <w:rPr>
          <w:szCs w:val="24"/>
        </w:rPr>
        <w:t>o signs of improvement since 1993 when she first moved in the area (N.T. 120-122).</w:t>
      </w:r>
    </w:p>
    <w:p w:rsidR="005A741E" w:rsidRDefault="005A741E" w:rsidP="00880D5A">
      <w:pPr>
        <w:pStyle w:val="ListParagraph"/>
        <w:spacing w:line="360" w:lineRule="auto"/>
        <w:ind w:left="0" w:firstLine="1440"/>
        <w:outlineLvl w:val="0"/>
        <w:rPr>
          <w:szCs w:val="24"/>
        </w:rPr>
      </w:pPr>
    </w:p>
    <w:p w:rsidR="005A741E" w:rsidRDefault="005A741E" w:rsidP="00880D5A">
      <w:pPr>
        <w:pStyle w:val="ListParagraph"/>
        <w:spacing w:line="360" w:lineRule="auto"/>
        <w:ind w:left="0" w:firstLine="1440"/>
        <w:outlineLvl w:val="0"/>
        <w:rPr>
          <w:szCs w:val="24"/>
        </w:rPr>
      </w:pPr>
      <w:r w:rsidRPr="000E0C14">
        <w:rPr>
          <w:szCs w:val="24"/>
          <w:u w:val="single"/>
        </w:rPr>
        <w:t>Jason Hine</w:t>
      </w:r>
      <w:r>
        <w:rPr>
          <w:szCs w:val="24"/>
        </w:rPr>
        <w:t xml:space="preserve"> resides at 7 Sunrise Boulevard, </w:t>
      </w:r>
      <w:r w:rsidRPr="00D557EF">
        <w:rPr>
          <w:szCs w:val="24"/>
        </w:rPr>
        <w:t>Jefferson Township</w:t>
      </w:r>
      <w:r>
        <w:rPr>
          <w:szCs w:val="24"/>
        </w:rPr>
        <w:t>, Pennsylvania.  He noted that the Company fails to notify its customers when it shuts off the water to repair the line.  He also reported that he experiences lots of air in the pipes (N.T. 122-124).</w:t>
      </w:r>
    </w:p>
    <w:p w:rsidR="005A741E" w:rsidRDefault="005A741E" w:rsidP="00880D5A">
      <w:pPr>
        <w:pStyle w:val="ListParagraph"/>
        <w:spacing w:line="360" w:lineRule="auto"/>
        <w:ind w:left="0" w:firstLine="1440"/>
        <w:outlineLvl w:val="0"/>
        <w:rPr>
          <w:szCs w:val="24"/>
        </w:rPr>
      </w:pPr>
    </w:p>
    <w:p w:rsidR="005A741E" w:rsidRDefault="005A741E" w:rsidP="00880D5A">
      <w:pPr>
        <w:pStyle w:val="ListParagraph"/>
        <w:spacing w:line="360" w:lineRule="auto"/>
        <w:ind w:left="0" w:firstLine="1440"/>
        <w:outlineLvl w:val="0"/>
        <w:rPr>
          <w:szCs w:val="24"/>
        </w:rPr>
      </w:pPr>
      <w:r w:rsidRPr="00654861">
        <w:rPr>
          <w:szCs w:val="24"/>
          <w:u w:val="single"/>
        </w:rPr>
        <w:t>Michael Golya</w:t>
      </w:r>
      <w:r>
        <w:rPr>
          <w:szCs w:val="24"/>
        </w:rPr>
        <w:t xml:space="preserve"> resides at 20 Tulip Lane, </w:t>
      </w:r>
      <w:r w:rsidRPr="00D557EF">
        <w:rPr>
          <w:szCs w:val="24"/>
        </w:rPr>
        <w:t>Jefferson Township</w:t>
      </w:r>
      <w:r>
        <w:rPr>
          <w:szCs w:val="24"/>
        </w:rPr>
        <w:t xml:space="preserve">, Pennsylvania.  He has been a customer of LSWC for 31 years and related that the Company has made no improvements to the system in all those years.  He noted that the Company is unapproachable, indifferent and inadequate.  He believes that the Company serves </w:t>
      </w:r>
      <w:r w:rsidRPr="003606AE">
        <w:rPr>
          <w:szCs w:val="24"/>
        </w:rPr>
        <w:t>145</w:t>
      </w:r>
      <w:r>
        <w:rPr>
          <w:szCs w:val="24"/>
        </w:rPr>
        <w:t xml:space="preserve"> homes and has more than sufficient funds to run their business in a professional manner.  Mr. Golya related that the problem with low water pressure has gotten worse as the number of homes in the development </w:t>
      </w:r>
      <w:r>
        <w:rPr>
          <w:szCs w:val="24"/>
        </w:rPr>
        <w:lastRenderedPageBreak/>
        <w:t xml:space="preserve">increased through the years.  He also noted that the Company should inform its customers ahead of time when it plans a water shut off to address problems with the lines, and that it should provide a water truck with clean water for its customers when the shut offs occur.  He believes that in these hard economic times, a rate increase would pose severe hardship to all the households affected by it (N.T. 124-131).   </w:t>
      </w:r>
    </w:p>
    <w:p w:rsidR="005A741E" w:rsidRDefault="005A741E" w:rsidP="00880D5A">
      <w:pPr>
        <w:pStyle w:val="ListParagraph"/>
        <w:spacing w:line="360" w:lineRule="auto"/>
        <w:ind w:left="0" w:firstLine="1440"/>
        <w:outlineLvl w:val="0"/>
        <w:rPr>
          <w:szCs w:val="24"/>
        </w:rPr>
      </w:pPr>
    </w:p>
    <w:p w:rsidR="005A741E" w:rsidRDefault="005A741E" w:rsidP="00880D5A">
      <w:pPr>
        <w:pStyle w:val="ListParagraph"/>
        <w:spacing w:line="360" w:lineRule="auto"/>
        <w:ind w:left="0" w:firstLine="1440"/>
        <w:outlineLvl w:val="0"/>
        <w:rPr>
          <w:szCs w:val="24"/>
        </w:rPr>
      </w:pPr>
      <w:r w:rsidRPr="004844AF">
        <w:rPr>
          <w:szCs w:val="24"/>
          <w:u w:val="single"/>
        </w:rPr>
        <w:t>William McCormick</w:t>
      </w:r>
      <w:r>
        <w:rPr>
          <w:szCs w:val="24"/>
        </w:rPr>
        <w:t xml:space="preserve"> resides at 30</w:t>
      </w:r>
      <w:r w:rsidRPr="004844AF">
        <w:rPr>
          <w:szCs w:val="24"/>
        </w:rPr>
        <w:t xml:space="preserve"> </w:t>
      </w:r>
      <w:r>
        <w:rPr>
          <w:szCs w:val="24"/>
        </w:rPr>
        <w:t xml:space="preserve">Tulip Lane, </w:t>
      </w:r>
      <w:r w:rsidRPr="00D557EF">
        <w:rPr>
          <w:szCs w:val="24"/>
        </w:rPr>
        <w:t>Jefferson Township</w:t>
      </w:r>
      <w:r>
        <w:rPr>
          <w:szCs w:val="24"/>
        </w:rPr>
        <w:t>, Pennsylvania.  He related that he experiences very low water pressure at his residence (between 6 psi and 38 psi).  He noted that LSWC’s customers are not always notified of water shut-offs when LSWC performs repairs on the line.  He also expressed his concern about the effect of the proposed rate increase would have on people on fixed income (N.T. 133-136).</w:t>
      </w:r>
    </w:p>
    <w:p w:rsidR="005A741E" w:rsidRDefault="005A741E" w:rsidP="00880D5A">
      <w:pPr>
        <w:pStyle w:val="ListParagraph"/>
        <w:spacing w:line="360" w:lineRule="auto"/>
        <w:ind w:left="0" w:firstLine="1440"/>
        <w:outlineLvl w:val="0"/>
        <w:rPr>
          <w:szCs w:val="24"/>
        </w:rPr>
      </w:pPr>
    </w:p>
    <w:p w:rsidR="005A741E" w:rsidRDefault="005A741E" w:rsidP="00880D5A">
      <w:pPr>
        <w:pStyle w:val="ListParagraph"/>
        <w:spacing w:line="360" w:lineRule="auto"/>
        <w:ind w:left="0" w:firstLine="1440"/>
        <w:outlineLvl w:val="0"/>
        <w:rPr>
          <w:szCs w:val="24"/>
        </w:rPr>
      </w:pPr>
      <w:r w:rsidRPr="004D45B3">
        <w:rPr>
          <w:szCs w:val="24"/>
          <w:u w:val="single"/>
        </w:rPr>
        <w:t>Susan Andersen</w:t>
      </w:r>
      <w:r>
        <w:rPr>
          <w:szCs w:val="24"/>
        </w:rPr>
        <w:t xml:space="preserve"> resides at 61 Loretta Drive,</w:t>
      </w:r>
      <w:r w:rsidRPr="004D45B3">
        <w:rPr>
          <w:szCs w:val="24"/>
        </w:rPr>
        <w:t xml:space="preserve"> </w:t>
      </w:r>
      <w:r w:rsidRPr="00D557EF">
        <w:rPr>
          <w:szCs w:val="24"/>
        </w:rPr>
        <w:t>Jefferson Township</w:t>
      </w:r>
      <w:r>
        <w:rPr>
          <w:szCs w:val="24"/>
        </w:rPr>
        <w:t>, Pennsylvania.  She related that she experiences low water pressure at her residence and expressed her concern about the Company’s proposed rate increase of 400%.</w:t>
      </w:r>
      <w:r w:rsidR="009B2F8F">
        <w:rPr>
          <w:szCs w:val="24"/>
        </w:rPr>
        <w:t xml:space="preserve"> </w:t>
      </w:r>
      <w:r>
        <w:rPr>
          <w:szCs w:val="24"/>
        </w:rPr>
        <w:t xml:space="preserve"> She believes this increase is neither fair nor equitable (N.T. 137-139).</w:t>
      </w:r>
    </w:p>
    <w:p w:rsidR="005A741E" w:rsidRDefault="005A741E" w:rsidP="00880D5A">
      <w:pPr>
        <w:pStyle w:val="ListParagraph"/>
        <w:spacing w:line="360" w:lineRule="auto"/>
        <w:ind w:left="0" w:firstLine="1440"/>
        <w:outlineLvl w:val="0"/>
        <w:rPr>
          <w:szCs w:val="24"/>
        </w:rPr>
      </w:pPr>
    </w:p>
    <w:p w:rsidR="005A741E" w:rsidRDefault="005A741E" w:rsidP="00880D5A">
      <w:pPr>
        <w:pStyle w:val="ListParagraph"/>
        <w:spacing w:line="360" w:lineRule="auto"/>
        <w:ind w:left="0" w:firstLine="1440"/>
        <w:outlineLvl w:val="0"/>
        <w:rPr>
          <w:szCs w:val="24"/>
        </w:rPr>
      </w:pPr>
      <w:r w:rsidRPr="004D45B3">
        <w:rPr>
          <w:szCs w:val="24"/>
          <w:u w:val="single"/>
        </w:rPr>
        <w:t>Kristofor Erickson</w:t>
      </w:r>
      <w:r>
        <w:rPr>
          <w:szCs w:val="24"/>
        </w:rPr>
        <w:t xml:space="preserve"> resides at 117 Victoria Circle, </w:t>
      </w:r>
      <w:r w:rsidRPr="00D557EF">
        <w:rPr>
          <w:szCs w:val="24"/>
        </w:rPr>
        <w:t>Jefferson Township</w:t>
      </w:r>
      <w:r>
        <w:rPr>
          <w:szCs w:val="24"/>
        </w:rPr>
        <w:t>, Pennsylvania.  He related that he has very low water pressure at home and air in the line.  He also noted that the water line breaks frequently, and that the Company fails to notify its customers when water is being shut off for repairs to the line or issue any “boiling advisories” when the line breaks.  Finally, he related that every quarter he gets a phone call from the Company asking him to perform a meter reading and report it to the Company (N.T. 139-144).</w:t>
      </w:r>
    </w:p>
    <w:p w:rsidR="005A741E" w:rsidRDefault="005A741E" w:rsidP="00880D5A">
      <w:pPr>
        <w:pStyle w:val="ListParagraph"/>
        <w:spacing w:line="360" w:lineRule="auto"/>
        <w:ind w:left="0" w:firstLine="1440"/>
        <w:outlineLvl w:val="0"/>
        <w:rPr>
          <w:szCs w:val="24"/>
        </w:rPr>
      </w:pPr>
    </w:p>
    <w:p w:rsidR="005A741E" w:rsidRPr="009B2F8F" w:rsidRDefault="005A741E" w:rsidP="009B2F8F">
      <w:pPr>
        <w:pStyle w:val="ListParagraph"/>
        <w:spacing w:line="360" w:lineRule="auto"/>
        <w:ind w:left="0" w:firstLine="1440"/>
        <w:outlineLvl w:val="0"/>
        <w:rPr>
          <w:szCs w:val="24"/>
        </w:rPr>
      </w:pPr>
      <w:r w:rsidRPr="00143E24">
        <w:rPr>
          <w:szCs w:val="24"/>
          <w:u w:val="single"/>
        </w:rPr>
        <w:t>Stephen Novak</w:t>
      </w:r>
      <w:r>
        <w:rPr>
          <w:szCs w:val="24"/>
        </w:rPr>
        <w:t xml:space="preserve"> resides at Cottage 809, Spangenberg Road,</w:t>
      </w:r>
      <w:r w:rsidRPr="00006AEF">
        <w:rPr>
          <w:szCs w:val="24"/>
        </w:rPr>
        <w:t xml:space="preserve"> </w:t>
      </w:r>
      <w:r w:rsidRPr="00D557EF">
        <w:rPr>
          <w:szCs w:val="24"/>
        </w:rPr>
        <w:t>Jefferson Township</w:t>
      </w:r>
      <w:r>
        <w:rPr>
          <w:szCs w:val="24"/>
        </w:rPr>
        <w:t>, Pennsylvania.</w:t>
      </w:r>
      <w:r w:rsidRPr="00C2150D">
        <w:rPr>
          <w:szCs w:val="24"/>
        </w:rPr>
        <w:t xml:space="preserve"> </w:t>
      </w:r>
      <w:r w:rsidR="009B2F8F">
        <w:rPr>
          <w:szCs w:val="24"/>
        </w:rPr>
        <w:t xml:space="preserve"> </w:t>
      </w:r>
      <w:r>
        <w:rPr>
          <w:szCs w:val="24"/>
        </w:rPr>
        <w:t xml:space="preserve">He expressed his concern that the 400% rate increase requested by LSWC will be used to fund the extension of the water line to a new development planned in the area </w:t>
      </w:r>
      <w:r w:rsidRPr="009B2F8F">
        <w:rPr>
          <w:szCs w:val="24"/>
        </w:rPr>
        <w:t>(N.T. 145-150).</w:t>
      </w:r>
    </w:p>
    <w:p w:rsidR="009B2F8F" w:rsidRDefault="009B2F8F" w:rsidP="00880D5A">
      <w:pPr>
        <w:spacing w:line="360" w:lineRule="auto"/>
        <w:jc w:val="center"/>
        <w:rPr>
          <w:szCs w:val="24"/>
          <w:u w:val="single"/>
        </w:rPr>
      </w:pPr>
    </w:p>
    <w:p w:rsidR="006F7751" w:rsidRDefault="006F7751" w:rsidP="00880D5A">
      <w:pPr>
        <w:spacing w:line="360" w:lineRule="auto"/>
        <w:jc w:val="center"/>
        <w:rPr>
          <w:szCs w:val="24"/>
          <w:u w:val="single"/>
        </w:rPr>
      </w:pPr>
    </w:p>
    <w:p w:rsidR="006F7751" w:rsidRDefault="006F7751" w:rsidP="00880D5A">
      <w:pPr>
        <w:spacing w:line="360" w:lineRule="auto"/>
        <w:jc w:val="center"/>
        <w:rPr>
          <w:szCs w:val="24"/>
          <w:u w:val="single"/>
        </w:rPr>
      </w:pPr>
    </w:p>
    <w:p w:rsidR="005A741E" w:rsidRPr="001171BE" w:rsidRDefault="005A741E" w:rsidP="00880D5A">
      <w:pPr>
        <w:spacing w:line="360" w:lineRule="auto"/>
        <w:jc w:val="center"/>
        <w:rPr>
          <w:szCs w:val="24"/>
        </w:rPr>
      </w:pPr>
      <w:r w:rsidRPr="001171BE">
        <w:rPr>
          <w:szCs w:val="24"/>
          <w:u w:val="single"/>
        </w:rPr>
        <w:lastRenderedPageBreak/>
        <w:t>TERMS OF THE SETTLEMENT</w:t>
      </w:r>
    </w:p>
    <w:p w:rsidR="005A741E" w:rsidRPr="001171BE" w:rsidRDefault="005A741E" w:rsidP="00880D5A">
      <w:pPr>
        <w:spacing w:line="360" w:lineRule="auto"/>
        <w:rPr>
          <w:szCs w:val="24"/>
        </w:rPr>
      </w:pPr>
    </w:p>
    <w:p w:rsidR="005A741E" w:rsidRPr="001171BE" w:rsidRDefault="005A741E" w:rsidP="00880D5A">
      <w:pPr>
        <w:spacing w:line="360" w:lineRule="auto"/>
        <w:rPr>
          <w:szCs w:val="24"/>
        </w:rPr>
      </w:pPr>
      <w:r w:rsidRPr="001171BE">
        <w:rPr>
          <w:szCs w:val="24"/>
        </w:rPr>
        <w:tab/>
      </w:r>
      <w:r w:rsidRPr="001171BE">
        <w:rPr>
          <w:szCs w:val="24"/>
        </w:rPr>
        <w:tab/>
        <w:t>The Settlement is an eight (8) page document containing seventeen (17) numbered paragraphs.  Appendix A to the Settlement contains the proposed tariff pages to be filed upon approval of the Settlement.  Appendix B contains the Revenue Verification at Settlement Rates.  Appendices C, D and E to the Settlement are the respective statements of LSWC, OTS and OCA in support of the Settlement.</w:t>
      </w:r>
    </w:p>
    <w:p w:rsidR="005A741E" w:rsidRPr="001171BE" w:rsidRDefault="005A741E" w:rsidP="00880D5A">
      <w:pPr>
        <w:spacing w:line="360" w:lineRule="auto"/>
        <w:rPr>
          <w:szCs w:val="24"/>
        </w:rPr>
      </w:pPr>
    </w:p>
    <w:p w:rsidR="005A741E" w:rsidRDefault="005A741E" w:rsidP="00880D5A">
      <w:pPr>
        <w:spacing w:line="360" w:lineRule="auto"/>
        <w:rPr>
          <w:szCs w:val="24"/>
        </w:rPr>
      </w:pPr>
      <w:r w:rsidRPr="001171BE">
        <w:rPr>
          <w:szCs w:val="24"/>
        </w:rPr>
        <w:tab/>
      </w:r>
      <w:r w:rsidRPr="001171BE">
        <w:rPr>
          <w:szCs w:val="24"/>
        </w:rPr>
        <w:tab/>
        <w:t>The essential terms of the Settlement are contained in Paragraphs 10 and 11:</w:t>
      </w:r>
    </w:p>
    <w:p w:rsidR="00AE2A99" w:rsidRPr="001171BE" w:rsidRDefault="00AE2A99" w:rsidP="00AE2A99">
      <w:pPr>
        <w:rPr>
          <w:szCs w:val="24"/>
        </w:rPr>
      </w:pPr>
    </w:p>
    <w:p w:rsidR="005A741E" w:rsidRDefault="005A741E" w:rsidP="00AE2A99">
      <w:pPr>
        <w:pStyle w:val="Style"/>
        <w:ind w:left="1440" w:hanging="1440"/>
        <w:rPr>
          <w:b/>
          <w:bCs/>
          <w:color w:val="000000"/>
          <w:lang w:bidi="he-IL"/>
        </w:rPr>
      </w:pPr>
      <w:r w:rsidRPr="001171BE">
        <w:rPr>
          <w:b/>
          <w:bCs/>
          <w:color w:val="000000"/>
          <w:lang w:bidi="he-IL"/>
        </w:rPr>
        <w:t xml:space="preserve">Terms and Conditions of Settlement </w:t>
      </w:r>
    </w:p>
    <w:p w:rsidR="008B5C00" w:rsidRPr="001171BE" w:rsidRDefault="008B5C00" w:rsidP="00AE2A99">
      <w:pPr>
        <w:pStyle w:val="Style"/>
        <w:ind w:left="1440" w:hanging="1440"/>
        <w:rPr>
          <w:b/>
          <w:bCs/>
          <w:color w:val="000000"/>
          <w:lang w:bidi="he-IL"/>
        </w:rPr>
      </w:pPr>
    </w:p>
    <w:p w:rsidR="005A741E" w:rsidRDefault="00132E66" w:rsidP="00880D5A">
      <w:pPr>
        <w:pStyle w:val="Style"/>
        <w:ind w:left="720"/>
        <w:rPr>
          <w:color w:val="000000"/>
          <w:lang w:bidi="he-IL"/>
        </w:rPr>
      </w:pPr>
      <w:r>
        <w:rPr>
          <w:color w:val="000000"/>
          <w:lang w:bidi="he-IL"/>
        </w:rPr>
        <w:t>10.</w:t>
      </w:r>
      <w:r>
        <w:rPr>
          <w:color w:val="000000"/>
          <w:lang w:bidi="he-IL"/>
        </w:rPr>
        <w:tab/>
      </w:r>
      <w:r w:rsidR="005A741E" w:rsidRPr="001171BE">
        <w:rPr>
          <w:color w:val="000000"/>
          <w:lang w:bidi="he-IL"/>
        </w:rPr>
        <w:t xml:space="preserve">Joint Petitioners agree that this rate proceeding can be settled without the need for further formal litigation. The terms and conditions comprising this Joint Petition, to which Joint Petitioners agree, are as follows: </w:t>
      </w:r>
    </w:p>
    <w:p w:rsidR="005A741E" w:rsidRPr="001171BE" w:rsidRDefault="005A741E" w:rsidP="00880D5A">
      <w:pPr>
        <w:pStyle w:val="Style"/>
        <w:ind w:left="1440" w:firstLine="720"/>
        <w:rPr>
          <w:color w:val="000000"/>
          <w:lang w:bidi="he-IL"/>
        </w:rPr>
      </w:pPr>
    </w:p>
    <w:p w:rsidR="005A741E" w:rsidRPr="00905E7D" w:rsidRDefault="005A741E" w:rsidP="00880D5A">
      <w:pPr>
        <w:ind w:left="720"/>
      </w:pPr>
      <w:r w:rsidRPr="001171BE">
        <w:rPr>
          <w:lang w:bidi="he-IL"/>
        </w:rPr>
        <w:t xml:space="preserve">(a) </w:t>
      </w:r>
      <w:r w:rsidRPr="001171BE">
        <w:rPr>
          <w:lang w:bidi="he-IL"/>
        </w:rPr>
        <w:tab/>
      </w:r>
      <w:r w:rsidRPr="00905E7D">
        <w:t xml:space="preserve">Revenue Increase and Allocation </w:t>
      </w:r>
    </w:p>
    <w:p w:rsidR="005A741E" w:rsidRPr="001171BE" w:rsidRDefault="005A741E" w:rsidP="00835F9D">
      <w:pPr>
        <w:ind w:left="1440" w:firstLine="720"/>
        <w:jc w:val="both"/>
        <w:rPr>
          <w:lang w:bidi="he-IL"/>
        </w:rPr>
      </w:pPr>
      <w:r w:rsidRPr="00905E7D">
        <w:t>Joint Petitioners respectfully request that the Commission act as soon as possible to approve this Joint Petition and grant LSWC special permission</w:t>
      </w:r>
      <w:r w:rsidRPr="001171BE">
        <w:rPr>
          <w:lang w:bidi="he-IL"/>
        </w:rPr>
        <w:t xml:space="preserve"> to file a tariff supplement in the form attached hereto as Appendix A, to become effective for service on one day's notice, following the entry of a Commission Order approving this Settlement. The tariff supplement is designed to produce an increase in annual revenue of $30,000, or approximately 100%, in lieu of the proposed $92,292 increase contained in Tariff No. 5. A proof of revenue is attached hereto as Appendix B. </w:t>
      </w:r>
    </w:p>
    <w:p w:rsidR="005A741E" w:rsidRPr="001171BE" w:rsidRDefault="005A741E" w:rsidP="00880D5A">
      <w:pPr>
        <w:pStyle w:val="Style"/>
        <w:ind w:left="1440" w:firstLine="684"/>
        <w:jc w:val="both"/>
        <w:rPr>
          <w:color w:val="000000"/>
          <w:lang w:bidi="he-IL"/>
        </w:rPr>
      </w:pPr>
    </w:p>
    <w:p w:rsidR="005A741E" w:rsidRPr="001171BE" w:rsidRDefault="005A741E" w:rsidP="00880D5A">
      <w:pPr>
        <w:pStyle w:val="Style"/>
        <w:tabs>
          <w:tab w:val="left" w:pos="669"/>
          <w:tab w:val="left" w:pos="1440"/>
        </w:tabs>
        <w:ind w:left="1440" w:hanging="720"/>
        <w:rPr>
          <w:color w:val="000000"/>
          <w:lang w:bidi="he-IL"/>
        </w:rPr>
      </w:pPr>
      <w:r w:rsidRPr="001171BE">
        <w:rPr>
          <w:color w:val="000000"/>
          <w:lang w:bidi="he-IL"/>
        </w:rPr>
        <w:t xml:space="preserve">(b) </w:t>
      </w:r>
      <w:r w:rsidRPr="001171BE">
        <w:rPr>
          <w:color w:val="000000"/>
          <w:lang w:bidi="he-IL"/>
        </w:rPr>
        <w:tab/>
        <w:t xml:space="preserve">Meter Pits </w:t>
      </w:r>
    </w:p>
    <w:p w:rsidR="005A741E" w:rsidRPr="001171BE" w:rsidRDefault="005A741E" w:rsidP="00880D5A">
      <w:pPr>
        <w:pStyle w:val="Style"/>
        <w:ind w:left="1440" w:firstLine="800"/>
        <w:jc w:val="both"/>
        <w:rPr>
          <w:color w:val="000000"/>
          <w:lang w:bidi="he-IL"/>
        </w:rPr>
      </w:pPr>
      <w:r w:rsidRPr="001171BE">
        <w:rPr>
          <w:color w:val="000000"/>
          <w:lang w:bidi="he-IL"/>
        </w:rPr>
        <w:t>LSWC confirms, consistent with an existing understanding concerning meter pit costs in connection with its 1996 base rate case, that $14,995.52 will be reflected as a deduction from rate base on LSWC's books and for ratemaking purposes and that an additional $900 for meter pit costs since the 1996 base rate case will also be reflected as a deduction from rate base on LSWC's books and for ratemaking purposes.</w:t>
      </w:r>
    </w:p>
    <w:p w:rsidR="005A741E" w:rsidRPr="001171BE" w:rsidRDefault="005A741E" w:rsidP="00880D5A">
      <w:pPr>
        <w:pStyle w:val="Style"/>
        <w:ind w:left="1440" w:firstLine="800"/>
        <w:jc w:val="both"/>
        <w:rPr>
          <w:color w:val="000000"/>
          <w:lang w:bidi="he-IL"/>
        </w:rPr>
      </w:pPr>
    </w:p>
    <w:p w:rsidR="005A741E" w:rsidRPr="001171BE" w:rsidRDefault="005A741E" w:rsidP="00880D5A">
      <w:pPr>
        <w:pStyle w:val="Style"/>
        <w:ind w:left="1440" w:firstLine="684"/>
        <w:jc w:val="both"/>
        <w:rPr>
          <w:color w:val="000000"/>
          <w:lang w:bidi="he-IL"/>
        </w:rPr>
      </w:pPr>
      <w:r w:rsidRPr="001171BE">
        <w:rPr>
          <w:color w:val="000000"/>
          <w:lang w:bidi="he-IL"/>
        </w:rPr>
        <w:t xml:space="preserve">Going forward, LSWC will account for those meter pit costs paid by customers and remove those costs from rate base in the next case. Additionally, going forward, LSWC agrees that it will inform customers who need meter pits that they have the option of having the meter pit installed by the customer's contractor; provided, however, that the pit and installation meet LSWC's pit and installation specifications. </w:t>
      </w:r>
    </w:p>
    <w:p w:rsidR="005A741E" w:rsidRDefault="005A741E" w:rsidP="00880D5A">
      <w:pPr>
        <w:pStyle w:val="Style"/>
        <w:ind w:left="1440" w:firstLine="684"/>
        <w:jc w:val="both"/>
        <w:rPr>
          <w:color w:val="000000"/>
          <w:lang w:bidi="he-IL"/>
        </w:rPr>
      </w:pPr>
    </w:p>
    <w:p w:rsidR="005A741E" w:rsidRPr="001171BE" w:rsidRDefault="005A741E" w:rsidP="00880D5A">
      <w:pPr>
        <w:pStyle w:val="Style"/>
        <w:ind w:left="1440" w:firstLine="684"/>
        <w:jc w:val="both"/>
        <w:rPr>
          <w:color w:val="000000"/>
          <w:lang w:bidi="he-IL"/>
        </w:rPr>
      </w:pPr>
    </w:p>
    <w:p w:rsidR="005A741E" w:rsidRPr="001171BE" w:rsidRDefault="005A741E" w:rsidP="00880D5A">
      <w:pPr>
        <w:pStyle w:val="Style"/>
        <w:tabs>
          <w:tab w:val="left" w:pos="720"/>
          <w:tab w:val="left" w:pos="1440"/>
        </w:tabs>
        <w:ind w:left="1440" w:hanging="720"/>
        <w:rPr>
          <w:color w:val="000000"/>
          <w:lang w:bidi="he-IL"/>
        </w:rPr>
      </w:pPr>
      <w:r w:rsidRPr="001171BE">
        <w:rPr>
          <w:color w:val="000000"/>
          <w:lang w:bidi="he-IL"/>
        </w:rPr>
        <w:lastRenderedPageBreak/>
        <w:t xml:space="preserve">(c) </w:t>
      </w:r>
      <w:r w:rsidRPr="001171BE">
        <w:rPr>
          <w:color w:val="000000"/>
          <w:lang w:bidi="he-IL"/>
        </w:rPr>
        <w:tab/>
        <w:t xml:space="preserve">Unaccounted For Water </w:t>
      </w:r>
    </w:p>
    <w:p w:rsidR="005A741E" w:rsidRPr="001171BE" w:rsidRDefault="005A741E" w:rsidP="00880D5A">
      <w:pPr>
        <w:pStyle w:val="Style"/>
        <w:ind w:left="1440" w:firstLine="720"/>
        <w:jc w:val="both"/>
        <w:rPr>
          <w:color w:val="000000"/>
          <w:lang w:bidi="he-IL"/>
        </w:rPr>
      </w:pPr>
      <w:r w:rsidRPr="001171BE">
        <w:rPr>
          <w:color w:val="000000"/>
          <w:lang w:bidi="he-IL"/>
        </w:rPr>
        <w:t xml:space="preserve">LSWC will make good faith efforts to reduce unaccounted for water below 40%. LSWC will send reports every six months that detail the actions taken by it over the prior six month period to address unaccounted for water along with a calculation of its unaccounted for water during that period. The reports will be sent to OCA, OTS and the Commission's Bureau of Fixed Utility Services ("FUS"). LSWC's efforts to reduce unaccounted for water will be a matter for review in its next general rate filing. </w:t>
      </w:r>
    </w:p>
    <w:p w:rsidR="005A741E" w:rsidRPr="001171BE" w:rsidRDefault="005A741E" w:rsidP="00880D5A">
      <w:pPr>
        <w:pStyle w:val="Style"/>
        <w:ind w:left="1440" w:firstLine="720"/>
        <w:jc w:val="both"/>
        <w:rPr>
          <w:color w:val="000000"/>
          <w:lang w:bidi="he-IL"/>
        </w:rPr>
      </w:pPr>
    </w:p>
    <w:p w:rsidR="005A741E" w:rsidRPr="001171BE" w:rsidRDefault="005A741E" w:rsidP="00880D5A">
      <w:pPr>
        <w:pStyle w:val="Style"/>
        <w:tabs>
          <w:tab w:val="left" w:pos="669"/>
        </w:tabs>
        <w:ind w:left="1440" w:hanging="720"/>
        <w:rPr>
          <w:color w:val="000000"/>
          <w:lang w:bidi="he-IL"/>
        </w:rPr>
      </w:pPr>
      <w:r w:rsidRPr="001171BE">
        <w:rPr>
          <w:color w:val="000000"/>
          <w:lang w:bidi="he-IL"/>
        </w:rPr>
        <w:t xml:space="preserve">(d) </w:t>
      </w:r>
      <w:r w:rsidRPr="001171BE">
        <w:rPr>
          <w:color w:val="000000"/>
          <w:lang w:bidi="he-IL"/>
        </w:rPr>
        <w:tab/>
        <w:t xml:space="preserve">Notice of Outages/Line Breaks </w:t>
      </w:r>
    </w:p>
    <w:p w:rsidR="005A741E" w:rsidRPr="001171BE" w:rsidRDefault="005A741E" w:rsidP="00880D5A">
      <w:pPr>
        <w:pStyle w:val="Style"/>
        <w:ind w:left="1440" w:firstLine="669"/>
        <w:jc w:val="both"/>
        <w:rPr>
          <w:color w:val="000000"/>
          <w:lang w:bidi="he-IL"/>
        </w:rPr>
      </w:pPr>
      <w:r w:rsidRPr="001171BE">
        <w:rPr>
          <w:color w:val="000000"/>
          <w:lang w:bidi="he-IL"/>
        </w:rPr>
        <w:t xml:space="preserve">LSWC agrees to follow the requirements and policies of the Department of Environmental Protection ("DEP"), DEP document No. 383- 2129-004, pages 3-4, regarding Tier 1 notice when there is a loss of positive pressure in its system. </w:t>
      </w:r>
    </w:p>
    <w:p w:rsidR="005A741E" w:rsidRPr="001171BE" w:rsidRDefault="005A741E" w:rsidP="00880D5A">
      <w:pPr>
        <w:pStyle w:val="Style"/>
        <w:ind w:left="1440" w:firstLine="669"/>
        <w:jc w:val="both"/>
        <w:rPr>
          <w:color w:val="000000"/>
          <w:lang w:bidi="he-IL"/>
        </w:rPr>
      </w:pPr>
    </w:p>
    <w:p w:rsidR="005A741E" w:rsidRPr="001171BE" w:rsidRDefault="005A741E" w:rsidP="00880D5A">
      <w:pPr>
        <w:pStyle w:val="Style"/>
        <w:tabs>
          <w:tab w:val="left" w:pos="684"/>
        </w:tabs>
        <w:ind w:left="1440" w:hanging="720"/>
        <w:rPr>
          <w:color w:val="000000"/>
          <w:lang w:bidi="he-IL"/>
        </w:rPr>
      </w:pPr>
      <w:r>
        <w:rPr>
          <w:color w:val="000000"/>
          <w:lang w:bidi="he-IL"/>
        </w:rPr>
        <w:t>(</w:t>
      </w:r>
      <w:r w:rsidRPr="001171BE">
        <w:rPr>
          <w:color w:val="000000"/>
          <w:lang w:bidi="he-IL"/>
        </w:rPr>
        <w:t xml:space="preserve">e) </w:t>
      </w:r>
      <w:r w:rsidRPr="001171BE">
        <w:rPr>
          <w:color w:val="000000"/>
          <w:lang w:bidi="he-IL"/>
        </w:rPr>
        <w:tab/>
        <w:t xml:space="preserve">Commission Regulations </w:t>
      </w:r>
    </w:p>
    <w:p w:rsidR="005A741E" w:rsidRPr="001171BE" w:rsidRDefault="005A741E" w:rsidP="00835F9D">
      <w:pPr>
        <w:pStyle w:val="Style"/>
        <w:tabs>
          <w:tab w:val="left" w:pos="684"/>
        </w:tabs>
        <w:ind w:left="1440" w:firstLine="720"/>
        <w:jc w:val="both"/>
        <w:rPr>
          <w:color w:val="000000"/>
          <w:lang w:bidi="he-IL"/>
        </w:rPr>
      </w:pPr>
      <w:r w:rsidRPr="001171BE">
        <w:rPr>
          <w:color w:val="000000"/>
          <w:lang w:bidi="he-IL"/>
        </w:rPr>
        <w:t>LSWC agrees to familiarize itself and comply with Commission Regulations concerning recordkeeping, customer complaints, pressure surveys, and planned and unplanned service interruptions, including low pressure. 52 Pa. Code §§ 56.71, 56.93, 56.202, 65.3, 65.5, 65.6, 67.1 and 69.1601.  LSWC will provide the OCA, OTS and FUS with any written correspondence with the PUC or customers related to outages, low pressure, line breaks or other service interruptions.  In addition, for a period of 24 months after t</w:t>
      </w:r>
      <w:r>
        <w:rPr>
          <w:color w:val="000000"/>
          <w:lang w:bidi="he-IL"/>
        </w:rPr>
        <w:t>he entry date of the Commission’</w:t>
      </w:r>
      <w:r w:rsidRPr="001171BE">
        <w:rPr>
          <w:color w:val="000000"/>
          <w:lang w:bidi="he-IL"/>
        </w:rPr>
        <w:t>s Order approving this Joint Petition for Settlement, LSWC will provide these parties with a copy of the pressure surveys required by 52 Pa. Code § 65.6.  For the same period, not less than once each year, LSWC will provide these parties with copies of all records of compl</w:t>
      </w:r>
      <w:r w:rsidR="00835F9D">
        <w:rPr>
          <w:color w:val="000000"/>
          <w:lang w:bidi="he-IL"/>
        </w:rPr>
        <w:t>aints required by 52 Pa. Code § </w:t>
      </w:r>
      <w:r w:rsidRPr="001171BE">
        <w:rPr>
          <w:color w:val="000000"/>
          <w:lang w:bidi="he-IL"/>
        </w:rPr>
        <w:t>65.3(b), which will specify the name and address of the complainant, the date and charact</w:t>
      </w:r>
      <w:r>
        <w:rPr>
          <w:color w:val="000000"/>
          <w:lang w:bidi="he-IL"/>
        </w:rPr>
        <w:t>er of the complaint and the final</w:t>
      </w:r>
      <w:r w:rsidRPr="001171BE">
        <w:rPr>
          <w:color w:val="000000"/>
          <w:lang w:bidi="he-IL"/>
        </w:rPr>
        <w:t xml:space="preserve"> disposition of the complaint. </w:t>
      </w:r>
    </w:p>
    <w:p w:rsidR="005A741E" w:rsidRPr="001171BE" w:rsidRDefault="005A741E" w:rsidP="00880D5A">
      <w:pPr>
        <w:pStyle w:val="Style"/>
        <w:tabs>
          <w:tab w:val="left" w:pos="684"/>
        </w:tabs>
        <w:ind w:left="1440" w:firstLine="720"/>
        <w:rPr>
          <w:color w:val="000000"/>
          <w:lang w:bidi="he-IL"/>
        </w:rPr>
      </w:pPr>
    </w:p>
    <w:p w:rsidR="005A741E" w:rsidRPr="001171BE" w:rsidRDefault="00AE2A99" w:rsidP="00AE2A99">
      <w:pPr>
        <w:pStyle w:val="Style"/>
        <w:tabs>
          <w:tab w:val="left" w:pos="670"/>
          <w:tab w:val="left" w:pos="1440"/>
        </w:tabs>
        <w:ind w:left="1530" w:hanging="810"/>
        <w:rPr>
          <w:color w:val="000000"/>
          <w:lang w:bidi="he-IL"/>
        </w:rPr>
      </w:pPr>
      <w:r>
        <w:rPr>
          <w:color w:val="000000"/>
          <w:lang w:bidi="he-IL"/>
        </w:rPr>
        <w:t xml:space="preserve">(f) </w:t>
      </w:r>
      <w:r>
        <w:rPr>
          <w:color w:val="000000"/>
          <w:lang w:bidi="he-IL"/>
        </w:rPr>
        <w:tab/>
      </w:r>
      <w:r w:rsidR="005A741E" w:rsidRPr="001171BE">
        <w:rPr>
          <w:color w:val="000000"/>
          <w:lang w:bidi="he-IL"/>
        </w:rPr>
        <w:t xml:space="preserve">Membership in Pennsylvania Rural Water Association </w:t>
      </w:r>
    </w:p>
    <w:p w:rsidR="005A741E" w:rsidRPr="001171BE" w:rsidRDefault="005A741E" w:rsidP="00835F9D">
      <w:pPr>
        <w:pStyle w:val="Style"/>
        <w:ind w:left="1440" w:firstLine="676"/>
        <w:jc w:val="both"/>
        <w:rPr>
          <w:color w:val="000000"/>
          <w:lang w:bidi="he-IL"/>
        </w:rPr>
      </w:pPr>
      <w:r w:rsidRPr="001171BE">
        <w:rPr>
          <w:color w:val="000000"/>
          <w:lang w:bidi="he-IL"/>
        </w:rPr>
        <w:t xml:space="preserve"> LSWC agrees that it will join the Pennsylvania Rural Water Association. </w:t>
      </w:r>
    </w:p>
    <w:p w:rsidR="005A741E" w:rsidRPr="001171BE" w:rsidRDefault="005A741E" w:rsidP="00880D5A">
      <w:pPr>
        <w:pStyle w:val="Style"/>
        <w:ind w:left="1440" w:firstLine="676"/>
        <w:rPr>
          <w:color w:val="000000"/>
          <w:lang w:bidi="he-IL"/>
        </w:rPr>
      </w:pPr>
    </w:p>
    <w:p w:rsidR="005A741E" w:rsidRDefault="005A741E" w:rsidP="00880D5A">
      <w:pPr>
        <w:pStyle w:val="Style"/>
        <w:ind w:right="-1"/>
        <w:rPr>
          <w:b/>
          <w:bCs/>
          <w:color w:val="000000"/>
          <w:lang w:bidi="he-IL"/>
        </w:rPr>
      </w:pPr>
      <w:r w:rsidRPr="001171BE">
        <w:rPr>
          <w:b/>
          <w:bCs/>
          <w:color w:val="000000"/>
          <w:lang w:bidi="he-IL"/>
        </w:rPr>
        <w:t xml:space="preserve">Other Provisions </w:t>
      </w:r>
    </w:p>
    <w:p w:rsidR="008B5C00" w:rsidRPr="001171BE" w:rsidRDefault="008B5C00" w:rsidP="00880D5A">
      <w:pPr>
        <w:pStyle w:val="Style"/>
        <w:ind w:right="-1"/>
        <w:rPr>
          <w:b/>
          <w:bCs/>
          <w:color w:val="000000"/>
          <w:lang w:bidi="he-IL"/>
        </w:rPr>
      </w:pPr>
    </w:p>
    <w:p w:rsidR="005A741E" w:rsidRPr="00674A15" w:rsidRDefault="00132E66" w:rsidP="00880D5A">
      <w:pPr>
        <w:pStyle w:val="Style"/>
        <w:tabs>
          <w:tab w:val="left" w:pos="691"/>
          <w:tab w:val="right" w:pos="720"/>
        </w:tabs>
        <w:ind w:left="720" w:right="-1"/>
        <w:rPr>
          <w:color w:val="000000"/>
          <w:lang w:bidi="he-IL"/>
        </w:rPr>
      </w:pPr>
      <w:r>
        <w:rPr>
          <w:color w:val="000000"/>
          <w:lang w:bidi="he-IL"/>
        </w:rPr>
        <w:t>11.</w:t>
      </w:r>
      <w:r>
        <w:rPr>
          <w:color w:val="000000"/>
          <w:lang w:bidi="he-IL"/>
        </w:rPr>
        <w:tab/>
      </w:r>
      <w:r w:rsidR="005A741E" w:rsidRPr="001171BE">
        <w:rPr>
          <w:color w:val="000000"/>
          <w:lang w:bidi="he-IL"/>
        </w:rPr>
        <w:t xml:space="preserve">Under the presently suspended Tariff No. 5, the quarterly cost of water service to a typical residential customer using 7,000 gallons per quarter would have increased by approximately $162.12, or 400%, from $54.04 to $216.16. Under the Joint Petition, the quarterly cost of water service to such residential customer would increase by approximately $54.04, or 100%, from $54.04 to $108.08. </w:t>
      </w:r>
    </w:p>
    <w:p w:rsidR="005A741E" w:rsidRPr="001171BE" w:rsidRDefault="005A741E" w:rsidP="00880D5A">
      <w:pPr>
        <w:spacing w:line="360" w:lineRule="auto"/>
        <w:ind w:left="720"/>
        <w:rPr>
          <w:szCs w:val="24"/>
        </w:rPr>
      </w:pPr>
    </w:p>
    <w:p w:rsidR="005A741E" w:rsidRPr="001171BE" w:rsidRDefault="005A741E" w:rsidP="00880D5A">
      <w:pPr>
        <w:spacing w:line="360" w:lineRule="auto"/>
        <w:rPr>
          <w:szCs w:val="24"/>
        </w:rPr>
      </w:pPr>
      <w:r w:rsidRPr="001171BE">
        <w:rPr>
          <w:szCs w:val="24"/>
        </w:rPr>
        <w:tab/>
      </w:r>
      <w:r w:rsidRPr="001171BE">
        <w:rPr>
          <w:szCs w:val="24"/>
        </w:rPr>
        <w:tab/>
        <w:t>Other specified terms of the Settlement include the following provisions: (1) the parties submit the Settlement without any admissions against prejudice to positions Company, OTS or OCA might adopt in subsequent litigation, including litigation of the instant case, if necessary</w:t>
      </w:r>
      <w:r>
        <w:rPr>
          <w:szCs w:val="24"/>
        </w:rPr>
        <w:t xml:space="preserve"> </w:t>
      </w:r>
      <w:r w:rsidRPr="001171BE">
        <w:rPr>
          <w:szCs w:val="24"/>
        </w:rPr>
        <w:t>(Settlement, ¶14</w:t>
      </w:r>
      <w:r>
        <w:rPr>
          <w:szCs w:val="24"/>
        </w:rPr>
        <w:t>)</w:t>
      </w:r>
      <w:r w:rsidRPr="001171BE">
        <w:rPr>
          <w:szCs w:val="24"/>
        </w:rPr>
        <w:t xml:space="preserve">; (2) the Settlement is contingent upon the Commission’s approval of </w:t>
      </w:r>
      <w:r>
        <w:rPr>
          <w:szCs w:val="24"/>
        </w:rPr>
        <w:lastRenderedPageBreak/>
        <w:t>all its terms and conditions (</w:t>
      </w:r>
      <w:r w:rsidRPr="000C4A7B">
        <w:rPr>
          <w:szCs w:val="24"/>
          <w:u w:val="single"/>
        </w:rPr>
        <w:t>Id.</w:t>
      </w:r>
      <w:r>
        <w:rPr>
          <w:szCs w:val="24"/>
        </w:rPr>
        <w:t xml:space="preserve">); </w:t>
      </w:r>
      <w:r w:rsidRPr="001171BE">
        <w:rPr>
          <w:szCs w:val="24"/>
        </w:rPr>
        <w:t xml:space="preserve">(3) </w:t>
      </w:r>
      <w:r>
        <w:rPr>
          <w:szCs w:val="24"/>
        </w:rPr>
        <w:t>I</w:t>
      </w:r>
      <w:r w:rsidRPr="001171BE">
        <w:rPr>
          <w:szCs w:val="24"/>
        </w:rPr>
        <w:t>n the event the Commission does not approve the Settlement, or modifies any of the terms and conditions, Company, OTS and/or OCA may withdraw from the Settlement upon written notice</w:t>
      </w:r>
      <w:r>
        <w:rPr>
          <w:szCs w:val="24"/>
        </w:rPr>
        <w:t xml:space="preserve"> (</w:t>
      </w:r>
      <w:r w:rsidRPr="000C4A7B">
        <w:rPr>
          <w:szCs w:val="24"/>
          <w:u w:val="single"/>
        </w:rPr>
        <w:t>Id.</w:t>
      </w:r>
      <w:r>
        <w:rPr>
          <w:szCs w:val="24"/>
        </w:rPr>
        <w:t>);</w:t>
      </w:r>
      <w:r w:rsidRPr="001171BE">
        <w:rPr>
          <w:szCs w:val="24"/>
        </w:rPr>
        <w:t xml:space="preserve"> </w:t>
      </w:r>
      <w:r>
        <w:rPr>
          <w:szCs w:val="24"/>
        </w:rPr>
        <w:t xml:space="preserve">(4) </w:t>
      </w:r>
      <w:r w:rsidRPr="001171BE">
        <w:rPr>
          <w:szCs w:val="24"/>
        </w:rPr>
        <w:t>If the presiding officer recommends approval of the Settlement, Company, OTS and OCA waive the filing of Exceptions.  They do not waive the filing of Exceptions to any recommended modifications, and reserve the right to file Reply Exceptions in the event any Exceptions are filed (Settlement, ¶15).</w:t>
      </w:r>
    </w:p>
    <w:p w:rsidR="005A741E" w:rsidRPr="001171BE" w:rsidRDefault="005A741E" w:rsidP="00880D5A">
      <w:pPr>
        <w:spacing w:line="360" w:lineRule="auto"/>
        <w:rPr>
          <w:szCs w:val="24"/>
        </w:rPr>
      </w:pPr>
    </w:p>
    <w:p w:rsidR="005A741E" w:rsidRPr="001171BE" w:rsidRDefault="005A741E" w:rsidP="00880D5A">
      <w:pPr>
        <w:spacing w:line="360" w:lineRule="auto"/>
        <w:jc w:val="center"/>
        <w:rPr>
          <w:szCs w:val="24"/>
        </w:rPr>
      </w:pPr>
      <w:r w:rsidRPr="001171BE">
        <w:rPr>
          <w:szCs w:val="24"/>
          <w:u w:val="single"/>
        </w:rPr>
        <w:t>DISCUSSION</w:t>
      </w:r>
    </w:p>
    <w:p w:rsidR="00517315" w:rsidRDefault="00517315" w:rsidP="00880D5A">
      <w:pPr>
        <w:tabs>
          <w:tab w:val="left" w:pos="-720"/>
        </w:tabs>
        <w:suppressAutoHyphens/>
        <w:spacing w:line="360" w:lineRule="auto"/>
        <w:rPr>
          <w:spacing w:val="-3"/>
        </w:rPr>
      </w:pPr>
    </w:p>
    <w:p w:rsidR="00891C05" w:rsidRPr="002E4392" w:rsidRDefault="00891C05" w:rsidP="00880D5A">
      <w:pPr>
        <w:tabs>
          <w:tab w:val="left" w:pos="-720"/>
        </w:tabs>
        <w:suppressAutoHyphens/>
        <w:spacing w:line="360" w:lineRule="auto"/>
        <w:ind w:firstLine="1440"/>
      </w:pPr>
      <w:r w:rsidRPr="002E4392">
        <w:rPr>
          <w:spacing w:val="-3"/>
        </w:rPr>
        <w:t>The Commission applies certain principles in deciding any general rate increase case brought pursuant to 66 Pa. C.S. §</w:t>
      </w:r>
      <w:r w:rsidR="008B5C00">
        <w:rPr>
          <w:spacing w:val="-3"/>
        </w:rPr>
        <w:t xml:space="preserve"> </w:t>
      </w:r>
      <w:r w:rsidRPr="002E4392">
        <w:rPr>
          <w:spacing w:val="-3"/>
        </w:rPr>
        <w:t xml:space="preserve">1308(d).  </w:t>
      </w:r>
      <w:r w:rsidRPr="002E4392">
        <w:t xml:space="preserve">A public utility seeking a general rate increase is entitled to an opportunity to earn a fair rate of return on the value of the property dedicated to public service. </w:t>
      </w:r>
      <w:r w:rsidR="00026C99">
        <w:t xml:space="preserve"> </w:t>
      </w:r>
      <w:r w:rsidRPr="000A605A">
        <w:rPr>
          <w:i/>
        </w:rPr>
        <w:t>Pennsylvania Gas and Water Co. v. Pennsylvania Pub. Util. Comm’n</w:t>
      </w:r>
      <w:r w:rsidRPr="002E4392">
        <w:t>, 341 A.2d 239 (Pa. Cmwlth. 1975)</w:t>
      </w:r>
      <w:r w:rsidR="00E926BA">
        <w:t>.</w:t>
      </w:r>
      <w:r w:rsidRPr="002E4392">
        <w:t xml:space="preserve">  In determining what constitutes a fair rate of return, the Commission is guided by the criteria set forth in </w:t>
      </w:r>
      <w:r w:rsidRPr="000A605A">
        <w:rPr>
          <w:i/>
        </w:rPr>
        <w:t>Bluefield Water Works and Improvement Co. v. Public Service Comm’n of West Virginia</w:t>
      </w:r>
      <w:r w:rsidRPr="002E4392">
        <w:t xml:space="preserve">, 262 U.S. 679 (1923) and </w:t>
      </w:r>
      <w:r w:rsidRPr="000A605A">
        <w:rPr>
          <w:i/>
        </w:rPr>
        <w:t>Federal Power Comm’n v. Hope Natural Gas Co.</w:t>
      </w:r>
      <w:r w:rsidRPr="002E4392">
        <w:t xml:space="preserve">, 320 U.S. 591 (1944).  In </w:t>
      </w:r>
      <w:r w:rsidRPr="000A605A">
        <w:rPr>
          <w:i/>
        </w:rPr>
        <w:t>Bluefield</w:t>
      </w:r>
      <w:r w:rsidRPr="002E4392">
        <w:t xml:space="preserve"> the United States Supreme Court stated:</w:t>
      </w:r>
    </w:p>
    <w:p w:rsidR="00891C05" w:rsidRPr="002E4392" w:rsidRDefault="00891C05" w:rsidP="00880D5A">
      <w:pPr>
        <w:spacing w:line="360" w:lineRule="auto"/>
        <w:ind w:firstLine="1440"/>
      </w:pPr>
    </w:p>
    <w:p w:rsidR="00891C05" w:rsidRPr="002E4392" w:rsidRDefault="00891C05" w:rsidP="00880D5A">
      <w:pPr>
        <w:ind w:left="1440" w:right="1440"/>
      </w:pPr>
      <w:r w:rsidRPr="002E4392">
        <w:t>A public utility is entitled to such rates as will permit it to earn a return on the value of the property which it employs for the convenience of the public equal to that generally being made at the same time and in the same general part of the country on investments in other business undertakings which are attended by corresponding risks and uncertainties; but it has no constitutional right to profits such as are realized or anticipated in highly profitable enterprises or speculative ventures.  The return should be reasonably sufficient to assure confidence in the financial soundness of the utility and should be adequate, under efficient and economical management, to maintain and support its credit and enable it to raise the money necessary for the proper discharge of its public duties.  A rate of return may be too high or too low by changes affecting opportunities for investment, the money market and business conditions generally.</w:t>
      </w:r>
    </w:p>
    <w:p w:rsidR="00891C05" w:rsidRPr="002E4392" w:rsidRDefault="00891C05" w:rsidP="00880D5A">
      <w:pPr>
        <w:spacing w:line="360" w:lineRule="auto"/>
        <w:ind w:left="1440" w:right="1440"/>
      </w:pPr>
    </w:p>
    <w:p w:rsidR="00891C05" w:rsidRPr="002E4392" w:rsidRDefault="00891C05" w:rsidP="00880D5A">
      <w:pPr>
        <w:pStyle w:val="BodyText"/>
        <w:spacing w:after="0" w:line="360" w:lineRule="auto"/>
        <w:rPr>
          <w:rFonts w:ascii="Times New Roman" w:hAnsi="Times New Roman"/>
        </w:rPr>
      </w:pPr>
      <w:r w:rsidRPr="000A605A">
        <w:rPr>
          <w:rFonts w:ascii="Times New Roman" w:hAnsi="Times New Roman"/>
          <w:i/>
        </w:rPr>
        <w:t>Bluefield Water Works and Improvement Co. v. Public Service Comm’n of West Virginia</w:t>
      </w:r>
      <w:r w:rsidRPr="002E4392">
        <w:rPr>
          <w:rFonts w:ascii="Times New Roman" w:hAnsi="Times New Roman"/>
        </w:rPr>
        <w:t>, 262 U.S. 679, 692-3 (1923)</w:t>
      </w:r>
      <w:r w:rsidR="00E926BA">
        <w:rPr>
          <w:rFonts w:ascii="Times New Roman" w:hAnsi="Times New Roman"/>
        </w:rPr>
        <w:t>.</w:t>
      </w:r>
    </w:p>
    <w:p w:rsidR="00891C05" w:rsidRPr="002E4392" w:rsidRDefault="00891C05" w:rsidP="00880D5A">
      <w:pPr>
        <w:spacing w:line="360" w:lineRule="auto"/>
        <w:ind w:firstLine="1440"/>
      </w:pPr>
      <w:r w:rsidRPr="002E4392">
        <w:lastRenderedPageBreak/>
        <w:t xml:space="preserve">The public utility seeking a general rate increase has the burden of proof to establish the justness and reasonableness of every element </w:t>
      </w:r>
      <w:r>
        <w:t xml:space="preserve">of </w:t>
      </w:r>
      <w:r w:rsidRPr="002E4392">
        <w:t>the rate increase request pursuant to 66 Pa. C.S. §</w:t>
      </w:r>
      <w:r w:rsidR="008B5C00">
        <w:t xml:space="preserve"> </w:t>
      </w:r>
      <w:r w:rsidRPr="002E4392">
        <w:t>1308(d).  The statute at 66 Pa. C.S. §</w:t>
      </w:r>
      <w:r w:rsidR="008B5C00">
        <w:t xml:space="preserve"> </w:t>
      </w:r>
      <w:r w:rsidRPr="002E4392">
        <w:t>315(a) sets forth the standard to be met by the public utility:</w:t>
      </w:r>
    </w:p>
    <w:p w:rsidR="00891C05" w:rsidRPr="002E4392" w:rsidRDefault="00891C05" w:rsidP="00880D5A">
      <w:pPr>
        <w:spacing w:line="360" w:lineRule="auto"/>
        <w:ind w:firstLine="1440"/>
      </w:pPr>
    </w:p>
    <w:p w:rsidR="00891C05" w:rsidRPr="002E4392" w:rsidRDefault="00891C05" w:rsidP="00880D5A">
      <w:pPr>
        <w:ind w:left="1440" w:right="1440"/>
      </w:pPr>
      <w:r w:rsidRPr="002E4392">
        <w:rPr>
          <w:b/>
        </w:rPr>
        <w:t>Reasonableness of rates.</w:t>
      </w:r>
      <w:r w:rsidRPr="002E4392">
        <w:t xml:space="preserve"> –In any proceeding upon the motion of the Commission, involving any proposed or existing rate of any public utility, or in any proceeding upon complaint involving any proposed increase in rates, the burden of proof to show that the rate involved is just and reasonable shall be upon the public utility.</w:t>
      </w:r>
    </w:p>
    <w:p w:rsidR="00891C05" w:rsidRPr="002E4392" w:rsidRDefault="00891C05" w:rsidP="00880D5A">
      <w:pPr>
        <w:spacing w:line="360" w:lineRule="auto"/>
      </w:pPr>
      <w:r w:rsidRPr="002E4392">
        <w:tab/>
      </w:r>
      <w:r w:rsidRPr="002E4392">
        <w:tab/>
      </w:r>
    </w:p>
    <w:p w:rsidR="00891C05" w:rsidRPr="002E4392" w:rsidRDefault="00891C05" w:rsidP="00880D5A">
      <w:pPr>
        <w:spacing w:line="360" w:lineRule="auto"/>
        <w:ind w:firstLine="1440"/>
      </w:pPr>
      <w:r w:rsidRPr="002E4392">
        <w:t xml:space="preserve">In a general rate increase proceeding, the burden of proof does not shift to parties challenging a requested rate increase.  The utility has the burden of establishing the justness and reasonableness of every component of its rate request throughout the rate proceeding.  Other parties to the proceeding do not have the burden of proof to justify an adjustment to the public utility’s filing.  In this regard, the Pennsylvania Supreme Court in </w:t>
      </w:r>
      <w:r w:rsidRPr="000A605A">
        <w:rPr>
          <w:i/>
        </w:rPr>
        <w:t>Berner v. Pennsylvania Pub.Util. Comm’n</w:t>
      </w:r>
      <w:r w:rsidRPr="002E4392">
        <w:t>, 116 A.2d 738, 744 (Pa. 1955) stated:</w:t>
      </w:r>
    </w:p>
    <w:p w:rsidR="00891C05" w:rsidRPr="002E4392" w:rsidRDefault="00891C05" w:rsidP="00880D5A">
      <w:pPr>
        <w:spacing w:line="360" w:lineRule="auto"/>
        <w:ind w:firstLine="1440"/>
      </w:pPr>
    </w:p>
    <w:p w:rsidR="00891C05" w:rsidRPr="002E4392" w:rsidRDefault="00891C05" w:rsidP="00880D5A">
      <w:pPr>
        <w:ind w:left="1440" w:right="1440"/>
      </w:pPr>
      <w:r w:rsidRPr="002E4392">
        <w:t>[T]he appellants did not have the burden of proving that the plant additions were improper, unnecessary or too costly; on the contrary, that burden is, by statute, on the utility to demonstrate the reasonable necessity and cost of the installations, and that is the burden which the utility patently failed to carry.</w:t>
      </w:r>
    </w:p>
    <w:p w:rsidR="009D3AA3" w:rsidRDefault="009D3AA3" w:rsidP="00880D5A">
      <w:pPr>
        <w:spacing w:line="360" w:lineRule="auto"/>
      </w:pPr>
    </w:p>
    <w:p w:rsidR="00891C05" w:rsidRPr="002E4392" w:rsidRDefault="009D3AA3" w:rsidP="00880D5A">
      <w:pPr>
        <w:spacing w:line="360" w:lineRule="auto"/>
        <w:rPr>
          <w:spacing w:val="-3"/>
        </w:rPr>
      </w:pPr>
      <w:r>
        <w:tab/>
      </w:r>
      <w:r w:rsidR="00891C05" w:rsidRPr="002E4392">
        <w:tab/>
        <w:t>H</w:t>
      </w:r>
      <w:r w:rsidR="00891C05" w:rsidRPr="002E4392">
        <w:rPr>
          <w:spacing w:val="-3"/>
        </w:rPr>
        <w:t xml:space="preserve">owever, a public utility, in proving that its proposed rates are just and reasonable, does not have the burden to affirmatively defend claims it has made in its filing that no other party has questioned.  </w:t>
      </w:r>
      <w:r w:rsidR="00891C05" w:rsidRPr="000A605A">
        <w:rPr>
          <w:spacing w:val="-3"/>
        </w:rPr>
        <w:t xml:space="preserve">In </w:t>
      </w:r>
      <w:r w:rsidR="00891C05" w:rsidRPr="000A605A">
        <w:rPr>
          <w:i/>
          <w:spacing w:val="-3"/>
        </w:rPr>
        <w:t>Allegheny Center Assocs. v. Pennsylvania Pub. Util. Comm’n</w:t>
      </w:r>
      <w:r w:rsidR="00891C05" w:rsidRPr="002E4392">
        <w:rPr>
          <w:spacing w:val="-3"/>
        </w:rPr>
        <w:t>, 570 A.2d 149, (Pa. Cmwlth. 1990), the Pennsylvania Commonwealth Court stated:</w:t>
      </w:r>
    </w:p>
    <w:p w:rsidR="00891C05" w:rsidRPr="002E4392" w:rsidRDefault="00891C05" w:rsidP="00880D5A">
      <w:pPr>
        <w:tabs>
          <w:tab w:val="left" w:pos="-720"/>
        </w:tabs>
        <w:suppressAutoHyphens/>
        <w:spacing w:line="360" w:lineRule="auto"/>
        <w:ind w:firstLine="1440"/>
        <w:rPr>
          <w:spacing w:val="-3"/>
        </w:rPr>
      </w:pPr>
    </w:p>
    <w:p w:rsidR="00891C05" w:rsidRPr="002E4392" w:rsidRDefault="00891C05" w:rsidP="00880D5A">
      <w:pPr>
        <w:ind w:left="1440" w:right="1440"/>
        <w:rPr>
          <w:spacing w:val="-3"/>
        </w:rPr>
      </w:pPr>
      <w:r w:rsidRPr="002E4392">
        <w:rPr>
          <w:spacing w:val="-3"/>
        </w:rPr>
        <w:t>While it is axiomatic that a utility has the burden of proving the justness and reasonableness of its proposed rates, it cannot be called upon to account for every action absent prior notice that such action is to be challenged.</w:t>
      </w:r>
    </w:p>
    <w:p w:rsidR="00891C05" w:rsidRPr="002E4392" w:rsidRDefault="00891C05" w:rsidP="00880D5A">
      <w:pPr>
        <w:spacing w:line="360" w:lineRule="auto"/>
        <w:ind w:left="1440" w:right="1440"/>
        <w:rPr>
          <w:spacing w:val="-3"/>
        </w:rPr>
      </w:pPr>
    </w:p>
    <w:p w:rsidR="00484DD4" w:rsidRDefault="00891C05" w:rsidP="00880D5A">
      <w:pPr>
        <w:tabs>
          <w:tab w:val="left" w:pos="-720"/>
        </w:tabs>
        <w:suppressAutoHyphens/>
        <w:spacing w:line="360" w:lineRule="auto"/>
        <w:rPr>
          <w:spacing w:val="-3"/>
        </w:rPr>
      </w:pPr>
      <w:r w:rsidRPr="002E4392">
        <w:rPr>
          <w:spacing w:val="-3"/>
        </w:rPr>
        <w:tab/>
      </w:r>
      <w:r w:rsidRPr="002E4392">
        <w:rPr>
          <w:spacing w:val="-3"/>
        </w:rPr>
        <w:tab/>
      </w:r>
    </w:p>
    <w:p w:rsidR="00484DD4" w:rsidRDefault="00484DD4">
      <w:pPr>
        <w:rPr>
          <w:spacing w:val="-3"/>
        </w:rPr>
      </w:pPr>
      <w:r>
        <w:rPr>
          <w:spacing w:val="-3"/>
        </w:rPr>
        <w:br w:type="page"/>
      </w:r>
    </w:p>
    <w:p w:rsidR="00891C05" w:rsidRDefault="00484DD4" w:rsidP="00880D5A">
      <w:pPr>
        <w:tabs>
          <w:tab w:val="left" w:pos="-720"/>
        </w:tabs>
        <w:suppressAutoHyphens/>
        <w:spacing w:line="360" w:lineRule="auto"/>
        <w:rPr>
          <w:spacing w:val="-3"/>
        </w:rPr>
      </w:pPr>
      <w:r>
        <w:rPr>
          <w:spacing w:val="-3"/>
        </w:rPr>
        <w:lastRenderedPageBreak/>
        <w:tab/>
      </w:r>
      <w:r>
        <w:rPr>
          <w:spacing w:val="-3"/>
        </w:rPr>
        <w:tab/>
      </w:r>
      <w:r w:rsidR="00891C05" w:rsidRPr="002E4392">
        <w:rPr>
          <w:spacing w:val="-3"/>
        </w:rPr>
        <w:t xml:space="preserve">In analyzing a proposed general rate increase, the Commission determines a rate of return to be applied to a rate base measured by the aggregate value of all the utility’s property used and useful in the public service.  In determining a proper rate of return, the Commission calculates the utility’s capital structure and the cost of the different types of capital during the period in issue.  The Commission has wide discretion, because of its administrative expertise, in determining the cost of capital.  </w:t>
      </w:r>
      <w:r w:rsidR="00891C05" w:rsidRPr="000A605A">
        <w:rPr>
          <w:i/>
          <w:spacing w:val="-3"/>
        </w:rPr>
        <w:t>Equitable Gas Co. v. Pennsylvania Pub. Util. Comm’n</w:t>
      </w:r>
      <w:r w:rsidR="00891C05" w:rsidRPr="002E4392">
        <w:rPr>
          <w:spacing w:val="-3"/>
        </w:rPr>
        <w:t>, 405 A.2d 1055 (Pa. Cmwlth. 1979)</w:t>
      </w:r>
      <w:r w:rsidR="009D3AA3">
        <w:rPr>
          <w:spacing w:val="-3"/>
        </w:rPr>
        <w:t>.</w:t>
      </w:r>
    </w:p>
    <w:p w:rsidR="009D3AA3" w:rsidRPr="002E4392" w:rsidRDefault="009D3AA3" w:rsidP="00880D5A">
      <w:pPr>
        <w:tabs>
          <w:tab w:val="left" w:pos="-720"/>
        </w:tabs>
        <w:suppressAutoHyphens/>
        <w:spacing w:line="360" w:lineRule="auto"/>
        <w:rPr>
          <w:spacing w:val="-3"/>
        </w:rPr>
      </w:pPr>
    </w:p>
    <w:p w:rsidR="00E926BA" w:rsidRPr="001171BE" w:rsidRDefault="00891C05" w:rsidP="00880D5A">
      <w:pPr>
        <w:pStyle w:val="Style"/>
        <w:tabs>
          <w:tab w:val="left" w:pos="0"/>
          <w:tab w:val="left" w:pos="1980"/>
        </w:tabs>
        <w:spacing w:line="360" w:lineRule="auto"/>
        <w:ind w:left="14" w:right="14" w:firstLine="1426"/>
        <w:rPr>
          <w:color w:val="000000"/>
          <w:lang w:bidi="he-IL"/>
        </w:rPr>
      </w:pPr>
      <w:r w:rsidRPr="002E4392">
        <w:t xml:space="preserve">In this </w:t>
      </w:r>
      <w:r w:rsidRPr="002E4392">
        <w:rPr>
          <w:spacing w:val="-3"/>
        </w:rPr>
        <w:t>general rate increase case</w:t>
      </w:r>
      <w:r w:rsidRPr="002E4392">
        <w:t xml:space="preserve">, </w:t>
      </w:r>
      <w:r w:rsidR="00E926BA">
        <w:t>LSWC</w:t>
      </w:r>
      <w:r>
        <w:t xml:space="preserve">, OTS, </w:t>
      </w:r>
      <w:r w:rsidR="00E926BA">
        <w:t xml:space="preserve">and OCA </w:t>
      </w:r>
      <w:r w:rsidRPr="002E4392">
        <w:t xml:space="preserve">have reached a settlement.  </w:t>
      </w:r>
      <w:r w:rsidR="00E926BA" w:rsidRPr="001171BE">
        <w:t>Commission policy encourages settlements</w:t>
      </w:r>
      <w:r w:rsidR="00E926BA" w:rsidRPr="001171BE">
        <w:rPr>
          <w:rStyle w:val="FootnoteReference"/>
        </w:rPr>
        <w:footnoteReference w:id="2"/>
      </w:r>
      <w:r w:rsidR="00E926BA" w:rsidRPr="001171BE">
        <w:t xml:space="preserve"> which often eliminate</w:t>
      </w:r>
      <w:r w:rsidR="008B5C00">
        <w:t>s</w:t>
      </w:r>
      <w:r w:rsidR="00E926BA" w:rsidRPr="001171BE">
        <w:t xml:space="preserve"> or significantly reduce the time, effort, and expense of litigating a proceeding to its final conclusion.  This time, effort</w:t>
      </w:r>
      <w:r w:rsidR="00E926BA">
        <w:t>,</w:t>
      </w:r>
      <w:r w:rsidR="00E926BA" w:rsidRPr="001171BE">
        <w:t xml:space="preserve"> </w:t>
      </w:r>
      <w:r w:rsidR="00D96CDE">
        <w:t xml:space="preserve">and expense can be extensive if the </w:t>
      </w:r>
      <w:r w:rsidR="00E926BA" w:rsidRPr="001171BE">
        <w:t>proceeding, with the resulting Commission decision, includes review by the Pennsylvania appellate courts.  Such savings directly benefit the individual parties to a proceeding, the Commission, and the utility’s ratepayers by reducing expenses the utility could claim in future rate cases.</w:t>
      </w:r>
      <w:r w:rsidR="00E926BA" w:rsidRPr="001171BE">
        <w:rPr>
          <w:color w:val="000000"/>
          <w:lang w:bidi="he-IL"/>
        </w:rPr>
        <w:t xml:space="preserve"> </w:t>
      </w:r>
    </w:p>
    <w:p w:rsidR="00891C05" w:rsidRPr="002E4392" w:rsidRDefault="00891C05" w:rsidP="00880D5A">
      <w:pPr>
        <w:tabs>
          <w:tab w:val="left" w:pos="1474"/>
        </w:tabs>
        <w:spacing w:line="360" w:lineRule="auto"/>
      </w:pPr>
    </w:p>
    <w:p w:rsidR="005A741E" w:rsidRPr="000A605A" w:rsidRDefault="00891C05" w:rsidP="00880D5A">
      <w:pPr>
        <w:pStyle w:val="TxBrp3"/>
        <w:widowControl/>
        <w:tabs>
          <w:tab w:val="clear" w:pos="1474"/>
        </w:tabs>
        <w:spacing w:line="360" w:lineRule="auto"/>
        <w:ind w:firstLine="1440"/>
      </w:pPr>
      <w:r w:rsidRPr="002E4392">
        <w:t xml:space="preserve">In order to accept a settlement, the Commission must first determine that the proposed terms and conditions are in the public interest.  </w:t>
      </w:r>
      <w:r w:rsidRPr="000A605A">
        <w:rPr>
          <w:i/>
        </w:rPr>
        <w:t>P</w:t>
      </w:r>
      <w:r w:rsidR="00E53FD4">
        <w:rPr>
          <w:i/>
        </w:rPr>
        <w:t>a.</w:t>
      </w:r>
      <w:r w:rsidRPr="000A605A">
        <w:rPr>
          <w:i/>
        </w:rPr>
        <w:t xml:space="preserve"> Pub. Util. Comm’n v. York Water Co.</w:t>
      </w:r>
      <w:r w:rsidRPr="002E4392">
        <w:t xml:space="preserve">, Docket No. R-00049165, (Order entered October 4, 2004); </w:t>
      </w:r>
      <w:r w:rsidR="005A741E">
        <w:rPr>
          <w:i/>
          <w:color w:val="000000"/>
          <w:lang w:bidi="he-IL"/>
        </w:rPr>
        <w:t xml:space="preserve">Pa. </w:t>
      </w:r>
      <w:r w:rsidR="00E53FD4" w:rsidRPr="000A605A">
        <w:rPr>
          <w:i/>
        </w:rPr>
        <w:t>Pub. Util. Comm’n</w:t>
      </w:r>
      <w:r w:rsidR="005A741E">
        <w:rPr>
          <w:i/>
          <w:color w:val="000000"/>
          <w:lang w:bidi="he-IL"/>
        </w:rPr>
        <w:t>. v. C</w:t>
      </w:r>
      <w:r w:rsidR="005A741E" w:rsidRPr="00402B43">
        <w:rPr>
          <w:i/>
          <w:color w:val="000000"/>
          <w:lang w:bidi="he-IL"/>
        </w:rPr>
        <w:t xml:space="preserve">S </w:t>
      </w:r>
      <w:r w:rsidR="005A741E" w:rsidRPr="00402B43">
        <w:rPr>
          <w:i/>
          <w:iCs/>
          <w:color w:val="000000"/>
          <w:lang w:bidi="he-IL"/>
        </w:rPr>
        <w:t>Water</w:t>
      </w:r>
      <w:r w:rsidR="005A741E" w:rsidRPr="001171BE">
        <w:rPr>
          <w:i/>
          <w:iCs/>
          <w:color w:val="000000"/>
          <w:lang w:bidi="he-IL"/>
        </w:rPr>
        <w:t xml:space="preserve"> and Sewer Associates, </w:t>
      </w:r>
      <w:r w:rsidR="005A741E" w:rsidRPr="001171BE">
        <w:rPr>
          <w:color w:val="000000"/>
          <w:lang w:bidi="he-IL"/>
        </w:rPr>
        <w:t xml:space="preserve">74 Pa. P.U.C. 767, 771 (1991). </w:t>
      </w:r>
    </w:p>
    <w:p w:rsidR="005A741E" w:rsidRPr="001171BE" w:rsidRDefault="005A741E" w:rsidP="00880D5A">
      <w:pPr>
        <w:pStyle w:val="Style"/>
        <w:tabs>
          <w:tab w:val="left" w:pos="0"/>
          <w:tab w:val="left" w:pos="677"/>
          <w:tab w:val="left" w:pos="1354"/>
          <w:tab w:val="left" w:pos="1980"/>
        </w:tabs>
        <w:spacing w:line="360" w:lineRule="auto"/>
        <w:ind w:right="20"/>
      </w:pPr>
    </w:p>
    <w:p w:rsidR="005A741E" w:rsidRPr="001171BE" w:rsidRDefault="005A741E" w:rsidP="00880D5A">
      <w:pPr>
        <w:spacing w:line="360" w:lineRule="auto"/>
        <w:ind w:firstLine="1440"/>
        <w:rPr>
          <w:szCs w:val="24"/>
        </w:rPr>
      </w:pPr>
      <w:r w:rsidRPr="001171BE">
        <w:rPr>
          <w:szCs w:val="24"/>
        </w:rPr>
        <w:t>In this proceeding, LSWC sought a rate increase designed to increase the quarterly cost of water service to a typical residential customer using 7,000 gallons per quarter by approximately $162</w:t>
      </w:r>
      <w:r w:rsidR="00690D41">
        <w:rPr>
          <w:szCs w:val="24"/>
        </w:rPr>
        <w:t>.12</w:t>
      </w:r>
      <w:r w:rsidRPr="001171BE">
        <w:rPr>
          <w:szCs w:val="24"/>
        </w:rPr>
        <w:t>, or 400.0%, from $54</w:t>
      </w:r>
      <w:r w:rsidR="00690D41">
        <w:rPr>
          <w:szCs w:val="24"/>
        </w:rPr>
        <w:t>.04</w:t>
      </w:r>
      <w:r w:rsidRPr="001171BE">
        <w:rPr>
          <w:szCs w:val="24"/>
        </w:rPr>
        <w:t xml:space="preserve"> to $216.16. </w:t>
      </w:r>
      <w:r>
        <w:rPr>
          <w:szCs w:val="24"/>
        </w:rPr>
        <w:t xml:space="preserve"> </w:t>
      </w:r>
      <w:r w:rsidRPr="001171BE">
        <w:rPr>
          <w:szCs w:val="24"/>
        </w:rPr>
        <w:t>Under the terms of the Settlement, LSWC will be permitted to increase the quarterly cost of water service to such residential customers by approximately $54</w:t>
      </w:r>
      <w:r w:rsidR="00690D41">
        <w:rPr>
          <w:szCs w:val="24"/>
        </w:rPr>
        <w:t>.04</w:t>
      </w:r>
      <w:r w:rsidRPr="001171BE">
        <w:rPr>
          <w:szCs w:val="24"/>
        </w:rPr>
        <w:t>, or 100%, from $54</w:t>
      </w:r>
      <w:r w:rsidR="00690D41">
        <w:rPr>
          <w:szCs w:val="24"/>
        </w:rPr>
        <w:t>.04</w:t>
      </w:r>
      <w:r w:rsidRPr="001171BE">
        <w:rPr>
          <w:szCs w:val="24"/>
        </w:rPr>
        <w:t xml:space="preserve"> to $108.08.  The Settlement also provides that $14,995.52 will be deducted from rate base on LSWC’s books and for ratemaking purposes based on an existing agreement concerning met</w:t>
      </w:r>
      <w:r>
        <w:rPr>
          <w:szCs w:val="24"/>
        </w:rPr>
        <w:t>er pit costs connected with LSWC</w:t>
      </w:r>
      <w:r w:rsidRPr="001171BE">
        <w:rPr>
          <w:szCs w:val="24"/>
        </w:rPr>
        <w:t xml:space="preserve">’s 1996 base rate case.  An additional $900, for meter pit costs charged to customers since the 1996 rate case, will also be deducted from rate base on LSWC’s books and for </w:t>
      </w:r>
      <w:r w:rsidRPr="001171BE">
        <w:rPr>
          <w:szCs w:val="24"/>
        </w:rPr>
        <w:lastRenderedPageBreak/>
        <w:t xml:space="preserve">ratemaking purposes.  Going forward, the Company shall account for meter pit costs paid for by customers and remove those costs from rate base in the next case.  The Company has also agreed to inform customers who need meter pits that they have the option of having a contractor install the meter pit. </w:t>
      </w:r>
    </w:p>
    <w:p w:rsidR="005A741E" w:rsidRPr="001171BE" w:rsidRDefault="005A741E" w:rsidP="00880D5A">
      <w:pPr>
        <w:spacing w:line="360" w:lineRule="auto"/>
        <w:rPr>
          <w:szCs w:val="24"/>
        </w:rPr>
      </w:pPr>
    </w:p>
    <w:p w:rsidR="005A741E" w:rsidRPr="001171BE" w:rsidRDefault="005A741E" w:rsidP="00880D5A">
      <w:pPr>
        <w:spacing w:line="360" w:lineRule="auto"/>
        <w:ind w:firstLine="1440"/>
        <w:rPr>
          <w:color w:val="000000"/>
          <w:szCs w:val="24"/>
          <w:lang w:bidi="he-IL"/>
        </w:rPr>
      </w:pPr>
      <w:r w:rsidRPr="001171BE">
        <w:rPr>
          <w:bCs/>
          <w:color w:val="000000"/>
          <w:szCs w:val="24"/>
          <w:lang w:bidi="he-IL"/>
        </w:rPr>
        <w:t xml:space="preserve">In addition, </w:t>
      </w:r>
      <w:r w:rsidRPr="001171BE">
        <w:rPr>
          <w:color w:val="000000"/>
          <w:szCs w:val="24"/>
          <w:lang w:bidi="he-IL"/>
        </w:rPr>
        <w:t>the Settlement also contains several service related conditions addressing unaccounted for water, notices of outages, line breaks, Commission service regulations and membership in the Pennsylvania Rural Water Association</w:t>
      </w:r>
      <w:r>
        <w:rPr>
          <w:color w:val="000000"/>
          <w:szCs w:val="24"/>
          <w:lang w:bidi="he-IL"/>
        </w:rPr>
        <w:t xml:space="preserve"> (PRWA)</w:t>
      </w:r>
      <w:r w:rsidRPr="001171BE">
        <w:rPr>
          <w:color w:val="000000"/>
          <w:szCs w:val="24"/>
          <w:lang w:bidi="he-IL"/>
        </w:rPr>
        <w:t>.</w:t>
      </w:r>
      <w:r>
        <w:rPr>
          <w:color w:val="000000"/>
          <w:szCs w:val="24"/>
          <w:lang w:bidi="he-IL"/>
        </w:rPr>
        <w:t xml:space="preserve"> </w:t>
      </w:r>
      <w:r w:rsidRPr="001171BE">
        <w:rPr>
          <w:color w:val="000000"/>
          <w:szCs w:val="24"/>
          <w:lang w:bidi="he-IL"/>
        </w:rPr>
        <w:t xml:space="preserve"> </w:t>
      </w:r>
      <w:r w:rsidRPr="001171BE">
        <w:rPr>
          <w:bCs/>
          <w:color w:val="000000"/>
          <w:szCs w:val="24"/>
          <w:lang w:bidi="he-IL"/>
        </w:rPr>
        <w:t xml:space="preserve">Under the terms of the Settlement, the </w:t>
      </w:r>
      <w:r w:rsidRPr="001171BE">
        <w:rPr>
          <w:color w:val="000000"/>
          <w:szCs w:val="24"/>
          <w:lang w:bidi="he-IL"/>
        </w:rPr>
        <w:t xml:space="preserve">Company agrees to make good faith efforts to reduce unaccounted for water from 80% to 40%, and to send reports to the settling parties and to </w:t>
      </w:r>
      <w:r w:rsidRPr="001171BE">
        <w:rPr>
          <w:szCs w:val="24"/>
        </w:rPr>
        <w:t>the Commissi</w:t>
      </w:r>
      <w:r>
        <w:rPr>
          <w:szCs w:val="24"/>
        </w:rPr>
        <w:t>on’</w:t>
      </w:r>
      <w:r w:rsidRPr="001171BE">
        <w:rPr>
          <w:szCs w:val="24"/>
        </w:rPr>
        <w:t>s Bureau of Fixed Utility</w:t>
      </w:r>
      <w:r w:rsidR="00026C99">
        <w:rPr>
          <w:szCs w:val="24"/>
        </w:rPr>
        <w:t xml:space="preserve"> Services</w:t>
      </w:r>
      <w:r w:rsidRPr="001171BE">
        <w:rPr>
          <w:szCs w:val="24"/>
        </w:rPr>
        <w:t xml:space="preserve"> (FUS) </w:t>
      </w:r>
      <w:r w:rsidRPr="001171BE">
        <w:rPr>
          <w:color w:val="000000"/>
          <w:szCs w:val="24"/>
          <w:lang w:bidi="he-IL"/>
        </w:rPr>
        <w:t>detailing its efforts and calculating the current unaccounted for wate</w:t>
      </w:r>
      <w:r w:rsidR="00026C99">
        <w:rPr>
          <w:color w:val="000000"/>
          <w:szCs w:val="24"/>
          <w:lang w:bidi="he-IL"/>
        </w:rPr>
        <w:t xml:space="preserve">r percentage every six months. </w:t>
      </w:r>
      <w:r w:rsidRPr="001171BE">
        <w:rPr>
          <w:color w:val="000000"/>
          <w:szCs w:val="24"/>
          <w:lang w:bidi="he-IL"/>
        </w:rPr>
        <w:t xml:space="preserve"> </w:t>
      </w:r>
      <w:r w:rsidRPr="001171BE">
        <w:rPr>
          <w:bCs/>
          <w:color w:val="000000"/>
          <w:szCs w:val="24"/>
          <w:lang w:bidi="he-IL"/>
        </w:rPr>
        <w:t xml:space="preserve">LSWC also </w:t>
      </w:r>
      <w:r w:rsidRPr="001171BE">
        <w:rPr>
          <w:color w:val="000000"/>
          <w:szCs w:val="24"/>
          <w:lang w:bidi="he-IL"/>
        </w:rPr>
        <w:t xml:space="preserve">agrees to follow the requirements and policies of the </w:t>
      </w:r>
      <w:r w:rsidRPr="001171BE">
        <w:rPr>
          <w:szCs w:val="24"/>
        </w:rPr>
        <w:t>Department of Environmental Protection</w:t>
      </w:r>
      <w:r w:rsidRPr="001171BE">
        <w:rPr>
          <w:color w:val="000000"/>
          <w:szCs w:val="24"/>
          <w:lang w:bidi="he-IL"/>
        </w:rPr>
        <w:t xml:space="preserve"> (DEP) regarding Tier I notice to customers, including boil water advisories, when there is a loss of positive pressure on the system. </w:t>
      </w:r>
    </w:p>
    <w:p w:rsidR="005A741E" w:rsidRPr="001171BE" w:rsidRDefault="005A741E" w:rsidP="00880D5A">
      <w:pPr>
        <w:pStyle w:val="Style"/>
        <w:spacing w:line="360" w:lineRule="auto"/>
        <w:ind w:left="7" w:right="13" w:firstLine="684"/>
        <w:jc w:val="both"/>
        <w:rPr>
          <w:color w:val="000000"/>
          <w:lang w:bidi="he-IL"/>
        </w:rPr>
      </w:pPr>
    </w:p>
    <w:p w:rsidR="005A741E" w:rsidRPr="001171BE" w:rsidRDefault="005A741E" w:rsidP="00880D5A">
      <w:pPr>
        <w:pStyle w:val="Level1"/>
        <w:tabs>
          <w:tab w:val="clear" w:pos="0"/>
        </w:tabs>
        <w:spacing w:line="360" w:lineRule="auto"/>
        <w:ind w:firstLine="1440"/>
      </w:pPr>
      <w:r w:rsidRPr="001171BE">
        <w:rPr>
          <w:bCs/>
          <w:color w:val="000000"/>
          <w:lang w:bidi="he-IL"/>
        </w:rPr>
        <w:t>With regard to Commission regulations,</w:t>
      </w:r>
      <w:r w:rsidRPr="001171BE">
        <w:rPr>
          <w:b/>
          <w:bCs/>
          <w:color w:val="000000"/>
          <w:lang w:bidi="he-IL"/>
        </w:rPr>
        <w:t xml:space="preserve"> </w:t>
      </w:r>
      <w:r w:rsidRPr="001171BE">
        <w:rPr>
          <w:color w:val="000000"/>
          <w:lang w:bidi="he-IL"/>
        </w:rPr>
        <w:t xml:space="preserve">LSWC agrees to conduct pressure surveys, maintain proper records and follow regulations regarding planned and unplanned service interruption, and maintain a customer complaint log, as required by PUC regulations. </w:t>
      </w:r>
      <w:r w:rsidR="00026C99">
        <w:rPr>
          <w:color w:val="000000"/>
          <w:lang w:bidi="he-IL"/>
        </w:rPr>
        <w:t xml:space="preserve"> </w:t>
      </w:r>
      <w:r w:rsidRPr="001171BE">
        <w:rPr>
          <w:color w:val="000000"/>
          <w:lang w:bidi="he-IL"/>
        </w:rPr>
        <w:t>The Company agrees to provide copies to the settling parties and to FUS of any written correspondence with the PUC or customers related to outages, low pressure, line breaks or other service interruptions.</w:t>
      </w:r>
      <w:r w:rsidR="00026C99">
        <w:rPr>
          <w:color w:val="000000"/>
          <w:lang w:bidi="he-IL"/>
        </w:rPr>
        <w:t xml:space="preserve"> </w:t>
      </w:r>
      <w:r w:rsidRPr="001171BE">
        <w:rPr>
          <w:color w:val="000000"/>
          <w:lang w:bidi="he-IL"/>
        </w:rPr>
        <w:t xml:space="preserve"> The Company also agrees that it will provide copies of the pressure surveys and all records of complaints for two years following the approval of this settlement, allowing all parties to review the operations of the Company.</w:t>
      </w:r>
    </w:p>
    <w:p w:rsidR="005A741E" w:rsidRPr="001171BE" w:rsidRDefault="005A741E" w:rsidP="00880D5A">
      <w:pPr>
        <w:pStyle w:val="Style"/>
        <w:tabs>
          <w:tab w:val="left" w:pos="0"/>
          <w:tab w:val="left" w:pos="677"/>
          <w:tab w:val="left" w:pos="1354"/>
          <w:tab w:val="left" w:pos="1980"/>
        </w:tabs>
        <w:spacing w:line="360" w:lineRule="auto"/>
        <w:ind w:right="20"/>
        <w:rPr>
          <w:color w:val="000000"/>
          <w:lang w:bidi="he-IL"/>
        </w:rPr>
      </w:pPr>
    </w:p>
    <w:p w:rsidR="005A741E" w:rsidRPr="001171BE" w:rsidRDefault="000A605A" w:rsidP="00070652">
      <w:pPr>
        <w:pStyle w:val="Style"/>
        <w:tabs>
          <w:tab w:val="left" w:pos="0"/>
          <w:tab w:val="left" w:pos="677"/>
          <w:tab w:val="left" w:pos="1354"/>
          <w:tab w:val="left" w:pos="1980"/>
        </w:tabs>
        <w:spacing w:line="360" w:lineRule="auto"/>
        <w:ind w:right="14" w:firstLine="1440"/>
      </w:pPr>
      <w:r>
        <w:t xml:space="preserve">In </w:t>
      </w:r>
      <w:r w:rsidR="005A741E" w:rsidRPr="001171BE">
        <w:t xml:space="preserve">its Statement in Support of the Settlement, </w:t>
      </w:r>
      <w:r>
        <w:t>LSWC</w:t>
      </w:r>
      <w:r w:rsidRPr="001171BE">
        <w:t xml:space="preserve"> </w:t>
      </w:r>
      <w:r w:rsidR="005A741E" w:rsidRPr="001171BE">
        <w:t xml:space="preserve">notes that </w:t>
      </w:r>
      <w:r w:rsidR="005A741E" w:rsidRPr="001171BE">
        <w:rPr>
          <w:color w:val="000000"/>
          <w:lang w:bidi="he-IL"/>
        </w:rPr>
        <w:t>the existing rates are severely deficient by any reasonable measure.  At present rates on an annual basis, a typical LSWC residential customer using 7,000 gallons per quarter pays approximately $216.00 for water service.  Under the water rates proposed in the settlement supplement attached as Appendix A to the Settlement Agreement, a typical LSWC residential customer will pay approximate</w:t>
      </w:r>
      <w:r w:rsidR="00070652">
        <w:rPr>
          <w:color w:val="000000"/>
          <w:lang w:bidi="he-IL"/>
        </w:rPr>
        <w:t xml:space="preserve">ly $402.00 for water service.  </w:t>
      </w:r>
      <w:r w:rsidR="005A741E" w:rsidRPr="001171BE">
        <w:rPr>
          <w:color w:val="000000"/>
          <w:lang w:bidi="he-IL"/>
        </w:rPr>
        <w:t xml:space="preserve">Although the percentage increase is approximately </w:t>
      </w:r>
      <w:r w:rsidR="005A741E" w:rsidRPr="001171BE">
        <w:rPr>
          <w:color w:val="000000"/>
          <w:lang w:bidi="he-IL"/>
        </w:rPr>
        <w:lastRenderedPageBreak/>
        <w:t xml:space="preserve">100%, LSWC points out that, at present rates, it is providing service to 145 customers and receiving total annual revenue of $30,764 (averaging approximately $207 per customer per year).  At the proposed settlement rates, LSWC would be receiving total annual revenue of approximately $60,764 (averaging approximately $419 per customer per year).  </w:t>
      </w:r>
      <w:r w:rsidR="005A741E" w:rsidRPr="001171BE">
        <w:t xml:space="preserve">The Company notes the agreed-upon rate specified in the Settlement is a reasonable and appropriate resolution even though it is less than the increase requested originally.  </w:t>
      </w:r>
      <w:r w:rsidR="005A741E" w:rsidRPr="001171BE">
        <w:rPr>
          <w:color w:val="000000"/>
          <w:lang w:bidi="he-IL"/>
        </w:rPr>
        <w:t xml:space="preserve">The Settlement rate level will provide LSWC with the cash flow to continue to provide reasonable and adequate service.  In </w:t>
      </w:r>
      <w:r w:rsidR="005A741E" w:rsidRPr="001171BE">
        <w:t xml:space="preserve">addition, the Settlement avoids costly litigation costs </w:t>
      </w:r>
      <w:r w:rsidR="00C14CD0">
        <w:t xml:space="preserve">recoverable in a future rate case, </w:t>
      </w:r>
      <w:r w:rsidR="005A741E" w:rsidRPr="001171BE">
        <w:t xml:space="preserve">and is in the public interest.  </w:t>
      </w:r>
    </w:p>
    <w:p w:rsidR="005A741E" w:rsidRPr="001171BE" w:rsidRDefault="005A741E" w:rsidP="00070652">
      <w:pPr>
        <w:pStyle w:val="Style"/>
        <w:tabs>
          <w:tab w:val="left" w:pos="0"/>
          <w:tab w:val="left" w:pos="677"/>
          <w:tab w:val="left" w:pos="1354"/>
          <w:tab w:val="left" w:pos="1980"/>
        </w:tabs>
        <w:spacing w:line="360" w:lineRule="auto"/>
        <w:ind w:right="14" w:firstLine="1440"/>
        <w:rPr>
          <w:color w:val="000000"/>
          <w:lang w:bidi="he-IL"/>
        </w:rPr>
      </w:pPr>
    </w:p>
    <w:p w:rsidR="005A741E" w:rsidRPr="00462EA6" w:rsidRDefault="005A741E" w:rsidP="00880D5A">
      <w:pPr>
        <w:pStyle w:val="Style"/>
        <w:tabs>
          <w:tab w:val="left" w:pos="1995"/>
          <w:tab w:val="left" w:pos="2664"/>
        </w:tabs>
        <w:spacing w:line="360" w:lineRule="auto"/>
        <w:ind w:right="50" w:firstLine="1440"/>
        <w:rPr>
          <w:color w:val="000000"/>
          <w:lang w:bidi="he-IL"/>
        </w:rPr>
      </w:pPr>
      <w:r w:rsidRPr="001171BE">
        <w:t xml:space="preserve">OTS believes the Settlement should be approved because it is in the public interest and balances the interests of the utility and ratepayers in a fair, just, reasonable and equitable manner.  </w:t>
      </w:r>
      <w:r w:rsidRPr="001171BE">
        <w:rPr>
          <w:color w:val="000000"/>
          <w:lang w:bidi="he-IL"/>
        </w:rPr>
        <w:t>According to OTS, t</w:t>
      </w:r>
      <w:r w:rsidRPr="001171BE">
        <w:t>he Settlement provides for a level of additional operating revenues that is reasonable and lawful.</w:t>
      </w:r>
      <w:r>
        <w:t xml:space="preserve"> </w:t>
      </w:r>
      <w:r w:rsidRPr="001171BE">
        <w:t xml:space="preserve"> The proposed rate increase is in the public interest because it allows the Company additional annual revenue while significantly moderating the amount of the increase for LSWC ratepayers. </w:t>
      </w:r>
      <w:r>
        <w:t xml:space="preserve"> </w:t>
      </w:r>
      <w:r w:rsidRPr="001171BE">
        <w:t>The</w:t>
      </w:r>
      <w:r>
        <w:t xml:space="preserve"> S</w:t>
      </w:r>
      <w:r w:rsidRPr="001171BE">
        <w:t>ettlement avoids the rate shock to customers of a 400% rate incr</w:t>
      </w:r>
      <w:r>
        <w:t>ease as proposed in the Company’</w:t>
      </w:r>
      <w:r w:rsidRPr="001171BE">
        <w:t>s filing by reducing that to 100%</w:t>
      </w:r>
      <w:r>
        <w:t xml:space="preserve">.  </w:t>
      </w:r>
      <w:r w:rsidRPr="001171BE">
        <w:t xml:space="preserve">In addition, the Settlement requires the Company to attempt in good faith to reduce its lost and unaccounted for water to below 40% and send reports to the settling parties and to FUS every six months detailing the actions taken to address unaccounted for water along with a calculation of its unaccounted for water during that period.  This Settlement term is designed to potentially reduce the expense to pump, treat and distribute unaccounted for water.  The Company’s unaccounted for water levels </w:t>
      </w:r>
      <w:r>
        <w:t xml:space="preserve">will be monitored by the </w:t>
      </w:r>
      <w:r w:rsidRPr="001171BE">
        <w:t xml:space="preserve">parties </w:t>
      </w:r>
      <w:r>
        <w:t xml:space="preserve">which </w:t>
      </w:r>
      <w:r w:rsidRPr="001171BE">
        <w:t xml:space="preserve">will </w:t>
      </w:r>
      <w:r>
        <w:t>be kept apprised of the Company’</w:t>
      </w:r>
      <w:r w:rsidRPr="001171BE">
        <w:t xml:space="preserve">s efforts to address this issue.  </w:t>
      </w:r>
    </w:p>
    <w:p w:rsidR="005A741E" w:rsidRDefault="005A741E" w:rsidP="00880D5A">
      <w:pPr>
        <w:spacing w:line="360" w:lineRule="auto"/>
        <w:rPr>
          <w:szCs w:val="24"/>
        </w:rPr>
      </w:pPr>
    </w:p>
    <w:p w:rsidR="005A741E" w:rsidRPr="001171BE" w:rsidRDefault="005A741E" w:rsidP="00880D5A">
      <w:pPr>
        <w:spacing w:line="360" w:lineRule="auto"/>
        <w:ind w:firstLine="1440"/>
        <w:rPr>
          <w:szCs w:val="24"/>
        </w:rPr>
      </w:pPr>
      <w:r>
        <w:rPr>
          <w:szCs w:val="24"/>
        </w:rPr>
        <w:t>OTS notes that t</w:t>
      </w:r>
      <w:r w:rsidRPr="001171BE">
        <w:rPr>
          <w:szCs w:val="24"/>
        </w:rPr>
        <w:t xml:space="preserve">he Settlement provides for maintenance of safe and adequate service by requiring LSWC to follow the requirements and policies of the DEP regarding Tier I notice when there is a loss of positive pressure in the system. </w:t>
      </w:r>
      <w:r w:rsidR="00070652">
        <w:rPr>
          <w:szCs w:val="24"/>
        </w:rPr>
        <w:t xml:space="preserve"> </w:t>
      </w:r>
      <w:r w:rsidRPr="001171BE">
        <w:rPr>
          <w:szCs w:val="24"/>
        </w:rPr>
        <w:t>The Company has also agreed to fami</w:t>
      </w:r>
      <w:r>
        <w:rPr>
          <w:szCs w:val="24"/>
        </w:rPr>
        <w:t>liarize itself with Commission r</w:t>
      </w:r>
      <w:r w:rsidRPr="001171BE">
        <w:rPr>
          <w:szCs w:val="24"/>
        </w:rPr>
        <w:t>egulations regarding recordkeeping, customer complaints, pressure surveys and service interruptions which will further provide safeguards to customers.  The Settlement requires th</w:t>
      </w:r>
      <w:r>
        <w:rPr>
          <w:szCs w:val="24"/>
        </w:rPr>
        <w:t>e Company to join PRWA, which</w:t>
      </w:r>
      <w:r w:rsidRPr="001171BE">
        <w:rPr>
          <w:szCs w:val="24"/>
        </w:rPr>
        <w:t xml:space="preserve"> will help the Company check for </w:t>
      </w:r>
      <w:r w:rsidRPr="001171BE">
        <w:rPr>
          <w:szCs w:val="24"/>
        </w:rPr>
        <w:lastRenderedPageBreak/>
        <w:t xml:space="preserve">leaks, and thereby, reduce its amount of lost and unaccounted for water.  OTS believes that all issues have been satisfactorily resolved through discovery and discussions with the Company and are incorporated in the settlement.  Therefore, the Settlement avoids the substantial costs in time and expenses that would be incurred if the parties litigated the case.  </w:t>
      </w:r>
    </w:p>
    <w:p w:rsidR="005A741E" w:rsidRPr="001171BE" w:rsidRDefault="005A741E" w:rsidP="00880D5A">
      <w:pPr>
        <w:spacing w:line="360" w:lineRule="auto"/>
        <w:rPr>
          <w:szCs w:val="24"/>
        </w:rPr>
      </w:pPr>
    </w:p>
    <w:p w:rsidR="005A741E" w:rsidRPr="001171BE" w:rsidRDefault="005A741E" w:rsidP="00880D5A">
      <w:pPr>
        <w:spacing w:line="360" w:lineRule="auto"/>
        <w:rPr>
          <w:szCs w:val="24"/>
        </w:rPr>
      </w:pPr>
      <w:r w:rsidRPr="001171BE">
        <w:rPr>
          <w:szCs w:val="24"/>
        </w:rPr>
        <w:tab/>
      </w:r>
      <w:r w:rsidRPr="001171BE">
        <w:rPr>
          <w:szCs w:val="24"/>
        </w:rPr>
        <w:tab/>
        <w:t>OCA avers</w:t>
      </w:r>
      <w:r w:rsidRPr="001171BE">
        <w:rPr>
          <w:color w:val="000000"/>
          <w:szCs w:val="24"/>
          <w:lang w:bidi="he-IL"/>
        </w:rPr>
        <w:t xml:space="preserve"> that the terms and conditions of the Settlement represent a fair and reasonable resolution of the issues and claims arising in this proceeding.  According to OCA, </w:t>
      </w:r>
      <w:r w:rsidRPr="001171BE">
        <w:rPr>
          <w:szCs w:val="24"/>
        </w:rPr>
        <w:t xml:space="preserve">the Settlement is in the public interest by providing for a smaller rate increase than originally proposed by the utility.  It also produces </w:t>
      </w:r>
      <w:r w:rsidRPr="001171BE">
        <w:rPr>
          <w:color w:val="000000"/>
          <w:szCs w:val="24"/>
          <w:lang w:bidi="he-IL"/>
        </w:rPr>
        <w:t>revenues within a range of anticipated litigation outcomes, while allowing ratepayers to benefit from the other service related provisions addressing unaccounted for water, notices of outages, line breaks, Commission service regulations and membership in PRWA.</w:t>
      </w:r>
    </w:p>
    <w:p w:rsidR="005A741E" w:rsidRDefault="005A741E" w:rsidP="00880D5A">
      <w:pPr>
        <w:spacing w:line="360" w:lineRule="auto"/>
        <w:rPr>
          <w:szCs w:val="24"/>
        </w:rPr>
      </w:pPr>
    </w:p>
    <w:p w:rsidR="005A741E" w:rsidRDefault="005A741E" w:rsidP="00880D5A">
      <w:pPr>
        <w:spacing w:line="360" w:lineRule="auto"/>
      </w:pPr>
      <w:r>
        <w:rPr>
          <w:szCs w:val="24"/>
        </w:rPr>
        <w:tab/>
      </w:r>
      <w:r>
        <w:rPr>
          <w:szCs w:val="24"/>
        </w:rPr>
        <w:tab/>
        <w:t xml:space="preserve">In his </w:t>
      </w:r>
      <w:r>
        <w:t xml:space="preserve">letter dated December 17, 2009, Mr. Tubiolo expressed his objections to rate increase proposed in the Settlement in view of the increased cost of other services and the poor quality of service provided by LSWC.  Similarly, </w:t>
      </w:r>
      <w:r>
        <w:rPr>
          <w:szCs w:val="24"/>
        </w:rPr>
        <w:t>in his letter dated December 21, 2009, Mr. Pitely cites several objections to the Settlement.</w:t>
      </w:r>
      <w:r w:rsidRPr="00FE20B6">
        <w:t xml:space="preserve"> </w:t>
      </w:r>
      <w:r>
        <w:t xml:space="preserve"> In particular, Mr. Pitely objects to the Settlement in view of the Company’s high percentage of unaccounted for water; the Company’s desire to provide water pressure between 25 psi and 150 psi; the deed covenants which prevent property owners,</w:t>
      </w:r>
      <w:r w:rsidR="00D57ACC">
        <w:t xml:space="preserve"> who are also LSWC customers, from </w:t>
      </w:r>
      <w:r>
        <w:t>drill</w:t>
      </w:r>
      <w:r w:rsidR="00D57ACC">
        <w:t>ing</w:t>
      </w:r>
      <w:r>
        <w:t xml:space="preserve"> water wells in their properties; LSWC’s charge of $40.00 to have its meters tested;</w:t>
      </w:r>
      <w:r w:rsidR="00C14CD0">
        <w:rPr>
          <w:rStyle w:val="FootnoteReference"/>
        </w:rPr>
        <w:footnoteReference w:id="3"/>
      </w:r>
      <w:r>
        <w:t xml:space="preserve"> the cost of water service for those LSWC customers that use more than 7,000 gallons of water each quarter if the Settlement is approved by the Commission; and finally, the poor quality of service that LSWC is providing to its customers.</w:t>
      </w:r>
    </w:p>
    <w:p w:rsidR="005A741E" w:rsidRDefault="005A741E" w:rsidP="00880D5A">
      <w:pPr>
        <w:spacing w:line="360" w:lineRule="auto"/>
      </w:pPr>
    </w:p>
    <w:p w:rsidR="00C27FC4" w:rsidRDefault="00AE0896" w:rsidP="00880D5A">
      <w:pPr>
        <w:spacing w:line="360" w:lineRule="auto"/>
        <w:ind w:firstLine="1440"/>
        <w:rPr>
          <w:szCs w:val="24"/>
        </w:rPr>
      </w:pPr>
      <w:r>
        <w:rPr>
          <w:szCs w:val="24"/>
        </w:rPr>
        <w:t>Pursuant to the terms of the Settlement, LSWC will make good faith efforts to reduce unaccounted for water below 40%.  The Company’s efforts in this regard wil</w:t>
      </w:r>
      <w:r w:rsidR="00BA1F71">
        <w:rPr>
          <w:szCs w:val="24"/>
        </w:rPr>
        <w:t>l be under the constant supervision of OCA, OTS and FUS, as LSWC ha</w:t>
      </w:r>
      <w:r w:rsidR="00C27FC4">
        <w:rPr>
          <w:szCs w:val="24"/>
        </w:rPr>
        <w:t xml:space="preserve">s agreed to send them reports every six months detailing the amount of unaccounted for water during the prior six month period and any action taken by the Company to address the problem of unaccounted for water during that </w:t>
      </w:r>
      <w:r w:rsidR="00C27FC4">
        <w:rPr>
          <w:szCs w:val="24"/>
        </w:rPr>
        <w:lastRenderedPageBreak/>
        <w:t xml:space="preserve">period of time.  </w:t>
      </w:r>
      <w:r w:rsidR="005A741E">
        <w:rPr>
          <w:szCs w:val="24"/>
        </w:rPr>
        <w:t xml:space="preserve">In addition, </w:t>
      </w:r>
      <w:r w:rsidR="00E238EC">
        <w:rPr>
          <w:szCs w:val="24"/>
        </w:rPr>
        <w:t>LSWC’s efforts to reduce unaccounted for water will be carefully reviewed in its next general rate filing.</w:t>
      </w:r>
      <w:r w:rsidR="00B7577C">
        <w:rPr>
          <w:szCs w:val="24"/>
        </w:rPr>
        <w:t xml:space="preserve">  (Settlement ¶10 (c)).</w:t>
      </w:r>
    </w:p>
    <w:p w:rsidR="00484DD4" w:rsidRDefault="00484DD4" w:rsidP="00880D5A">
      <w:pPr>
        <w:spacing w:line="360" w:lineRule="auto"/>
        <w:ind w:firstLine="1440"/>
        <w:rPr>
          <w:szCs w:val="24"/>
        </w:rPr>
      </w:pPr>
    </w:p>
    <w:p w:rsidR="006B5A59" w:rsidRDefault="00CB3410" w:rsidP="00880D5A">
      <w:pPr>
        <w:spacing w:line="360" w:lineRule="auto"/>
        <w:ind w:firstLine="1440"/>
        <w:rPr>
          <w:szCs w:val="24"/>
        </w:rPr>
      </w:pPr>
      <w:r>
        <w:rPr>
          <w:szCs w:val="24"/>
        </w:rPr>
        <w:t>I believe that t</w:t>
      </w:r>
      <w:r w:rsidR="00B7577C">
        <w:rPr>
          <w:szCs w:val="24"/>
        </w:rPr>
        <w:t>he measures that LSWC will have to take in order to reduce its unaccounted for water from 80% to below 40%</w:t>
      </w:r>
      <w:r w:rsidR="00453855">
        <w:rPr>
          <w:szCs w:val="24"/>
        </w:rPr>
        <w:t>,</w:t>
      </w:r>
      <w:r w:rsidR="00B7577C">
        <w:rPr>
          <w:szCs w:val="24"/>
        </w:rPr>
        <w:t xml:space="preserve"> alone</w:t>
      </w:r>
      <w:r w:rsidR="00453855">
        <w:rPr>
          <w:szCs w:val="24"/>
        </w:rPr>
        <w:t>,</w:t>
      </w:r>
      <w:r w:rsidR="00B7577C">
        <w:rPr>
          <w:szCs w:val="24"/>
        </w:rPr>
        <w:t xml:space="preserve"> will have a positive impact on reducing the number of line breaks, increasing water pressure and improving the quality of water for LSWC’s customers.  </w:t>
      </w:r>
      <w:r>
        <w:rPr>
          <w:szCs w:val="24"/>
        </w:rPr>
        <w:t>However, w</w:t>
      </w:r>
      <w:r w:rsidR="00B7577C">
        <w:rPr>
          <w:szCs w:val="24"/>
        </w:rPr>
        <w:t xml:space="preserve">orking towards that outcome, the Settlement </w:t>
      </w:r>
      <w:r>
        <w:rPr>
          <w:szCs w:val="24"/>
        </w:rPr>
        <w:t xml:space="preserve">also </w:t>
      </w:r>
      <w:r w:rsidR="00B7577C">
        <w:rPr>
          <w:szCs w:val="24"/>
        </w:rPr>
        <w:t>provides</w:t>
      </w:r>
      <w:r>
        <w:rPr>
          <w:szCs w:val="24"/>
        </w:rPr>
        <w:t xml:space="preserve"> for LSWC’s compliance with Commission </w:t>
      </w:r>
      <w:r w:rsidR="00A95BB0" w:rsidRPr="001171BE">
        <w:rPr>
          <w:color w:val="000000"/>
          <w:lang w:bidi="he-IL"/>
        </w:rPr>
        <w:t xml:space="preserve">Regulations concerning recordkeeping, customer complaints, pressure surveys, and planned and unplanned service interruptions, including low pressure. </w:t>
      </w:r>
      <w:r w:rsidR="00070652">
        <w:rPr>
          <w:color w:val="000000"/>
          <w:lang w:bidi="he-IL"/>
        </w:rPr>
        <w:t xml:space="preserve"> </w:t>
      </w:r>
      <w:r w:rsidR="00A95BB0" w:rsidRPr="001171BE">
        <w:rPr>
          <w:color w:val="000000"/>
          <w:lang w:bidi="he-IL"/>
        </w:rPr>
        <w:t xml:space="preserve">52 Pa. Code §§ 56.71, 56.93, 56.202, 65.3, 65.5, 65.6, 67.1 and 69.1601.  </w:t>
      </w:r>
      <w:r w:rsidR="003A449F">
        <w:rPr>
          <w:color w:val="000000"/>
          <w:lang w:bidi="he-IL"/>
        </w:rPr>
        <w:t>LSWC agrees to provide OTS, OCA and FUS</w:t>
      </w:r>
      <w:r w:rsidR="00216251">
        <w:rPr>
          <w:color w:val="000000"/>
          <w:lang w:bidi="he-IL"/>
        </w:rPr>
        <w:t xml:space="preserve"> with any written correspondence related to outages, low pressure, line breaks or other service interruptions, and, f</w:t>
      </w:r>
      <w:r w:rsidR="00A95BB0">
        <w:rPr>
          <w:color w:val="000000"/>
          <w:lang w:bidi="he-IL"/>
        </w:rPr>
        <w:t xml:space="preserve">or </w:t>
      </w:r>
      <w:r w:rsidR="00A95BB0" w:rsidRPr="001171BE">
        <w:rPr>
          <w:color w:val="000000"/>
          <w:lang w:bidi="he-IL"/>
        </w:rPr>
        <w:t>a period of 24 months after t</w:t>
      </w:r>
      <w:r w:rsidR="00A95BB0">
        <w:rPr>
          <w:color w:val="000000"/>
          <w:lang w:bidi="he-IL"/>
        </w:rPr>
        <w:t>he entry date of the Commission’</w:t>
      </w:r>
      <w:r w:rsidR="00A95BB0" w:rsidRPr="001171BE">
        <w:rPr>
          <w:color w:val="000000"/>
          <w:lang w:bidi="he-IL"/>
        </w:rPr>
        <w:t xml:space="preserve">s Order approving this Joint Petition for Settlement, LSWC will provide </w:t>
      </w:r>
      <w:r w:rsidR="00216251">
        <w:rPr>
          <w:color w:val="000000"/>
          <w:lang w:bidi="he-IL"/>
        </w:rPr>
        <w:t xml:space="preserve">these parties </w:t>
      </w:r>
      <w:r w:rsidR="00A95BB0" w:rsidRPr="001171BE">
        <w:rPr>
          <w:color w:val="000000"/>
          <w:lang w:bidi="he-IL"/>
        </w:rPr>
        <w:t xml:space="preserve">with a copy of the pressure surveys </w:t>
      </w:r>
      <w:r w:rsidR="00A95BB0">
        <w:rPr>
          <w:color w:val="000000"/>
          <w:lang w:bidi="he-IL"/>
        </w:rPr>
        <w:t xml:space="preserve">and </w:t>
      </w:r>
      <w:r w:rsidR="00A95BB0" w:rsidRPr="001171BE">
        <w:rPr>
          <w:color w:val="000000"/>
          <w:lang w:bidi="he-IL"/>
        </w:rPr>
        <w:t>copies of all records of complaints</w:t>
      </w:r>
      <w:r w:rsidR="00216251">
        <w:rPr>
          <w:color w:val="000000"/>
          <w:lang w:bidi="he-IL"/>
        </w:rPr>
        <w:t>.</w:t>
      </w:r>
      <w:r w:rsidR="00216251" w:rsidRPr="00216251">
        <w:rPr>
          <w:szCs w:val="24"/>
        </w:rPr>
        <w:t xml:space="preserve"> </w:t>
      </w:r>
      <w:r w:rsidR="00216251">
        <w:rPr>
          <w:szCs w:val="24"/>
        </w:rPr>
        <w:t>(Settlement ¶10 (e)).</w:t>
      </w:r>
      <w:r w:rsidR="00F82F1F">
        <w:rPr>
          <w:szCs w:val="24"/>
        </w:rPr>
        <w:t xml:space="preserve">  Furthermore, the terms of the Settlement provide for LSWC’s compliance with the requirements and policies of the DEP regarding Tier 1 notice whenever there is a loss of positive pressure in its system.</w:t>
      </w:r>
    </w:p>
    <w:p w:rsidR="00F82F1F" w:rsidRDefault="00F82F1F" w:rsidP="00880D5A">
      <w:pPr>
        <w:spacing w:line="360" w:lineRule="auto"/>
        <w:ind w:firstLine="1440"/>
        <w:rPr>
          <w:szCs w:val="24"/>
        </w:rPr>
      </w:pPr>
    </w:p>
    <w:p w:rsidR="00C27FC4" w:rsidRDefault="00F82F1F" w:rsidP="00880D5A">
      <w:pPr>
        <w:spacing w:line="360" w:lineRule="auto"/>
        <w:ind w:firstLine="1440"/>
        <w:rPr>
          <w:szCs w:val="24"/>
        </w:rPr>
      </w:pPr>
      <w:r w:rsidRPr="001171BE">
        <w:rPr>
          <w:szCs w:val="24"/>
        </w:rPr>
        <w:t>Upon reviewing the terms and conditions of the Settlement, and the Statements in Support thereof by LSWC, OTS and OCA,</w:t>
      </w:r>
      <w:r>
        <w:rPr>
          <w:szCs w:val="24"/>
        </w:rPr>
        <w:t xml:space="preserve"> I conclude that the Settlement addresses the quality of service and the unaccounted for water issues raised by Messrs. Tubiolo and Pitely.  </w:t>
      </w:r>
    </w:p>
    <w:p w:rsidR="0006383F" w:rsidRDefault="0006383F" w:rsidP="00880D5A">
      <w:pPr>
        <w:spacing w:line="360" w:lineRule="auto"/>
        <w:ind w:firstLine="1440"/>
        <w:rPr>
          <w:szCs w:val="24"/>
        </w:rPr>
      </w:pPr>
    </w:p>
    <w:p w:rsidR="0006383F" w:rsidRDefault="0006383F" w:rsidP="00880D5A">
      <w:pPr>
        <w:spacing w:line="360" w:lineRule="auto"/>
        <w:ind w:firstLine="1440"/>
        <w:rPr>
          <w:szCs w:val="24"/>
        </w:rPr>
      </w:pPr>
      <w:r>
        <w:rPr>
          <w:szCs w:val="24"/>
        </w:rPr>
        <w:t xml:space="preserve">On the subject of the financial burden that the rate increase will put on LSWC’s customers, I find that </w:t>
      </w:r>
      <w:r w:rsidR="005A741E">
        <w:rPr>
          <w:szCs w:val="24"/>
        </w:rPr>
        <w:t>the reduction of the proposed revenue increase, from $92,292 to $30,000,</w:t>
      </w:r>
      <w:r w:rsidR="005A741E" w:rsidRPr="00B034F9">
        <w:rPr>
          <w:szCs w:val="24"/>
        </w:rPr>
        <w:t xml:space="preserve"> </w:t>
      </w:r>
      <w:r w:rsidR="005A741E">
        <w:rPr>
          <w:szCs w:val="24"/>
        </w:rPr>
        <w:t xml:space="preserve">successfully balances the interest of the Company with that of its ratepayers, </w:t>
      </w:r>
      <w:r w:rsidR="005A741E">
        <w:t>allowing</w:t>
      </w:r>
      <w:r w:rsidR="005A741E" w:rsidRPr="001171BE">
        <w:t xml:space="preserve"> the Company additional annual revenue while significantly moderating the amount of the increase for LSWC ratepayers</w:t>
      </w:r>
      <w:r w:rsidR="005A741E">
        <w:t>.</w:t>
      </w:r>
      <w:r w:rsidR="005A741E">
        <w:rPr>
          <w:szCs w:val="24"/>
        </w:rPr>
        <w:t xml:space="preserve">   </w:t>
      </w:r>
    </w:p>
    <w:p w:rsidR="0006383F" w:rsidRDefault="0006383F" w:rsidP="00880D5A">
      <w:pPr>
        <w:spacing w:line="360" w:lineRule="auto"/>
        <w:ind w:firstLine="1440"/>
        <w:rPr>
          <w:szCs w:val="24"/>
        </w:rPr>
      </w:pPr>
    </w:p>
    <w:p w:rsidR="0051701E" w:rsidRDefault="00CB3176" w:rsidP="00880D5A">
      <w:pPr>
        <w:spacing w:line="360" w:lineRule="auto"/>
        <w:ind w:firstLine="1440"/>
        <w:rPr>
          <w:szCs w:val="24"/>
        </w:rPr>
      </w:pPr>
      <w:r>
        <w:rPr>
          <w:szCs w:val="24"/>
        </w:rPr>
        <w:t>Next</w:t>
      </w:r>
      <w:r w:rsidR="005A741E">
        <w:rPr>
          <w:szCs w:val="24"/>
        </w:rPr>
        <w:t xml:space="preserve">, </w:t>
      </w:r>
      <w:r w:rsidR="00376A86">
        <w:rPr>
          <w:szCs w:val="24"/>
        </w:rPr>
        <w:t xml:space="preserve">I will address </w:t>
      </w:r>
      <w:r w:rsidR="0006383F">
        <w:rPr>
          <w:szCs w:val="24"/>
        </w:rPr>
        <w:t xml:space="preserve">Mr. Pitely’s objections </w:t>
      </w:r>
      <w:r w:rsidR="00040B37">
        <w:rPr>
          <w:szCs w:val="24"/>
        </w:rPr>
        <w:t xml:space="preserve">regarding </w:t>
      </w:r>
      <w:r w:rsidR="0006383F">
        <w:rPr>
          <w:szCs w:val="24"/>
        </w:rPr>
        <w:t>t</w:t>
      </w:r>
      <w:r w:rsidR="00E34BFD">
        <w:rPr>
          <w:szCs w:val="24"/>
        </w:rPr>
        <w:t xml:space="preserve">he </w:t>
      </w:r>
      <w:r>
        <w:rPr>
          <w:szCs w:val="24"/>
        </w:rPr>
        <w:t>proposed water pressure and</w:t>
      </w:r>
      <w:r w:rsidR="00E34BFD">
        <w:rPr>
          <w:szCs w:val="24"/>
        </w:rPr>
        <w:t xml:space="preserve"> meter testing charge</w:t>
      </w:r>
      <w:r w:rsidR="0051701E">
        <w:rPr>
          <w:szCs w:val="24"/>
        </w:rPr>
        <w:t>.  In his objections to the Settlement, Mr. Pitely states:</w:t>
      </w:r>
    </w:p>
    <w:p w:rsidR="0051701E" w:rsidRDefault="0051701E" w:rsidP="00880D5A">
      <w:pPr>
        <w:spacing w:line="360" w:lineRule="auto"/>
        <w:ind w:firstLine="1440"/>
        <w:rPr>
          <w:szCs w:val="24"/>
        </w:rPr>
      </w:pPr>
    </w:p>
    <w:p w:rsidR="0051701E" w:rsidRDefault="0051701E" w:rsidP="00880D5A">
      <w:pPr>
        <w:tabs>
          <w:tab w:val="left" w:pos="1440"/>
        </w:tabs>
        <w:ind w:left="1440" w:right="1440"/>
      </w:pPr>
      <w:r>
        <w:rPr>
          <w:szCs w:val="24"/>
        </w:rPr>
        <w:lastRenderedPageBreak/>
        <w:t>T</w:t>
      </w:r>
      <w:r>
        <w:t xml:space="preserve">he company wishes to provide </w:t>
      </w:r>
      <w:r w:rsidR="00376A86">
        <w:t>pres</w:t>
      </w:r>
      <w:r>
        <w:t>sure between 25 psi and 150 psi.  The manufacturers of my water heater and my dishwasher recommend that pressure not exceed 120 psi.  LSWC says that if 150</w:t>
      </w:r>
      <w:r w:rsidR="0068689E">
        <w:t xml:space="preserve"> </w:t>
      </w:r>
      <w:r>
        <w:t>psi is too much we (their customers) must provide reducing equipment at our expense.  Right now, our daily pressures are in the 20 psi range (too low).  If LSWC ever does fix its lines and actually provide 150 psi, the resulting pressures will cause damage at great cost.</w:t>
      </w:r>
      <w:r w:rsidR="00376A86">
        <w:t xml:space="preserve"> </w:t>
      </w:r>
    </w:p>
    <w:p w:rsidR="000C7140" w:rsidRPr="00D044C8" w:rsidRDefault="000C7140" w:rsidP="00880D5A">
      <w:pPr>
        <w:spacing w:line="360" w:lineRule="auto"/>
      </w:pPr>
    </w:p>
    <w:p w:rsidR="000C7140" w:rsidRDefault="000C7140" w:rsidP="00880D5A">
      <w:pPr>
        <w:spacing w:line="360" w:lineRule="auto"/>
      </w:pPr>
      <w:r w:rsidRPr="00D044C8">
        <w:t xml:space="preserve">Mr. Pitely is referring to Page 12 of </w:t>
      </w:r>
      <w:r w:rsidR="00407424" w:rsidRPr="00D044C8">
        <w:t xml:space="preserve">LSWC’s proposed </w:t>
      </w:r>
      <w:r w:rsidR="0068689E">
        <w:t>Tariff Water – P</w:t>
      </w:r>
      <w:r w:rsidR="00D044C8">
        <w:t xml:space="preserve">a. P.U.C. No. 5, </w:t>
      </w:r>
      <w:r w:rsidRPr="00D044C8">
        <w:t>Part III: Rules and Regulations—Section B – Construction and Maintenance of Facilities Pressure</w:t>
      </w:r>
      <w:r w:rsidR="00D044C8">
        <w:t xml:space="preserve">.  Paragraph eight (8) reads: </w:t>
      </w:r>
    </w:p>
    <w:p w:rsidR="00070652" w:rsidRDefault="00070652" w:rsidP="00070652"/>
    <w:p w:rsidR="00D044C8" w:rsidRPr="00D044C8" w:rsidRDefault="00D044C8" w:rsidP="00880D5A">
      <w:pPr>
        <w:ind w:left="1440" w:right="1440"/>
      </w:pPr>
      <w:r>
        <w:t>Pressure: Generally the Company will maintain service pressures from 25 p</w:t>
      </w:r>
      <w:r w:rsidR="00F97269">
        <w:t>.s.i.g (pounds per square inch g</w:t>
      </w:r>
      <w:r w:rsidR="00D96CDE">
        <w:t>a</w:t>
      </w:r>
      <w:r>
        <w:t xml:space="preserve">uge) to 125 p.s.i.g. at the main, but during periods of peak demand pressures at the main may range from 20 to 150 p.s.i.g.  The Company may furnish service at other pressures </w:t>
      </w:r>
      <w:r w:rsidR="00F97269">
        <w:t>where necessary to supply adequate service.</w:t>
      </w:r>
    </w:p>
    <w:p w:rsidR="00F97269" w:rsidRDefault="00F97269" w:rsidP="00880D5A">
      <w:pPr>
        <w:spacing w:line="360" w:lineRule="auto"/>
      </w:pPr>
    </w:p>
    <w:p w:rsidR="00EC00AC" w:rsidRDefault="00EC00AC" w:rsidP="00880D5A">
      <w:pPr>
        <w:spacing w:line="360" w:lineRule="auto"/>
      </w:pPr>
      <w:r>
        <w:t xml:space="preserve">I find that </w:t>
      </w:r>
      <w:r w:rsidR="00720D2A">
        <w:t>the Settlement provision</w:t>
      </w:r>
      <w:r>
        <w:t xml:space="preserve"> compl</w:t>
      </w:r>
      <w:r w:rsidR="00720D2A">
        <w:t>ies</w:t>
      </w:r>
      <w:r>
        <w:t xml:space="preserve"> </w:t>
      </w:r>
      <w:r w:rsidR="00F97269">
        <w:t xml:space="preserve">with </w:t>
      </w:r>
      <w:r>
        <w:t>Commission regulations regarding water pressure</w:t>
      </w:r>
      <w:r w:rsidR="00B531D1">
        <w:t>,</w:t>
      </w:r>
    </w:p>
    <w:p w:rsidR="00EC00AC" w:rsidRDefault="00EC00AC" w:rsidP="00880D5A">
      <w:pPr>
        <w:tabs>
          <w:tab w:val="left" w:pos="7920"/>
        </w:tabs>
        <w:ind w:left="1440" w:right="1440"/>
        <w:rPr>
          <w:szCs w:val="24"/>
        </w:rPr>
      </w:pPr>
      <w:r w:rsidRPr="00EC00AC">
        <w:rPr>
          <w:szCs w:val="24"/>
        </w:rPr>
        <w:t xml:space="preserve">(a) </w:t>
      </w:r>
      <w:r w:rsidRPr="00EC00AC">
        <w:rPr>
          <w:i/>
          <w:iCs/>
          <w:szCs w:val="24"/>
        </w:rPr>
        <w:t>Variations in pressure.</w:t>
      </w:r>
      <w:r w:rsidRPr="00EC00AC">
        <w:rPr>
          <w:szCs w:val="24"/>
        </w:rPr>
        <w:t xml:space="preserve"> The utility shall maintain normal operating pressures of not less than 25 p.s.i.g. nor more than 125 p.s.i.g. at the main, except that during periods of peak seasonal loads the pressures at the time of hourly maximum demand may be not less than 20 p.s.i.g. nor more than 150 p.s.i.g. and that during periods of hourly minimum demand the pressure may be not more than 150 p.s.i.g. A utility may undertake to furnish a service which does not comply with the foregoing specifications where compliance with such specifications would prevent it from furnishing adequate service to any customer or where called for by good engineering practices.</w:t>
      </w:r>
    </w:p>
    <w:p w:rsidR="00EC00AC" w:rsidRPr="00EC00AC" w:rsidRDefault="00EC00AC" w:rsidP="00880D5A">
      <w:pPr>
        <w:tabs>
          <w:tab w:val="left" w:pos="7920"/>
        </w:tabs>
        <w:ind w:left="1440" w:right="1440"/>
        <w:rPr>
          <w:szCs w:val="24"/>
        </w:rPr>
      </w:pPr>
    </w:p>
    <w:p w:rsidR="00B531D1" w:rsidRDefault="00B531D1" w:rsidP="00880D5A">
      <w:pPr>
        <w:spacing w:line="360" w:lineRule="auto"/>
      </w:pPr>
      <w:r>
        <w:t>52 Pa. Code §65.6(a).</w:t>
      </w:r>
    </w:p>
    <w:p w:rsidR="00B531D1" w:rsidRDefault="00B531D1" w:rsidP="00880D5A">
      <w:pPr>
        <w:spacing w:line="360" w:lineRule="auto"/>
        <w:ind w:firstLine="720"/>
      </w:pPr>
    </w:p>
    <w:p w:rsidR="00376A86" w:rsidRDefault="00B531D1" w:rsidP="00880D5A">
      <w:pPr>
        <w:spacing w:line="360" w:lineRule="auto"/>
        <w:ind w:firstLine="1440"/>
      </w:pPr>
      <w:r>
        <w:t xml:space="preserve">Mr. Pitely’s objection to LSWC’s proposed charge </w:t>
      </w:r>
      <w:r w:rsidR="00376A86" w:rsidRPr="00D044C8">
        <w:t>of $40.00 to have its meters tested</w:t>
      </w:r>
      <w:r w:rsidR="001466B8">
        <w:t xml:space="preserve"> is particularly noteworthy.  Complainant is referring to Page 6 of LSWC’s </w:t>
      </w:r>
      <w:r w:rsidR="001466B8" w:rsidRPr="00D044C8">
        <w:t xml:space="preserve">proposed </w:t>
      </w:r>
      <w:r w:rsidR="001466B8">
        <w:t>Tariff Water –</w:t>
      </w:r>
      <w:r w:rsidR="00214EF1">
        <w:t xml:space="preserve"> P</w:t>
      </w:r>
      <w:r w:rsidR="001466B8">
        <w:t xml:space="preserve">a. P.U.C. No. 5, </w:t>
      </w:r>
      <w:r w:rsidR="001466B8" w:rsidRPr="00D044C8">
        <w:t>Part I</w:t>
      </w:r>
      <w:r w:rsidR="001466B8">
        <w:t>: Schedule of Rates and Charges – Section F which reads in</w:t>
      </w:r>
      <w:r w:rsidR="00DA3B07">
        <w:t xml:space="preserve"> its entirety</w:t>
      </w:r>
      <w:r w:rsidR="001466B8">
        <w:t>:</w:t>
      </w:r>
    </w:p>
    <w:p w:rsidR="001466B8" w:rsidRPr="00DA3B07" w:rsidRDefault="001466B8" w:rsidP="00880D5A">
      <w:pPr>
        <w:ind w:left="1440" w:right="1440"/>
        <w:rPr>
          <w:u w:val="single"/>
        </w:rPr>
      </w:pPr>
      <w:r w:rsidRPr="00DA3B07">
        <w:rPr>
          <w:u w:val="single"/>
        </w:rPr>
        <w:lastRenderedPageBreak/>
        <w:t>Meter Test Rates</w:t>
      </w:r>
    </w:p>
    <w:p w:rsidR="001466B8" w:rsidRPr="00DA3B07" w:rsidRDefault="001466B8" w:rsidP="00880D5A">
      <w:pPr>
        <w:ind w:left="1440" w:right="1440"/>
      </w:pPr>
      <w:r w:rsidRPr="00DA3B07">
        <w:t>Consistent with Commission regulation at 52 Pa. Code §</w:t>
      </w:r>
      <w:r w:rsidR="00720D2A">
        <w:t xml:space="preserve"> </w:t>
      </w:r>
      <w:r w:rsidR="001F3228" w:rsidRPr="00DA3B07">
        <w:t>65.8(h), the fee schedule for testing meters shall be as follows:</w:t>
      </w:r>
    </w:p>
    <w:p w:rsidR="00ED6747" w:rsidRDefault="00ED6747" w:rsidP="00880D5A">
      <w:pPr>
        <w:ind w:left="2160" w:right="1440"/>
      </w:pPr>
    </w:p>
    <w:p w:rsidR="001F3228" w:rsidRPr="00DA3B07" w:rsidRDefault="001F3228" w:rsidP="00880D5A">
      <w:pPr>
        <w:ind w:left="2160" w:right="1440"/>
      </w:pPr>
      <w:r w:rsidRPr="00DA3B07">
        <w:t>1 inch or less</w:t>
      </w:r>
      <w:r w:rsidRPr="00DA3B07">
        <w:tab/>
      </w:r>
      <w:r w:rsidRPr="00DA3B07">
        <w:tab/>
        <w:t>$40.00</w:t>
      </w:r>
    </w:p>
    <w:p w:rsidR="001F3228" w:rsidRPr="00DA3B07" w:rsidRDefault="001F3228" w:rsidP="00880D5A">
      <w:pPr>
        <w:ind w:left="2160" w:right="1440"/>
      </w:pPr>
      <w:r w:rsidRPr="00DA3B07">
        <w:t>1 ¼ inch – 2 inch</w:t>
      </w:r>
      <w:r w:rsidRPr="00DA3B07">
        <w:tab/>
        <w:t>$80.00</w:t>
      </w:r>
    </w:p>
    <w:p w:rsidR="001F3228" w:rsidRPr="00DA3B07" w:rsidRDefault="001F3228" w:rsidP="00880D5A">
      <w:pPr>
        <w:ind w:left="1440" w:right="1440"/>
      </w:pPr>
      <w:r w:rsidRPr="00DA3B07">
        <w:t>These amounts</w:t>
      </w:r>
      <w:r w:rsidR="00DA3B07" w:rsidRPr="00DA3B07">
        <w:t xml:space="preserve"> </w:t>
      </w:r>
      <w:r w:rsidRPr="00DA3B07">
        <w:t xml:space="preserve">may very without revision of </w:t>
      </w:r>
      <w:r w:rsidR="00DA3B07" w:rsidRPr="00DA3B07">
        <w:t>this tariff so as to be consistent</w:t>
      </w:r>
      <w:r w:rsidRPr="00DA3B07">
        <w:t xml:space="preserve"> with Commission regulations. </w:t>
      </w:r>
    </w:p>
    <w:p w:rsidR="001F3228" w:rsidRPr="00DA3B07" w:rsidRDefault="001F3228" w:rsidP="00880D5A">
      <w:pPr>
        <w:ind w:left="1440" w:right="1440"/>
      </w:pPr>
      <w:r w:rsidRPr="00DA3B07">
        <w:t>Fees for testing meters over 2 inches or for testing metes so located that testing costs are disproportionate to the stated fees shall be as established by the Company</w:t>
      </w:r>
      <w:r w:rsidR="00DA3B07" w:rsidRPr="00DA3B07">
        <w:t xml:space="preserve"> based upon the actual cost of the test.</w:t>
      </w:r>
    </w:p>
    <w:p w:rsidR="001F3228" w:rsidRDefault="001F3228" w:rsidP="00880D5A">
      <w:pPr>
        <w:spacing w:line="360" w:lineRule="auto"/>
      </w:pPr>
    </w:p>
    <w:p w:rsidR="00720D2A" w:rsidRDefault="001630A2" w:rsidP="00880D5A">
      <w:pPr>
        <w:spacing w:line="360" w:lineRule="auto"/>
      </w:pPr>
      <w:r>
        <w:t>The proposed meter test rates constitute an increase from LSWC’s existing meter test rates of $10 for a water meter having an outlet not exceeding 1 inch, and $20 for water meters having an outlet not exceeding 2 inches</w:t>
      </w:r>
      <w:r w:rsidR="000F158D">
        <w:t>.</w:t>
      </w:r>
      <w:r w:rsidR="000B3166">
        <w:rPr>
          <w:rStyle w:val="FootnoteReference"/>
        </w:rPr>
        <w:footnoteReference w:id="4"/>
      </w:r>
      <w:r w:rsidR="000F158D">
        <w:t xml:space="preserve">  </w:t>
      </w:r>
    </w:p>
    <w:p w:rsidR="00720D2A" w:rsidRDefault="00720D2A" w:rsidP="00880D5A">
      <w:pPr>
        <w:spacing w:line="360" w:lineRule="auto"/>
      </w:pPr>
    </w:p>
    <w:p w:rsidR="00DA3B07" w:rsidRPr="00D044C8" w:rsidRDefault="00720D2A" w:rsidP="00880D5A">
      <w:pPr>
        <w:spacing w:line="360" w:lineRule="auto"/>
        <w:ind w:firstLine="1440"/>
      </w:pPr>
      <w:r>
        <w:t>However, m</w:t>
      </w:r>
      <w:r w:rsidR="000F158D">
        <w:t>ost importantly, the proposed meter test rates violate</w:t>
      </w:r>
      <w:r w:rsidR="001630A2">
        <w:t xml:space="preserve"> </w:t>
      </w:r>
      <w:r w:rsidR="00DA3B07">
        <w:t xml:space="preserve">the provisions of </w:t>
      </w:r>
      <w:r w:rsidR="00DA3B07" w:rsidRPr="00DA3B07">
        <w:t>52 Pa. Code §</w:t>
      </w:r>
      <w:r>
        <w:t xml:space="preserve"> </w:t>
      </w:r>
      <w:r w:rsidR="00BF7EB4">
        <w:t>65.8(h)(1)-(3).</w:t>
      </w:r>
      <w:r w:rsidR="00BF7EB4">
        <w:rPr>
          <w:rStyle w:val="FootnoteReference"/>
        </w:rPr>
        <w:footnoteReference w:id="5"/>
      </w:r>
      <w:r w:rsidR="003228F9">
        <w:t xml:space="preserve">  </w:t>
      </w:r>
      <w:r w:rsidR="00972F48">
        <w:t>N</w:t>
      </w:r>
      <w:r w:rsidR="00B46A04">
        <w:t>either LSWC, nor OTS, or OCA address</w:t>
      </w:r>
      <w:r w:rsidR="005C28B7">
        <w:t>es</w:t>
      </w:r>
      <w:r w:rsidR="00B46A04">
        <w:t xml:space="preserve"> the meter test rates in their respective Statements in Support.  </w:t>
      </w:r>
      <w:r w:rsidR="009C258B">
        <w:t>Although LSWC, OTS and OCA employed a “</w:t>
      </w:r>
      <w:r w:rsidR="00F95A0B">
        <w:t>black-</w:t>
      </w:r>
      <w:r w:rsidR="009C258B">
        <w:t>box” ratemaking method in reaching the Settlem</w:t>
      </w:r>
      <w:r w:rsidR="00972F48">
        <w:t>ent in this proceeding, they cannot alter or waive Commission regulations.</w:t>
      </w:r>
      <w:r w:rsidR="00B46A04">
        <w:t xml:space="preserve">  </w:t>
      </w:r>
      <w:r w:rsidR="005C28B7">
        <w:t xml:space="preserve">Consequently, I recommend that the </w:t>
      </w:r>
      <w:r w:rsidR="00C81CB4">
        <w:t xml:space="preserve">language of LSWC’s </w:t>
      </w:r>
      <w:r w:rsidR="00C81CB4" w:rsidRPr="00D044C8">
        <w:t xml:space="preserve">proposed </w:t>
      </w:r>
      <w:r w:rsidR="00C81CB4">
        <w:t>Tariff Water –</w:t>
      </w:r>
      <w:r w:rsidR="00214EF1">
        <w:t xml:space="preserve"> P</w:t>
      </w:r>
      <w:r w:rsidR="00C81CB4">
        <w:t xml:space="preserve">a. P.U.C. No. 5, </w:t>
      </w:r>
      <w:r w:rsidR="00C81CB4" w:rsidRPr="00D044C8">
        <w:t>Part I</w:t>
      </w:r>
      <w:r w:rsidR="00C81CB4">
        <w:t>: Schedule of Rates and Charges – Section F be modified to comply with the provisions of 52 Pa. Code §</w:t>
      </w:r>
      <w:r>
        <w:t xml:space="preserve"> </w:t>
      </w:r>
      <w:r w:rsidR="00C81CB4">
        <w:t>65.8(h).</w:t>
      </w:r>
    </w:p>
    <w:p w:rsidR="00CB3176" w:rsidRDefault="00CB3176" w:rsidP="00880D5A">
      <w:pPr>
        <w:spacing w:line="360" w:lineRule="auto"/>
        <w:ind w:firstLine="1440"/>
      </w:pPr>
    </w:p>
    <w:p w:rsidR="00484DD4" w:rsidRDefault="00CB3176" w:rsidP="00880D5A">
      <w:pPr>
        <w:spacing w:line="360" w:lineRule="auto"/>
        <w:ind w:firstLine="1440"/>
      </w:pPr>
      <w:r>
        <w:rPr>
          <w:szCs w:val="24"/>
        </w:rPr>
        <w:t xml:space="preserve">Finally, with regard to Mr. Pitely’s </w:t>
      </w:r>
      <w:r w:rsidR="00040B37">
        <w:rPr>
          <w:szCs w:val="24"/>
        </w:rPr>
        <w:t xml:space="preserve">remaining </w:t>
      </w:r>
      <w:r>
        <w:rPr>
          <w:szCs w:val="24"/>
        </w:rPr>
        <w:t xml:space="preserve">objection concerning </w:t>
      </w:r>
      <w:r>
        <w:t xml:space="preserve">the deed covenants which prevent property owners, who are also LSWC customers, from drilling water </w:t>
      </w:r>
    </w:p>
    <w:p w:rsidR="00484DD4" w:rsidRDefault="00484DD4">
      <w:r>
        <w:br w:type="page"/>
      </w:r>
    </w:p>
    <w:p w:rsidR="005A741E" w:rsidRDefault="00CB3176" w:rsidP="00ED6747">
      <w:pPr>
        <w:spacing w:line="360" w:lineRule="auto"/>
      </w:pPr>
      <w:r>
        <w:lastRenderedPageBreak/>
        <w:t>wells in their properties,</w:t>
      </w:r>
      <w:r>
        <w:rPr>
          <w:szCs w:val="24"/>
        </w:rPr>
        <w:t xml:space="preserve"> I note that the Commission has no jurisdiction over the terms of the deed covenants, which constitut</w:t>
      </w:r>
      <w:r w:rsidR="00364D9B">
        <w:rPr>
          <w:szCs w:val="24"/>
        </w:rPr>
        <w:t>e a private contractual dispute.</w:t>
      </w:r>
      <w:r>
        <w:t xml:space="preserve">  </w:t>
      </w:r>
      <w:r w:rsidRPr="00F474E2">
        <w:rPr>
          <w:i/>
        </w:rPr>
        <w:t>See</w:t>
      </w:r>
      <w:r>
        <w:t xml:space="preserve"> </w:t>
      </w:r>
      <w:r w:rsidRPr="00805ECF">
        <w:rPr>
          <w:i/>
        </w:rPr>
        <w:t>Litman v. Peoples Natural Gas Co.</w:t>
      </w:r>
      <w:r w:rsidRPr="00595D92">
        <w:t>, 303 Pa. Super. 345</w:t>
      </w:r>
      <w:r>
        <w:t>, 350</w:t>
      </w:r>
      <w:r w:rsidR="00040B37">
        <w:t xml:space="preserve"> (Pa. Super.</w:t>
      </w:r>
      <w:r w:rsidR="00040B37" w:rsidRPr="00595D92">
        <w:t xml:space="preserve"> 1982)</w:t>
      </w:r>
      <w:r w:rsidR="00040B37">
        <w:t>.</w:t>
      </w:r>
    </w:p>
    <w:p w:rsidR="00641D97" w:rsidRDefault="00641D97" w:rsidP="00880D5A">
      <w:pPr>
        <w:spacing w:line="360" w:lineRule="auto"/>
        <w:ind w:firstLine="1440"/>
        <w:rPr>
          <w:rFonts w:ascii="Verdana" w:hAnsi="Verdana"/>
          <w:sz w:val="20"/>
        </w:rPr>
      </w:pPr>
    </w:p>
    <w:p w:rsidR="0071085D" w:rsidRPr="002E4392" w:rsidRDefault="0071085D" w:rsidP="00364D9B">
      <w:pPr>
        <w:pStyle w:val="TxBrp3"/>
        <w:widowControl/>
        <w:tabs>
          <w:tab w:val="clear" w:pos="1474"/>
        </w:tabs>
        <w:spacing w:line="360" w:lineRule="auto"/>
        <w:ind w:firstLine="0"/>
        <w:jc w:val="center"/>
        <w:rPr>
          <w:u w:val="single"/>
        </w:rPr>
      </w:pPr>
      <w:r w:rsidRPr="002E4392">
        <w:rPr>
          <w:u w:val="single"/>
        </w:rPr>
        <w:t>CONCLUSION</w:t>
      </w:r>
    </w:p>
    <w:p w:rsidR="005A741E" w:rsidRPr="001171BE" w:rsidRDefault="005A741E" w:rsidP="00880D5A">
      <w:pPr>
        <w:spacing w:line="360" w:lineRule="auto"/>
        <w:ind w:firstLine="1440"/>
        <w:rPr>
          <w:szCs w:val="24"/>
        </w:rPr>
      </w:pPr>
    </w:p>
    <w:p w:rsidR="005A741E" w:rsidRDefault="005A741E" w:rsidP="00880D5A">
      <w:pPr>
        <w:spacing w:line="360" w:lineRule="auto"/>
      </w:pPr>
      <w:r w:rsidRPr="001171BE">
        <w:rPr>
          <w:szCs w:val="24"/>
        </w:rPr>
        <w:tab/>
      </w:r>
      <w:r w:rsidRPr="001171BE">
        <w:rPr>
          <w:szCs w:val="24"/>
        </w:rPr>
        <w:tab/>
      </w:r>
      <w:r w:rsidR="00DE7B4B">
        <w:rPr>
          <w:szCs w:val="24"/>
        </w:rPr>
        <w:t xml:space="preserve">Excepting </w:t>
      </w:r>
      <w:r w:rsidR="00F95A0B">
        <w:t xml:space="preserve">LSWC’s </w:t>
      </w:r>
      <w:r w:rsidR="00F95A0B" w:rsidRPr="00D044C8">
        <w:t xml:space="preserve">proposed </w:t>
      </w:r>
      <w:r w:rsidR="00F95A0B">
        <w:t>Tariff Water –</w:t>
      </w:r>
      <w:r w:rsidR="00214EF1">
        <w:t xml:space="preserve"> P</w:t>
      </w:r>
      <w:r w:rsidR="00F95A0B">
        <w:t xml:space="preserve">a. P.U.C. No. 5, </w:t>
      </w:r>
      <w:r w:rsidR="00DE7B4B">
        <w:t xml:space="preserve">Page 6, </w:t>
      </w:r>
      <w:r w:rsidR="00F95A0B">
        <w:t>Section F: Meter Test Rates</w:t>
      </w:r>
      <w:r w:rsidR="00DE7B4B">
        <w:t xml:space="preserve">, </w:t>
      </w:r>
      <w:r w:rsidRPr="001171BE">
        <w:rPr>
          <w:szCs w:val="24"/>
        </w:rPr>
        <w:t xml:space="preserve">I agree with </w:t>
      </w:r>
      <w:r>
        <w:rPr>
          <w:szCs w:val="24"/>
        </w:rPr>
        <w:t>the Company and the statutory the parties that t</w:t>
      </w:r>
      <w:r w:rsidRPr="001171BE">
        <w:rPr>
          <w:szCs w:val="24"/>
        </w:rPr>
        <w:t>he Settlement submitted in this case represents a fair, just, lawful, and reasonable resolution of this proceeding.</w:t>
      </w:r>
      <w:r>
        <w:rPr>
          <w:szCs w:val="24"/>
        </w:rPr>
        <w:t xml:space="preserve">  </w:t>
      </w:r>
      <w:r w:rsidR="008E19C6">
        <w:rPr>
          <w:szCs w:val="24"/>
        </w:rPr>
        <w:t>Similarly, t</w:t>
      </w:r>
      <w:r>
        <w:rPr>
          <w:szCs w:val="24"/>
        </w:rPr>
        <w:t xml:space="preserve">he Settlement is in the public interest because it minimizes cost-prohibitive litigation and administrative burden, recognizes ratepayers’ concerns, and provides LSWC with additional and necessary cash flow.  </w:t>
      </w:r>
      <w:r w:rsidR="0071085D">
        <w:rPr>
          <w:szCs w:val="24"/>
        </w:rPr>
        <w:t>Accordingly</w:t>
      </w:r>
      <w:r>
        <w:rPr>
          <w:szCs w:val="24"/>
        </w:rPr>
        <w:t>, I recommend that</w:t>
      </w:r>
      <w:r w:rsidR="00F414C4">
        <w:rPr>
          <w:szCs w:val="24"/>
        </w:rPr>
        <w:t>,</w:t>
      </w:r>
      <w:r>
        <w:rPr>
          <w:szCs w:val="24"/>
        </w:rPr>
        <w:t xml:space="preserve"> </w:t>
      </w:r>
      <w:r w:rsidR="00F414C4">
        <w:rPr>
          <w:szCs w:val="24"/>
        </w:rPr>
        <w:t xml:space="preserve">subject to changing </w:t>
      </w:r>
      <w:r w:rsidR="00F414C4">
        <w:t xml:space="preserve">LSWC’s </w:t>
      </w:r>
      <w:r w:rsidR="00F414C4" w:rsidRPr="00D044C8">
        <w:t xml:space="preserve">proposed </w:t>
      </w:r>
      <w:r w:rsidR="00F414C4">
        <w:t>Tariff Water –</w:t>
      </w:r>
      <w:r w:rsidR="00AE78E2">
        <w:t xml:space="preserve"> P</w:t>
      </w:r>
      <w:r w:rsidR="00F414C4">
        <w:t>a. P.U.C. No. 5, Page 6, Section F: Meter Test Rates to accord to Commission regulation at 52 Pa. Code §</w:t>
      </w:r>
      <w:r w:rsidR="000966C3">
        <w:t xml:space="preserve"> </w:t>
      </w:r>
      <w:r w:rsidR="00F414C4">
        <w:t xml:space="preserve">65.8(h), </w:t>
      </w:r>
      <w:r>
        <w:rPr>
          <w:szCs w:val="24"/>
        </w:rPr>
        <w:t>the Commission’s investigation at Docket No. R-2009-2115743 be marked closed once the Settlement is approved and the appropriate documents have been filed in compliance with Commission regulations</w:t>
      </w:r>
      <w:r w:rsidR="00F414C4">
        <w:rPr>
          <w:szCs w:val="24"/>
        </w:rPr>
        <w:t>; and</w:t>
      </w:r>
      <w:r>
        <w:rPr>
          <w:szCs w:val="24"/>
        </w:rPr>
        <w:t xml:space="preserve"> that the formal Complaints filed by the OCA,</w:t>
      </w:r>
      <w:r w:rsidRPr="001D11D8">
        <w:t xml:space="preserve"> </w:t>
      </w:r>
      <w:r w:rsidRPr="00684515">
        <w:t xml:space="preserve">Lee Wotanis, Thomas Tubiolo, Gerald J. Dougherty, Sr., George J. Pitely, Gary and Frances Sawyer, </w:t>
      </w:r>
      <w:r>
        <w:t>and Veronika</w:t>
      </w:r>
      <w:r w:rsidRPr="00684515">
        <w:t xml:space="preserve"> Rosin</w:t>
      </w:r>
      <w:r>
        <w:t xml:space="preserve"> be dismissed. </w:t>
      </w:r>
    </w:p>
    <w:p w:rsidR="0071085D" w:rsidRDefault="0071085D" w:rsidP="00880D5A">
      <w:pPr>
        <w:spacing w:line="360" w:lineRule="auto"/>
      </w:pPr>
    </w:p>
    <w:p w:rsidR="0071085D" w:rsidRPr="002E4392" w:rsidRDefault="0071085D" w:rsidP="00ED6747">
      <w:pPr>
        <w:pStyle w:val="Heading5"/>
        <w:suppressAutoHyphens/>
        <w:spacing w:before="0" w:after="0" w:line="360" w:lineRule="auto"/>
        <w:jc w:val="center"/>
        <w:rPr>
          <w:b w:val="0"/>
          <w:i w:val="0"/>
          <w:spacing w:val="-3"/>
          <w:sz w:val="24"/>
          <w:szCs w:val="24"/>
          <w:u w:val="single"/>
        </w:rPr>
      </w:pPr>
      <w:r w:rsidRPr="002E4392">
        <w:rPr>
          <w:b w:val="0"/>
          <w:i w:val="0"/>
          <w:spacing w:val="-3"/>
          <w:sz w:val="24"/>
          <w:szCs w:val="24"/>
          <w:u w:val="single"/>
        </w:rPr>
        <w:t>CONCLUSIONS OF LAW</w:t>
      </w:r>
    </w:p>
    <w:p w:rsidR="0071085D" w:rsidRPr="002E4392" w:rsidRDefault="0071085D" w:rsidP="00ED6747">
      <w:pPr>
        <w:spacing w:line="360" w:lineRule="auto"/>
      </w:pPr>
    </w:p>
    <w:p w:rsidR="0071085D" w:rsidRDefault="0071085D" w:rsidP="00880D5A">
      <w:pPr>
        <w:spacing w:line="360" w:lineRule="auto"/>
        <w:ind w:firstLine="720"/>
      </w:pPr>
      <w:r w:rsidRPr="002E4392">
        <w:tab/>
        <w:t>1.</w:t>
      </w:r>
      <w:r w:rsidRPr="002E4392">
        <w:tab/>
        <w:t>The Commission has jurisdiction over the subject matter of and the parties to this proceeding.</w:t>
      </w:r>
    </w:p>
    <w:p w:rsidR="0071085D" w:rsidRDefault="0071085D" w:rsidP="00880D5A">
      <w:pPr>
        <w:spacing w:line="360" w:lineRule="auto"/>
        <w:ind w:firstLine="720"/>
      </w:pPr>
    </w:p>
    <w:p w:rsidR="00AE78E2" w:rsidRDefault="0071085D" w:rsidP="00880D5A">
      <w:pPr>
        <w:spacing w:line="360" w:lineRule="auto"/>
        <w:ind w:firstLine="1440"/>
      </w:pPr>
      <w:r>
        <w:t>2.</w:t>
      </w:r>
      <w:r>
        <w:tab/>
      </w:r>
      <w:r w:rsidR="00AE78E2">
        <w:t xml:space="preserve">Lake Spangenberg Water Company </w:t>
      </w:r>
      <w:r w:rsidR="00AE78E2" w:rsidRPr="002E4392">
        <w:t>has met its burden of proof that it is entitled to an increase in annual revenues of $</w:t>
      </w:r>
      <w:r w:rsidR="00AE78E2">
        <w:t xml:space="preserve">30,000.  </w:t>
      </w:r>
    </w:p>
    <w:p w:rsidR="000966C3" w:rsidRDefault="000966C3" w:rsidP="00880D5A">
      <w:pPr>
        <w:spacing w:line="360" w:lineRule="auto"/>
        <w:ind w:firstLine="1440"/>
      </w:pPr>
    </w:p>
    <w:p w:rsidR="000966C3" w:rsidRPr="000966C3" w:rsidRDefault="000966C3" w:rsidP="00880D5A">
      <w:pPr>
        <w:ind w:firstLine="1440"/>
        <w:rPr>
          <w:szCs w:val="24"/>
        </w:rPr>
      </w:pPr>
      <w:r>
        <w:t>3.</w:t>
      </w:r>
      <w:r>
        <w:tab/>
      </w:r>
      <w:r w:rsidRPr="000966C3">
        <w:rPr>
          <w:szCs w:val="24"/>
        </w:rPr>
        <w:t>The schedule of fees for testing meters is as follows:</w:t>
      </w:r>
    </w:p>
    <w:p w:rsidR="00F916EF" w:rsidRDefault="000966C3" w:rsidP="00F916EF">
      <w:pPr>
        <w:tabs>
          <w:tab w:val="left" w:pos="2160"/>
          <w:tab w:val="left" w:pos="9270"/>
        </w:tabs>
        <w:ind w:left="1800" w:right="360"/>
        <w:rPr>
          <w:szCs w:val="24"/>
        </w:rPr>
      </w:pPr>
      <w:r w:rsidRPr="000966C3">
        <w:rPr>
          <w:szCs w:val="24"/>
        </w:rPr>
        <w:br/>
        <w:t xml:space="preserve">(1) </w:t>
      </w:r>
      <w:r w:rsidR="003942C9">
        <w:rPr>
          <w:szCs w:val="24"/>
        </w:rPr>
        <w:t xml:space="preserve"> </w:t>
      </w:r>
      <w:r w:rsidRPr="000966C3">
        <w:rPr>
          <w:szCs w:val="24"/>
        </w:rPr>
        <w:t>For a water meter having an o</w:t>
      </w:r>
      <w:r w:rsidR="003942C9">
        <w:rPr>
          <w:szCs w:val="24"/>
        </w:rPr>
        <w:t>utlet not exceeding 1 inch - $</w:t>
      </w:r>
      <w:r w:rsidRPr="000966C3">
        <w:rPr>
          <w:szCs w:val="24"/>
        </w:rPr>
        <w:t>10.</w:t>
      </w:r>
      <w:r w:rsidRPr="000966C3">
        <w:rPr>
          <w:szCs w:val="24"/>
        </w:rPr>
        <w:br/>
        <w:t xml:space="preserve">(2) </w:t>
      </w:r>
      <w:r w:rsidR="003942C9">
        <w:rPr>
          <w:szCs w:val="24"/>
        </w:rPr>
        <w:t xml:space="preserve"> </w:t>
      </w:r>
      <w:r w:rsidRPr="000966C3">
        <w:rPr>
          <w:szCs w:val="24"/>
        </w:rPr>
        <w:t>For other water meters having an out</w:t>
      </w:r>
      <w:r w:rsidR="003942C9">
        <w:rPr>
          <w:szCs w:val="24"/>
        </w:rPr>
        <w:t xml:space="preserve">let not exceeding 2 inches - </w:t>
      </w:r>
      <w:r w:rsidR="00364D9B">
        <w:rPr>
          <w:szCs w:val="24"/>
        </w:rPr>
        <w:t>$</w:t>
      </w:r>
      <w:r w:rsidRPr="000966C3">
        <w:rPr>
          <w:szCs w:val="24"/>
        </w:rPr>
        <w:t>20.</w:t>
      </w:r>
      <w:r w:rsidRPr="000966C3">
        <w:rPr>
          <w:szCs w:val="24"/>
        </w:rPr>
        <w:br/>
      </w:r>
    </w:p>
    <w:p w:rsidR="000966C3" w:rsidRPr="000966C3" w:rsidRDefault="000966C3" w:rsidP="00F916EF">
      <w:pPr>
        <w:tabs>
          <w:tab w:val="left" w:pos="9270"/>
        </w:tabs>
        <w:ind w:left="1800" w:right="360"/>
        <w:rPr>
          <w:szCs w:val="24"/>
        </w:rPr>
      </w:pPr>
      <w:r w:rsidRPr="000966C3">
        <w:rPr>
          <w:szCs w:val="24"/>
        </w:rPr>
        <w:lastRenderedPageBreak/>
        <w:t xml:space="preserve">(3) </w:t>
      </w:r>
      <w:r w:rsidR="003942C9">
        <w:rPr>
          <w:szCs w:val="24"/>
        </w:rPr>
        <w:t xml:space="preserve"> </w:t>
      </w:r>
      <w:r w:rsidRPr="000966C3">
        <w:rPr>
          <w:szCs w:val="24"/>
        </w:rPr>
        <w:t>Rates for testing other meters, including those which are so located that the cost is out of proportion to the fee specified, will be furnished by the Commission upon the receipt of complete specifications.</w:t>
      </w:r>
      <w:r>
        <w:rPr>
          <w:szCs w:val="24"/>
        </w:rPr>
        <w:t xml:space="preserve">  </w:t>
      </w:r>
      <w:r w:rsidRPr="000966C3">
        <w:rPr>
          <w:szCs w:val="24"/>
        </w:rPr>
        <w:t>52 Pa. Code § 65.8.</w:t>
      </w:r>
      <w:r w:rsidRPr="000966C3">
        <w:rPr>
          <w:szCs w:val="24"/>
        </w:rPr>
        <w:br/>
      </w:r>
    </w:p>
    <w:p w:rsidR="0071085D" w:rsidRDefault="000966C3" w:rsidP="00880D5A">
      <w:pPr>
        <w:spacing w:line="360" w:lineRule="auto"/>
        <w:ind w:firstLine="1440"/>
      </w:pPr>
      <w:r>
        <w:t>4</w:t>
      </w:r>
      <w:r w:rsidR="00AE78E2">
        <w:t>.</w:t>
      </w:r>
      <w:r w:rsidR="00AE78E2">
        <w:tab/>
      </w:r>
      <w:r w:rsidR="0071085D">
        <w:t xml:space="preserve">The </w:t>
      </w:r>
      <w:r w:rsidR="00AE78E2">
        <w:t xml:space="preserve">Joint Settlement submitted by the Company, the OTS and the </w:t>
      </w:r>
      <w:r w:rsidR="004B5135">
        <w:t>OCA</w:t>
      </w:r>
      <w:r w:rsidR="00AE78E2">
        <w:t xml:space="preserve"> is in the public interest.</w:t>
      </w:r>
    </w:p>
    <w:p w:rsidR="00484DD4" w:rsidRDefault="00484DD4" w:rsidP="00880D5A">
      <w:pPr>
        <w:spacing w:line="360" w:lineRule="auto"/>
        <w:ind w:firstLine="1440"/>
      </w:pPr>
    </w:p>
    <w:p w:rsidR="00FD6705" w:rsidRDefault="00FD6705" w:rsidP="00FD6705">
      <w:pPr>
        <w:spacing w:line="360" w:lineRule="auto"/>
        <w:jc w:val="center"/>
        <w:rPr>
          <w:szCs w:val="24"/>
        </w:rPr>
      </w:pPr>
      <w:r>
        <w:rPr>
          <w:b/>
          <w:szCs w:val="24"/>
          <w:u w:val="single"/>
        </w:rPr>
        <w:t>ORDER</w:t>
      </w:r>
    </w:p>
    <w:p w:rsidR="00FD6705" w:rsidRDefault="00FD6705" w:rsidP="00FD6705">
      <w:pPr>
        <w:spacing w:line="360" w:lineRule="auto"/>
        <w:rPr>
          <w:szCs w:val="24"/>
        </w:rPr>
      </w:pPr>
    </w:p>
    <w:p w:rsidR="00FD6705" w:rsidRDefault="00FD6705" w:rsidP="00FD6705">
      <w:pPr>
        <w:spacing w:line="360" w:lineRule="auto"/>
        <w:rPr>
          <w:szCs w:val="24"/>
        </w:rPr>
      </w:pPr>
      <w:r>
        <w:rPr>
          <w:szCs w:val="24"/>
        </w:rPr>
        <w:tab/>
      </w:r>
      <w:r>
        <w:rPr>
          <w:szCs w:val="24"/>
        </w:rPr>
        <w:tab/>
        <w:t>THEREFORE,</w:t>
      </w:r>
    </w:p>
    <w:p w:rsidR="00FD6705" w:rsidRDefault="00FD6705" w:rsidP="00FD6705">
      <w:pPr>
        <w:spacing w:line="360" w:lineRule="auto"/>
        <w:rPr>
          <w:szCs w:val="24"/>
        </w:rPr>
      </w:pPr>
    </w:p>
    <w:p w:rsidR="00FD6705" w:rsidRDefault="00FD6705" w:rsidP="00FD6705">
      <w:pPr>
        <w:spacing w:line="360" w:lineRule="auto"/>
        <w:rPr>
          <w:szCs w:val="24"/>
        </w:rPr>
      </w:pPr>
      <w:r>
        <w:rPr>
          <w:szCs w:val="24"/>
        </w:rPr>
        <w:tab/>
      </w:r>
      <w:r>
        <w:rPr>
          <w:szCs w:val="24"/>
        </w:rPr>
        <w:tab/>
        <w:t>IT IS RECOMMENDED:</w:t>
      </w:r>
    </w:p>
    <w:p w:rsidR="00FD6705" w:rsidRDefault="00FD6705" w:rsidP="00FD6705">
      <w:pPr>
        <w:spacing w:line="360" w:lineRule="auto"/>
        <w:ind w:firstLine="1440"/>
        <w:rPr>
          <w:szCs w:val="24"/>
        </w:rPr>
      </w:pPr>
    </w:p>
    <w:p w:rsidR="00FD6705" w:rsidRDefault="00FD6705" w:rsidP="00FD6705">
      <w:pPr>
        <w:numPr>
          <w:ilvl w:val="0"/>
          <w:numId w:val="5"/>
        </w:numPr>
        <w:snapToGrid w:val="0"/>
        <w:spacing w:line="360" w:lineRule="auto"/>
        <w:ind w:left="0" w:firstLine="1440"/>
      </w:pPr>
      <w:r>
        <w:t xml:space="preserve">That Lake Spangenberg Water Company, having agreed to do so, not put into effect its </w:t>
      </w:r>
      <w:r>
        <w:rPr>
          <w:szCs w:val="24"/>
        </w:rPr>
        <w:t>Tariff Water-Pa. P.U.C. No. 5, as filed on June 24, 2009.</w:t>
      </w:r>
    </w:p>
    <w:p w:rsidR="00FD6705" w:rsidRDefault="00FD6705" w:rsidP="00FD6705">
      <w:pPr>
        <w:spacing w:line="360" w:lineRule="auto"/>
        <w:ind w:left="1440"/>
      </w:pPr>
    </w:p>
    <w:p w:rsidR="00FD6705" w:rsidRDefault="00FD6705" w:rsidP="00FD6705">
      <w:pPr>
        <w:numPr>
          <w:ilvl w:val="0"/>
          <w:numId w:val="5"/>
        </w:numPr>
        <w:snapToGrid w:val="0"/>
        <w:spacing w:line="360" w:lineRule="auto"/>
        <w:ind w:left="0" w:firstLine="1440"/>
      </w:pPr>
      <w:r>
        <w:rPr>
          <w:szCs w:val="24"/>
        </w:rPr>
        <w:t xml:space="preserve">That the Joint Petition for Settlement submitted by Lake Spangenberg Water Company, the Office of Trial Staff and the Office of Consumer Advocate, at Docket No. R-2009-2115743, </w:t>
      </w:r>
      <w:r>
        <w:t>be approved and adopted with one change to the charges for meter testing.</w:t>
      </w:r>
    </w:p>
    <w:p w:rsidR="00FD6705" w:rsidRDefault="00FD6705" w:rsidP="00FD6705">
      <w:pPr>
        <w:spacing w:line="360" w:lineRule="auto"/>
        <w:ind w:left="1440"/>
      </w:pPr>
      <w:r>
        <w:t xml:space="preserve"> </w:t>
      </w:r>
    </w:p>
    <w:p w:rsidR="00FD6705" w:rsidRDefault="00FD6705" w:rsidP="00FD6705">
      <w:pPr>
        <w:numPr>
          <w:ilvl w:val="0"/>
          <w:numId w:val="5"/>
        </w:numPr>
        <w:snapToGrid w:val="0"/>
        <w:spacing w:line="360" w:lineRule="auto"/>
        <w:ind w:left="0" w:firstLine="1440"/>
      </w:pPr>
      <w:r>
        <w:t xml:space="preserve"> That the language at Page 6, Section F, of </w:t>
      </w:r>
      <w:r>
        <w:rPr>
          <w:szCs w:val="24"/>
        </w:rPr>
        <w:t>Lake Spangenberg Water Company’s</w:t>
      </w:r>
      <w:r>
        <w:t xml:space="preserve"> proposed compliance tariff attached to the Joint Petition for Settlement as Appendix A, which reads in its entirety:</w:t>
      </w:r>
    </w:p>
    <w:p w:rsidR="00FD6705" w:rsidRDefault="00FD6705" w:rsidP="00FD6705">
      <w:pPr>
        <w:ind w:left="1440" w:right="1440"/>
        <w:rPr>
          <w:u w:val="single"/>
        </w:rPr>
      </w:pPr>
      <w:r>
        <w:rPr>
          <w:u w:val="single"/>
        </w:rPr>
        <w:t>Meter Test Rates</w:t>
      </w:r>
    </w:p>
    <w:p w:rsidR="00FD6705" w:rsidRDefault="00FD6705" w:rsidP="00FD6705">
      <w:pPr>
        <w:ind w:left="1440" w:right="1440"/>
      </w:pPr>
      <w:r>
        <w:t>Consistent with Commission regulation at 52 Pa. Code § 65.8(h), the fee schedule for testing meters shall be as follows:</w:t>
      </w:r>
    </w:p>
    <w:p w:rsidR="00FD6705" w:rsidRDefault="00FD6705" w:rsidP="00FD6705">
      <w:pPr>
        <w:ind w:left="2160" w:right="1440"/>
      </w:pPr>
      <w:r>
        <w:t>1 inch or less</w:t>
      </w:r>
      <w:r>
        <w:tab/>
      </w:r>
      <w:r>
        <w:tab/>
        <w:t>$40.00</w:t>
      </w:r>
    </w:p>
    <w:p w:rsidR="00FD6705" w:rsidRDefault="00FD6705" w:rsidP="00FD6705">
      <w:pPr>
        <w:ind w:left="2160" w:right="1440"/>
      </w:pPr>
      <w:r>
        <w:t>1 ¼ inch – 2 inch</w:t>
      </w:r>
      <w:r>
        <w:tab/>
        <w:t>$80.00</w:t>
      </w:r>
    </w:p>
    <w:p w:rsidR="00FD6705" w:rsidRDefault="00FD6705" w:rsidP="00FD6705">
      <w:pPr>
        <w:ind w:left="1440" w:right="1440"/>
      </w:pPr>
      <w:r>
        <w:t xml:space="preserve">These amounts may very without revision of this tariff so as to be consistent with Commission regulations. </w:t>
      </w:r>
    </w:p>
    <w:p w:rsidR="00FD6705" w:rsidRDefault="00FD6705" w:rsidP="00FD6705">
      <w:pPr>
        <w:ind w:left="1440" w:right="1440"/>
      </w:pPr>
      <w:r>
        <w:t>Fees for testing meters over 2 inches or for testing metes so located that testing costs are disproportionate to the stated fees shall be as established by the Company based upon the actual cost of the test.</w:t>
      </w:r>
    </w:p>
    <w:p w:rsidR="00FD6705" w:rsidRDefault="00FD6705" w:rsidP="00FD6705">
      <w:pPr>
        <w:spacing w:line="360" w:lineRule="auto"/>
      </w:pPr>
    </w:p>
    <w:p w:rsidR="00FD6705" w:rsidRDefault="00FD6705" w:rsidP="00FD6705">
      <w:pPr>
        <w:spacing w:line="360" w:lineRule="auto"/>
      </w:pPr>
      <w:r>
        <w:t>be modified to comply with Commission regulations.</w:t>
      </w:r>
    </w:p>
    <w:p w:rsidR="00FD6705" w:rsidRDefault="00FD6705" w:rsidP="00FD6705">
      <w:pPr>
        <w:pStyle w:val="ListParagraph"/>
        <w:numPr>
          <w:ilvl w:val="0"/>
          <w:numId w:val="5"/>
        </w:numPr>
        <w:snapToGrid w:val="0"/>
        <w:spacing w:line="360" w:lineRule="auto"/>
        <w:ind w:left="0" w:firstLine="1440"/>
        <w:rPr>
          <w:szCs w:val="24"/>
        </w:rPr>
      </w:pPr>
      <w:r>
        <w:rPr>
          <w:szCs w:val="24"/>
        </w:rPr>
        <w:lastRenderedPageBreak/>
        <w:t>That Lake Spangenberg Water Company may file a tariff or tariff supplement containing the rates, rules and regulations consistent with Appendix A to the Joint Petition for Settlement, as modified by Paragraph 3 above, designed to produce $30,000 in additional annual operating revenues.</w:t>
      </w:r>
    </w:p>
    <w:p w:rsidR="00FD6705" w:rsidRDefault="00FD6705" w:rsidP="00FD6705">
      <w:pPr>
        <w:spacing w:line="360" w:lineRule="auto"/>
        <w:ind w:firstLine="1440"/>
        <w:rPr>
          <w:szCs w:val="24"/>
        </w:rPr>
      </w:pPr>
    </w:p>
    <w:p w:rsidR="00FD6705" w:rsidRDefault="00FD6705" w:rsidP="00FD6705">
      <w:pPr>
        <w:pStyle w:val="ListParagraph"/>
        <w:numPr>
          <w:ilvl w:val="0"/>
          <w:numId w:val="5"/>
        </w:numPr>
        <w:snapToGrid w:val="0"/>
        <w:spacing w:line="360" w:lineRule="auto"/>
        <w:ind w:left="0" w:firstLine="1440"/>
        <w:rPr>
          <w:szCs w:val="24"/>
        </w:rPr>
      </w:pPr>
      <w:r>
        <w:rPr>
          <w:szCs w:val="24"/>
        </w:rPr>
        <w:t>That the said tariff or tariff supplement may be filed to become effective upon one day’s notice, upon entry of the Commission Order approving the recommendation to adopt the Joint Petition for Settlement of the Rate Investigation.</w:t>
      </w:r>
    </w:p>
    <w:p w:rsidR="00FD6705" w:rsidRDefault="00FD6705" w:rsidP="00FD6705">
      <w:pPr>
        <w:spacing w:line="360" w:lineRule="auto"/>
        <w:ind w:firstLine="1440"/>
        <w:rPr>
          <w:szCs w:val="24"/>
        </w:rPr>
      </w:pPr>
    </w:p>
    <w:p w:rsidR="00FD6705" w:rsidRDefault="00FD6705" w:rsidP="00FD6705">
      <w:pPr>
        <w:pStyle w:val="ListParagraph"/>
        <w:numPr>
          <w:ilvl w:val="0"/>
          <w:numId w:val="5"/>
        </w:numPr>
        <w:snapToGrid w:val="0"/>
        <w:spacing w:line="360" w:lineRule="auto"/>
        <w:ind w:left="0" w:firstLine="1440"/>
        <w:rPr>
          <w:szCs w:val="24"/>
        </w:rPr>
      </w:pPr>
      <w:r>
        <w:rPr>
          <w:szCs w:val="24"/>
        </w:rPr>
        <w:t>That upon acceptance and approval by the Commission of the tariff or tariff supplement as being consistent with this Order, the Commission’s inquiry and investigation at Docket No. R-2009-2115743, be market closed.</w:t>
      </w:r>
    </w:p>
    <w:p w:rsidR="00FD6705" w:rsidRDefault="00FD6705" w:rsidP="00FD6705">
      <w:pPr>
        <w:spacing w:line="360" w:lineRule="auto"/>
        <w:ind w:firstLine="1440"/>
        <w:rPr>
          <w:szCs w:val="24"/>
        </w:rPr>
      </w:pPr>
    </w:p>
    <w:p w:rsidR="00FD6705" w:rsidRDefault="00FD6705" w:rsidP="00FD6705">
      <w:pPr>
        <w:spacing w:line="360" w:lineRule="auto"/>
        <w:ind w:firstLine="1440"/>
        <w:rPr>
          <w:szCs w:val="24"/>
        </w:rPr>
      </w:pPr>
      <w:r>
        <w:rPr>
          <w:szCs w:val="24"/>
        </w:rPr>
        <w:t>7.</w:t>
      </w:r>
      <w:r>
        <w:rPr>
          <w:szCs w:val="24"/>
        </w:rPr>
        <w:tab/>
        <w:t xml:space="preserve">That the formal Complaints filed at Docket Nos. C-2009-2120536, </w:t>
      </w:r>
    </w:p>
    <w:p w:rsidR="00FD6705" w:rsidRDefault="00FD6705" w:rsidP="00FD6705">
      <w:pPr>
        <w:spacing w:line="360" w:lineRule="auto"/>
        <w:rPr>
          <w:szCs w:val="24"/>
        </w:rPr>
      </w:pPr>
      <w:r>
        <w:rPr>
          <w:szCs w:val="24"/>
        </w:rPr>
        <w:t>C-2009-2126531, C-2009-2119255, C-2009-2122588, C-2009-2126525, C-2009-2126537, and C-2009-2129331 be dismissed and the dockets marked closed.</w:t>
      </w:r>
    </w:p>
    <w:p w:rsidR="00FD6705" w:rsidRDefault="00FD6705" w:rsidP="00FD6705">
      <w:pPr>
        <w:spacing w:line="360" w:lineRule="auto"/>
        <w:rPr>
          <w:szCs w:val="24"/>
        </w:rPr>
      </w:pPr>
    </w:p>
    <w:p w:rsidR="00FD6705" w:rsidRDefault="00FD6705" w:rsidP="00FD6705">
      <w:pPr>
        <w:spacing w:line="360" w:lineRule="auto"/>
        <w:rPr>
          <w:szCs w:val="24"/>
        </w:rPr>
      </w:pPr>
    </w:p>
    <w:p w:rsidR="00FD6705" w:rsidRDefault="00FD6705" w:rsidP="00FD6705">
      <w:pPr>
        <w:spacing w:line="360" w:lineRule="auto"/>
        <w:rPr>
          <w:szCs w:val="24"/>
        </w:rPr>
      </w:pPr>
    </w:p>
    <w:p w:rsidR="00FD6705" w:rsidRDefault="00FD6705" w:rsidP="00FD6705">
      <w:pPr>
        <w:rPr>
          <w:szCs w:val="24"/>
        </w:rPr>
      </w:pPr>
      <w:r>
        <w:rPr>
          <w:szCs w:val="24"/>
        </w:rPr>
        <w:t xml:space="preserve">Date:  </w:t>
      </w:r>
      <w:r>
        <w:rPr>
          <w:szCs w:val="24"/>
          <w:u w:val="single"/>
        </w:rPr>
        <w:t>March 2, 2010</w:t>
      </w:r>
      <w:r>
        <w:rPr>
          <w:szCs w:val="24"/>
          <w:u w:val="single"/>
        </w:rPr>
        <w:tab/>
      </w:r>
      <w:r>
        <w:rPr>
          <w:szCs w:val="24"/>
        </w:rPr>
        <w:tab/>
      </w:r>
      <w:r>
        <w:rPr>
          <w:szCs w:val="24"/>
        </w:rPr>
        <w:tab/>
      </w:r>
      <w:r>
        <w:rPr>
          <w:szCs w:val="24"/>
        </w:rPr>
        <w:tab/>
      </w:r>
      <w:r>
        <w:rPr>
          <w:szCs w:val="24"/>
        </w:rPr>
        <w:tab/>
        <w:t>_____________________________</w:t>
      </w:r>
    </w:p>
    <w:p w:rsidR="00FD6705" w:rsidRDefault="00FD6705" w:rsidP="00FD6705">
      <w:pPr>
        <w:rPr>
          <w:szCs w:val="24"/>
        </w:rPr>
      </w:pPr>
      <w:r>
        <w:rPr>
          <w:szCs w:val="24"/>
        </w:rPr>
        <w:tab/>
      </w:r>
      <w:r>
        <w:rPr>
          <w:szCs w:val="24"/>
        </w:rPr>
        <w:tab/>
      </w:r>
      <w:r>
        <w:rPr>
          <w:szCs w:val="24"/>
        </w:rPr>
        <w:tab/>
      </w:r>
      <w:r>
        <w:rPr>
          <w:szCs w:val="24"/>
        </w:rPr>
        <w:tab/>
      </w:r>
      <w:r>
        <w:rPr>
          <w:szCs w:val="24"/>
        </w:rPr>
        <w:tab/>
      </w:r>
      <w:r>
        <w:rPr>
          <w:szCs w:val="24"/>
        </w:rPr>
        <w:tab/>
      </w:r>
      <w:r>
        <w:rPr>
          <w:szCs w:val="24"/>
        </w:rPr>
        <w:tab/>
        <w:t>Ember S. Jandebeur</w:t>
      </w:r>
    </w:p>
    <w:p w:rsidR="00FD6705" w:rsidRDefault="00FD6705" w:rsidP="00FD6705">
      <w:pPr>
        <w:rPr>
          <w:szCs w:val="24"/>
        </w:rPr>
      </w:pPr>
      <w:r>
        <w:rPr>
          <w:szCs w:val="24"/>
        </w:rPr>
        <w:tab/>
      </w:r>
      <w:r>
        <w:rPr>
          <w:szCs w:val="24"/>
        </w:rPr>
        <w:tab/>
      </w:r>
      <w:r>
        <w:rPr>
          <w:szCs w:val="24"/>
        </w:rPr>
        <w:tab/>
      </w:r>
      <w:r>
        <w:rPr>
          <w:szCs w:val="24"/>
        </w:rPr>
        <w:tab/>
      </w:r>
      <w:r>
        <w:rPr>
          <w:szCs w:val="24"/>
        </w:rPr>
        <w:tab/>
      </w:r>
      <w:r>
        <w:rPr>
          <w:szCs w:val="24"/>
        </w:rPr>
        <w:tab/>
      </w:r>
      <w:r>
        <w:rPr>
          <w:szCs w:val="24"/>
        </w:rPr>
        <w:tab/>
        <w:t>Administrative Law Judge</w:t>
      </w:r>
    </w:p>
    <w:p w:rsidR="005A741E" w:rsidRDefault="005A741E" w:rsidP="00880D5A"/>
    <w:p w:rsidR="00F90038" w:rsidRDefault="00F90038" w:rsidP="00880D5A"/>
    <w:sectPr w:rsidR="00F90038" w:rsidSect="0028471F">
      <w:footerReference w:type="even" r:id="rId8"/>
      <w:footerReference w:type="default" r:id="rId9"/>
      <w:pgSz w:w="12240" w:h="15840"/>
      <w:pgMar w:top="1440" w:right="1440" w:bottom="1440" w:left="1440" w:header="720"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E0FEF" w:rsidRDefault="00CE0FEF" w:rsidP="005A741E">
      <w:r>
        <w:separator/>
      </w:r>
    </w:p>
  </w:endnote>
  <w:endnote w:type="continuationSeparator" w:id="0">
    <w:p w:rsidR="00CE0FEF" w:rsidRDefault="00CE0FEF" w:rsidP="005A741E">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G Times">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61002A87" w:usb1="80000000" w:usb2="00000008" w:usb3="00000000" w:csb0="000101FF" w:csb1="00000000"/>
  </w:font>
  <w:font w:name="Verdana">
    <w:panose1 w:val="020B0604030504040204"/>
    <w:charset w:val="00"/>
    <w:family w:val="swiss"/>
    <w:pitch w:val="variable"/>
    <w:sig w:usb0="20000287" w:usb1="00000000" w:usb2="00000000" w:usb3="00000000" w:csb0="0000019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8471F" w:rsidRDefault="001763C9" w:rsidP="0028471F">
    <w:pPr>
      <w:pStyle w:val="Footer"/>
      <w:framePr w:wrap="around" w:vAnchor="text" w:hAnchor="margin" w:xAlign="center" w:y="1"/>
      <w:rPr>
        <w:rStyle w:val="PageNumber"/>
      </w:rPr>
    </w:pPr>
    <w:r>
      <w:rPr>
        <w:rStyle w:val="PageNumber"/>
      </w:rPr>
      <w:fldChar w:fldCharType="begin"/>
    </w:r>
    <w:r w:rsidR="00D757C7">
      <w:rPr>
        <w:rStyle w:val="PageNumber"/>
      </w:rPr>
      <w:instrText xml:space="preserve">PAGE  </w:instrText>
    </w:r>
    <w:r>
      <w:rPr>
        <w:rStyle w:val="PageNumber"/>
      </w:rPr>
      <w:fldChar w:fldCharType="separate"/>
    </w:r>
    <w:r w:rsidR="00D757C7">
      <w:rPr>
        <w:rStyle w:val="PageNumber"/>
        <w:noProof/>
      </w:rPr>
      <w:t>3</w:t>
    </w:r>
    <w:r>
      <w:rPr>
        <w:rStyle w:val="PageNumber"/>
      </w:rPr>
      <w:fldChar w:fldCharType="end"/>
    </w:r>
  </w:p>
  <w:p w:rsidR="0028471F" w:rsidRDefault="0028471F">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8471F" w:rsidRPr="00E33FF1" w:rsidRDefault="001763C9" w:rsidP="0028471F">
    <w:pPr>
      <w:pStyle w:val="Footer"/>
      <w:framePr w:wrap="around" w:vAnchor="text" w:hAnchor="margin" w:xAlign="center" w:y="1"/>
      <w:rPr>
        <w:rStyle w:val="PageNumber"/>
        <w:sz w:val="20"/>
        <w:szCs w:val="20"/>
      </w:rPr>
    </w:pPr>
    <w:r w:rsidRPr="00E33FF1">
      <w:rPr>
        <w:rStyle w:val="PageNumber"/>
        <w:sz w:val="20"/>
        <w:szCs w:val="20"/>
      </w:rPr>
      <w:fldChar w:fldCharType="begin"/>
    </w:r>
    <w:r w:rsidR="00D757C7" w:rsidRPr="00E33FF1">
      <w:rPr>
        <w:rStyle w:val="PageNumber"/>
        <w:sz w:val="20"/>
        <w:szCs w:val="20"/>
      </w:rPr>
      <w:instrText xml:space="preserve">PAGE  </w:instrText>
    </w:r>
    <w:r w:rsidRPr="00E33FF1">
      <w:rPr>
        <w:rStyle w:val="PageNumber"/>
        <w:sz w:val="20"/>
        <w:szCs w:val="20"/>
      </w:rPr>
      <w:fldChar w:fldCharType="separate"/>
    </w:r>
    <w:r w:rsidR="00666A1B">
      <w:rPr>
        <w:rStyle w:val="PageNumber"/>
        <w:noProof/>
        <w:sz w:val="20"/>
        <w:szCs w:val="20"/>
      </w:rPr>
      <w:t>18</w:t>
    </w:r>
    <w:r w:rsidRPr="00E33FF1">
      <w:rPr>
        <w:rStyle w:val="PageNumber"/>
        <w:sz w:val="20"/>
        <w:szCs w:val="20"/>
      </w:rPr>
      <w:fldChar w:fldCharType="end"/>
    </w:r>
  </w:p>
  <w:p w:rsidR="0028471F" w:rsidRDefault="0028471F">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E0FEF" w:rsidRDefault="00CE0FEF" w:rsidP="005A741E">
      <w:r>
        <w:separator/>
      </w:r>
    </w:p>
  </w:footnote>
  <w:footnote w:type="continuationSeparator" w:id="0">
    <w:p w:rsidR="00CE0FEF" w:rsidRDefault="00CE0FEF" w:rsidP="005A741E">
      <w:r>
        <w:continuationSeparator/>
      </w:r>
    </w:p>
  </w:footnote>
  <w:footnote w:id="1">
    <w:p w:rsidR="005A741E" w:rsidRDefault="005A741E" w:rsidP="005A741E">
      <w:pPr>
        <w:pStyle w:val="FootnoteText"/>
      </w:pPr>
      <w:r>
        <w:rPr>
          <w:rStyle w:val="FootnoteReference"/>
        </w:rPr>
        <w:footnoteRef/>
      </w:r>
      <w:r>
        <w:t xml:space="preserve"> Mr. Mancus failed to provide a more specific address.</w:t>
      </w:r>
    </w:p>
  </w:footnote>
  <w:footnote w:id="2">
    <w:p w:rsidR="00E926BA" w:rsidRDefault="00E926BA" w:rsidP="00E926BA">
      <w:pPr>
        <w:pStyle w:val="FootnoteText"/>
        <w:ind w:firstLine="720"/>
      </w:pPr>
      <w:r>
        <w:rPr>
          <w:rStyle w:val="FootnoteReference"/>
        </w:rPr>
        <w:footnoteRef/>
      </w:r>
      <w:r>
        <w:t xml:space="preserve"> </w:t>
      </w:r>
      <w:r>
        <w:tab/>
      </w:r>
      <w:r w:rsidRPr="00C40556">
        <w:rPr>
          <w:szCs w:val="24"/>
        </w:rPr>
        <w:t>52 Pa. Code §</w:t>
      </w:r>
      <w:r w:rsidR="00087BAE">
        <w:rPr>
          <w:szCs w:val="24"/>
        </w:rPr>
        <w:t xml:space="preserve"> </w:t>
      </w:r>
      <w:r w:rsidRPr="00C40556">
        <w:rPr>
          <w:szCs w:val="24"/>
        </w:rPr>
        <w:t xml:space="preserve">5.231(a).  </w:t>
      </w:r>
    </w:p>
  </w:footnote>
  <w:footnote w:id="3">
    <w:p w:rsidR="00C14CD0" w:rsidRDefault="00C14CD0">
      <w:pPr>
        <w:pStyle w:val="FootnoteText"/>
      </w:pPr>
      <w:r>
        <w:rPr>
          <w:rStyle w:val="FootnoteReference"/>
        </w:rPr>
        <w:footnoteRef/>
      </w:r>
      <w:r>
        <w:t xml:space="preserve"> Addressed more fully below.</w:t>
      </w:r>
    </w:p>
  </w:footnote>
  <w:footnote w:id="4">
    <w:p w:rsidR="000B3166" w:rsidRDefault="000B3166">
      <w:pPr>
        <w:pStyle w:val="FootnoteText"/>
      </w:pPr>
      <w:r>
        <w:rPr>
          <w:rStyle w:val="FootnoteReference"/>
        </w:rPr>
        <w:footnoteRef/>
      </w:r>
      <w:r>
        <w:t xml:space="preserve"> See Lake Spangenberg Tariff Water – Pa. P.U.C. No. 4, Pages 5-6, Effective 9/20/99, </w:t>
      </w:r>
      <w:r w:rsidR="000F158D">
        <w:t>(</w:t>
      </w:r>
      <w:r>
        <w:t>Docket No. R-00994727</w:t>
      </w:r>
      <w:r w:rsidR="000F158D">
        <w:t>)</w:t>
      </w:r>
      <w:r>
        <w:t>.</w:t>
      </w:r>
    </w:p>
    <w:p w:rsidR="00214EF1" w:rsidRDefault="00214EF1">
      <w:pPr>
        <w:pStyle w:val="FootnoteText"/>
      </w:pPr>
    </w:p>
  </w:footnote>
  <w:footnote w:id="5">
    <w:p w:rsidR="00214EF1" w:rsidRDefault="00BF7EB4" w:rsidP="00214EF1">
      <w:pPr>
        <w:rPr>
          <w:sz w:val="20"/>
          <w:szCs w:val="20"/>
        </w:rPr>
      </w:pPr>
      <w:r w:rsidRPr="003228F9">
        <w:rPr>
          <w:rStyle w:val="FootnoteReference"/>
        </w:rPr>
        <w:footnoteRef/>
      </w:r>
      <w:r w:rsidRPr="003228F9">
        <w:t xml:space="preserve"> </w:t>
      </w:r>
      <w:r w:rsidRPr="00214EF1">
        <w:rPr>
          <w:sz w:val="20"/>
          <w:szCs w:val="20"/>
        </w:rPr>
        <w:t>(h) Schedule of fees for testing water meters. The schedule of fees fo</w:t>
      </w:r>
      <w:r w:rsidR="003228F9" w:rsidRPr="00214EF1">
        <w:rPr>
          <w:sz w:val="20"/>
          <w:szCs w:val="20"/>
        </w:rPr>
        <w:t>r testing meters is as follows:</w:t>
      </w:r>
    </w:p>
    <w:p w:rsidR="003228F9" w:rsidRPr="00214EF1" w:rsidRDefault="00BF7EB4" w:rsidP="00214EF1">
      <w:pPr>
        <w:tabs>
          <w:tab w:val="left" w:pos="7920"/>
          <w:tab w:val="left" w:pos="9270"/>
        </w:tabs>
        <w:ind w:left="1440" w:right="1440"/>
        <w:rPr>
          <w:sz w:val="20"/>
          <w:szCs w:val="20"/>
        </w:rPr>
      </w:pPr>
      <w:r w:rsidRPr="00214EF1">
        <w:rPr>
          <w:sz w:val="20"/>
          <w:szCs w:val="20"/>
        </w:rPr>
        <w:br/>
        <w:t>(1) For a water meter having an outle</w:t>
      </w:r>
      <w:r w:rsidR="003228F9" w:rsidRPr="00214EF1">
        <w:rPr>
          <w:sz w:val="20"/>
          <w:szCs w:val="20"/>
        </w:rPr>
        <w:t>t not exceeding 1 inch -- $ 10.</w:t>
      </w:r>
      <w:r w:rsidRPr="00214EF1">
        <w:rPr>
          <w:sz w:val="20"/>
          <w:szCs w:val="20"/>
        </w:rPr>
        <w:br/>
        <w:t xml:space="preserve">(2) For other water meters having an outlet </w:t>
      </w:r>
      <w:r w:rsidR="003228F9" w:rsidRPr="00214EF1">
        <w:rPr>
          <w:sz w:val="20"/>
          <w:szCs w:val="20"/>
        </w:rPr>
        <w:t>not exceeding 2 inches -- $ 20.</w:t>
      </w:r>
      <w:r w:rsidRPr="00214EF1">
        <w:rPr>
          <w:sz w:val="20"/>
          <w:szCs w:val="20"/>
        </w:rPr>
        <w:br/>
        <w:t>(3) Rates for testing other meters, including those which are so located that the cost is out of proportion to the fee specified, will be furnished by the Commission upon the receipt of complete specifica</w:t>
      </w:r>
      <w:r w:rsidR="00214EF1">
        <w:rPr>
          <w:sz w:val="20"/>
          <w:szCs w:val="20"/>
        </w:rPr>
        <w:t>tions.</w:t>
      </w:r>
    </w:p>
    <w:p w:rsidR="00BF7EB4" w:rsidRPr="003228F9" w:rsidRDefault="00BF7EB4" w:rsidP="00214EF1">
      <w:r w:rsidRPr="00214EF1">
        <w:rPr>
          <w:sz w:val="20"/>
          <w:szCs w:val="20"/>
        </w:rPr>
        <w:t>52 Pa. Code § 65.8</w:t>
      </w:r>
      <w:r w:rsidR="003228F9" w:rsidRPr="00214EF1">
        <w:rPr>
          <w:sz w:val="20"/>
          <w:szCs w:val="20"/>
        </w:rPr>
        <w:t>.</w:t>
      </w:r>
      <w:r w:rsidRPr="00214EF1">
        <w:b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5172758"/>
    <w:multiLevelType w:val="hybridMultilevel"/>
    <w:tmpl w:val="C77A49A6"/>
    <w:lvl w:ilvl="0" w:tplc="365826B4">
      <w:start w:val="1"/>
      <w:numFmt w:val="decimal"/>
      <w:lvlText w:val="%1."/>
      <w:lvlJc w:val="left"/>
      <w:pPr>
        <w:tabs>
          <w:tab w:val="num" w:pos="2160"/>
        </w:tabs>
        <w:ind w:left="2160" w:hanging="72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1">
    <w:nsid w:val="2CE63EE2"/>
    <w:multiLevelType w:val="hybridMultilevel"/>
    <w:tmpl w:val="1F16DC56"/>
    <w:lvl w:ilvl="0" w:tplc="6444DC5A">
      <w:start w:val="1"/>
      <w:numFmt w:val="upperLetter"/>
      <w:lvlText w:val="%1."/>
      <w:lvlJc w:val="left"/>
      <w:pPr>
        <w:ind w:left="1080" w:hanging="720"/>
      </w:pPr>
      <w:rPr>
        <w:rFonts w:hint="default"/>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308B014A"/>
    <w:multiLevelType w:val="hybridMultilevel"/>
    <w:tmpl w:val="347E4ED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num>
  <w:num w:numId="4">
    <w:abstractNumId w:val="2"/>
  </w:num>
  <w:num w:numId="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1"/>
    <w:footnote w:id="0"/>
  </w:footnotePr>
  <w:endnotePr>
    <w:endnote w:id="-1"/>
    <w:endnote w:id="0"/>
  </w:endnotePr>
  <w:compat/>
  <w:rsids>
    <w:rsidRoot w:val="005A741E"/>
    <w:rsid w:val="0000470F"/>
    <w:rsid w:val="000051DD"/>
    <w:rsid w:val="000068D5"/>
    <w:rsid w:val="00014304"/>
    <w:rsid w:val="00016B73"/>
    <w:rsid w:val="00021EA0"/>
    <w:rsid w:val="00022505"/>
    <w:rsid w:val="00025668"/>
    <w:rsid w:val="00026710"/>
    <w:rsid w:val="00026C99"/>
    <w:rsid w:val="00027A04"/>
    <w:rsid w:val="0003399E"/>
    <w:rsid w:val="000376F9"/>
    <w:rsid w:val="00040B37"/>
    <w:rsid w:val="0005066D"/>
    <w:rsid w:val="0005071B"/>
    <w:rsid w:val="00050E0C"/>
    <w:rsid w:val="000609B6"/>
    <w:rsid w:val="00061364"/>
    <w:rsid w:val="0006383F"/>
    <w:rsid w:val="0006608A"/>
    <w:rsid w:val="000700AB"/>
    <w:rsid w:val="00070652"/>
    <w:rsid w:val="00075E7E"/>
    <w:rsid w:val="00077BC2"/>
    <w:rsid w:val="00087BAE"/>
    <w:rsid w:val="0009147B"/>
    <w:rsid w:val="00092F06"/>
    <w:rsid w:val="000943BE"/>
    <w:rsid w:val="000966C3"/>
    <w:rsid w:val="000974B4"/>
    <w:rsid w:val="000977CD"/>
    <w:rsid w:val="000A18DD"/>
    <w:rsid w:val="000A4939"/>
    <w:rsid w:val="000A605A"/>
    <w:rsid w:val="000B3166"/>
    <w:rsid w:val="000B3AB8"/>
    <w:rsid w:val="000B6C5B"/>
    <w:rsid w:val="000B77FB"/>
    <w:rsid w:val="000C0C90"/>
    <w:rsid w:val="000C13F0"/>
    <w:rsid w:val="000C3DF7"/>
    <w:rsid w:val="000C67B7"/>
    <w:rsid w:val="000C7140"/>
    <w:rsid w:val="000C723E"/>
    <w:rsid w:val="000C7890"/>
    <w:rsid w:val="000D06AC"/>
    <w:rsid w:val="000D4D9A"/>
    <w:rsid w:val="000D4F59"/>
    <w:rsid w:val="000D4FF3"/>
    <w:rsid w:val="000E45E1"/>
    <w:rsid w:val="000E4E90"/>
    <w:rsid w:val="000F158D"/>
    <w:rsid w:val="000F2893"/>
    <w:rsid w:val="000F31BB"/>
    <w:rsid w:val="000F3452"/>
    <w:rsid w:val="00100125"/>
    <w:rsid w:val="001030D4"/>
    <w:rsid w:val="0010634F"/>
    <w:rsid w:val="00106C5A"/>
    <w:rsid w:val="00115EE3"/>
    <w:rsid w:val="00117645"/>
    <w:rsid w:val="00117D59"/>
    <w:rsid w:val="00122110"/>
    <w:rsid w:val="001268C6"/>
    <w:rsid w:val="00132793"/>
    <w:rsid w:val="00132E66"/>
    <w:rsid w:val="001332E9"/>
    <w:rsid w:val="00137568"/>
    <w:rsid w:val="00143C40"/>
    <w:rsid w:val="001466B8"/>
    <w:rsid w:val="00151955"/>
    <w:rsid w:val="00152189"/>
    <w:rsid w:val="00157015"/>
    <w:rsid w:val="00157BD9"/>
    <w:rsid w:val="00161335"/>
    <w:rsid w:val="001630A2"/>
    <w:rsid w:val="001655E0"/>
    <w:rsid w:val="00170604"/>
    <w:rsid w:val="00170B11"/>
    <w:rsid w:val="001732D6"/>
    <w:rsid w:val="001757DC"/>
    <w:rsid w:val="001763C9"/>
    <w:rsid w:val="00177B7D"/>
    <w:rsid w:val="00180659"/>
    <w:rsid w:val="00180890"/>
    <w:rsid w:val="001875C7"/>
    <w:rsid w:val="00187979"/>
    <w:rsid w:val="00194558"/>
    <w:rsid w:val="0019705E"/>
    <w:rsid w:val="0019717E"/>
    <w:rsid w:val="001A0B60"/>
    <w:rsid w:val="001A205B"/>
    <w:rsid w:val="001A5FBA"/>
    <w:rsid w:val="001A79DB"/>
    <w:rsid w:val="001B3717"/>
    <w:rsid w:val="001B7D8F"/>
    <w:rsid w:val="001C0B64"/>
    <w:rsid w:val="001C0D4B"/>
    <w:rsid w:val="001C4EE7"/>
    <w:rsid w:val="001D08BE"/>
    <w:rsid w:val="001D1BF2"/>
    <w:rsid w:val="001D25F2"/>
    <w:rsid w:val="001D2D4B"/>
    <w:rsid w:val="001D41D0"/>
    <w:rsid w:val="001D6EBF"/>
    <w:rsid w:val="001D7DC0"/>
    <w:rsid w:val="001E2102"/>
    <w:rsid w:val="001E5F8C"/>
    <w:rsid w:val="001E60B4"/>
    <w:rsid w:val="001F3228"/>
    <w:rsid w:val="001F51F6"/>
    <w:rsid w:val="001F5ABE"/>
    <w:rsid w:val="001F69E2"/>
    <w:rsid w:val="001F7C20"/>
    <w:rsid w:val="001F7CE1"/>
    <w:rsid w:val="002014FB"/>
    <w:rsid w:val="0020238F"/>
    <w:rsid w:val="0021079B"/>
    <w:rsid w:val="00211C77"/>
    <w:rsid w:val="002120D7"/>
    <w:rsid w:val="00214627"/>
    <w:rsid w:val="00214EF1"/>
    <w:rsid w:val="00215177"/>
    <w:rsid w:val="00216251"/>
    <w:rsid w:val="0021750D"/>
    <w:rsid w:val="00217F6F"/>
    <w:rsid w:val="002219F4"/>
    <w:rsid w:val="0022290A"/>
    <w:rsid w:val="00224795"/>
    <w:rsid w:val="002273B5"/>
    <w:rsid w:val="002305E2"/>
    <w:rsid w:val="00233590"/>
    <w:rsid w:val="00244FA8"/>
    <w:rsid w:val="00254E65"/>
    <w:rsid w:val="00255282"/>
    <w:rsid w:val="002575D1"/>
    <w:rsid w:val="00257C84"/>
    <w:rsid w:val="002601AE"/>
    <w:rsid w:val="00261086"/>
    <w:rsid w:val="00261A96"/>
    <w:rsid w:val="00266BC3"/>
    <w:rsid w:val="00270C80"/>
    <w:rsid w:val="00272399"/>
    <w:rsid w:val="00280D4C"/>
    <w:rsid w:val="00281519"/>
    <w:rsid w:val="00282D4F"/>
    <w:rsid w:val="0028471F"/>
    <w:rsid w:val="00284E81"/>
    <w:rsid w:val="002A3298"/>
    <w:rsid w:val="002A53D2"/>
    <w:rsid w:val="002B0F8B"/>
    <w:rsid w:val="002B2928"/>
    <w:rsid w:val="002B5699"/>
    <w:rsid w:val="002C0E42"/>
    <w:rsid w:val="002C1188"/>
    <w:rsid w:val="002C18A6"/>
    <w:rsid w:val="002C2238"/>
    <w:rsid w:val="002C422B"/>
    <w:rsid w:val="002D007C"/>
    <w:rsid w:val="002D1358"/>
    <w:rsid w:val="002D3A5E"/>
    <w:rsid w:val="002E1741"/>
    <w:rsid w:val="002E6905"/>
    <w:rsid w:val="00300ADA"/>
    <w:rsid w:val="003038CC"/>
    <w:rsid w:val="00306F18"/>
    <w:rsid w:val="00316451"/>
    <w:rsid w:val="00321BB7"/>
    <w:rsid w:val="003228F9"/>
    <w:rsid w:val="00330E4F"/>
    <w:rsid w:val="003379C3"/>
    <w:rsid w:val="00342A67"/>
    <w:rsid w:val="00350C1F"/>
    <w:rsid w:val="00360EC5"/>
    <w:rsid w:val="0036395F"/>
    <w:rsid w:val="003642FA"/>
    <w:rsid w:val="00364D9B"/>
    <w:rsid w:val="00365F06"/>
    <w:rsid w:val="00366E3E"/>
    <w:rsid w:val="003702D0"/>
    <w:rsid w:val="00371F3B"/>
    <w:rsid w:val="003720B7"/>
    <w:rsid w:val="00376A86"/>
    <w:rsid w:val="0038042C"/>
    <w:rsid w:val="00381136"/>
    <w:rsid w:val="00383391"/>
    <w:rsid w:val="0039037B"/>
    <w:rsid w:val="0039181D"/>
    <w:rsid w:val="003942C9"/>
    <w:rsid w:val="00397596"/>
    <w:rsid w:val="003A0E25"/>
    <w:rsid w:val="003A1936"/>
    <w:rsid w:val="003A449F"/>
    <w:rsid w:val="003A5CF2"/>
    <w:rsid w:val="003A6558"/>
    <w:rsid w:val="003B2831"/>
    <w:rsid w:val="003B7CD5"/>
    <w:rsid w:val="003D2703"/>
    <w:rsid w:val="003D29AA"/>
    <w:rsid w:val="003D4361"/>
    <w:rsid w:val="003D45D8"/>
    <w:rsid w:val="003E587F"/>
    <w:rsid w:val="003E728F"/>
    <w:rsid w:val="003E744E"/>
    <w:rsid w:val="003F17CD"/>
    <w:rsid w:val="003F6B18"/>
    <w:rsid w:val="003F6ED1"/>
    <w:rsid w:val="00400067"/>
    <w:rsid w:val="004032D2"/>
    <w:rsid w:val="00405FDB"/>
    <w:rsid w:val="00407424"/>
    <w:rsid w:val="00407E07"/>
    <w:rsid w:val="00412CE2"/>
    <w:rsid w:val="00414098"/>
    <w:rsid w:val="00423119"/>
    <w:rsid w:val="00425A4A"/>
    <w:rsid w:val="004279C9"/>
    <w:rsid w:val="004337C3"/>
    <w:rsid w:val="0043400C"/>
    <w:rsid w:val="004364A8"/>
    <w:rsid w:val="00437530"/>
    <w:rsid w:val="004430B2"/>
    <w:rsid w:val="00453473"/>
    <w:rsid w:val="00453855"/>
    <w:rsid w:val="00457AB5"/>
    <w:rsid w:val="00463C28"/>
    <w:rsid w:val="004714BC"/>
    <w:rsid w:val="00473AF4"/>
    <w:rsid w:val="00476978"/>
    <w:rsid w:val="00480BE5"/>
    <w:rsid w:val="00480CA9"/>
    <w:rsid w:val="00484DD4"/>
    <w:rsid w:val="00485D8E"/>
    <w:rsid w:val="00487F3B"/>
    <w:rsid w:val="0049487C"/>
    <w:rsid w:val="00495B6F"/>
    <w:rsid w:val="004A0A46"/>
    <w:rsid w:val="004A3846"/>
    <w:rsid w:val="004A3FAA"/>
    <w:rsid w:val="004A5D8A"/>
    <w:rsid w:val="004A6296"/>
    <w:rsid w:val="004A6DFB"/>
    <w:rsid w:val="004B203D"/>
    <w:rsid w:val="004B5135"/>
    <w:rsid w:val="004C1F88"/>
    <w:rsid w:val="004C58BF"/>
    <w:rsid w:val="004D04F3"/>
    <w:rsid w:val="004D722E"/>
    <w:rsid w:val="004E05A5"/>
    <w:rsid w:val="004E1A77"/>
    <w:rsid w:val="004E5676"/>
    <w:rsid w:val="004E5C0C"/>
    <w:rsid w:val="004E5DE6"/>
    <w:rsid w:val="004E71E1"/>
    <w:rsid w:val="004F0DA6"/>
    <w:rsid w:val="004F0F9A"/>
    <w:rsid w:val="004F6103"/>
    <w:rsid w:val="005027A7"/>
    <w:rsid w:val="00502E0A"/>
    <w:rsid w:val="00503610"/>
    <w:rsid w:val="00511247"/>
    <w:rsid w:val="00511A8D"/>
    <w:rsid w:val="0051701E"/>
    <w:rsid w:val="00517315"/>
    <w:rsid w:val="005218EC"/>
    <w:rsid w:val="0052238D"/>
    <w:rsid w:val="0052406C"/>
    <w:rsid w:val="00526E4B"/>
    <w:rsid w:val="00527F8C"/>
    <w:rsid w:val="00534487"/>
    <w:rsid w:val="0053562C"/>
    <w:rsid w:val="00542DB1"/>
    <w:rsid w:val="005504F4"/>
    <w:rsid w:val="00551212"/>
    <w:rsid w:val="005559B7"/>
    <w:rsid w:val="00555D0E"/>
    <w:rsid w:val="00557977"/>
    <w:rsid w:val="00557EF4"/>
    <w:rsid w:val="00560968"/>
    <w:rsid w:val="005609C7"/>
    <w:rsid w:val="005617F1"/>
    <w:rsid w:val="00562172"/>
    <w:rsid w:val="00574F21"/>
    <w:rsid w:val="00575775"/>
    <w:rsid w:val="005806B1"/>
    <w:rsid w:val="00583280"/>
    <w:rsid w:val="0058485E"/>
    <w:rsid w:val="00592F9A"/>
    <w:rsid w:val="005956BA"/>
    <w:rsid w:val="00597EC2"/>
    <w:rsid w:val="005A1BB4"/>
    <w:rsid w:val="005A2592"/>
    <w:rsid w:val="005A3661"/>
    <w:rsid w:val="005A741E"/>
    <w:rsid w:val="005A7951"/>
    <w:rsid w:val="005B14C1"/>
    <w:rsid w:val="005B25FD"/>
    <w:rsid w:val="005B362C"/>
    <w:rsid w:val="005B5432"/>
    <w:rsid w:val="005B58EC"/>
    <w:rsid w:val="005B62CD"/>
    <w:rsid w:val="005B6BC3"/>
    <w:rsid w:val="005B7E31"/>
    <w:rsid w:val="005C28B7"/>
    <w:rsid w:val="005D2899"/>
    <w:rsid w:val="005D4834"/>
    <w:rsid w:val="005E2C25"/>
    <w:rsid w:val="005E44B5"/>
    <w:rsid w:val="005E50A6"/>
    <w:rsid w:val="005E625F"/>
    <w:rsid w:val="005F0758"/>
    <w:rsid w:val="005F1C0D"/>
    <w:rsid w:val="005F3C15"/>
    <w:rsid w:val="005F51F2"/>
    <w:rsid w:val="005F68F2"/>
    <w:rsid w:val="005F7FC5"/>
    <w:rsid w:val="0060127D"/>
    <w:rsid w:val="00601EF7"/>
    <w:rsid w:val="00605A4A"/>
    <w:rsid w:val="006168F4"/>
    <w:rsid w:val="006201B3"/>
    <w:rsid w:val="00620DB6"/>
    <w:rsid w:val="0062137E"/>
    <w:rsid w:val="00621416"/>
    <w:rsid w:val="00621777"/>
    <w:rsid w:val="00621A13"/>
    <w:rsid w:val="00622947"/>
    <w:rsid w:val="00626B0C"/>
    <w:rsid w:val="00626C8F"/>
    <w:rsid w:val="00632D59"/>
    <w:rsid w:val="00637C00"/>
    <w:rsid w:val="00640B4C"/>
    <w:rsid w:val="00641D97"/>
    <w:rsid w:val="006429DC"/>
    <w:rsid w:val="006456EA"/>
    <w:rsid w:val="00647152"/>
    <w:rsid w:val="00651DFD"/>
    <w:rsid w:val="00653729"/>
    <w:rsid w:val="006614A9"/>
    <w:rsid w:val="00664C73"/>
    <w:rsid w:val="00666A1B"/>
    <w:rsid w:val="006770BC"/>
    <w:rsid w:val="00683549"/>
    <w:rsid w:val="0068689E"/>
    <w:rsid w:val="00690D41"/>
    <w:rsid w:val="0069106E"/>
    <w:rsid w:val="00696DAB"/>
    <w:rsid w:val="00697B9A"/>
    <w:rsid w:val="006A2859"/>
    <w:rsid w:val="006A305D"/>
    <w:rsid w:val="006A41CF"/>
    <w:rsid w:val="006A605E"/>
    <w:rsid w:val="006A60C2"/>
    <w:rsid w:val="006A6E97"/>
    <w:rsid w:val="006A7C78"/>
    <w:rsid w:val="006B3FE8"/>
    <w:rsid w:val="006B57B3"/>
    <w:rsid w:val="006B5A59"/>
    <w:rsid w:val="006B5C09"/>
    <w:rsid w:val="006B6844"/>
    <w:rsid w:val="006C1226"/>
    <w:rsid w:val="006C251B"/>
    <w:rsid w:val="006C3EE5"/>
    <w:rsid w:val="006C5463"/>
    <w:rsid w:val="006C5E0E"/>
    <w:rsid w:val="006E34E6"/>
    <w:rsid w:val="006E5A07"/>
    <w:rsid w:val="006F4DC9"/>
    <w:rsid w:val="006F748C"/>
    <w:rsid w:val="006F7751"/>
    <w:rsid w:val="00700748"/>
    <w:rsid w:val="00706A95"/>
    <w:rsid w:val="00710400"/>
    <w:rsid w:val="0071085D"/>
    <w:rsid w:val="00714DBB"/>
    <w:rsid w:val="007160EF"/>
    <w:rsid w:val="00720D2A"/>
    <w:rsid w:val="007228DD"/>
    <w:rsid w:val="00723AC1"/>
    <w:rsid w:val="00726E67"/>
    <w:rsid w:val="00733AE0"/>
    <w:rsid w:val="00734C69"/>
    <w:rsid w:val="00734D04"/>
    <w:rsid w:val="0073583A"/>
    <w:rsid w:val="007362DE"/>
    <w:rsid w:val="00737203"/>
    <w:rsid w:val="00737DB1"/>
    <w:rsid w:val="00740FBA"/>
    <w:rsid w:val="00751A86"/>
    <w:rsid w:val="00752DB8"/>
    <w:rsid w:val="00755762"/>
    <w:rsid w:val="00760497"/>
    <w:rsid w:val="00760EA0"/>
    <w:rsid w:val="00762D04"/>
    <w:rsid w:val="00763FBC"/>
    <w:rsid w:val="00765B5E"/>
    <w:rsid w:val="00766B9B"/>
    <w:rsid w:val="0077736D"/>
    <w:rsid w:val="00780161"/>
    <w:rsid w:val="00783B18"/>
    <w:rsid w:val="00786970"/>
    <w:rsid w:val="00787BD6"/>
    <w:rsid w:val="00793A87"/>
    <w:rsid w:val="007948AB"/>
    <w:rsid w:val="00794B2B"/>
    <w:rsid w:val="007978A5"/>
    <w:rsid w:val="007A06EA"/>
    <w:rsid w:val="007A3677"/>
    <w:rsid w:val="007A45D7"/>
    <w:rsid w:val="007A79CD"/>
    <w:rsid w:val="007B283E"/>
    <w:rsid w:val="007B48FD"/>
    <w:rsid w:val="007C08BD"/>
    <w:rsid w:val="007C1BCB"/>
    <w:rsid w:val="007C64A2"/>
    <w:rsid w:val="007D47F8"/>
    <w:rsid w:val="007D504E"/>
    <w:rsid w:val="007D7343"/>
    <w:rsid w:val="007D791A"/>
    <w:rsid w:val="007D7E0C"/>
    <w:rsid w:val="007E465A"/>
    <w:rsid w:val="007E554B"/>
    <w:rsid w:val="007F7136"/>
    <w:rsid w:val="00801944"/>
    <w:rsid w:val="0080754A"/>
    <w:rsid w:val="00810E2F"/>
    <w:rsid w:val="00813C93"/>
    <w:rsid w:val="00816DDF"/>
    <w:rsid w:val="00817CFC"/>
    <w:rsid w:val="0082047B"/>
    <w:rsid w:val="008249E3"/>
    <w:rsid w:val="00834011"/>
    <w:rsid w:val="00834281"/>
    <w:rsid w:val="00835111"/>
    <w:rsid w:val="00835F9D"/>
    <w:rsid w:val="00836647"/>
    <w:rsid w:val="008373D6"/>
    <w:rsid w:val="00837DBF"/>
    <w:rsid w:val="00837F97"/>
    <w:rsid w:val="00842001"/>
    <w:rsid w:val="00843041"/>
    <w:rsid w:val="008445FD"/>
    <w:rsid w:val="00846878"/>
    <w:rsid w:val="00850057"/>
    <w:rsid w:val="00850E8C"/>
    <w:rsid w:val="00854777"/>
    <w:rsid w:val="008559C5"/>
    <w:rsid w:val="00856045"/>
    <w:rsid w:val="008741E1"/>
    <w:rsid w:val="00877858"/>
    <w:rsid w:val="00880D5A"/>
    <w:rsid w:val="00884284"/>
    <w:rsid w:val="00886423"/>
    <w:rsid w:val="00891C05"/>
    <w:rsid w:val="008931F8"/>
    <w:rsid w:val="008A23E4"/>
    <w:rsid w:val="008A25E6"/>
    <w:rsid w:val="008A2C31"/>
    <w:rsid w:val="008A5DD7"/>
    <w:rsid w:val="008A712B"/>
    <w:rsid w:val="008B18B0"/>
    <w:rsid w:val="008B5C00"/>
    <w:rsid w:val="008B5FAC"/>
    <w:rsid w:val="008C0BCA"/>
    <w:rsid w:val="008C13AD"/>
    <w:rsid w:val="008C1E23"/>
    <w:rsid w:val="008C2565"/>
    <w:rsid w:val="008C405A"/>
    <w:rsid w:val="008E19C6"/>
    <w:rsid w:val="008E1DB1"/>
    <w:rsid w:val="008E259F"/>
    <w:rsid w:val="008E5F76"/>
    <w:rsid w:val="008E6500"/>
    <w:rsid w:val="008F3974"/>
    <w:rsid w:val="008F4046"/>
    <w:rsid w:val="008F6B64"/>
    <w:rsid w:val="008F7192"/>
    <w:rsid w:val="00900B99"/>
    <w:rsid w:val="009030CB"/>
    <w:rsid w:val="00907EB3"/>
    <w:rsid w:val="00912234"/>
    <w:rsid w:val="009155CE"/>
    <w:rsid w:val="0091610B"/>
    <w:rsid w:val="0091705E"/>
    <w:rsid w:val="0092050D"/>
    <w:rsid w:val="00920AC9"/>
    <w:rsid w:val="009210E1"/>
    <w:rsid w:val="00923CF8"/>
    <w:rsid w:val="00925925"/>
    <w:rsid w:val="009272F9"/>
    <w:rsid w:val="009278E9"/>
    <w:rsid w:val="009409DE"/>
    <w:rsid w:val="0094124A"/>
    <w:rsid w:val="00954642"/>
    <w:rsid w:val="00957424"/>
    <w:rsid w:val="009602CD"/>
    <w:rsid w:val="00960C2D"/>
    <w:rsid w:val="00960ECC"/>
    <w:rsid w:val="0096518B"/>
    <w:rsid w:val="00972F48"/>
    <w:rsid w:val="0097524B"/>
    <w:rsid w:val="009757CC"/>
    <w:rsid w:val="00987057"/>
    <w:rsid w:val="0098783A"/>
    <w:rsid w:val="009913F0"/>
    <w:rsid w:val="0099255A"/>
    <w:rsid w:val="0099335F"/>
    <w:rsid w:val="009950C8"/>
    <w:rsid w:val="00996CEA"/>
    <w:rsid w:val="009A0683"/>
    <w:rsid w:val="009A7102"/>
    <w:rsid w:val="009B2F8F"/>
    <w:rsid w:val="009B79D2"/>
    <w:rsid w:val="009C1478"/>
    <w:rsid w:val="009C258B"/>
    <w:rsid w:val="009C37CB"/>
    <w:rsid w:val="009C5618"/>
    <w:rsid w:val="009C5919"/>
    <w:rsid w:val="009C62BF"/>
    <w:rsid w:val="009D2A06"/>
    <w:rsid w:val="009D3AA3"/>
    <w:rsid w:val="009D5B2D"/>
    <w:rsid w:val="009D715F"/>
    <w:rsid w:val="009E44FC"/>
    <w:rsid w:val="009E4B8E"/>
    <w:rsid w:val="009F48D1"/>
    <w:rsid w:val="00A04425"/>
    <w:rsid w:val="00A061F3"/>
    <w:rsid w:val="00A07A19"/>
    <w:rsid w:val="00A10E6A"/>
    <w:rsid w:val="00A10EA2"/>
    <w:rsid w:val="00A1253A"/>
    <w:rsid w:val="00A13950"/>
    <w:rsid w:val="00A159FC"/>
    <w:rsid w:val="00A20FB9"/>
    <w:rsid w:val="00A21A12"/>
    <w:rsid w:val="00A245F1"/>
    <w:rsid w:val="00A27C72"/>
    <w:rsid w:val="00A317B1"/>
    <w:rsid w:val="00A31F96"/>
    <w:rsid w:val="00A33E09"/>
    <w:rsid w:val="00A343CD"/>
    <w:rsid w:val="00A352C6"/>
    <w:rsid w:val="00A619D6"/>
    <w:rsid w:val="00A61FFC"/>
    <w:rsid w:val="00A62EF2"/>
    <w:rsid w:val="00A631B4"/>
    <w:rsid w:val="00A6548B"/>
    <w:rsid w:val="00A66306"/>
    <w:rsid w:val="00A7170B"/>
    <w:rsid w:val="00A746BE"/>
    <w:rsid w:val="00A75B1E"/>
    <w:rsid w:val="00A81658"/>
    <w:rsid w:val="00A86E2C"/>
    <w:rsid w:val="00A91CF0"/>
    <w:rsid w:val="00A940B1"/>
    <w:rsid w:val="00A95BB0"/>
    <w:rsid w:val="00AA01A8"/>
    <w:rsid w:val="00AA0A06"/>
    <w:rsid w:val="00AA68B7"/>
    <w:rsid w:val="00AB2A6B"/>
    <w:rsid w:val="00AB439B"/>
    <w:rsid w:val="00AB56F7"/>
    <w:rsid w:val="00AC129C"/>
    <w:rsid w:val="00AC2E98"/>
    <w:rsid w:val="00AC5794"/>
    <w:rsid w:val="00AC68EC"/>
    <w:rsid w:val="00AD2A01"/>
    <w:rsid w:val="00AE0896"/>
    <w:rsid w:val="00AE2A99"/>
    <w:rsid w:val="00AE2F32"/>
    <w:rsid w:val="00AE66AF"/>
    <w:rsid w:val="00AE78E2"/>
    <w:rsid w:val="00AF1946"/>
    <w:rsid w:val="00B0314E"/>
    <w:rsid w:val="00B03470"/>
    <w:rsid w:val="00B0470B"/>
    <w:rsid w:val="00B1198A"/>
    <w:rsid w:val="00B13C8A"/>
    <w:rsid w:val="00B1540B"/>
    <w:rsid w:val="00B16DF7"/>
    <w:rsid w:val="00B22D2F"/>
    <w:rsid w:val="00B25715"/>
    <w:rsid w:val="00B30DAF"/>
    <w:rsid w:val="00B31C58"/>
    <w:rsid w:val="00B3412A"/>
    <w:rsid w:val="00B415D3"/>
    <w:rsid w:val="00B46A04"/>
    <w:rsid w:val="00B52436"/>
    <w:rsid w:val="00B531D1"/>
    <w:rsid w:val="00B5448D"/>
    <w:rsid w:val="00B61B72"/>
    <w:rsid w:val="00B71B9B"/>
    <w:rsid w:val="00B723F9"/>
    <w:rsid w:val="00B74F55"/>
    <w:rsid w:val="00B7577C"/>
    <w:rsid w:val="00B81484"/>
    <w:rsid w:val="00B8287E"/>
    <w:rsid w:val="00B82E03"/>
    <w:rsid w:val="00B85474"/>
    <w:rsid w:val="00B90A67"/>
    <w:rsid w:val="00B91A99"/>
    <w:rsid w:val="00B92155"/>
    <w:rsid w:val="00B92B63"/>
    <w:rsid w:val="00BA1F71"/>
    <w:rsid w:val="00BA240A"/>
    <w:rsid w:val="00BA29F7"/>
    <w:rsid w:val="00BA5F89"/>
    <w:rsid w:val="00BA6BF2"/>
    <w:rsid w:val="00BA7ECF"/>
    <w:rsid w:val="00BB0352"/>
    <w:rsid w:val="00BB35AF"/>
    <w:rsid w:val="00BB3757"/>
    <w:rsid w:val="00BB4862"/>
    <w:rsid w:val="00BB5C86"/>
    <w:rsid w:val="00BC09B3"/>
    <w:rsid w:val="00BC19D4"/>
    <w:rsid w:val="00BC1A08"/>
    <w:rsid w:val="00BC2D0F"/>
    <w:rsid w:val="00BC414E"/>
    <w:rsid w:val="00BC58B1"/>
    <w:rsid w:val="00BD0278"/>
    <w:rsid w:val="00BD5B38"/>
    <w:rsid w:val="00BE05B2"/>
    <w:rsid w:val="00BE396C"/>
    <w:rsid w:val="00BE6418"/>
    <w:rsid w:val="00BE64DA"/>
    <w:rsid w:val="00BE6501"/>
    <w:rsid w:val="00BE78BC"/>
    <w:rsid w:val="00BF1D44"/>
    <w:rsid w:val="00BF288B"/>
    <w:rsid w:val="00BF3A63"/>
    <w:rsid w:val="00BF45AB"/>
    <w:rsid w:val="00BF4BD4"/>
    <w:rsid w:val="00BF7EB4"/>
    <w:rsid w:val="00C01CC1"/>
    <w:rsid w:val="00C02DE0"/>
    <w:rsid w:val="00C0420B"/>
    <w:rsid w:val="00C0490B"/>
    <w:rsid w:val="00C05688"/>
    <w:rsid w:val="00C07697"/>
    <w:rsid w:val="00C07BD5"/>
    <w:rsid w:val="00C14CD0"/>
    <w:rsid w:val="00C20432"/>
    <w:rsid w:val="00C21188"/>
    <w:rsid w:val="00C212B6"/>
    <w:rsid w:val="00C24BFD"/>
    <w:rsid w:val="00C27FC4"/>
    <w:rsid w:val="00C31C79"/>
    <w:rsid w:val="00C34E2D"/>
    <w:rsid w:val="00C3524B"/>
    <w:rsid w:val="00C3644D"/>
    <w:rsid w:val="00C36859"/>
    <w:rsid w:val="00C36FB6"/>
    <w:rsid w:val="00C421EE"/>
    <w:rsid w:val="00C44520"/>
    <w:rsid w:val="00C4622D"/>
    <w:rsid w:val="00C47D97"/>
    <w:rsid w:val="00C5442F"/>
    <w:rsid w:val="00C54CE7"/>
    <w:rsid w:val="00C54D2B"/>
    <w:rsid w:val="00C62407"/>
    <w:rsid w:val="00C644B5"/>
    <w:rsid w:val="00C65C1A"/>
    <w:rsid w:val="00C6642E"/>
    <w:rsid w:val="00C71246"/>
    <w:rsid w:val="00C735C0"/>
    <w:rsid w:val="00C743BB"/>
    <w:rsid w:val="00C75139"/>
    <w:rsid w:val="00C75EE5"/>
    <w:rsid w:val="00C777CE"/>
    <w:rsid w:val="00C77F29"/>
    <w:rsid w:val="00C81233"/>
    <w:rsid w:val="00C81CB4"/>
    <w:rsid w:val="00C83F97"/>
    <w:rsid w:val="00C858B8"/>
    <w:rsid w:val="00CA11BA"/>
    <w:rsid w:val="00CA773A"/>
    <w:rsid w:val="00CA77E6"/>
    <w:rsid w:val="00CB05DF"/>
    <w:rsid w:val="00CB1287"/>
    <w:rsid w:val="00CB3151"/>
    <w:rsid w:val="00CB3176"/>
    <w:rsid w:val="00CB330F"/>
    <w:rsid w:val="00CB3410"/>
    <w:rsid w:val="00CB7DA9"/>
    <w:rsid w:val="00CC124D"/>
    <w:rsid w:val="00CD345F"/>
    <w:rsid w:val="00CD63D9"/>
    <w:rsid w:val="00CD6D8A"/>
    <w:rsid w:val="00CE0045"/>
    <w:rsid w:val="00CE0FEF"/>
    <w:rsid w:val="00CE3AF1"/>
    <w:rsid w:val="00CE4F2E"/>
    <w:rsid w:val="00CE52B0"/>
    <w:rsid w:val="00CF50BB"/>
    <w:rsid w:val="00D029CB"/>
    <w:rsid w:val="00D044C8"/>
    <w:rsid w:val="00D06F30"/>
    <w:rsid w:val="00D16C19"/>
    <w:rsid w:val="00D17F66"/>
    <w:rsid w:val="00D21049"/>
    <w:rsid w:val="00D21102"/>
    <w:rsid w:val="00D2112F"/>
    <w:rsid w:val="00D2459D"/>
    <w:rsid w:val="00D2486F"/>
    <w:rsid w:val="00D24CB1"/>
    <w:rsid w:val="00D257C2"/>
    <w:rsid w:val="00D26BFA"/>
    <w:rsid w:val="00D27042"/>
    <w:rsid w:val="00D3041B"/>
    <w:rsid w:val="00D3160E"/>
    <w:rsid w:val="00D318A9"/>
    <w:rsid w:val="00D31AF7"/>
    <w:rsid w:val="00D34ED3"/>
    <w:rsid w:val="00D35D7A"/>
    <w:rsid w:val="00D35D91"/>
    <w:rsid w:val="00D37DE0"/>
    <w:rsid w:val="00D403E8"/>
    <w:rsid w:val="00D4127F"/>
    <w:rsid w:val="00D42211"/>
    <w:rsid w:val="00D42522"/>
    <w:rsid w:val="00D471A1"/>
    <w:rsid w:val="00D5056E"/>
    <w:rsid w:val="00D52459"/>
    <w:rsid w:val="00D5306E"/>
    <w:rsid w:val="00D55162"/>
    <w:rsid w:val="00D556C0"/>
    <w:rsid w:val="00D55731"/>
    <w:rsid w:val="00D57ACC"/>
    <w:rsid w:val="00D63D87"/>
    <w:rsid w:val="00D65954"/>
    <w:rsid w:val="00D65A8D"/>
    <w:rsid w:val="00D65BA1"/>
    <w:rsid w:val="00D6782D"/>
    <w:rsid w:val="00D734A6"/>
    <w:rsid w:val="00D73573"/>
    <w:rsid w:val="00D73930"/>
    <w:rsid w:val="00D74BC2"/>
    <w:rsid w:val="00D757C7"/>
    <w:rsid w:val="00D80B82"/>
    <w:rsid w:val="00D817C0"/>
    <w:rsid w:val="00D856F3"/>
    <w:rsid w:val="00D912E2"/>
    <w:rsid w:val="00D96CDE"/>
    <w:rsid w:val="00D972CF"/>
    <w:rsid w:val="00DA2F8F"/>
    <w:rsid w:val="00DA3B07"/>
    <w:rsid w:val="00DB226E"/>
    <w:rsid w:val="00DB2E73"/>
    <w:rsid w:val="00DB2F85"/>
    <w:rsid w:val="00DB3399"/>
    <w:rsid w:val="00DB3CFC"/>
    <w:rsid w:val="00DB73A7"/>
    <w:rsid w:val="00DC2B0D"/>
    <w:rsid w:val="00DC3144"/>
    <w:rsid w:val="00DC4DDD"/>
    <w:rsid w:val="00DD1A58"/>
    <w:rsid w:val="00DD2E07"/>
    <w:rsid w:val="00DD3197"/>
    <w:rsid w:val="00DD7ABD"/>
    <w:rsid w:val="00DE4EC8"/>
    <w:rsid w:val="00DE7B4B"/>
    <w:rsid w:val="00DF13AB"/>
    <w:rsid w:val="00DF275F"/>
    <w:rsid w:val="00DF5C12"/>
    <w:rsid w:val="00DF7748"/>
    <w:rsid w:val="00DF7776"/>
    <w:rsid w:val="00E00CFE"/>
    <w:rsid w:val="00E020B0"/>
    <w:rsid w:val="00E038DF"/>
    <w:rsid w:val="00E05C66"/>
    <w:rsid w:val="00E10DC4"/>
    <w:rsid w:val="00E12A47"/>
    <w:rsid w:val="00E1589F"/>
    <w:rsid w:val="00E16D6A"/>
    <w:rsid w:val="00E238EC"/>
    <w:rsid w:val="00E23D46"/>
    <w:rsid w:val="00E2511F"/>
    <w:rsid w:val="00E265F6"/>
    <w:rsid w:val="00E26ED2"/>
    <w:rsid w:val="00E33BAD"/>
    <w:rsid w:val="00E344AB"/>
    <w:rsid w:val="00E34BFD"/>
    <w:rsid w:val="00E3603A"/>
    <w:rsid w:val="00E36953"/>
    <w:rsid w:val="00E43D81"/>
    <w:rsid w:val="00E43E09"/>
    <w:rsid w:val="00E46D68"/>
    <w:rsid w:val="00E47478"/>
    <w:rsid w:val="00E50732"/>
    <w:rsid w:val="00E51683"/>
    <w:rsid w:val="00E5275A"/>
    <w:rsid w:val="00E52AE5"/>
    <w:rsid w:val="00E53B0C"/>
    <w:rsid w:val="00E53FD4"/>
    <w:rsid w:val="00E61EB6"/>
    <w:rsid w:val="00E629AD"/>
    <w:rsid w:val="00E652BD"/>
    <w:rsid w:val="00E702E6"/>
    <w:rsid w:val="00E703CE"/>
    <w:rsid w:val="00E70EE6"/>
    <w:rsid w:val="00E80409"/>
    <w:rsid w:val="00E84B15"/>
    <w:rsid w:val="00E85025"/>
    <w:rsid w:val="00E921DD"/>
    <w:rsid w:val="00E926BA"/>
    <w:rsid w:val="00E93DFF"/>
    <w:rsid w:val="00E94092"/>
    <w:rsid w:val="00E94DB8"/>
    <w:rsid w:val="00E95E51"/>
    <w:rsid w:val="00EA1FCF"/>
    <w:rsid w:val="00EA2B5B"/>
    <w:rsid w:val="00EA3BBA"/>
    <w:rsid w:val="00EA3FB0"/>
    <w:rsid w:val="00EA63AA"/>
    <w:rsid w:val="00EB0895"/>
    <w:rsid w:val="00EB1D42"/>
    <w:rsid w:val="00EC00AC"/>
    <w:rsid w:val="00EC644B"/>
    <w:rsid w:val="00ED09B9"/>
    <w:rsid w:val="00ED399F"/>
    <w:rsid w:val="00ED41D4"/>
    <w:rsid w:val="00ED4BB5"/>
    <w:rsid w:val="00ED6747"/>
    <w:rsid w:val="00EE274A"/>
    <w:rsid w:val="00EE7D9E"/>
    <w:rsid w:val="00EF0EEC"/>
    <w:rsid w:val="00EF161E"/>
    <w:rsid w:val="00EF2237"/>
    <w:rsid w:val="00EF2633"/>
    <w:rsid w:val="00EF3B97"/>
    <w:rsid w:val="00EF4722"/>
    <w:rsid w:val="00EF4AAB"/>
    <w:rsid w:val="00EF54ED"/>
    <w:rsid w:val="00EF6B65"/>
    <w:rsid w:val="00EF7CB6"/>
    <w:rsid w:val="00F00078"/>
    <w:rsid w:val="00F0424E"/>
    <w:rsid w:val="00F06FC2"/>
    <w:rsid w:val="00F07605"/>
    <w:rsid w:val="00F07F12"/>
    <w:rsid w:val="00F1003F"/>
    <w:rsid w:val="00F147C3"/>
    <w:rsid w:val="00F21946"/>
    <w:rsid w:val="00F26681"/>
    <w:rsid w:val="00F271C6"/>
    <w:rsid w:val="00F27BC9"/>
    <w:rsid w:val="00F323F6"/>
    <w:rsid w:val="00F34F3D"/>
    <w:rsid w:val="00F411B0"/>
    <w:rsid w:val="00F414C4"/>
    <w:rsid w:val="00F4258F"/>
    <w:rsid w:val="00F505A5"/>
    <w:rsid w:val="00F51D4B"/>
    <w:rsid w:val="00F5223B"/>
    <w:rsid w:val="00F557BD"/>
    <w:rsid w:val="00F56A55"/>
    <w:rsid w:val="00F5787E"/>
    <w:rsid w:val="00F6015C"/>
    <w:rsid w:val="00F6102F"/>
    <w:rsid w:val="00F61B7B"/>
    <w:rsid w:val="00F61F8E"/>
    <w:rsid w:val="00F63740"/>
    <w:rsid w:val="00F660E9"/>
    <w:rsid w:val="00F70137"/>
    <w:rsid w:val="00F7264D"/>
    <w:rsid w:val="00F75913"/>
    <w:rsid w:val="00F76612"/>
    <w:rsid w:val="00F82A87"/>
    <w:rsid w:val="00F82F1F"/>
    <w:rsid w:val="00F83EC2"/>
    <w:rsid w:val="00F8448A"/>
    <w:rsid w:val="00F849F2"/>
    <w:rsid w:val="00F851F9"/>
    <w:rsid w:val="00F90038"/>
    <w:rsid w:val="00F90747"/>
    <w:rsid w:val="00F916EF"/>
    <w:rsid w:val="00F92D85"/>
    <w:rsid w:val="00F94C91"/>
    <w:rsid w:val="00F95A0B"/>
    <w:rsid w:val="00F97269"/>
    <w:rsid w:val="00FA168A"/>
    <w:rsid w:val="00FA3C6B"/>
    <w:rsid w:val="00FA4F5B"/>
    <w:rsid w:val="00FA7AF2"/>
    <w:rsid w:val="00FB0F5C"/>
    <w:rsid w:val="00FB1861"/>
    <w:rsid w:val="00FB4EB4"/>
    <w:rsid w:val="00FB691E"/>
    <w:rsid w:val="00FC440E"/>
    <w:rsid w:val="00FC6B34"/>
    <w:rsid w:val="00FC6C94"/>
    <w:rsid w:val="00FC6DAF"/>
    <w:rsid w:val="00FD25F2"/>
    <w:rsid w:val="00FD2B3F"/>
    <w:rsid w:val="00FD4CF6"/>
    <w:rsid w:val="00FD6705"/>
    <w:rsid w:val="00FE07CB"/>
    <w:rsid w:val="00FE0C87"/>
    <w:rsid w:val="00FE0EB1"/>
    <w:rsid w:val="00FE1260"/>
    <w:rsid w:val="00FE4098"/>
    <w:rsid w:val="00FE4615"/>
    <w:rsid w:val="00FE48D7"/>
    <w:rsid w:val="00FE6312"/>
    <w:rsid w:val="00FF6995"/>
    <w:rsid w:val="00FF6A5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footer" w:uiPriority="0"/>
    <w:lsdException w:name="caption" w:uiPriority="35" w:qFormat="1"/>
    <w:lsdException w:name="footnote reference" w:uiPriority="0"/>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A741E"/>
    <w:rPr>
      <w:rFonts w:ascii="Times New Roman" w:eastAsia="Times New Roman" w:hAnsi="Times New Roman"/>
      <w:snapToGrid w:val="0"/>
      <w:sz w:val="24"/>
      <w:szCs w:val="26"/>
    </w:rPr>
  </w:style>
  <w:style w:type="paragraph" w:styleId="Heading5">
    <w:name w:val="heading 5"/>
    <w:basedOn w:val="Normal"/>
    <w:next w:val="Normal"/>
    <w:link w:val="Heading5Char"/>
    <w:qFormat/>
    <w:rsid w:val="0071085D"/>
    <w:pPr>
      <w:spacing w:before="240" w:after="60"/>
      <w:outlineLvl w:val="4"/>
    </w:pPr>
    <w:rPr>
      <w:b/>
      <w:bCs/>
      <w:i/>
      <w:iCs/>
      <w:snapToGrid/>
      <w:sz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semiHidden/>
    <w:rsid w:val="005A741E"/>
    <w:rPr>
      <w:sz w:val="20"/>
    </w:rPr>
  </w:style>
  <w:style w:type="character" w:customStyle="1" w:styleId="FootnoteTextChar">
    <w:name w:val="Footnote Text Char"/>
    <w:basedOn w:val="DefaultParagraphFont"/>
    <w:link w:val="FootnoteText"/>
    <w:semiHidden/>
    <w:rsid w:val="005A741E"/>
    <w:rPr>
      <w:rFonts w:ascii="Times New Roman" w:eastAsia="Times New Roman" w:hAnsi="Times New Roman" w:cs="Times New Roman"/>
      <w:snapToGrid w:val="0"/>
      <w:sz w:val="20"/>
      <w:szCs w:val="26"/>
    </w:rPr>
  </w:style>
  <w:style w:type="character" w:styleId="FootnoteReference">
    <w:name w:val="footnote reference"/>
    <w:basedOn w:val="DefaultParagraphFont"/>
    <w:semiHidden/>
    <w:rsid w:val="005A741E"/>
    <w:rPr>
      <w:vertAlign w:val="superscript"/>
    </w:rPr>
  </w:style>
  <w:style w:type="paragraph" w:styleId="Footer">
    <w:name w:val="footer"/>
    <w:basedOn w:val="Normal"/>
    <w:link w:val="FooterChar"/>
    <w:rsid w:val="005A741E"/>
    <w:pPr>
      <w:tabs>
        <w:tab w:val="center" w:pos="4320"/>
        <w:tab w:val="right" w:pos="8640"/>
      </w:tabs>
    </w:pPr>
  </w:style>
  <w:style w:type="character" w:customStyle="1" w:styleId="FooterChar">
    <w:name w:val="Footer Char"/>
    <w:basedOn w:val="DefaultParagraphFont"/>
    <w:link w:val="Footer"/>
    <w:rsid w:val="005A741E"/>
    <w:rPr>
      <w:rFonts w:ascii="Times New Roman" w:eastAsia="Times New Roman" w:hAnsi="Times New Roman" w:cs="Times New Roman"/>
      <w:snapToGrid w:val="0"/>
      <w:sz w:val="24"/>
      <w:szCs w:val="26"/>
    </w:rPr>
  </w:style>
  <w:style w:type="character" w:styleId="PageNumber">
    <w:name w:val="page number"/>
    <w:basedOn w:val="DefaultParagraphFont"/>
    <w:rsid w:val="005A741E"/>
  </w:style>
  <w:style w:type="paragraph" w:customStyle="1" w:styleId="Level1">
    <w:name w:val="Level 1"/>
    <w:basedOn w:val="Normal"/>
    <w:rsid w:val="005A741E"/>
    <w:pPr>
      <w:widowControl w:val="0"/>
      <w:tabs>
        <w:tab w:val="num" w:pos="0"/>
      </w:tabs>
      <w:autoSpaceDE w:val="0"/>
      <w:autoSpaceDN w:val="0"/>
      <w:adjustRightInd w:val="0"/>
      <w:ind w:firstLine="720"/>
      <w:outlineLvl w:val="0"/>
    </w:pPr>
    <w:rPr>
      <w:snapToGrid/>
      <w:szCs w:val="24"/>
    </w:rPr>
  </w:style>
  <w:style w:type="paragraph" w:customStyle="1" w:styleId="Style">
    <w:name w:val="Style"/>
    <w:rsid w:val="005A741E"/>
    <w:pPr>
      <w:widowControl w:val="0"/>
      <w:autoSpaceDE w:val="0"/>
      <w:autoSpaceDN w:val="0"/>
      <w:adjustRightInd w:val="0"/>
    </w:pPr>
    <w:rPr>
      <w:rFonts w:ascii="Times New Roman" w:eastAsia="Times New Roman" w:hAnsi="Times New Roman"/>
      <w:sz w:val="24"/>
      <w:szCs w:val="24"/>
    </w:rPr>
  </w:style>
  <w:style w:type="paragraph" w:styleId="ListParagraph">
    <w:name w:val="List Paragraph"/>
    <w:basedOn w:val="Normal"/>
    <w:uiPriority w:val="34"/>
    <w:qFormat/>
    <w:rsid w:val="005A741E"/>
    <w:pPr>
      <w:ind w:left="720"/>
      <w:contextualSpacing/>
    </w:pPr>
  </w:style>
  <w:style w:type="paragraph" w:customStyle="1" w:styleId="TxBrp3">
    <w:name w:val="TxBr_p3"/>
    <w:basedOn w:val="Normal"/>
    <w:rsid w:val="00891C05"/>
    <w:pPr>
      <w:widowControl w:val="0"/>
      <w:tabs>
        <w:tab w:val="left" w:pos="1474"/>
      </w:tabs>
      <w:autoSpaceDE w:val="0"/>
      <w:autoSpaceDN w:val="0"/>
      <w:adjustRightInd w:val="0"/>
      <w:spacing w:line="425" w:lineRule="atLeast"/>
      <w:ind w:firstLine="1474"/>
    </w:pPr>
    <w:rPr>
      <w:snapToGrid/>
      <w:szCs w:val="24"/>
    </w:rPr>
  </w:style>
  <w:style w:type="paragraph" w:customStyle="1" w:styleId="TxBrc5">
    <w:name w:val="TxBr_c5"/>
    <w:basedOn w:val="Normal"/>
    <w:rsid w:val="00891C05"/>
    <w:pPr>
      <w:widowControl w:val="0"/>
      <w:autoSpaceDE w:val="0"/>
      <w:autoSpaceDN w:val="0"/>
      <w:adjustRightInd w:val="0"/>
      <w:spacing w:line="240" w:lineRule="atLeast"/>
      <w:jc w:val="center"/>
    </w:pPr>
    <w:rPr>
      <w:snapToGrid/>
      <w:szCs w:val="24"/>
    </w:rPr>
  </w:style>
  <w:style w:type="paragraph" w:styleId="BodyText">
    <w:name w:val="Body Text"/>
    <w:basedOn w:val="Normal"/>
    <w:link w:val="BodyTextChar"/>
    <w:rsid w:val="00891C05"/>
    <w:pPr>
      <w:autoSpaceDE w:val="0"/>
      <w:autoSpaceDN w:val="0"/>
      <w:spacing w:after="120"/>
    </w:pPr>
    <w:rPr>
      <w:rFonts w:ascii="CG Times" w:hAnsi="CG Times" w:cs="CG Times"/>
      <w:snapToGrid/>
      <w:szCs w:val="24"/>
    </w:rPr>
  </w:style>
  <w:style w:type="character" w:customStyle="1" w:styleId="BodyTextChar">
    <w:name w:val="Body Text Char"/>
    <w:basedOn w:val="DefaultParagraphFont"/>
    <w:link w:val="BodyText"/>
    <w:rsid w:val="00891C05"/>
    <w:rPr>
      <w:rFonts w:ascii="CG Times" w:eastAsia="Times New Roman" w:hAnsi="CG Times" w:cs="CG Times"/>
      <w:sz w:val="24"/>
      <w:szCs w:val="24"/>
    </w:rPr>
  </w:style>
  <w:style w:type="character" w:styleId="CommentReference">
    <w:name w:val="annotation reference"/>
    <w:basedOn w:val="DefaultParagraphFont"/>
    <w:uiPriority w:val="99"/>
    <w:semiHidden/>
    <w:unhideWhenUsed/>
    <w:rsid w:val="00F06FC2"/>
    <w:rPr>
      <w:sz w:val="16"/>
      <w:szCs w:val="16"/>
    </w:rPr>
  </w:style>
  <w:style w:type="paragraph" w:styleId="CommentText">
    <w:name w:val="annotation text"/>
    <w:basedOn w:val="Normal"/>
    <w:link w:val="CommentTextChar"/>
    <w:uiPriority w:val="99"/>
    <w:semiHidden/>
    <w:unhideWhenUsed/>
    <w:rsid w:val="00F06FC2"/>
    <w:rPr>
      <w:sz w:val="20"/>
      <w:szCs w:val="20"/>
    </w:rPr>
  </w:style>
  <w:style w:type="character" w:customStyle="1" w:styleId="CommentTextChar">
    <w:name w:val="Comment Text Char"/>
    <w:basedOn w:val="DefaultParagraphFont"/>
    <w:link w:val="CommentText"/>
    <w:uiPriority w:val="99"/>
    <w:semiHidden/>
    <w:rsid w:val="00F06FC2"/>
    <w:rPr>
      <w:rFonts w:ascii="Times New Roman" w:eastAsia="Times New Roman" w:hAnsi="Times New Roman" w:cs="Times New Roman"/>
      <w:snapToGrid w:val="0"/>
      <w:sz w:val="20"/>
      <w:szCs w:val="20"/>
    </w:rPr>
  </w:style>
  <w:style w:type="paragraph" w:styleId="CommentSubject">
    <w:name w:val="annotation subject"/>
    <w:basedOn w:val="CommentText"/>
    <w:next w:val="CommentText"/>
    <w:link w:val="CommentSubjectChar"/>
    <w:uiPriority w:val="99"/>
    <w:semiHidden/>
    <w:unhideWhenUsed/>
    <w:rsid w:val="00F06FC2"/>
    <w:rPr>
      <w:b/>
      <w:bCs/>
    </w:rPr>
  </w:style>
  <w:style w:type="character" w:customStyle="1" w:styleId="CommentSubjectChar">
    <w:name w:val="Comment Subject Char"/>
    <w:basedOn w:val="CommentTextChar"/>
    <w:link w:val="CommentSubject"/>
    <w:uiPriority w:val="99"/>
    <w:semiHidden/>
    <w:rsid w:val="00F06FC2"/>
    <w:rPr>
      <w:b/>
      <w:bCs/>
    </w:rPr>
  </w:style>
  <w:style w:type="paragraph" w:styleId="BalloonText">
    <w:name w:val="Balloon Text"/>
    <w:basedOn w:val="Normal"/>
    <w:link w:val="BalloonTextChar"/>
    <w:uiPriority w:val="99"/>
    <w:semiHidden/>
    <w:unhideWhenUsed/>
    <w:rsid w:val="00F06FC2"/>
    <w:rPr>
      <w:rFonts w:ascii="Tahoma" w:hAnsi="Tahoma" w:cs="Tahoma"/>
      <w:sz w:val="16"/>
      <w:szCs w:val="16"/>
    </w:rPr>
  </w:style>
  <w:style w:type="character" w:customStyle="1" w:styleId="BalloonTextChar">
    <w:name w:val="Balloon Text Char"/>
    <w:basedOn w:val="DefaultParagraphFont"/>
    <w:link w:val="BalloonText"/>
    <w:uiPriority w:val="99"/>
    <w:semiHidden/>
    <w:rsid w:val="00F06FC2"/>
    <w:rPr>
      <w:rFonts w:ascii="Tahoma" w:eastAsia="Times New Roman" w:hAnsi="Tahoma" w:cs="Tahoma"/>
      <w:snapToGrid w:val="0"/>
      <w:sz w:val="16"/>
      <w:szCs w:val="16"/>
    </w:rPr>
  </w:style>
  <w:style w:type="character" w:styleId="Hyperlink">
    <w:name w:val="Hyperlink"/>
    <w:basedOn w:val="DefaultParagraphFont"/>
    <w:uiPriority w:val="99"/>
    <w:semiHidden/>
    <w:unhideWhenUsed/>
    <w:rsid w:val="00BF7EB4"/>
    <w:rPr>
      <w:color w:val="3300CC"/>
      <w:u w:val="single"/>
    </w:rPr>
  </w:style>
  <w:style w:type="character" w:customStyle="1" w:styleId="Heading5Char">
    <w:name w:val="Heading 5 Char"/>
    <w:basedOn w:val="DefaultParagraphFont"/>
    <w:link w:val="Heading5"/>
    <w:rsid w:val="0071085D"/>
    <w:rPr>
      <w:rFonts w:ascii="Times New Roman" w:eastAsia="Times New Roman" w:hAnsi="Times New Roman" w:cs="Times New Roman"/>
      <w:b/>
      <w:bCs/>
      <w:i/>
      <w:iCs/>
      <w:sz w:val="26"/>
      <w:szCs w:val="26"/>
    </w:rPr>
  </w:style>
</w:styles>
</file>

<file path=word/webSettings.xml><?xml version="1.0" encoding="utf-8"?>
<w:webSettings xmlns:r="http://schemas.openxmlformats.org/officeDocument/2006/relationships" xmlns:w="http://schemas.openxmlformats.org/wordprocessingml/2006/main">
  <w:divs>
    <w:div w:id="14414150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C022AED-EEB8-4A59-8D98-88DCFB7FC1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53</TotalTime>
  <Pages>20</Pages>
  <Words>6065</Words>
  <Characters>34571</Characters>
  <Application>Microsoft Office Word</Application>
  <DocSecurity>0</DocSecurity>
  <Lines>288</Lines>
  <Paragraphs>81</Paragraphs>
  <ScaleCrop>false</ScaleCrop>
  <HeadingPairs>
    <vt:vector size="2" baseType="variant">
      <vt:variant>
        <vt:lpstr>Title</vt:lpstr>
      </vt:variant>
      <vt:variant>
        <vt:i4>1</vt:i4>
      </vt:variant>
    </vt:vector>
  </HeadingPairs>
  <TitlesOfParts>
    <vt:vector size="1" baseType="lpstr">
      <vt:lpstr/>
    </vt:vector>
  </TitlesOfParts>
  <Company>PA Public Utility Commission</Company>
  <LinksUpToDate>false</LinksUpToDate>
  <CharactersWithSpaces>40555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evero</dc:creator>
  <cp:keywords/>
  <dc:description/>
  <cp:lastModifiedBy>shoffner</cp:lastModifiedBy>
  <cp:revision>3</cp:revision>
  <cp:lastPrinted>2010-03-03T13:38:00Z</cp:lastPrinted>
  <dcterms:created xsi:type="dcterms:W3CDTF">2010-03-03T12:51:00Z</dcterms:created>
  <dcterms:modified xsi:type="dcterms:W3CDTF">2010-03-03T13:43:00Z</dcterms:modified>
</cp:coreProperties>
</file>