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A6" w:rsidRPr="00F461A6" w:rsidRDefault="00F461A6" w:rsidP="00F461A6">
      <w:pPr>
        <w:jc w:val="center"/>
        <w:rPr>
          <w:b/>
          <w:sz w:val="26"/>
          <w:szCs w:val="26"/>
        </w:rPr>
      </w:pPr>
      <w:r w:rsidRPr="00F461A6">
        <w:rPr>
          <w:b/>
          <w:sz w:val="26"/>
          <w:szCs w:val="26"/>
        </w:rPr>
        <w:t>PENNSYLVANIA</w:t>
      </w:r>
    </w:p>
    <w:p w:rsidR="00F461A6" w:rsidRPr="00F461A6" w:rsidRDefault="00F461A6" w:rsidP="00F461A6">
      <w:pPr>
        <w:jc w:val="center"/>
        <w:rPr>
          <w:b/>
          <w:sz w:val="26"/>
          <w:szCs w:val="26"/>
        </w:rPr>
      </w:pPr>
      <w:r w:rsidRPr="00F461A6">
        <w:rPr>
          <w:b/>
          <w:sz w:val="26"/>
          <w:szCs w:val="26"/>
        </w:rPr>
        <w:t>PUBLIC UTILITY COMMISSION</w:t>
      </w:r>
    </w:p>
    <w:p w:rsidR="00F461A6" w:rsidRPr="00F461A6" w:rsidRDefault="00F461A6" w:rsidP="00F461A6">
      <w:pPr>
        <w:jc w:val="center"/>
        <w:rPr>
          <w:b/>
          <w:sz w:val="26"/>
          <w:szCs w:val="26"/>
        </w:rPr>
      </w:pPr>
      <w:r w:rsidRPr="00F461A6">
        <w:rPr>
          <w:b/>
          <w:sz w:val="26"/>
          <w:szCs w:val="26"/>
        </w:rPr>
        <w:t>Harrisburg, PA  17105-3265</w:t>
      </w:r>
    </w:p>
    <w:p w:rsidR="00F461A6" w:rsidRPr="00F461A6" w:rsidRDefault="00F461A6" w:rsidP="00F461A6">
      <w:pPr>
        <w:rPr>
          <w:sz w:val="26"/>
          <w:szCs w:val="26"/>
        </w:rPr>
      </w:pPr>
    </w:p>
    <w:p w:rsidR="00F461A6" w:rsidRPr="00F461A6" w:rsidRDefault="00F461A6" w:rsidP="00F461A6">
      <w:pPr>
        <w:rPr>
          <w:sz w:val="26"/>
          <w:szCs w:val="26"/>
        </w:rPr>
      </w:pPr>
    </w:p>
    <w:p w:rsidR="00F461A6" w:rsidRPr="00F461A6" w:rsidRDefault="00F461A6" w:rsidP="00F461A6">
      <w:pPr>
        <w:jc w:val="right"/>
        <w:rPr>
          <w:sz w:val="26"/>
          <w:szCs w:val="26"/>
        </w:rPr>
      </w:pPr>
      <w:r w:rsidRPr="00F461A6">
        <w:rPr>
          <w:sz w:val="26"/>
          <w:szCs w:val="26"/>
        </w:rPr>
        <w:tab/>
      </w:r>
      <w:r w:rsidRPr="00F461A6">
        <w:rPr>
          <w:sz w:val="26"/>
          <w:szCs w:val="26"/>
        </w:rPr>
        <w:tab/>
      </w:r>
      <w:r w:rsidRPr="00F461A6">
        <w:rPr>
          <w:sz w:val="26"/>
          <w:szCs w:val="26"/>
        </w:rPr>
        <w:tab/>
      </w:r>
      <w:r w:rsidRPr="00F461A6">
        <w:rPr>
          <w:sz w:val="26"/>
          <w:szCs w:val="26"/>
        </w:rPr>
        <w:tab/>
      </w:r>
      <w:r w:rsidRPr="00F461A6">
        <w:rPr>
          <w:sz w:val="26"/>
          <w:szCs w:val="26"/>
        </w:rPr>
        <w:tab/>
      </w:r>
      <w:r w:rsidRPr="00F461A6">
        <w:rPr>
          <w:sz w:val="26"/>
          <w:szCs w:val="26"/>
        </w:rPr>
        <w:tab/>
        <w:t xml:space="preserve">            Public Meeting held </w:t>
      </w:r>
      <w:r w:rsidR="006C6CE2">
        <w:rPr>
          <w:sz w:val="26"/>
          <w:szCs w:val="26"/>
        </w:rPr>
        <w:t>March 11</w:t>
      </w:r>
      <w:r w:rsidR="00103F57">
        <w:rPr>
          <w:sz w:val="26"/>
          <w:szCs w:val="26"/>
        </w:rPr>
        <w:t>,</w:t>
      </w:r>
      <w:r w:rsidRPr="00F461A6">
        <w:rPr>
          <w:sz w:val="26"/>
          <w:szCs w:val="26"/>
        </w:rPr>
        <w:t xml:space="preserve"> 20</w:t>
      </w:r>
      <w:r w:rsidR="006C6CE2">
        <w:rPr>
          <w:sz w:val="26"/>
          <w:szCs w:val="26"/>
        </w:rPr>
        <w:t>10</w:t>
      </w:r>
    </w:p>
    <w:p w:rsidR="00F461A6" w:rsidRPr="00F461A6" w:rsidRDefault="00F461A6" w:rsidP="00F461A6">
      <w:pPr>
        <w:rPr>
          <w:sz w:val="26"/>
          <w:szCs w:val="26"/>
        </w:rPr>
      </w:pPr>
    </w:p>
    <w:p w:rsidR="00F461A6" w:rsidRPr="00F461A6" w:rsidRDefault="00F461A6" w:rsidP="00F461A6">
      <w:pPr>
        <w:rPr>
          <w:sz w:val="26"/>
          <w:szCs w:val="26"/>
        </w:rPr>
      </w:pPr>
      <w:r w:rsidRPr="00F461A6">
        <w:rPr>
          <w:sz w:val="26"/>
          <w:szCs w:val="26"/>
        </w:rPr>
        <w:t>Commissioners Present:</w:t>
      </w:r>
    </w:p>
    <w:p w:rsidR="00F461A6" w:rsidRPr="00F461A6" w:rsidRDefault="00F461A6" w:rsidP="00F461A6">
      <w:pPr>
        <w:rPr>
          <w:sz w:val="26"/>
          <w:szCs w:val="26"/>
        </w:rPr>
      </w:pPr>
    </w:p>
    <w:p w:rsidR="00F461A6" w:rsidRPr="00F461A6" w:rsidRDefault="00F461A6" w:rsidP="00F461A6">
      <w:pPr>
        <w:rPr>
          <w:sz w:val="26"/>
          <w:szCs w:val="26"/>
        </w:rPr>
      </w:pPr>
      <w:r w:rsidRPr="00F461A6">
        <w:rPr>
          <w:sz w:val="26"/>
          <w:szCs w:val="26"/>
        </w:rPr>
        <w:tab/>
        <w:t>James H. Cawley, Chairman</w:t>
      </w:r>
    </w:p>
    <w:p w:rsidR="00F461A6" w:rsidRPr="00F461A6" w:rsidRDefault="00F461A6" w:rsidP="00F461A6">
      <w:pPr>
        <w:rPr>
          <w:sz w:val="26"/>
          <w:szCs w:val="26"/>
        </w:rPr>
      </w:pPr>
      <w:r w:rsidRPr="00F461A6">
        <w:rPr>
          <w:sz w:val="26"/>
          <w:szCs w:val="26"/>
        </w:rPr>
        <w:tab/>
        <w:t>Tyrone J. Christy, Vice Chairman</w:t>
      </w:r>
    </w:p>
    <w:p w:rsidR="00F461A6" w:rsidRDefault="00F461A6" w:rsidP="00F461A6">
      <w:pPr>
        <w:rPr>
          <w:sz w:val="26"/>
          <w:szCs w:val="26"/>
        </w:rPr>
      </w:pPr>
      <w:r w:rsidRPr="00F461A6">
        <w:rPr>
          <w:sz w:val="26"/>
          <w:szCs w:val="26"/>
        </w:rPr>
        <w:tab/>
        <w:t>Wayne E. Gardner</w:t>
      </w:r>
    </w:p>
    <w:p w:rsidR="00051376" w:rsidRPr="00F461A6" w:rsidRDefault="00051376" w:rsidP="00051376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F461A6">
        <w:rPr>
          <w:sz w:val="26"/>
          <w:szCs w:val="26"/>
        </w:rPr>
        <w:t>Robert F. Powelson</w:t>
      </w:r>
    </w:p>
    <w:p w:rsidR="00051376" w:rsidRPr="00F461A6" w:rsidRDefault="00051376" w:rsidP="00F461A6">
      <w:pPr>
        <w:rPr>
          <w:sz w:val="26"/>
          <w:szCs w:val="26"/>
        </w:rPr>
      </w:pPr>
    </w:p>
    <w:p w:rsidR="00F461A6" w:rsidRDefault="00F461A6" w:rsidP="00F461A6">
      <w:pPr>
        <w:rPr>
          <w:sz w:val="26"/>
          <w:szCs w:val="26"/>
        </w:rPr>
      </w:pPr>
    </w:p>
    <w:p w:rsidR="00325B18" w:rsidRDefault="00325B18" w:rsidP="00F461A6">
      <w:pPr>
        <w:rPr>
          <w:sz w:val="26"/>
          <w:szCs w:val="26"/>
        </w:rPr>
      </w:pPr>
    </w:p>
    <w:p w:rsidR="00E1696D" w:rsidRDefault="00155536" w:rsidP="00F461A6">
      <w:pPr>
        <w:rPr>
          <w:sz w:val="26"/>
          <w:szCs w:val="26"/>
        </w:rPr>
      </w:pPr>
      <w:r>
        <w:rPr>
          <w:sz w:val="26"/>
          <w:szCs w:val="26"/>
        </w:rPr>
        <w:t xml:space="preserve">Application of </w:t>
      </w:r>
      <w:r w:rsidR="004C2FDB">
        <w:rPr>
          <w:sz w:val="26"/>
          <w:szCs w:val="26"/>
        </w:rPr>
        <w:t>PPL Electric Utilities Corporation</w:t>
      </w:r>
      <w:r w:rsidR="00C74322">
        <w:rPr>
          <w:sz w:val="26"/>
          <w:szCs w:val="26"/>
        </w:rPr>
        <w:tab/>
      </w:r>
      <w:r w:rsidR="00C74322">
        <w:rPr>
          <w:sz w:val="26"/>
          <w:szCs w:val="26"/>
        </w:rPr>
        <w:tab/>
        <w:t xml:space="preserve"> </w:t>
      </w:r>
      <w:r w:rsidR="00E064CD">
        <w:rPr>
          <w:sz w:val="26"/>
          <w:szCs w:val="26"/>
        </w:rPr>
        <w:t>A-2009-2082652</w:t>
      </w:r>
    </w:p>
    <w:p w:rsidR="00155536" w:rsidRDefault="00155536" w:rsidP="00F461A6">
      <w:pPr>
        <w:rPr>
          <w:sz w:val="26"/>
          <w:szCs w:val="26"/>
        </w:rPr>
      </w:pPr>
      <w:r>
        <w:rPr>
          <w:sz w:val="26"/>
          <w:szCs w:val="26"/>
        </w:rPr>
        <w:t xml:space="preserve">Filed Pursuant to 52 Pa. Code Chapter 57, </w:t>
      </w:r>
    </w:p>
    <w:p w:rsidR="00155536" w:rsidRDefault="00155536" w:rsidP="00F461A6">
      <w:pPr>
        <w:rPr>
          <w:sz w:val="26"/>
          <w:szCs w:val="26"/>
        </w:rPr>
      </w:pPr>
      <w:r>
        <w:rPr>
          <w:sz w:val="26"/>
          <w:szCs w:val="26"/>
        </w:rPr>
        <w:t>Subchapter G, for Approval of the Siting and</w:t>
      </w:r>
    </w:p>
    <w:p w:rsidR="00E5603E" w:rsidRDefault="00155536" w:rsidP="00F461A6">
      <w:pPr>
        <w:rPr>
          <w:sz w:val="26"/>
          <w:szCs w:val="26"/>
        </w:rPr>
      </w:pPr>
      <w:r>
        <w:rPr>
          <w:sz w:val="26"/>
          <w:szCs w:val="26"/>
        </w:rPr>
        <w:t>Construction of the Pennsylvania Portion of the</w:t>
      </w:r>
      <w:r w:rsidR="00E5603E">
        <w:rPr>
          <w:sz w:val="26"/>
          <w:szCs w:val="26"/>
        </w:rPr>
        <w:t xml:space="preserve"> </w:t>
      </w:r>
    </w:p>
    <w:p w:rsidR="00155536" w:rsidRDefault="00E5603E" w:rsidP="00F461A6">
      <w:pPr>
        <w:rPr>
          <w:sz w:val="26"/>
          <w:szCs w:val="26"/>
        </w:rPr>
      </w:pPr>
      <w:r>
        <w:rPr>
          <w:sz w:val="26"/>
          <w:szCs w:val="26"/>
        </w:rPr>
        <w:t>P</w:t>
      </w:r>
      <w:r w:rsidR="00155536">
        <w:rPr>
          <w:sz w:val="26"/>
          <w:szCs w:val="26"/>
        </w:rPr>
        <w:t>roposed Susquehanna-Roseland 500 kV</w:t>
      </w:r>
    </w:p>
    <w:p w:rsidR="00155536" w:rsidRDefault="00155536" w:rsidP="00F461A6">
      <w:pPr>
        <w:rPr>
          <w:sz w:val="26"/>
          <w:szCs w:val="26"/>
        </w:rPr>
      </w:pPr>
      <w:r>
        <w:rPr>
          <w:sz w:val="26"/>
          <w:szCs w:val="26"/>
        </w:rPr>
        <w:t xml:space="preserve">Transmission Line in Portions of Lackawanna, </w:t>
      </w:r>
    </w:p>
    <w:p w:rsidR="00155536" w:rsidRDefault="00155536" w:rsidP="00F461A6">
      <w:pPr>
        <w:rPr>
          <w:sz w:val="26"/>
          <w:szCs w:val="26"/>
        </w:rPr>
      </w:pPr>
      <w:r>
        <w:rPr>
          <w:sz w:val="26"/>
          <w:szCs w:val="26"/>
        </w:rPr>
        <w:t>Luzerne, Monroe, Pike and Wayne Counties,</w:t>
      </w:r>
    </w:p>
    <w:p w:rsidR="00155536" w:rsidRDefault="00155536" w:rsidP="00F461A6">
      <w:pPr>
        <w:rPr>
          <w:sz w:val="26"/>
          <w:szCs w:val="26"/>
        </w:rPr>
      </w:pPr>
      <w:r>
        <w:rPr>
          <w:sz w:val="26"/>
          <w:szCs w:val="26"/>
        </w:rPr>
        <w:t>Pennsylvania</w:t>
      </w:r>
    </w:p>
    <w:p w:rsidR="00120618" w:rsidRDefault="00120618" w:rsidP="00F461A6">
      <w:pPr>
        <w:rPr>
          <w:sz w:val="26"/>
          <w:szCs w:val="26"/>
        </w:rPr>
      </w:pP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Petition of PPL Electric Utilities Corporation</w:t>
      </w:r>
      <w:r w:rsidRPr="00120618">
        <w:rPr>
          <w:sz w:val="26"/>
          <w:szCs w:val="26"/>
        </w:rPr>
        <w:tab/>
      </w:r>
      <w:r w:rsidR="00C74322">
        <w:rPr>
          <w:sz w:val="26"/>
          <w:szCs w:val="26"/>
        </w:rPr>
        <w:tab/>
      </w:r>
      <w:r w:rsidR="00C74322">
        <w:rPr>
          <w:sz w:val="26"/>
          <w:szCs w:val="26"/>
        </w:rPr>
        <w:tab/>
        <w:t xml:space="preserve"> </w:t>
      </w:r>
      <w:r w:rsidRPr="00120618">
        <w:rPr>
          <w:sz w:val="26"/>
          <w:szCs w:val="26"/>
        </w:rPr>
        <w:t>A-2009-2082832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For A Finding That A Building To Shelter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Equipment At The 500-230 kV Substation To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Be Constructed In The Borough of Blakely,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Lackawanna County, Pennsylvania is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Reasonably Necessary For the Convenience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Or Welfare Of the Public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br w:type="page"/>
      </w:r>
    </w:p>
    <w:p w:rsidR="00120618" w:rsidRPr="00120618" w:rsidRDefault="00120618" w:rsidP="00E064CD">
      <w:pPr>
        <w:tabs>
          <w:tab w:val="left" w:pos="6480"/>
        </w:tabs>
        <w:rPr>
          <w:sz w:val="26"/>
          <w:szCs w:val="26"/>
        </w:rPr>
      </w:pPr>
      <w:r w:rsidRPr="00120618">
        <w:rPr>
          <w:sz w:val="26"/>
          <w:szCs w:val="26"/>
        </w:rPr>
        <w:lastRenderedPageBreak/>
        <w:t xml:space="preserve">Application of PPL Electric Utilities Corporation </w:t>
      </w:r>
      <w:r w:rsidRPr="00120618">
        <w:rPr>
          <w:sz w:val="26"/>
          <w:szCs w:val="26"/>
        </w:rPr>
        <w:tab/>
        <w:t>A-2009-2088297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Under 15 Pa. C.S. §§1511(c) for a Finding and</w:t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Determination That The Service To Be Furnished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 xml:space="preserve">By The Applicant Through Its Proposed Exercise 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Of The Power Of Eminent Domain To Acquire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A Right-Of-Way And Easement Over And Across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The Lands Of Chaudari Family Limited Partner-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Ship, David Murphy, and Marguerite T. Kranick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In South Canaan Township, Wayne County For</w:t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The Proposed Susquehanna-Roseland 500 kV</w:t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Transmission Line in Portions of Lackawanna,</w:t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 xml:space="preserve">Luzerne, Monroe, Pike and Wayne Counties, </w:t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Pennsylvania Is Necessary or Proper For The</w:t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Service, Accommodation, Convenience Or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Safety Of The Public</w:t>
      </w:r>
    </w:p>
    <w:p w:rsidR="00120618" w:rsidRPr="00120618" w:rsidRDefault="00120618" w:rsidP="00120618">
      <w:pPr>
        <w:rPr>
          <w:sz w:val="26"/>
          <w:szCs w:val="26"/>
        </w:rPr>
      </w:pP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Application of PPL Electric Utilities Corporation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Under 15 Pa. C.S. §§1511(c) for a Finding and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Determination That The Service To Be Furnished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 xml:space="preserve">By The Applicant Through Its Proposed Exercise 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Of The Power Of Eminent Domain To Acquire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A Right-Of-Way And Easement Over And Across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The Lands Of The Property Owners Listed Below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For The Proposed Susquehanna-Roseland 500 kV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Transmission Line in Portions of Lackawanna,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 xml:space="preserve">Luzerne, Monroe, Pike and Wayne Counties, 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Pennsylvania Is Necessary or Proper For The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Service, Accommodation, Convenience Or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Safety Of The Public:</w:t>
      </w:r>
    </w:p>
    <w:p w:rsidR="00120618" w:rsidRPr="00120618" w:rsidRDefault="00120618" w:rsidP="00120618">
      <w:pPr>
        <w:rPr>
          <w:sz w:val="26"/>
          <w:szCs w:val="26"/>
        </w:rPr>
      </w:pP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HaRa Corporation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="00E064CD">
        <w:rPr>
          <w:sz w:val="26"/>
          <w:szCs w:val="26"/>
        </w:rPr>
        <w:tab/>
      </w:r>
      <w:r w:rsidRPr="00120618">
        <w:rPr>
          <w:sz w:val="26"/>
          <w:szCs w:val="26"/>
        </w:rPr>
        <w:t>A-2009-2088337</w:t>
      </w:r>
    </w:p>
    <w:p w:rsidR="00120618" w:rsidRPr="00120618" w:rsidRDefault="00120618" w:rsidP="00120618">
      <w:pPr>
        <w:rPr>
          <w:sz w:val="26"/>
          <w:szCs w:val="26"/>
        </w:rPr>
      </w:pP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Richard Coccodrilli, Jr.,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="00C74322">
        <w:rPr>
          <w:sz w:val="26"/>
          <w:szCs w:val="26"/>
        </w:rPr>
        <w:tab/>
      </w:r>
      <w:r w:rsidRPr="00120618">
        <w:rPr>
          <w:sz w:val="26"/>
          <w:szCs w:val="26"/>
        </w:rPr>
        <w:t>A-2009-2088327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Jeffrey J. Coccodrilli,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 xml:space="preserve">Ryan T. Coccodrilli, and  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Joseph Williams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D&amp;L Realty Company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="00C74322">
        <w:rPr>
          <w:sz w:val="26"/>
          <w:szCs w:val="26"/>
        </w:rPr>
        <w:tab/>
      </w:r>
      <w:r w:rsidRPr="00120618">
        <w:rPr>
          <w:sz w:val="26"/>
          <w:szCs w:val="26"/>
        </w:rPr>
        <w:t>A-2009-2088340</w:t>
      </w:r>
    </w:p>
    <w:p w:rsidR="00120618" w:rsidRPr="00120618" w:rsidRDefault="00120618" w:rsidP="00120618">
      <w:pPr>
        <w:rPr>
          <w:sz w:val="26"/>
          <w:szCs w:val="26"/>
        </w:rPr>
      </w:pP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Rudolph Saporito and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="00C74322">
        <w:rPr>
          <w:sz w:val="26"/>
          <w:szCs w:val="26"/>
        </w:rPr>
        <w:tab/>
      </w:r>
      <w:r w:rsidRPr="00120618">
        <w:rPr>
          <w:sz w:val="26"/>
          <w:szCs w:val="26"/>
        </w:rPr>
        <w:t>A-2009-2088312</w:t>
      </w:r>
    </w:p>
    <w:p w:rsidR="00120618" w:rsidRPr="00120618" w:rsidRDefault="00120618" w:rsidP="00120618">
      <w:pPr>
        <w:rPr>
          <w:sz w:val="26"/>
          <w:szCs w:val="26"/>
        </w:rPr>
      </w:pPr>
      <w:r w:rsidRPr="00120618">
        <w:rPr>
          <w:sz w:val="26"/>
          <w:szCs w:val="26"/>
        </w:rPr>
        <w:t>Maria Saporito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</w:p>
    <w:p w:rsidR="00120618" w:rsidRPr="00120618" w:rsidRDefault="00120618" w:rsidP="00120618">
      <w:pPr>
        <w:rPr>
          <w:sz w:val="26"/>
          <w:szCs w:val="26"/>
        </w:rPr>
      </w:pPr>
    </w:p>
    <w:p w:rsidR="00C65D6F" w:rsidRDefault="00120618" w:rsidP="00120618">
      <w:pPr>
        <w:rPr>
          <w:sz w:val="26"/>
          <w:szCs w:val="26"/>
        </w:rPr>
        <w:sectPr w:rsidR="00C65D6F" w:rsidSect="00C65D6F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120618">
        <w:rPr>
          <w:sz w:val="26"/>
          <w:szCs w:val="26"/>
        </w:rPr>
        <w:t>David Murphy</w:t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Pr="00120618">
        <w:rPr>
          <w:sz w:val="26"/>
          <w:szCs w:val="26"/>
        </w:rPr>
        <w:tab/>
      </w:r>
      <w:r w:rsidR="00C74322">
        <w:rPr>
          <w:sz w:val="26"/>
          <w:szCs w:val="26"/>
        </w:rPr>
        <w:tab/>
      </w:r>
      <w:r w:rsidRPr="00120618">
        <w:rPr>
          <w:sz w:val="26"/>
          <w:szCs w:val="26"/>
        </w:rPr>
        <w:t>A-2009-2088360</w:t>
      </w:r>
    </w:p>
    <w:p w:rsidR="00F461A6" w:rsidRDefault="00F461A6" w:rsidP="00581D5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OPINION AND ORDER</w:t>
      </w:r>
    </w:p>
    <w:p w:rsidR="00F461A6" w:rsidRDefault="00F461A6" w:rsidP="00581D51">
      <w:pPr>
        <w:spacing w:line="360" w:lineRule="auto"/>
        <w:jc w:val="center"/>
        <w:rPr>
          <w:b/>
          <w:sz w:val="26"/>
          <w:szCs w:val="26"/>
        </w:rPr>
      </w:pPr>
    </w:p>
    <w:p w:rsidR="00581D51" w:rsidRPr="00581D51" w:rsidRDefault="00581D51" w:rsidP="00581D5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BY THE COMMISSION:</w:t>
      </w:r>
    </w:p>
    <w:p w:rsidR="00581D51" w:rsidRDefault="00581D51" w:rsidP="00581D51">
      <w:pPr>
        <w:spacing w:line="360" w:lineRule="auto"/>
        <w:ind w:firstLine="1440"/>
        <w:rPr>
          <w:sz w:val="26"/>
          <w:szCs w:val="26"/>
        </w:rPr>
      </w:pPr>
    </w:p>
    <w:p w:rsidR="00DB1424" w:rsidRPr="0056717C" w:rsidRDefault="00DB1424" w:rsidP="00695B97">
      <w:pPr>
        <w:pStyle w:val="Heading1"/>
      </w:pPr>
      <w:bookmarkStart w:id="0" w:name="_Toc236722833"/>
      <w:r w:rsidRPr="0056717C">
        <w:t>I.</w:t>
      </w:r>
      <w:r w:rsidR="00B6382E">
        <w:t xml:space="preserve">  </w:t>
      </w:r>
      <w:r w:rsidR="006F4B78">
        <w:tab/>
      </w:r>
      <w:r w:rsidRPr="00695B97">
        <w:t>Introduction</w:t>
      </w:r>
      <w:bookmarkEnd w:id="0"/>
    </w:p>
    <w:p w:rsidR="00DB1424" w:rsidRDefault="00DB1424" w:rsidP="00DB1424">
      <w:pPr>
        <w:spacing w:line="360" w:lineRule="auto"/>
        <w:jc w:val="center"/>
        <w:rPr>
          <w:sz w:val="26"/>
          <w:szCs w:val="26"/>
        </w:rPr>
      </w:pPr>
    </w:p>
    <w:p w:rsidR="00DB1424" w:rsidRDefault="00DB1424" w:rsidP="00DB1424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Before the Pennsylvania Public Utility Commission (Commission) for consideration and disposition is the </w:t>
      </w:r>
      <w:r w:rsidR="00947D67">
        <w:rPr>
          <w:sz w:val="26"/>
          <w:szCs w:val="26"/>
        </w:rPr>
        <w:t xml:space="preserve">Petition </w:t>
      </w:r>
      <w:r w:rsidR="00A22038">
        <w:rPr>
          <w:sz w:val="26"/>
          <w:szCs w:val="26"/>
        </w:rPr>
        <w:t xml:space="preserve">for Reconsideration </w:t>
      </w:r>
      <w:r w:rsidR="00E5603E">
        <w:rPr>
          <w:sz w:val="26"/>
          <w:szCs w:val="26"/>
        </w:rPr>
        <w:t xml:space="preserve">or Clarification </w:t>
      </w:r>
      <w:r w:rsidR="00A22038">
        <w:rPr>
          <w:sz w:val="26"/>
          <w:szCs w:val="26"/>
        </w:rPr>
        <w:t xml:space="preserve">of the Office of </w:t>
      </w:r>
      <w:r w:rsidR="00E5603E">
        <w:rPr>
          <w:sz w:val="26"/>
          <w:szCs w:val="26"/>
        </w:rPr>
        <w:t xml:space="preserve">Consumer </w:t>
      </w:r>
      <w:r w:rsidR="00A22038">
        <w:rPr>
          <w:sz w:val="26"/>
          <w:szCs w:val="26"/>
        </w:rPr>
        <w:t xml:space="preserve">Advocate </w:t>
      </w:r>
      <w:r w:rsidR="00947D67">
        <w:rPr>
          <w:sz w:val="26"/>
          <w:szCs w:val="26"/>
        </w:rPr>
        <w:t>(</w:t>
      </w:r>
      <w:r w:rsidR="00964548">
        <w:rPr>
          <w:sz w:val="26"/>
          <w:szCs w:val="26"/>
        </w:rPr>
        <w:t xml:space="preserve">the </w:t>
      </w:r>
      <w:r w:rsidR="00A22038">
        <w:rPr>
          <w:sz w:val="26"/>
          <w:szCs w:val="26"/>
        </w:rPr>
        <w:t>O</w:t>
      </w:r>
      <w:r w:rsidR="00E5603E">
        <w:rPr>
          <w:sz w:val="26"/>
          <w:szCs w:val="26"/>
        </w:rPr>
        <w:t>CA</w:t>
      </w:r>
      <w:r w:rsidR="006F76CB">
        <w:rPr>
          <w:sz w:val="26"/>
          <w:szCs w:val="26"/>
        </w:rPr>
        <w:t xml:space="preserve"> or Petitioner)</w:t>
      </w:r>
      <w:r w:rsidR="00947D67">
        <w:rPr>
          <w:sz w:val="26"/>
          <w:szCs w:val="26"/>
        </w:rPr>
        <w:t xml:space="preserve"> </w:t>
      </w:r>
      <w:r w:rsidR="007616C6">
        <w:rPr>
          <w:sz w:val="26"/>
          <w:szCs w:val="26"/>
        </w:rPr>
        <w:t>of the Commission’s Opini</w:t>
      </w:r>
      <w:r w:rsidR="00A22038">
        <w:rPr>
          <w:sz w:val="26"/>
          <w:szCs w:val="26"/>
        </w:rPr>
        <w:t xml:space="preserve">on and Order of </w:t>
      </w:r>
      <w:r w:rsidR="00E5603E">
        <w:rPr>
          <w:sz w:val="26"/>
          <w:szCs w:val="26"/>
        </w:rPr>
        <w:t>February 12, 2010</w:t>
      </w:r>
      <w:r w:rsidR="00A22038">
        <w:rPr>
          <w:sz w:val="26"/>
          <w:szCs w:val="26"/>
        </w:rPr>
        <w:t xml:space="preserve">, </w:t>
      </w:r>
      <w:r w:rsidR="00B76F96">
        <w:rPr>
          <w:sz w:val="26"/>
          <w:szCs w:val="26"/>
        </w:rPr>
        <w:t>(</w:t>
      </w:r>
      <w:r w:rsidR="00E5603E" w:rsidRPr="00562DD4">
        <w:rPr>
          <w:i/>
          <w:sz w:val="26"/>
          <w:szCs w:val="26"/>
        </w:rPr>
        <w:t>February 12</w:t>
      </w:r>
      <w:r w:rsidR="00562DD4" w:rsidRPr="00562DD4">
        <w:rPr>
          <w:i/>
          <w:sz w:val="26"/>
          <w:szCs w:val="26"/>
        </w:rPr>
        <w:t xml:space="preserve">, 2010 </w:t>
      </w:r>
      <w:r w:rsidR="00B76F96" w:rsidRPr="00562DD4">
        <w:rPr>
          <w:i/>
          <w:sz w:val="26"/>
          <w:szCs w:val="26"/>
        </w:rPr>
        <w:t>Order</w:t>
      </w:r>
      <w:r w:rsidR="00B76F96">
        <w:rPr>
          <w:sz w:val="26"/>
          <w:szCs w:val="26"/>
        </w:rPr>
        <w:t xml:space="preserve">) </w:t>
      </w:r>
      <w:r w:rsidR="00A22038">
        <w:rPr>
          <w:sz w:val="26"/>
          <w:szCs w:val="26"/>
        </w:rPr>
        <w:t xml:space="preserve">which conditionally approved the </w:t>
      </w:r>
      <w:r w:rsidR="00562DD4">
        <w:rPr>
          <w:sz w:val="26"/>
          <w:szCs w:val="26"/>
        </w:rPr>
        <w:t xml:space="preserve">Application of </w:t>
      </w:r>
      <w:r w:rsidR="004C2FDB">
        <w:rPr>
          <w:sz w:val="26"/>
          <w:szCs w:val="26"/>
        </w:rPr>
        <w:t xml:space="preserve">PPL Electric Utilities Corporation (PPL) </w:t>
      </w:r>
      <w:r w:rsidR="00562DD4">
        <w:rPr>
          <w:sz w:val="26"/>
          <w:szCs w:val="26"/>
        </w:rPr>
        <w:t>to construct the Susquehanna to Roseland 500 kV transmission line project within Pennsylvania</w:t>
      </w:r>
      <w:r w:rsidR="00C9744B">
        <w:rPr>
          <w:sz w:val="26"/>
          <w:szCs w:val="26"/>
        </w:rPr>
        <w:t xml:space="preserve">.  </w:t>
      </w:r>
    </w:p>
    <w:p w:rsidR="00660766" w:rsidRDefault="00660766" w:rsidP="004A3CDD">
      <w:pPr>
        <w:spacing w:line="360" w:lineRule="auto"/>
        <w:ind w:firstLine="1440"/>
        <w:rPr>
          <w:sz w:val="26"/>
          <w:szCs w:val="26"/>
        </w:rPr>
      </w:pPr>
    </w:p>
    <w:p w:rsidR="0049512E" w:rsidRPr="00B9690C" w:rsidRDefault="00B830F4" w:rsidP="000E6033">
      <w:pPr>
        <w:pStyle w:val="Heading1"/>
        <w:rPr>
          <w:szCs w:val="26"/>
        </w:rPr>
      </w:pPr>
      <w:bookmarkStart w:id="1" w:name="_Toc236722835"/>
      <w:r>
        <w:rPr>
          <w:szCs w:val="26"/>
        </w:rPr>
        <w:t xml:space="preserve">II.  </w:t>
      </w:r>
      <w:r>
        <w:rPr>
          <w:szCs w:val="26"/>
        </w:rPr>
        <w:tab/>
      </w:r>
      <w:bookmarkEnd w:id="1"/>
      <w:r w:rsidR="0049512E" w:rsidRPr="00B9690C">
        <w:rPr>
          <w:szCs w:val="26"/>
        </w:rPr>
        <w:t xml:space="preserve"> </w:t>
      </w:r>
      <w:r w:rsidR="00BA59C2">
        <w:rPr>
          <w:szCs w:val="26"/>
        </w:rPr>
        <w:t>Discussion</w:t>
      </w:r>
    </w:p>
    <w:p w:rsidR="00442E48" w:rsidRDefault="00442E48" w:rsidP="00442E48">
      <w:pPr>
        <w:spacing w:line="360" w:lineRule="auto"/>
        <w:ind w:firstLine="1440"/>
        <w:rPr>
          <w:sz w:val="26"/>
          <w:szCs w:val="26"/>
        </w:rPr>
      </w:pPr>
    </w:p>
    <w:p w:rsidR="00442E48" w:rsidRDefault="00442E48" w:rsidP="00442E48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Pursuant to Rule </w:t>
      </w:r>
      <w:r w:rsidRPr="00205ABC">
        <w:rPr>
          <w:sz w:val="26"/>
          <w:szCs w:val="26"/>
        </w:rPr>
        <w:t>1701 of the Pennsylvania Rules of Appel</w:t>
      </w:r>
      <w:r>
        <w:rPr>
          <w:sz w:val="26"/>
          <w:szCs w:val="26"/>
        </w:rPr>
        <w:t xml:space="preserve">late Procedure, Pa. R.A.P. Rule </w:t>
      </w:r>
      <w:r w:rsidRPr="00205ABC">
        <w:rPr>
          <w:sz w:val="26"/>
          <w:szCs w:val="26"/>
        </w:rPr>
        <w:t xml:space="preserve">1701, the filing of a Petition for Review may limit the time frame within which this Commission may act if it wishes to consider the Petition for </w:t>
      </w:r>
      <w:r>
        <w:rPr>
          <w:sz w:val="26"/>
          <w:szCs w:val="26"/>
        </w:rPr>
        <w:t xml:space="preserve">Reconsideration now before us.  </w:t>
      </w:r>
      <w:r w:rsidRPr="00205ABC">
        <w:rPr>
          <w:sz w:val="26"/>
          <w:szCs w:val="26"/>
        </w:rPr>
        <w:t>In the event that appellate review o</w:t>
      </w:r>
      <w:r w:rsidR="00120618">
        <w:rPr>
          <w:sz w:val="26"/>
          <w:szCs w:val="26"/>
        </w:rPr>
        <w:t>f the</w:t>
      </w:r>
      <w:r w:rsidRPr="00EA0289">
        <w:rPr>
          <w:i/>
          <w:sz w:val="26"/>
          <w:szCs w:val="26"/>
        </w:rPr>
        <w:t xml:space="preserve"> February 12, 2010 Order</w:t>
      </w:r>
      <w:r w:rsidRPr="00205ABC">
        <w:rPr>
          <w:sz w:val="26"/>
          <w:szCs w:val="26"/>
        </w:rPr>
        <w:t xml:space="preserve"> is filed, the thirty-day time period within wh</w:t>
      </w:r>
      <w:r>
        <w:rPr>
          <w:sz w:val="26"/>
          <w:szCs w:val="26"/>
        </w:rPr>
        <w:t>ich we must take action on this Petition</w:t>
      </w:r>
      <w:r w:rsidRPr="00205ABC">
        <w:rPr>
          <w:sz w:val="26"/>
          <w:szCs w:val="26"/>
        </w:rPr>
        <w:t xml:space="preserve"> for Reconsideration expires on </w:t>
      </w:r>
      <w:r>
        <w:rPr>
          <w:sz w:val="26"/>
          <w:szCs w:val="26"/>
        </w:rPr>
        <w:t>March 12, 2010.</w:t>
      </w:r>
    </w:p>
    <w:p w:rsidR="00442E48" w:rsidRPr="00205ABC" w:rsidRDefault="00442E48" w:rsidP="00442E48">
      <w:pPr>
        <w:spacing w:line="360" w:lineRule="auto"/>
        <w:ind w:firstLine="1440"/>
        <w:rPr>
          <w:sz w:val="26"/>
          <w:szCs w:val="26"/>
        </w:rPr>
      </w:pPr>
    </w:p>
    <w:p w:rsidR="00442E48" w:rsidRPr="00392339" w:rsidRDefault="00442E48" w:rsidP="00442E48">
      <w:pPr>
        <w:spacing w:line="360" w:lineRule="auto"/>
        <w:ind w:firstLine="1440"/>
        <w:rPr>
          <w:sz w:val="26"/>
          <w:szCs w:val="26"/>
        </w:rPr>
      </w:pPr>
      <w:r w:rsidRPr="00205ABC">
        <w:rPr>
          <w:sz w:val="26"/>
          <w:szCs w:val="26"/>
        </w:rPr>
        <w:t xml:space="preserve">Under these circumstances, </w:t>
      </w:r>
      <w:r>
        <w:rPr>
          <w:sz w:val="26"/>
          <w:szCs w:val="26"/>
        </w:rPr>
        <w:t>we shall act on the Petition</w:t>
      </w:r>
      <w:r w:rsidRPr="00205ABC">
        <w:rPr>
          <w:sz w:val="26"/>
          <w:szCs w:val="26"/>
        </w:rPr>
        <w:t xml:space="preserve"> for </w:t>
      </w:r>
      <w:r>
        <w:rPr>
          <w:sz w:val="26"/>
          <w:szCs w:val="26"/>
        </w:rPr>
        <w:t>Reconsideration</w:t>
      </w:r>
      <w:r w:rsidRPr="00205ABC">
        <w:rPr>
          <w:sz w:val="26"/>
          <w:szCs w:val="26"/>
        </w:rPr>
        <w:t xml:space="preserve"> before us </w:t>
      </w:r>
      <w:r>
        <w:rPr>
          <w:sz w:val="26"/>
          <w:szCs w:val="26"/>
        </w:rPr>
        <w:t xml:space="preserve">at this time </w:t>
      </w:r>
      <w:r w:rsidRPr="00205ABC">
        <w:rPr>
          <w:sz w:val="26"/>
          <w:szCs w:val="26"/>
        </w:rPr>
        <w:t>so as to retain jurisdiction to further address the Petition on the merits.</w:t>
      </w:r>
      <w:r w:rsidR="0035602B">
        <w:rPr>
          <w:rStyle w:val="FootnoteReference"/>
          <w:sz w:val="26"/>
          <w:szCs w:val="26"/>
        </w:rPr>
        <w:footnoteReference w:id="1"/>
      </w:r>
      <w:r w:rsidRPr="00205ABC">
        <w:rPr>
          <w:sz w:val="26"/>
          <w:szCs w:val="26"/>
        </w:rPr>
        <w:t xml:space="preserve">  Accordingly,</w:t>
      </w:r>
      <w:r>
        <w:rPr>
          <w:sz w:val="26"/>
          <w:szCs w:val="26"/>
        </w:rPr>
        <w:t xml:space="preserve"> we shall grant reconsideration</w:t>
      </w:r>
      <w:r w:rsidRPr="00205ABC">
        <w:rPr>
          <w:sz w:val="26"/>
          <w:szCs w:val="26"/>
        </w:rPr>
        <w:t xml:space="preserve"> within the meaning of </w:t>
      </w:r>
      <w:smartTag w:uri="urn:schemas-microsoft-com:office:smarttags" w:element="place">
        <w:smartTag w:uri="urn:schemas-microsoft-com:office:smarttags" w:element="State">
          <w:r w:rsidRPr="00205ABC">
            <w:rPr>
              <w:sz w:val="26"/>
              <w:szCs w:val="26"/>
            </w:rPr>
            <w:t>Pa.</w:t>
          </w:r>
        </w:smartTag>
      </w:smartTag>
      <w:r w:rsidRPr="00205ABC">
        <w:rPr>
          <w:sz w:val="26"/>
          <w:szCs w:val="26"/>
        </w:rPr>
        <w:t xml:space="preserve"> R.A.P. </w:t>
      </w:r>
      <w:r w:rsidRPr="00205ABC">
        <w:rPr>
          <w:sz w:val="26"/>
          <w:szCs w:val="26"/>
        </w:rPr>
        <w:lastRenderedPageBreak/>
        <w:t>Rul</w:t>
      </w:r>
      <w:r>
        <w:rPr>
          <w:sz w:val="26"/>
          <w:szCs w:val="26"/>
        </w:rPr>
        <w:t>e 1701(b)(3), pending review of</w:t>
      </w:r>
      <w:r w:rsidRPr="00205ABC">
        <w:rPr>
          <w:sz w:val="26"/>
          <w:szCs w:val="26"/>
        </w:rPr>
        <w:t xml:space="preserve"> and further consideration on the</w:t>
      </w:r>
      <w:r>
        <w:rPr>
          <w:sz w:val="26"/>
          <w:szCs w:val="26"/>
        </w:rPr>
        <w:t xml:space="preserve"> merits of the Petition; </w:t>
      </w:r>
      <w:r w:rsidRPr="00392339">
        <w:rPr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THEREFORE,</w:t>
      </w:r>
    </w:p>
    <w:p w:rsidR="00442E48" w:rsidRPr="00392339" w:rsidRDefault="00442E48" w:rsidP="00442E48">
      <w:pPr>
        <w:tabs>
          <w:tab w:val="left" w:pos="-720"/>
        </w:tabs>
        <w:spacing w:line="360" w:lineRule="auto"/>
        <w:rPr>
          <w:sz w:val="26"/>
          <w:szCs w:val="26"/>
        </w:rPr>
      </w:pPr>
    </w:p>
    <w:p w:rsidR="00442E48" w:rsidRDefault="00442E48" w:rsidP="00442E48">
      <w:pPr>
        <w:spacing w:line="360" w:lineRule="auto"/>
        <w:ind w:firstLine="1440"/>
        <w:rPr>
          <w:sz w:val="26"/>
          <w:szCs w:val="26"/>
        </w:rPr>
      </w:pPr>
      <w:r w:rsidRPr="009050A0">
        <w:rPr>
          <w:b/>
          <w:sz w:val="26"/>
          <w:szCs w:val="26"/>
        </w:rPr>
        <w:t>IT IS ORDERED:</w:t>
      </w:r>
      <w:r w:rsidRPr="007F448D">
        <w:t xml:space="preserve"> </w:t>
      </w:r>
      <w:r w:rsidRPr="007F448D">
        <w:rPr>
          <w:sz w:val="26"/>
          <w:szCs w:val="26"/>
        </w:rPr>
        <w:t xml:space="preserve">That the Petition for Reconsideration </w:t>
      </w:r>
      <w:r>
        <w:rPr>
          <w:sz w:val="26"/>
          <w:szCs w:val="26"/>
        </w:rPr>
        <w:t xml:space="preserve">or Clarification </w:t>
      </w:r>
      <w:r w:rsidRPr="007F448D">
        <w:rPr>
          <w:sz w:val="26"/>
          <w:szCs w:val="26"/>
        </w:rPr>
        <w:t xml:space="preserve">filed on </w:t>
      </w:r>
      <w:r>
        <w:rPr>
          <w:sz w:val="26"/>
          <w:szCs w:val="26"/>
        </w:rPr>
        <w:t>March 1, 2010</w:t>
      </w:r>
      <w:r w:rsidRPr="007F448D">
        <w:rPr>
          <w:sz w:val="26"/>
          <w:szCs w:val="26"/>
        </w:rPr>
        <w:t>,</w:t>
      </w:r>
      <w:r>
        <w:rPr>
          <w:sz w:val="26"/>
          <w:szCs w:val="26"/>
        </w:rPr>
        <w:t xml:space="preserve"> by the Office of Consumer Advocate, </w:t>
      </w:r>
      <w:r w:rsidRPr="007F448D">
        <w:rPr>
          <w:sz w:val="26"/>
          <w:szCs w:val="26"/>
        </w:rPr>
        <w:t>is hereby gra</w:t>
      </w:r>
      <w:r>
        <w:rPr>
          <w:sz w:val="26"/>
          <w:szCs w:val="26"/>
        </w:rPr>
        <w:t xml:space="preserve">nted, pending further review </w:t>
      </w:r>
      <w:r w:rsidRPr="007F448D">
        <w:rPr>
          <w:sz w:val="26"/>
          <w:szCs w:val="26"/>
        </w:rPr>
        <w:t>and consideration on the merits.</w:t>
      </w:r>
    </w:p>
    <w:p w:rsidR="00442E48" w:rsidRDefault="00442E48" w:rsidP="00442E48">
      <w:pPr>
        <w:spacing w:line="360" w:lineRule="auto"/>
        <w:ind w:firstLine="1440"/>
        <w:rPr>
          <w:sz w:val="26"/>
          <w:szCs w:val="26"/>
        </w:rPr>
      </w:pPr>
    </w:p>
    <w:p w:rsidR="00442E48" w:rsidRPr="009050A0" w:rsidRDefault="002165E2" w:rsidP="00442E48">
      <w:pPr>
        <w:spacing w:line="360" w:lineRule="auto"/>
        <w:ind w:firstLine="144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197485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2E48" w:rsidRDefault="00442E48" w:rsidP="00442E4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BY THE COMMISSION,</w:t>
      </w:r>
    </w:p>
    <w:p w:rsidR="00442E48" w:rsidRDefault="00442E48" w:rsidP="00442E48">
      <w:pPr>
        <w:rPr>
          <w:sz w:val="26"/>
          <w:szCs w:val="26"/>
        </w:rPr>
      </w:pPr>
    </w:p>
    <w:p w:rsidR="00442E48" w:rsidRDefault="00442E48" w:rsidP="00442E48">
      <w:pPr>
        <w:rPr>
          <w:sz w:val="26"/>
          <w:szCs w:val="26"/>
        </w:rPr>
      </w:pPr>
    </w:p>
    <w:p w:rsidR="00442E48" w:rsidRDefault="00442E48" w:rsidP="00442E48">
      <w:pPr>
        <w:rPr>
          <w:sz w:val="26"/>
          <w:szCs w:val="26"/>
        </w:rPr>
      </w:pPr>
    </w:p>
    <w:p w:rsidR="00442E48" w:rsidRDefault="00442E48" w:rsidP="00442E4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James J. McNulty</w:t>
      </w:r>
    </w:p>
    <w:p w:rsidR="00442E48" w:rsidRDefault="00442E48" w:rsidP="00442E4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:rsidR="00442E48" w:rsidRDefault="00442E48" w:rsidP="00442E48">
      <w:pPr>
        <w:rPr>
          <w:sz w:val="26"/>
          <w:szCs w:val="26"/>
        </w:rPr>
      </w:pPr>
    </w:p>
    <w:p w:rsidR="00442E48" w:rsidRDefault="00442E48" w:rsidP="00442E48">
      <w:pPr>
        <w:rPr>
          <w:sz w:val="26"/>
          <w:szCs w:val="26"/>
        </w:rPr>
      </w:pPr>
      <w:r>
        <w:rPr>
          <w:sz w:val="26"/>
          <w:szCs w:val="26"/>
        </w:rPr>
        <w:t>(SEAL)</w:t>
      </w:r>
    </w:p>
    <w:p w:rsidR="00442E48" w:rsidRDefault="00442E48" w:rsidP="00442E48">
      <w:pPr>
        <w:rPr>
          <w:sz w:val="26"/>
          <w:szCs w:val="26"/>
        </w:rPr>
      </w:pPr>
    </w:p>
    <w:p w:rsidR="00442E48" w:rsidRDefault="00442E48" w:rsidP="00442E48">
      <w:pPr>
        <w:rPr>
          <w:sz w:val="26"/>
          <w:szCs w:val="26"/>
        </w:rPr>
      </w:pPr>
      <w:r>
        <w:rPr>
          <w:sz w:val="26"/>
          <w:szCs w:val="26"/>
        </w:rPr>
        <w:t>ORDER ADOPTED:  March 11, 2010</w:t>
      </w:r>
    </w:p>
    <w:p w:rsidR="00442E48" w:rsidRDefault="00442E48" w:rsidP="00442E48">
      <w:pPr>
        <w:rPr>
          <w:sz w:val="26"/>
          <w:szCs w:val="26"/>
        </w:rPr>
      </w:pPr>
    </w:p>
    <w:p w:rsidR="00442E48" w:rsidRDefault="00442E48" w:rsidP="00442E48">
      <w:pPr>
        <w:rPr>
          <w:sz w:val="26"/>
          <w:szCs w:val="26"/>
        </w:rPr>
      </w:pPr>
      <w:r>
        <w:rPr>
          <w:sz w:val="26"/>
          <w:szCs w:val="26"/>
        </w:rPr>
        <w:t xml:space="preserve">ORDER ENTERED:  </w:t>
      </w:r>
      <w:r w:rsidR="002165E2">
        <w:rPr>
          <w:sz w:val="26"/>
          <w:szCs w:val="26"/>
        </w:rPr>
        <w:t>March 12, 2010</w:t>
      </w:r>
    </w:p>
    <w:p w:rsidR="00442E48" w:rsidRDefault="00442E48" w:rsidP="00442E48">
      <w:pPr>
        <w:tabs>
          <w:tab w:val="left" w:pos="-720"/>
        </w:tabs>
        <w:suppressAutoHyphens/>
        <w:spacing w:line="360" w:lineRule="auto"/>
      </w:pPr>
    </w:p>
    <w:sectPr w:rsidR="00442E48" w:rsidSect="00C65D6F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24" w:rsidRDefault="00462E24" w:rsidP="008F250B">
      <w:r>
        <w:separator/>
      </w:r>
    </w:p>
  </w:endnote>
  <w:endnote w:type="continuationSeparator" w:id="0">
    <w:p w:rsidR="00462E24" w:rsidRDefault="00462E24" w:rsidP="008F2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411987"/>
      <w:docPartObj>
        <w:docPartGallery w:val="Page Numbers (Bottom of Page)"/>
        <w:docPartUnique/>
      </w:docPartObj>
    </w:sdtPr>
    <w:sdtContent>
      <w:p w:rsidR="00510285" w:rsidRDefault="001E67A9">
        <w:pPr>
          <w:pStyle w:val="Footer"/>
          <w:jc w:val="center"/>
        </w:pPr>
        <w:fldSimple w:instr=" PAGE   \* MERGEFORMAT ">
          <w:r w:rsidR="002165E2">
            <w:rPr>
              <w:noProof/>
            </w:rPr>
            <w:t>2</w:t>
          </w:r>
        </w:fldSimple>
      </w:p>
    </w:sdtContent>
  </w:sdt>
  <w:p w:rsidR="00120618" w:rsidRDefault="001206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18" w:rsidRDefault="00120618">
    <w:pPr>
      <w:pStyle w:val="Footer"/>
      <w:jc w:val="center"/>
    </w:pPr>
  </w:p>
  <w:p w:rsidR="00120618" w:rsidRDefault="001206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24" w:rsidRDefault="00462E24" w:rsidP="008F250B">
      <w:r>
        <w:separator/>
      </w:r>
    </w:p>
  </w:footnote>
  <w:footnote w:type="continuationSeparator" w:id="0">
    <w:p w:rsidR="00462E24" w:rsidRDefault="00462E24" w:rsidP="008F250B">
      <w:r>
        <w:continuationSeparator/>
      </w:r>
    </w:p>
  </w:footnote>
  <w:footnote w:id="1">
    <w:p w:rsidR="00120618" w:rsidRPr="0035602B" w:rsidRDefault="00120618">
      <w:pPr>
        <w:pStyle w:val="FootnoteText"/>
        <w:rPr>
          <w:sz w:val="26"/>
          <w:szCs w:val="26"/>
        </w:rPr>
      </w:pPr>
      <w:r>
        <w:rPr>
          <w:sz w:val="26"/>
          <w:szCs w:val="26"/>
        </w:rPr>
        <w:tab/>
      </w:r>
      <w:r w:rsidRPr="0035602B">
        <w:rPr>
          <w:rStyle w:val="FootnoteReference"/>
          <w:sz w:val="26"/>
          <w:szCs w:val="26"/>
        </w:rPr>
        <w:footnoteRef/>
      </w:r>
      <w:r w:rsidRPr="0035602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35602B">
        <w:rPr>
          <w:sz w:val="26"/>
          <w:szCs w:val="26"/>
        </w:rPr>
        <w:t xml:space="preserve">We note that while </w:t>
      </w:r>
      <w:r>
        <w:rPr>
          <w:sz w:val="26"/>
          <w:szCs w:val="26"/>
        </w:rPr>
        <w:t xml:space="preserve">under 52 Pa. Code § 5.572(d) </w:t>
      </w:r>
      <w:r w:rsidRPr="0035602B">
        <w:rPr>
          <w:sz w:val="26"/>
          <w:szCs w:val="26"/>
        </w:rPr>
        <w:t>PPL had until the close of business on March 10, 2010, to file an Answer to the OCA Petition</w:t>
      </w:r>
      <w:r>
        <w:rPr>
          <w:sz w:val="26"/>
          <w:szCs w:val="26"/>
        </w:rPr>
        <w:t xml:space="preserve">, the time constraint imposed by Pa. R.A.P. Rule </w:t>
      </w:r>
      <w:r w:rsidRPr="00205ABC">
        <w:rPr>
          <w:sz w:val="26"/>
          <w:szCs w:val="26"/>
        </w:rPr>
        <w:t>1701</w:t>
      </w:r>
      <w:r>
        <w:rPr>
          <w:sz w:val="26"/>
          <w:szCs w:val="26"/>
        </w:rPr>
        <w:t xml:space="preserve"> precludes consideration of an Answer at this Public Meeting.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2144"/>
    <w:multiLevelType w:val="hybridMultilevel"/>
    <w:tmpl w:val="E230F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350EB"/>
    <w:multiLevelType w:val="hybridMultilevel"/>
    <w:tmpl w:val="3180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505B7"/>
    <w:multiLevelType w:val="hybridMultilevel"/>
    <w:tmpl w:val="E4289790"/>
    <w:lvl w:ilvl="0" w:tplc="0DD60D48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8F61CAE"/>
    <w:multiLevelType w:val="hybridMultilevel"/>
    <w:tmpl w:val="92261E46"/>
    <w:lvl w:ilvl="0" w:tplc="457C0234">
      <w:start w:val="1"/>
      <w:numFmt w:val="decimal"/>
      <w:lvlText w:val="(%1)"/>
      <w:lvlJc w:val="left"/>
      <w:pPr>
        <w:ind w:left="32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3B8A6E55"/>
    <w:multiLevelType w:val="hybridMultilevel"/>
    <w:tmpl w:val="237CC600"/>
    <w:lvl w:ilvl="0" w:tplc="58EA9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C741D"/>
    <w:multiLevelType w:val="hybridMultilevel"/>
    <w:tmpl w:val="E4C2A038"/>
    <w:lvl w:ilvl="0" w:tplc="664AB9D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EF03DC9"/>
    <w:multiLevelType w:val="hybridMultilevel"/>
    <w:tmpl w:val="04AC82C2"/>
    <w:lvl w:ilvl="0" w:tplc="1232815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127237A"/>
    <w:multiLevelType w:val="hybridMultilevel"/>
    <w:tmpl w:val="D0DC3730"/>
    <w:lvl w:ilvl="0" w:tplc="8A6EFF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F461A6"/>
    <w:rsid w:val="00002D71"/>
    <w:rsid w:val="00004819"/>
    <w:rsid w:val="000056EC"/>
    <w:rsid w:val="00012CD0"/>
    <w:rsid w:val="00017852"/>
    <w:rsid w:val="00020509"/>
    <w:rsid w:val="00022B74"/>
    <w:rsid w:val="00026207"/>
    <w:rsid w:val="00034C14"/>
    <w:rsid w:val="00041EA2"/>
    <w:rsid w:val="0004330A"/>
    <w:rsid w:val="00043761"/>
    <w:rsid w:val="00046631"/>
    <w:rsid w:val="00047404"/>
    <w:rsid w:val="00047F4A"/>
    <w:rsid w:val="00051376"/>
    <w:rsid w:val="00054612"/>
    <w:rsid w:val="000547D7"/>
    <w:rsid w:val="00054A83"/>
    <w:rsid w:val="0005598E"/>
    <w:rsid w:val="00056286"/>
    <w:rsid w:val="000649EC"/>
    <w:rsid w:val="00066276"/>
    <w:rsid w:val="00075E35"/>
    <w:rsid w:val="0008530D"/>
    <w:rsid w:val="00090B35"/>
    <w:rsid w:val="00095C0E"/>
    <w:rsid w:val="00095C29"/>
    <w:rsid w:val="00097504"/>
    <w:rsid w:val="000A29ED"/>
    <w:rsid w:val="000A365D"/>
    <w:rsid w:val="000A78D1"/>
    <w:rsid w:val="000B116E"/>
    <w:rsid w:val="000B216D"/>
    <w:rsid w:val="000B4EAE"/>
    <w:rsid w:val="000B6478"/>
    <w:rsid w:val="000B6B15"/>
    <w:rsid w:val="000C16A7"/>
    <w:rsid w:val="000C2AE3"/>
    <w:rsid w:val="000C414C"/>
    <w:rsid w:val="000D6940"/>
    <w:rsid w:val="000E6033"/>
    <w:rsid w:val="000E668A"/>
    <w:rsid w:val="000E7B74"/>
    <w:rsid w:val="000F0964"/>
    <w:rsid w:val="000F325B"/>
    <w:rsid w:val="0010258A"/>
    <w:rsid w:val="00103F57"/>
    <w:rsid w:val="001059B5"/>
    <w:rsid w:val="0011561B"/>
    <w:rsid w:val="00117CB2"/>
    <w:rsid w:val="00120618"/>
    <w:rsid w:val="001267D4"/>
    <w:rsid w:val="0012745A"/>
    <w:rsid w:val="00127636"/>
    <w:rsid w:val="001360FC"/>
    <w:rsid w:val="00147145"/>
    <w:rsid w:val="00154497"/>
    <w:rsid w:val="00155536"/>
    <w:rsid w:val="0016013C"/>
    <w:rsid w:val="00161EF5"/>
    <w:rsid w:val="0016632E"/>
    <w:rsid w:val="001663C8"/>
    <w:rsid w:val="001706F4"/>
    <w:rsid w:val="00173AC1"/>
    <w:rsid w:val="00174D3D"/>
    <w:rsid w:val="00180B61"/>
    <w:rsid w:val="00182D0B"/>
    <w:rsid w:val="0018452B"/>
    <w:rsid w:val="001A395D"/>
    <w:rsid w:val="001A6364"/>
    <w:rsid w:val="001A70B8"/>
    <w:rsid w:val="001C48A5"/>
    <w:rsid w:val="001C734B"/>
    <w:rsid w:val="001C7902"/>
    <w:rsid w:val="001D1065"/>
    <w:rsid w:val="001D133A"/>
    <w:rsid w:val="001D6D44"/>
    <w:rsid w:val="001D6E22"/>
    <w:rsid w:val="001E0F58"/>
    <w:rsid w:val="001E1276"/>
    <w:rsid w:val="001E148C"/>
    <w:rsid w:val="001E67A9"/>
    <w:rsid w:val="001F2831"/>
    <w:rsid w:val="002127FA"/>
    <w:rsid w:val="00213A65"/>
    <w:rsid w:val="00214764"/>
    <w:rsid w:val="002165E2"/>
    <w:rsid w:val="00222251"/>
    <w:rsid w:val="00226D0F"/>
    <w:rsid w:val="00230A3F"/>
    <w:rsid w:val="00230BEA"/>
    <w:rsid w:val="002400CC"/>
    <w:rsid w:val="00240D7B"/>
    <w:rsid w:val="002411FB"/>
    <w:rsid w:val="0024539A"/>
    <w:rsid w:val="00252DF4"/>
    <w:rsid w:val="00261518"/>
    <w:rsid w:val="0026453E"/>
    <w:rsid w:val="0027625C"/>
    <w:rsid w:val="00287D7F"/>
    <w:rsid w:val="00291F68"/>
    <w:rsid w:val="00292EA9"/>
    <w:rsid w:val="0029321C"/>
    <w:rsid w:val="002967E4"/>
    <w:rsid w:val="002A116F"/>
    <w:rsid w:val="002A1A24"/>
    <w:rsid w:val="002A4065"/>
    <w:rsid w:val="002A5B4C"/>
    <w:rsid w:val="002B0240"/>
    <w:rsid w:val="002B3D8D"/>
    <w:rsid w:val="002B6813"/>
    <w:rsid w:val="002B68AF"/>
    <w:rsid w:val="002B7558"/>
    <w:rsid w:val="002C625C"/>
    <w:rsid w:val="002D6357"/>
    <w:rsid w:val="002D7742"/>
    <w:rsid w:val="002F4C05"/>
    <w:rsid w:val="002F68DA"/>
    <w:rsid w:val="003018AA"/>
    <w:rsid w:val="00302A29"/>
    <w:rsid w:val="00302D5F"/>
    <w:rsid w:val="00325B18"/>
    <w:rsid w:val="003417AA"/>
    <w:rsid w:val="003421C1"/>
    <w:rsid w:val="003508E4"/>
    <w:rsid w:val="00351A54"/>
    <w:rsid w:val="00352094"/>
    <w:rsid w:val="0035602B"/>
    <w:rsid w:val="00364307"/>
    <w:rsid w:val="00367B7D"/>
    <w:rsid w:val="00370117"/>
    <w:rsid w:val="003755FB"/>
    <w:rsid w:val="0037577C"/>
    <w:rsid w:val="00377A9F"/>
    <w:rsid w:val="00382B11"/>
    <w:rsid w:val="00385502"/>
    <w:rsid w:val="00386156"/>
    <w:rsid w:val="003870B4"/>
    <w:rsid w:val="0038785C"/>
    <w:rsid w:val="00396BF8"/>
    <w:rsid w:val="003970F2"/>
    <w:rsid w:val="003A1640"/>
    <w:rsid w:val="003A325E"/>
    <w:rsid w:val="003B7DD6"/>
    <w:rsid w:val="003C3140"/>
    <w:rsid w:val="003C4533"/>
    <w:rsid w:val="003C545C"/>
    <w:rsid w:val="003C6B66"/>
    <w:rsid w:val="003C7E95"/>
    <w:rsid w:val="003D6AB5"/>
    <w:rsid w:val="003E58B9"/>
    <w:rsid w:val="003E693B"/>
    <w:rsid w:val="003F163C"/>
    <w:rsid w:val="003F1652"/>
    <w:rsid w:val="003F7DD4"/>
    <w:rsid w:val="0040224C"/>
    <w:rsid w:val="00404FAE"/>
    <w:rsid w:val="00406575"/>
    <w:rsid w:val="0041017E"/>
    <w:rsid w:val="004177CF"/>
    <w:rsid w:val="00421358"/>
    <w:rsid w:val="00422346"/>
    <w:rsid w:val="004261E0"/>
    <w:rsid w:val="00426CCD"/>
    <w:rsid w:val="00427DA7"/>
    <w:rsid w:val="0043023F"/>
    <w:rsid w:val="00435B8D"/>
    <w:rsid w:val="00442E48"/>
    <w:rsid w:val="00445362"/>
    <w:rsid w:val="00460135"/>
    <w:rsid w:val="00462DFA"/>
    <w:rsid w:val="00462E24"/>
    <w:rsid w:val="00472D01"/>
    <w:rsid w:val="00473EBE"/>
    <w:rsid w:val="00476017"/>
    <w:rsid w:val="0047608F"/>
    <w:rsid w:val="00476554"/>
    <w:rsid w:val="00480185"/>
    <w:rsid w:val="00481FFC"/>
    <w:rsid w:val="00483B95"/>
    <w:rsid w:val="00485DC0"/>
    <w:rsid w:val="00491BE3"/>
    <w:rsid w:val="00491D91"/>
    <w:rsid w:val="00492A14"/>
    <w:rsid w:val="0049512E"/>
    <w:rsid w:val="004A085D"/>
    <w:rsid w:val="004A3CDD"/>
    <w:rsid w:val="004A4DEB"/>
    <w:rsid w:val="004C16C3"/>
    <w:rsid w:val="004C1B8B"/>
    <w:rsid w:val="004C1CD2"/>
    <w:rsid w:val="004C2FDB"/>
    <w:rsid w:val="004D17E8"/>
    <w:rsid w:val="004D1CC1"/>
    <w:rsid w:val="004D2793"/>
    <w:rsid w:val="004D5664"/>
    <w:rsid w:val="004E0D67"/>
    <w:rsid w:val="004E45E6"/>
    <w:rsid w:val="004F22DA"/>
    <w:rsid w:val="00504834"/>
    <w:rsid w:val="00505AEE"/>
    <w:rsid w:val="0050632E"/>
    <w:rsid w:val="005076C2"/>
    <w:rsid w:val="00510285"/>
    <w:rsid w:val="00511D0A"/>
    <w:rsid w:val="00514507"/>
    <w:rsid w:val="005158A0"/>
    <w:rsid w:val="005335AE"/>
    <w:rsid w:val="00536011"/>
    <w:rsid w:val="00540AE0"/>
    <w:rsid w:val="00544AE6"/>
    <w:rsid w:val="00551C9D"/>
    <w:rsid w:val="005528BA"/>
    <w:rsid w:val="005532F9"/>
    <w:rsid w:val="0055359F"/>
    <w:rsid w:val="0055440B"/>
    <w:rsid w:val="0055708D"/>
    <w:rsid w:val="005603C9"/>
    <w:rsid w:val="0056186E"/>
    <w:rsid w:val="00561CA6"/>
    <w:rsid w:val="00562DD4"/>
    <w:rsid w:val="0056705A"/>
    <w:rsid w:val="0056717C"/>
    <w:rsid w:val="0056737B"/>
    <w:rsid w:val="00570FF7"/>
    <w:rsid w:val="0057116C"/>
    <w:rsid w:val="0057204D"/>
    <w:rsid w:val="00581D51"/>
    <w:rsid w:val="005826DC"/>
    <w:rsid w:val="0059498A"/>
    <w:rsid w:val="00596A0B"/>
    <w:rsid w:val="00596E05"/>
    <w:rsid w:val="005970FA"/>
    <w:rsid w:val="005A2298"/>
    <w:rsid w:val="005A3D8C"/>
    <w:rsid w:val="005A47EC"/>
    <w:rsid w:val="005A4A33"/>
    <w:rsid w:val="005A69BD"/>
    <w:rsid w:val="005B109A"/>
    <w:rsid w:val="005B1144"/>
    <w:rsid w:val="005B427B"/>
    <w:rsid w:val="005B4E52"/>
    <w:rsid w:val="005C1CD3"/>
    <w:rsid w:val="005C4B5B"/>
    <w:rsid w:val="005C7BA5"/>
    <w:rsid w:val="005D62F2"/>
    <w:rsid w:val="005E36B6"/>
    <w:rsid w:val="005E4C3B"/>
    <w:rsid w:val="005E6960"/>
    <w:rsid w:val="005F1C2A"/>
    <w:rsid w:val="005F2B7C"/>
    <w:rsid w:val="005F7EB5"/>
    <w:rsid w:val="0060795D"/>
    <w:rsid w:val="0061268A"/>
    <w:rsid w:val="006146C4"/>
    <w:rsid w:val="00615EEC"/>
    <w:rsid w:val="0061673B"/>
    <w:rsid w:val="00624415"/>
    <w:rsid w:val="006260D5"/>
    <w:rsid w:val="00632DF1"/>
    <w:rsid w:val="00633A49"/>
    <w:rsid w:val="00640A40"/>
    <w:rsid w:val="006412D0"/>
    <w:rsid w:val="00647F38"/>
    <w:rsid w:val="00654E90"/>
    <w:rsid w:val="006573A1"/>
    <w:rsid w:val="00660766"/>
    <w:rsid w:val="0066715A"/>
    <w:rsid w:val="006730D4"/>
    <w:rsid w:val="0067622D"/>
    <w:rsid w:val="00684268"/>
    <w:rsid w:val="006918B9"/>
    <w:rsid w:val="006933C1"/>
    <w:rsid w:val="00695B97"/>
    <w:rsid w:val="006A264D"/>
    <w:rsid w:val="006A3996"/>
    <w:rsid w:val="006A6019"/>
    <w:rsid w:val="006B0CE4"/>
    <w:rsid w:val="006B2D6A"/>
    <w:rsid w:val="006C3677"/>
    <w:rsid w:val="006C3FEA"/>
    <w:rsid w:val="006C494A"/>
    <w:rsid w:val="006C6CE2"/>
    <w:rsid w:val="006D5400"/>
    <w:rsid w:val="006E08FF"/>
    <w:rsid w:val="006E2EDA"/>
    <w:rsid w:val="006E60A0"/>
    <w:rsid w:val="006F240A"/>
    <w:rsid w:val="006F4B78"/>
    <w:rsid w:val="006F62BC"/>
    <w:rsid w:val="006F709E"/>
    <w:rsid w:val="006F76CB"/>
    <w:rsid w:val="00701083"/>
    <w:rsid w:val="00716AEF"/>
    <w:rsid w:val="0071795A"/>
    <w:rsid w:val="00720949"/>
    <w:rsid w:val="00727370"/>
    <w:rsid w:val="00731930"/>
    <w:rsid w:val="00742972"/>
    <w:rsid w:val="007436ED"/>
    <w:rsid w:val="00744CC7"/>
    <w:rsid w:val="007543B0"/>
    <w:rsid w:val="007568A9"/>
    <w:rsid w:val="007616C6"/>
    <w:rsid w:val="00762F13"/>
    <w:rsid w:val="00764BDC"/>
    <w:rsid w:val="0076687C"/>
    <w:rsid w:val="0077639A"/>
    <w:rsid w:val="00777C7C"/>
    <w:rsid w:val="0078100C"/>
    <w:rsid w:val="007819FC"/>
    <w:rsid w:val="00787404"/>
    <w:rsid w:val="0078772C"/>
    <w:rsid w:val="007878E4"/>
    <w:rsid w:val="0079322D"/>
    <w:rsid w:val="007A232D"/>
    <w:rsid w:val="007A3B85"/>
    <w:rsid w:val="007A47D5"/>
    <w:rsid w:val="007A5191"/>
    <w:rsid w:val="007A7C25"/>
    <w:rsid w:val="007B3AE8"/>
    <w:rsid w:val="007B3D5C"/>
    <w:rsid w:val="007B4418"/>
    <w:rsid w:val="007C2380"/>
    <w:rsid w:val="007C34FB"/>
    <w:rsid w:val="007D3AA0"/>
    <w:rsid w:val="007D3C69"/>
    <w:rsid w:val="007D641A"/>
    <w:rsid w:val="007F0D61"/>
    <w:rsid w:val="00805EB4"/>
    <w:rsid w:val="00810603"/>
    <w:rsid w:val="00815212"/>
    <w:rsid w:val="0082028B"/>
    <w:rsid w:val="0082040D"/>
    <w:rsid w:val="00823010"/>
    <w:rsid w:val="0083324D"/>
    <w:rsid w:val="00834594"/>
    <w:rsid w:val="00841733"/>
    <w:rsid w:val="008522F9"/>
    <w:rsid w:val="00853BC2"/>
    <w:rsid w:val="00856F77"/>
    <w:rsid w:val="0086236A"/>
    <w:rsid w:val="008645DE"/>
    <w:rsid w:val="008654A5"/>
    <w:rsid w:val="00871B38"/>
    <w:rsid w:val="00872BC0"/>
    <w:rsid w:val="00873E5B"/>
    <w:rsid w:val="00883785"/>
    <w:rsid w:val="008871B0"/>
    <w:rsid w:val="008A1CAC"/>
    <w:rsid w:val="008A3898"/>
    <w:rsid w:val="008A4962"/>
    <w:rsid w:val="008C567A"/>
    <w:rsid w:val="008D1806"/>
    <w:rsid w:val="008E0959"/>
    <w:rsid w:val="008E0C47"/>
    <w:rsid w:val="008E1D71"/>
    <w:rsid w:val="008E7710"/>
    <w:rsid w:val="008E7C8E"/>
    <w:rsid w:val="008F2179"/>
    <w:rsid w:val="008F250B"/>
    <w:rsid w:val="00901A60"/>
    <w:rsid w:val="00902200"/>
    <w:rsid w:val="00903526"/>
    <w:rsid w:val="00903F34"/>
    <w:rsid w:val="00905219"/>
    <w:rsid w:val="009078F5"/>
    <w:rsid w:val="00917E05"/>
    <w:rsid w:val="009200D2"/>
    <w:rsid w:val="00920817"/>
    <w:rsid w:val="00922B86"/>
    <w:rsid w:val="00925C05"/>
    <w:rsid w:val="00927547"/>
    <w:rsid w:val="00931279"/>
    <w:rsid w:val="00940B59"/>
    <w:rsid w:val="0094211B"/>
    <w:rsid w:val="00942436"/>
    <w:rsid w:val="009446ED"/>
    <w:rsid w:val="009462E2"/>
    <w:rsid w:val="00947D67"/>
    <w:rsid w:val="009509D8"/>
    <w:rsid w:val="00957A1D"/>
    <w:rsid w:val="00960D31"/>
    <w:rsid w:val="00961602"/>
    <w:rsid w:val="00962A90"/>
    <w:rsid w:val="00964548"/>
    <w:rsid w:val="009677C1"/>
    <w:rsid w:val="00970F81"/>
    <w:rsid w:val="0097570F"/>
    <w:rsid w:val="00985537"/>
    <w:rsid w:val="009907E6"/>
    <w:rsid w:val="00992186"/>
    <w:rsid w:val="00992D1E"/>
    <w:rsid w:val="009A077C"/>
    <w:rsid w:val="009A0788"/>
    <w:rsid w:val="009A0828"/>
    <w:rsid w:val="009B5017"/>
    <w:rsid w:val="009C7173"/>
    <w:rsid w:val="009C75A5"/>
    <w:rsid w:val="009D7D33"/>
    <w:rsid w:val="009E063D"/>
    <w:rsid w:val="009E26A1"/>
    <w:rsid w:val="009E2C16"/>
    <w:rsid w:val="009E3197"/>
    <w:rsid w:val="009F0E94"/>
    <w:rsid w:val="009F1547"/>
    <w:rsid w:val="009F398E"/>
    <w:rsid w:val="009F7924"/>
    <w:rsid w:val="00A02CE8"/>
    <w:rsid w:val="00A0470A"/>
    <w:rsid w:val="00A07949"/>
    <w:rsid w:val="00A15CFA"/>
    <w:rsid w:val="00A22038"/>
    <w:rsid w:val="00A23CB0"/>
    <w:rsid w:val="00A27DEE"/>
    <w:rsid w:val="00A3026D"/>
    <w:rsid w:val="00A308F1"/>
    <w:rsid w:val="00A41062"/>
    <w:rsid w:val="00A445FC"/>
    <w:rsid w:val="00A55D5C"/>
    <w:rsid w:val="00A56697"/>
    <w:rsid w:val="00A611FC"/>
    <w:rsid w:val="00A668C3"/>
    <w:rsid w:val="00A67923"/>
    <w:rsid w:val="00A70598"/>
    <w:rsid w:val="00A76C1A"/>
    <w:rsid w:val="00A833D9"/>
    <w:rsid w:val="00A90A4F"/>
    <w:rsid w:val="00AA204C"/>
    <w:rsid w:val="00AA5C75"/>
    <w:rsid w:val="00AA5CE2"/>
    <w:rsid w:val="00AB0363"/>
    <w:rsid w:val="00AB42A6"/>
    <w:rsid w:val="00AC1061"/>
    <w:rsid w:val="00AC6099"/>
    <w:rsid w:val="00AC78FF"/>
    <w:rsid w:val="00AD2AA7"/>
    <w:rsid w:val="00AE33FF"/>
    <w:rsid w:val="00AF45F8"/>
    <w:rsid w:val="00AF4AFC"/>
    <w:rsid w:val="00B02655"/>
    <w:rsid w:val="00B037D6"/>
    <w:rsid w:val="00B0480F"/>
    <w:rsid w:val="00B05076"/>
    <w:rsid w:val="00B05852"/>
    <w:rsid w:val="00B05BA5"/>
    <w:rsid w:val="00B1413D"/>
    <w:rsid w:val="00B15FC5"/>
    <w:rsid w:val="00B41328"/>
    <w:rsid w:val="00B51310"/>
    <w:rsid w:val="00B60A36"/>
    <w:rsid w:val="00B60BEA"/>
    <w:rsid w:val="00B6382E"/>
    <w:rsid w:val="00B711E5"/>
    <w:rsid w:val="00B76F96"/>
    <w:rsid w:val="00B81395"/>
    <w:rsid w:val="00B82BDB"/>
    <w:rsid w:val="00B830F4"/>
    <w:rsid w:val="00B858C2"/>
    <w:rsid w:val="00B85AAE"/>
    <w:rsid w:val="00B90667"/>
    <w:rsid w:val="00B916BC"/>
    <w:rsid w:val="00B94786"/>
    <w:rsid w:val="00BA01A5"/>
    <w:rsid w:val="00BA2165"/>
    <w:rsid w:val="00BA59C2"/>
    <w:rsid w:val="00BA5CA4"/>
    <w:rsid w:val="00BC199F"/>
    <w:rsid w:val="00BC4922"/>
    <w:rsid w:val="00BD46FE"/>
    <w:rsid w:val="00BD7268"/>
    <w:rsid w:val="00BD7C68"/>
    <w:rsid w:val="00BE2FC7"/>
    <w:rsid w:val="00BE41FA"/>
    <w:rsid w:val="00BE57F0"/>
    <w:rsid w:val="00BE5834"/>
    <w:rsid w:val="00BF05A1"/>
    <w:rsid w:val="00BF6BE5"/>
    <w:rsid w:val="00C03022"/>
    <w:rsid w:val="00C03776"/>
    <w:rsid w:val="00C06722"/>
    <w:rsid w:val="00C06DE2"/>
    <w:rsid w:val="00C13821"/>
    <w:rsid w:val="00C144C3"/>
    <w:rsid w:val="00C145FD"/>
    <w:rsid w:val="00C34D7A"/>
    <w:rsid w:val="00C4654A"/>
    <w:rsid w:val="00C50E1E"/>
    <w:rsid w:val="00C54021"/>
    <w:rsid w:val="00C65D6F"/>
    <w:rsid w:val="00C70CCA"/>
    <w:rsid w:val="00C70F06"/>
    <w:rsid w:val="00C714AE"/>
    <w:rsid w:val="00C74322"/>
    <w:rsid w:val="00C75655"/>
    <w:rsid w:val="00C868F6"/>
    <w:rsid w:val="00C9391D"/>
    <w:rsid w:val="00C93FF6"/>
    <w:rsid w:val="00C9744B"/>
    <w:rsid w:val="00C97FE1"/>
    <w:rsid w:val="00CA0DDD"/>
    <w:rsid w:val="00CA6289"/>
    <w:rsid w:val="00CA76B8"/>
    <w:rsid w:val="00CB15CA"/>
    <w:rsid w:val="00CB589A"/>
    <w:rsid w:val="00CB6DCE"/>
    <w:rsid w:val="00CB7302"/>
    <w:rsid w:val="00CC1B3C"/>
    <w:rsid w:val="00CC2E82"/>
    <w:rsid w:val="00CC7F3D"/>
    <w:rsid w:val="00CD78A6"/>
    <w:rsid w:val="00CE4FE0"/>
    <w:rsid w:val="00CF05F0"/>
    <w:rsid w:val="00CF23E2"/>
    <w:rsid w:val="00CF45E1"/>
    <w:rsid w:val="00CF5B47"/>
    <w:rsid w:val="00CF64F1"/>
    <w:rsid w:val="00D0315A"/>
    <w:rsid w:val="00D05F28"/>
    <w:rsid w:val="00D11463"/>
    <w:rsid w:val="00D13E3B"/>
    <w:rsid w:val="00D16008"/>
    <w:rsid w:val="00D212D1"/>
    <w:rsid w:val="00D246E8"/>
    <w:rsid w:val="00D33D87"/>
    <w:rsid w:val="00D33DF6"/>
    <w:rsid w:val="00D44ACE"/>
    <w:rsid w:val="00D46C46"/>
    <w:rsid w:val="00D47468"/>
    <w:rsid w:val="00D5449E"/>
    <w:rsid w:val="00D54513"/>
    <w:rsid w:val="00D54C9B"/>
    <w:rsid w:val="00D60FED"/>
    <w:rsid w:val="00D61003"/>
    <w:rsid w:val="00D67449"/>
    <w:rsid w:val="00D722DF"/>
    <w:rsid w:val="00D83188"/>
    <w:rsid w:val="00D83261"/>
    <w:rsid w:val="00D844EC"/>
    <w:rsid w:val="00DA06C4"/>
    <w:rsid w:val="00DA31F1"/>
    <w:rsid w:val="00DB1424"/>
    <w:rsid w:val="00DB3AEE"/>
    <w:rsid w:val="00DB4FE6"/>
    <w:rsid w:val="00DD63B0"/>
    <w:rsid w:val="00DE1703"/>
    <w:rsid w:val="00DE4D5F"/>
    <w:rsid w:val="00E064CD"/>
    <w:rsid w:val="00E132F9"/>
    <w:rsid w:val="00E1696D"/>
    <w:rsid w:val="00E20740"/>
    <w:rsid w:val="00E3114E"/>
    <w:rsid w:val="00E31CBD"/>
    <w:rsid w:val="00E350CD"/>
    <w:rsid w:val="00E5603E"/>
    <w:rsid w:val="00E564BF"/>
    <w:rsid w:val="00E705B7"/>
    <w:rsid w:val="00E73A89"/>
    <w:rsid w:val="00E7726F"/>
    <w:rsid w:val="00EA0289"/>
    <w:rsid w:val="00EA66EF"/>
    <w:rsid w:val="00EB055B"/>
    <w:rsid w:val="00EB2ABA"/>
    <w:rsid w:val="00EB3F90"/>
    <w:rsid w:val="00EB713A"/>
    <w:rsid w:val="00EC1160"/>
    <w:rsid w:val="00EC1212"/>
    <w:rsid w:val="00EC1D3D"/>
    <w:rsid w:val="00EC26DE"/>
    <w:rsid w:val="00EC40F6"/>
    <w:rsid w:val="00EC7E67"/>
    <w:rsid w:val="00ED6D0F"/>
    <w:rsid w:val="00EE0B3E"/>
    <w:rsid w:val="00EE5A4D"/>
    <w:rsid w:val="00EF090C"/>
    <w:rsid w:val="00EF1230"/>
    <w:rsid w:val="00EF5959"/>
    <w:rsid w:val="00F01C4C"/>
    <w:rsid w:val="00F05718"/>
    <w:rsid w:val="00F059CA"/>
    <w:rsid w:val="00F10202"/>
    <w:rsid w:val="00F11F73"/>
    <w:rsid w:val="00F13036"/>
    <w:rsid w:val="00F1448C"/>
    <w:rsid w:val="00F14EF7"/>
    <w:rsid w:val="00F15DBB"/>
    <w:rsid w:val="00F23A41"/>
    <w:rsid w:val="00F24D75"/>
    <w:rsid w:val="00F261E3"/>
    <w:rsid w:val="00F31917"/>
    <w:rsid w:val="00F34F33"/>
    <w:rsid w:val="00F3742D"/>
    <w:rsid w:val="00F420DE"/>
    <w:rsid w:val="00F4449A"/>
    <w:rsid w:val="00F461A6"/>
    <w:rsid w:val="00F53889"/>
    <w:rsid w:val="00F56087"/>
    <w:rsid w:val="00F61D56"/>
    <w:rsid w:val="00F63AA2"/>
    <w:rsid w:val="00F64361"/>
    <w:rsid w:val="00F666BD"/>
    <w:rsid w:val="00F67442"/>
    <w:rsid w:val="00F730DD"/>
    <w:rsid w:val="00F75906"/>
    <w:rsid w:val="00F8320E"/>
    <w:rsid w:val="00F86D6F"/>
    <w:rsid w:val="00F94D77"/>
    <w:rsid w:val="00FA3DB2"/>
    <w:rsid w:val="00FA4F23"/>
    <w:rsid w:val="00FB0249"/>
    <w:rsid w:val="00FB6681"/>
    <w:rsid w:val="00FB6C1D"/>
    <w:rsid w:val="00FC22D2"/>
    <w:rsid w:val="00FD4C77"/>
    <w:rsid w:val="00FE5D35"/>
    <w:rsid w:val="00FE7F25"/>
    <w:rsid w:val="00FF0956"/>
    <w:rsid w:val="00FF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B97"/>
    <w:pPr>
      <w:keepNext/>
      <w:keepLines/>
      <w:spacing w:line="36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B97"/>
    <w:pPr>
      <w:keepNext/>
      <w:keepLines/>
      <w:spacing w:line="360" w:lineRule="auto"/>
      <w:ind w:left="7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B97"/>
    <w:pPr>
      <w:keepNext/>
      <w:keepLines/>
      <w:spacing w:line="360" w:lineRule="auto"/>
      <w:ind w:left="144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B97"/>
    <w:pPr>
      <w:keepNext/>
      <w:keepLines/>
      <w:spacing w:line="360" w:lineRule="auto"/>
      <w:ind w:left="216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5B97"/>
    <w:pPr>
      <w:keepNext/>
      <w:keepLines/>
      <w:spacing w:line="360" w:lineRule="auto"/>
      <w:ind w:left="2880"/>
      <w:outlineLvl w:val="4"/>
    </w:pPr>
    <w:rPr>
      <w:rFonts w:eastAsiaTheme="majorEastAsia" w:cstheme="majorBidi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95B97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DB1424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D1CC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1CC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5B9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B97"/>
    <w:rPr>
      <w:rFonts w:ascii="Times New Roman" w:eastAsiaTheme="majorEastAsia" w:hAnsi="Times New Roman" w:cstheme="majorBidi"/>
      <w:b/>
      <w:bCs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5B97"/>
    <w:rPr>
      <w:rFonts w:ascii="Times New Roman" w:eastAsiaTheme="majorEastAsia" w:hAnsi="Times New Roman" w:cstheme="majorBidi"/>
      <w:b/>
      <w:bCs/>
      <w:iCs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D3C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D3C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D3C69"/>
    <w:pPr>
      <w:spacing w:after="100"/>
      <w:ind w:left="720"/>
    </w:pPr>
  </w:style>
  <w:style w:type="character" w:customStyle="1" w:styleId="Heading5Char">
    <w:name w:val="Heading 5 Char"/>
    <w:basedOn w:val="DefaultParagraphFont"/>
    <w:link w:val="Heading5"/>
    <w:uiPriority w:val="9"/>
    <w:rsid w:val="00695B97"/>
    <w:rPr>
      <w:rFonts w:ascii="Times New Roman" w:eastAsiaTheme="majorEastAsia" w:hAnsi="Times New Roman" w:cstheme="majorBidi"/>
      <w:b/>
      <w:sz w:val="26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833D9"/>
    <w:pPr>
      <w:spacing w:after="100"/>
      <w:ind w:left="960"/>
    </w:pPr>
  </w:style>
  <w:style w:type="paragraph" w:styleId="Header">
    <w:name w:val="header"/>
    <w:basedOn w:val="Normal"/>
    <w:link w:val="HeaderChar"/>
    <w:uiPriority w:val="99"/>
    <w:unhideWhenUsed/>
    <w:rsid w:val="008F2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5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2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50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TBG Style,ALTS FOOTNOTE,Footnote Text 2,fn,Footnote text,FOOTNOTE"/>
    <w:basedOn w:val="Normal"/>
    <w:link w:val="FootnoteTextChar"/>
    <w:uiPriority w:val="99"/>
    <w:unhideWhenUsed/>
    <w:rsid w:val="003E58B9"/>
    <w:rPr>
      <w:sz w:val="20"/>
      <w:szCs w:val="20"/>
    </w:rPr>
  </w:style>
  <w:style w:type="character" w:customStyle="1" w:styleId="FootnoteTextChar">
    <w:name w:val="Footnote Text Char"/>
    <w:aliases w:val="TBG Style Char,ALTS FOOTNOTE Char,Footnote Text 2 Char,fn Char,Footnote text Char,FOOTNOTE Char"/>
    <w:basedOn w:val="DefaultParagraphFont"/>
    <w:link w:val="FootnoteText"/>
    <w:uiPriority w:val="99"/>
    <w:rsid w:val="003E58B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3E58B9"/>
    <w:rPr>
      <w:vertAlign w:val="superscript"/>
    </w:rPr>
  </w:style>
  <w:style w:type="paragraph" w:customStyle="1" w:styleId="p3">
    <w:name w:val="p3"/>
    <w:basedOn w:val="Normal"/>
    <w:rsid w:val="00A308F1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4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D61003"/>
    <w:pPr>
      <w:spacing w:line="480" w:lineRule="auto"/>
      <w:ind w:firstLine="720"/>
      <w:jc w:val="both"/>
    </w:pPr>
  </w:style>
  <w:style w:type="character" w:customStyle="1" w:styleId="BodyText2Char">
    <w:name w:val="Body Text 2 Char"/>
    <w:basedOn w:val="DefaultParagraphFont"/>
    <w:link w:val="BodyText2"/>
    <w:rsid w:val="00D61003"/>
    <w:rPr>
      <w:rFonts w:ascii="Times New Roman" w:eastAsia="Times New Roman" w:hAnsi="Times New Roman" w:cs="Times New Roman"/>
      <w:sz w:val="24"/>
      <w:szCs w:val="24"/>
    </w:rPr>
  </w:style>
  <w:style w:type="paragraph" w:customStyle="1" w:styleId="FirmDouble05">
    <w:name w:val="Firm Double 05"/>
    <w:basedOn w:val="Normal"/>
    <w:rsid w:val="00BA2165"/>
    <w:pPr>
      <w:spacing w:after="120" w:line="480" w:lineRule="auto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5C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148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148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54A7-0AC0-409C-A731-25422F63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jnase</dc:creator>
  <cp:keywords/>
  <dc:description/>
  <cp:lastModifiedBy>Administrator</cp:lastModifiedBy>
  <cp:revision>8</cp:revision>
  <cp:lastPrinted>2010-03-12T14:44:00Z</cp:lastPrinted>
  <dcterms:created xsi:type="dcterms:W3CDTF">2010-03-09T18:42:00Z</dcterms:created>
  <dcterms:modified xsi:type="dcterms:W3CDTF">2010-03-12T14:44:00Z</dcterms:modified>
</cp:coreProperties>
</file>