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76" w:rsidRPr="00AE6DB2" w:rsidRDefault="00926B76" w:rsidP="00926B76">
      <w:pPr>
        <w:ind w:firstLine="720"/>
        <w:jc w:val="center"/>
        <w:rPr>
          <w:b/>
          <w:sz w:val="24"/>
          <w:szCs w:val="24"/>
        </w:rPr>
      </w:pPr>
      <w:r w:rsidRPr="00AE6DB2">
        <w:rPr>
          <w:b/>
          <w:sz w:val="24"/>
          <w:szCs w:val="24"/>
        </w:rPr>
        <w:t>BEFORE THE</w:t>
      </w:r>
    </w:p>
    <w:p w:rsidR="00926B76" w:rsidRPr="00AE6DB2" w:rsidRDefault="00926B76" w:rsidP="00926B76">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926B76" w:rsidRPr="00AE6DB2" w:rsidRDefault="00926B76" w:rsidP="00926B76">
      <w:pPr>
        <w:rPr>
          <w:b/>
          <w:bCs/>
          <w:sz w:val="24"/>
          <w:szCs w:val="24"/>
        </w:rPr>
      </w:pPr>
    </w:p>
    <w:p w:rsidR="00926B76" w:rsidRPr="00AE6DB2" w:rsidRDefault="00926B76" w:rsidP="00926B76">
      <w:pPr>
        <w:rPr>
          <w:b/>
          <w:bCs/>
          <w:sz w:val="24"/>
          <w:szCs w:val="24"/>
        </w:rPr>
      </w:pPr>
    </w:p>
    <w:p w:rsidR="00926B76" w:rsidRPr="00AE6DB2" w:rsidRDefault="00926B76" w:rsidP="00926B76">
      <w:pPr>
        <w:rPr>
          <w:b/>
          <w:bCs/>
          <w:sz w:val="24"/>
          <w:szCs w:val="24"/>
        </w:rPr>
      </w:pPr>
    </w:p>
    <w:p w:rsidR="00926B76" w:rsidRPr="00AE6DB2" w:rsidRDefault="00926B76" w:rsidP="00926B76">
      <w:pPr>
        <w:pStyle w:val="TxBrp3"/>
        <w:spacing w:line="240" w:lineRule="auto"/>
      </w:pPr>
      <w:r>
        <w:t>Tyree Hawkins</w:t>
      </w:r>
      <w:r w:rsidRPr="00AE6DB2">
        <w:t xml:space="preserve"> </w:t>
      </w:r>
      <w:r w:rsidRPr="00AE6DB2">
        <w:tab/>
      </w:r>
      <w:r w:rsidRPr="00AE6DB2">
        <w:tab/>
      </w:r>
      <w:r w:rsidRPr="00AE6DB2">
        <w:tab/>
      </w:r>
      <w:r>
        <w:tab/>
      </w:r>
      <w:r>
        <w:tab/>
      </w:r>
      <w:r w:rsidRPr="00AE6DB2">
        <w:t>:</w:t>
      </w:r>
    </w:p>
    <w:p w:rsidR="00926B76" w:rsidRPr="00AE6DB2" w:rsidRDefault="00926B76" w:rsidP="00926B76">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926B76" w:rsidRPr="00AE6DB2" w:rsidRDefault="00926B76" w:rsidP="00926B76">
      <w:pPr>
        <w:pStyle w:val="TxBrt1"/>
        <w:tabs>
          <w:tab w:val="left" w:pos="720"/>
          <w:tab w:val="left" w:pos="5040"/>
          <w:tab w:val="left" w:pos="6514"/>
        </w:tabs>
        <w:spacing w:line="240" w:lineRule="auto"/>
      </w:pPr>
      <w:r w:rsidRPr="00AE6DB2">
        <w:tab/>
        <w:t>v.</w:t>
      </w:r>
      <w:r w:rsidRPr="00AE6DB2">
        <w:tab/>
        <w:t>:</w:t>
      </w:r>
      <w:r w:rsidRPr="00AE6DB2">
        <w:tab/>
      </w:r>
      <w:r>
        <w:t>C-2009-2083067</w:t>
      </w:r>
    </w:p>
    <w:p w:rsidR="00926B76" w:rsidRPr="00AE6DB2" w:rsidRDefault="00926B76" w:rsidP="00926B76">
      <w:pPr>
        <w:pStyle w:val="TxBrt1"/>
        <w:tabs>
          <w:tab w:val="left" w:pos="720"/>
          <w:tab w:val="left" w:pos="5040"/>
          <w:tab w:val="left" w:pos="6514"/>
        </w:tabs>
        <w:spacing w:line="240" w:lineRule="auto"/>
      </w:pPr>
      <w:r w:rsidRPr="00AE6DB2">
        <w:tab/>
      </w:r>
      <w:r w:rsidRPr="00AE6DB2">
        <w:tab/>
        <w:t>:</w:t>
      </w:r>
    </w:p>
    <w:p w:rsidR="00926B76" w:rsidRPr="00AE6DB2" w:rsidRDefault="00926B76" w:rsidP="00926B76">
      <w:pPr>
        <w:pStyle w:val="TxBrp3"/>
        <w:spacing w:line="240" w:lineRule="auto"/>
      </w:pPr>
      <w:r>
        <w:t>PECO Energy Company</w:t>
      </w:r>
      <w:r w:rsidRPr="00AE6DB2">
        <w:tab/>
      </w:r>
      <w:r>
        <w:tab/>
      </w:r>
      <w:r w:rsidRPr="00AE6DB2">
        <w:tab/>
      </w:r>
      <w:r w:rsidRPr="00AE6DB2">
        <w:tab/>
        <w:t>:</w:t>
      </w:r>
    </w:p>
    <w:p w:rsidR="00926B76" w:rsidRPr="00AE6DB2" w:rsidRDefault="00926B76" w:rsidP="00926B76">
      <w:pPr>
        <w:tabs>
          <w:tab w:val="left" w:pos="204"/>
        </w:tabs>
        <w:rPr>
          <w:sz w:val="24"/>
          <w:szCs w:val="24"/>
        </w:rPr>
      </w:pPr>
    </w:p>
    <w:p w:rsidR="00926B76" w:rsidRPr="00AE6DB2" w:rsidRDefault="00926B76" w:rsidP="00926B76">
      <w:pPr>
        <w:tabs>
          <w:tab w:val="left" w:pos="204"/>
        </w:tabs>
        <w:rPr>
          <w:sz w:val="24"/>
          <w:szCs w:val="24"/>
        </w:rPr>
      </w:pPr>
    </w:p>
    <w:p w:rsidR="00926B76" w:rsidRPr="00AE6DB2" w:rsidRDefault="00926B76" w:rsidP="00926B76">
      <w:pPr>
        <w:rPr>
          <w:sz w:val="24"/>
          <w:szCs w:val="24"/>
        </w:rPr>
      </w:pPr>
    </w:p>
    <w:p w:rsidR="00926B76" w:rsidRPr="00AE6DB2" w:rsidRDefault="00926B76" w:rsidP="00926B76">
      <w:pPr>
        <w:jc w:val="center"/>
        <w:rPr>
          <w:b/>
          <w:sz w:val="24"/>
          <w:szCs w:val="24"/>
          <w:u w:val="single"/>
        </w:rPr>
      </w:pPr>
      <w:r w:rsidRPr="00AE6DB2">
        <w:rPr>
          <w:b/>
          <w:sz w:val="24"/>
          <w:szCs w:val="24"/>
          <w:u w:val="single"/>
        </w:rPr>
        <w:t>INITIAL DECISION</w:t>
      </w:r>
    </w:p>
    <w:p w:rsidR="00926B76" w:rsidRPr="00AE6DB2" w:rsidRDefault="00926B76" w:rsidP="00926B76">
      <w:pPr>
        <w:jc w:val="center"/>
        <w:rPr>
          <w:b/>
          <w:sz w:val="24"/>
          <w:szCs w:val="24"/>
          <w:u w:val="single"/>
        </w:rPr>
      </w:pPr>
    </w:p>
    <w:p w:rsidR="00926B76" w:rsidRPr="00AE6DB2" w:rsidRDefault="00926B76" w:rsidP="00926B76">
      <w:pPr>
        <w:jc w:val="center"/>
        <w:rPr>
          <w:sz w:val="24"/>
          <w:szCs w:val="24"/>
        </w:rPr>
      </w:pPr>
      <w:r w:rsidRPr="00AE6DB2">
        <w:rPr>
          <w:sz w:val="24"/>
          <w:szCs w:val="24"/>
        </w:rPr>
        <w:t>Before</w:t>
      </w:r>
    </w:p>
    <w:p w:rsidR="00926B76" w:rsidRPr="00AE6DB2" w:rsidRDefault="00926B76" w:rsidP="00926B76">
      <w:pPr>
        <w:jc w:val="center"/>
        <w:rPr>
          <w:sz w:val="24"/>
          <w:szCs w:val="24"/>
        </w:rPr>
      </w:pPr>
      <w:r w:rsidRPr="00AE6DB2">
        <w:rPr>
          <w:sz w:val="24"/>
          <w:szCs w:val="24"/>
        </w:rPr>
        <w:t>Eranda Vero</w:t>
      </w:r>
    </w:p>
    <w:p w:rsidR="00926B76" w:rsidRPr="00AE6DB2" w:rsidRDefault="00926B76" w:rsidP="00926B76">
      <w:pPr>
        <w:spacing w:line="360" w:lineRule="auto"/>
        <w:jc w:val="center"/>
        <w:rPr>
          <w:sz w:val="24"/>
          <w:szCs w:val="24"/>
        </w:rPr>
      </w:pPr>
      <w:r w:rsidRPr="00AE6DB2">
        <w:rPr>
          <w:sz w:val="24"/>
          <w:szCs w:val="24"/>
        </w:rPr>
        <w:t>Special Agent</w:t>
      </w:r>
    </w:p>
    <w:p w:rsidR="00926B76" w:rsidRPr="00AE6DB2" w:rsidRDefault="00926B76" w:rsidP="00926B76">
      <w:pPr>
        <w:jc w:val="center"/>
        <w:rPr>
          <w:sz w:val="24"/>
          <w:szCs w:val="24"/>
          <w:u w:val="single"/>
        </w:rPr>
      </w:pPr>
    </w:p>
    <w:p w:rsidR="00926B76" w:rsidRPr="00AE6DB2" w:rsidRDefault="00926B76" w:rsidP="00926B76">
      <w:pPr>
        <w:jc w:val="center"/>
        <w:rPr>
          <w:sz w:val="24"/>
          <w:szCs w:val="24"/>
          <w:u w:val="single"/>
        </w:rPr>
      </w:pPr>
      <w:r w:rsidRPr="00AE6DB2">
        <w:rPr>
          <w:sz w:val="24"/>
          <w:szCs w:val="24"/>
          <w:u w:val="single"/>
        </w:rPr>
        <w:t>HISTORY OF THE PROCEEDING</w:t>
      </w:r>
    </w:p>
    <w:p w:rsidR="00926B76" w:rsidRPr="00AE6DB2" w:rsidRDefault="00926B76" w:rsidP="00926B76">
      <w:pPr>
        <w:jc w:val="center"/>
        <w:rPr>
          <w:sz w:val="24"/>
          <w:szCs w:val="24"/>
          <w:u w:val="single"/>
        </w:rPr>
      </w:pPr>
    </w:p>
    <w:p w:rsidR="00926B76" w:rsidRPr="00AE6DB2" w:rsidRDefault="00926B76" w:rsidP="00926B76">
      <w:pPr>
        <w:jc w:val="center"/>
        <w:rPr>
          <w:sz w:val="24"/>
          <w:szCs w:val="24"/>
          <w:u w:val="single"/>
        </w:rPr>
      </w:pPr>
    </w:p>
    <w:p w:rsidR="00926B76" w:rsidRDefault="00926B76" w:rsidP="00602A12">
      <w:pPr>
        <w:tabs>
          <w:tab w:val="left" w:pos="-1440"/>
          <w:tab w:val="left" w:pos="-720"/>
        </w:tabs>
        <w:suppressAutoHyphens/>
        <w:spacing w:line="360" w:lineRule="auto"/>
        <w:ind w:firstLine="1440"/>
        <w:rPr>
          <w:sz w:val="24"/>
          <w:szCs w:val="24"/>
        </w:rPr>
      </w:pPr>
      <w:r>
        <w:rPr>
          <w:sz w:val="24"/>
          <w:szCs w:val="24"/>
        </w:rPr>
        <w:t>On January 5, 2009, Tyree Hawkins (Mr. Hawkins or Complainant) filed a Formal Complaint with the Pennsylvania Public Utility Commission (Commission) against PECO Energy Company (Respondent or PECO) alleging his inability to pay his electric bills and requesting a payment arrangement.</w:t>
      </w:r>
      <w:r w:rsidR="003B611D">
        <w:rPr>
          <w:rStyle w:val="FootnoteReference"/>
          <w:sz w:val="24"/>
          <w:szCs w:val="24"/>
        </w:rPr>
        <w:footnoteReference w:id="1"/>
      </w:r>
      <w:r>
        <w:rPr>
          <w:sz w:val="24"/>
          <w:szCs w:val="24"/>
        </w:rPr>
        <w:t xml:space="preserve">  </w:t>
      </w:r>
      <w:r w:rsidR="00602A12">
        <w:rPr>
          <w:sz w:val="24"/>
          <w:szCs w:val="24"/>
        </w:rPr>
        <w:t>The present Complaint appears to be an appeal to the informal determination issued by the Commission’s Bureau of Consumer Services (BCS), BCS Case No.</w:t>
      </w:r>
      <w:r w:rsidR="00602A12" w:rsidRPr="00602A12">
        <w:rPr>
          <w:sz w:val="24"/>
          <w:szCs w:val="24"/>
        </w:rPr>
        <w:t xml:space="preserve"> </w:t>
      </w:r>
      <w:r w:rsidR="00602A12">
        <w:rPr>
          <w:sz w:val="24"/>
          <w:szCs w:val="24"/>
        </w:rPr>
        <w:t xml:space="preserve">2473388.  </w:t>
      </w:r>
      <w:r>
        <w:rPr>
          <w:sz w:val="24"/>
          <w:szCs w:val="24"/>
        </w:rPr>
        <w:t>On January 29, 2009, Respondent filed an Answer with New Matter addressing the material allegations of the Complaint.</w:t>
      </w:r>
    </w:p>
    <w:p w:rsidR="00926B76" w:rsidRPr="006F134E" w:rsidRDefault="00926B76" w:rsidP="00926B76">
      <w:pPr>
        <w:spacing w:line="360" w:lineRule="auto"/>
        <w:rPr>
          <w:sz w:val="24"/>
          <w:szCs w:val="24"/>
        </w:rPr>
      </w:pPr>
      <w:r w:rsidRPr="006F134E">
        <w:rPr>
          <w:sz w:val="24"/>
          <w:szCs w:val="24"/>
        </w:rPr>
        <w:tab/>
      </w:r>
      <w:r w:rsidRPr="006F134E">
        <w:rPr>
          <w:sz w:val="24"/>
          <w:szCs w:val="24"/>
        </w:rPr>
        <w:tab/>
      </w:r>
    </w:p>
    <w:p w:rsidR="00926B76" w:rsidRPr="00100E8E" w:rsidRDefault="00926B76" w:rsidP="00926B76">
      <w:pPr>
        <w:tabs>
          <w:tab w:val="left" w:pos="2160"/>
        </w:tabs>
        <w:spacing w:line="360" w:lineRule="auto"/>
        <w:ind w:firstLine="1440"/>
        <w:rPr>
          <w:spacing w:val="-3"/>
          <w:sz w:val="24"/>
          <w:szCs w:val="24"/>
        </w:rPr>
      </w:pPr>
      <w:r w:rsidRPr="006F134E">
        <w:rPr>
          <w:sz w:val="24"/>
          <w:szCs w:val="24"/>
        </w:rPr>
        <w:t>An Initial Telephone Hearing Notice dated</w:t>
      </w:r>
      <w:r>
        <w:rPr>
          <w:sz w:val="24"/>
          <w:szCs w:val="24"/>
        </w:rPr>
        <w:t xml:space="preserve"> February 21, 2009, </w:t>
      </w:r>
      <w:r w:rsidRPr="006F134E">
        <w:rPr>
          <w:sz w:val="24"/>
          <w:szCs w:val="24"/>
        </w:rPr>
        <w:t>advised the parties that an initial telephonic hearing was scheduled for</w:t>
      </w:r>
      <w:r>
        <w:rPr>
          <w:sz w:val="24"/>
          <w:szCs w:val="24"/>
        </w:rPr>
        <w:t xml:space="preserve"> Monday, May 11, 2009</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r>
        <w:rPr>
          <w:spacing w:val="-3"/>
          <w:sz w:val="24"/>
          <w:szCs w:val="24"/>
        </w:rPr>
        <w:t xml:space="preserve"> </w:t>
      </w:r>
      <w:r w:rsidRPr="00AE6DB2">
        <w:rPr>
          <w:spacing w:val="-3"/>
          <w:sz w:val="24"/>
          <w:szCs w:val="24"/>
        </w:rPr>
        <w:t>56.174.</w:t>
      </w:r>
      <w:r>
        <w:rPr>
          <w:spacing w:val="-3"/>
          <w:sz w:val="24"/>
          <w:szCs w:val="24"/>
        </w:rPr>
        <w:t xml:space="preserve">  </w:t>
      </w:r>
    </w:p>
    <w:p w:rsidR="00926B76" w:rsidRPr="00AE6DB2" w:rsidRDefault="00926B76" w:rsidP="00926B76">
      <w:pPr>
        <w:tabs>
          <w:tab w:val="left" w:pos="2160"/>
        </w:tabs>
        <w:spacing w:line="360" w:lineRule="auto"/>
        <w:ind w:firstLine="1440"/>
        <w:rPr>
          <w:sz w:val="24"/>
          <w:szCs w:val="24"/>
        </w:rPr>
      </w:pPr>
    </w:p>
    <w:p w:rsidR="00926B76" w:rsidRDefault="00926B76" w:rsidP="00926B76">
      <w:pPr>
        <w:tabs>
          <w:tab w:val="left" w:pos="2160"/>
        </w:tabs>
        <w:spacing w:line="360" w:lineRule="auto"/>
        <w:ind w:firstLine="1440"/>
        <w:rPr>
          <w:sz w:val="24"/>
          <w:szCs w:val="24"/>
        </w:rPr>
      </w:pPr>
      <w:r w:rsidRPr="00AE6DB2">
        <w:rPr>
          <w:sz w:val="24"/>
          <w:szCs w:val="24"/>
        </w:rPr>
        <w:lastRenderedPageBreak/>
        <w:t>A Prehearing Order was issued on</w:t>
      </w:r>
      <w:r>
        <w:rPr>
          <w:sz w:val="24"/>
          <w:szCs w:val="24"/>
        </w:rPr>
        <w:t xml:space="preserve"> March 3, 2009</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926B76" w:rsidRPr="00AE6DB2" w:rsidRDefault="00926B76" w:rsidP="00926B76">
      <w:pPr>
        <w:tabs>
          <w:tab w:val="left" w:pos="2160"/>
        </w:tabs>
        <w:spacing w:line="360" w:lineRule="auto"/>
        <w:ind w:firstLine="1440"/>
        <w:rPr>
          <w:sz w:val="24"/>
          <w:szCs w:val="24"/>
        </w:rPr>
      </w:pPr>
    </w:p>
    <w:p w:rsidR="00926B76" w:rsidRPr="005F6FFB" w:rsidRDefault="00926B76" w:rsidP="00926B76">
      <w:pPr>
        <w:tabs>
          <w:tab w:val="left" w:pos="-1440"/>
          <w:tab w:val="left" w:pos="-720"/>
        </w:tabs>
        <w:suppressAutoHyphens/>
        <w:spacing w:line="360" w:lineRule="auto"/>
        <w:ind w:firstLine="1440"/>
        <w:rPr>
          <w:sz w:val="24"/>
          <w:szCs w:val="24"/>
        </w:rPr>
      </w:pPr>
      <w:r>
        <w:rPr>
          <w:sz w:val="24"/>
          <w:szCs w:val="24"/>
        </w:rPr>
        <w:t>The telephone h</w:t>
      </w:r>
      <w:r w:rsidRPr="00FC25F0">
        <w:rPr>
          <w:sz w:val="24"/>
          <w:szCs w:val="24"/>
        </w:rPr>
        <w:t>earing convened as scheduled on</w:t>
      </w:r>
      <w:r w:rsidRPr="00926B76">
        <w:rPr>
          <w:sz w:val="24"/>
          <w:szCs w:val="24"/>
        </w:rPr>
        <w:t xml:space="preserve"> </w:t>
      </w:r>
      <w:r>
        <w:rPr>
          <w:sz w:val="24"/>
          <w:szCs w:val="24"/>
        </w:rPr>
        <w:t>Monday, May 11, 2009, at 10:00 a</w:t>
      </w:r>
      <w:r w:rsidRPr="00FC25F0">
        <w:rPr>
          <w:sz w:val="24"/>
          <w:szCs w:val="24"/>
        </w:rPr>
        <w:t>.m.</w:t>
      </w:r>
      <w:r>
        <w:rPr>
          <w:rStyle w:val="FootnoteReference"/>
          <w:sz w:val="24"/>
          <w:szCs w:val="24"/>
        </w:rPr>
        <w:footnoteReference w:id="2"/>
      </w:r>
      <w:r w:rsidRPr="00FC25F0">
        <w:rPr>
          <w:sz w:val="24"/>
          <w:szCs w:val="24"/>
        </w:rPr>
        <w:t xml:space="preserve">  </w:t>
      </w:r>
      <w:r>
        <w:rPr>
          <w:sz w:val="24"/>
          <w:szCs w:val="24"/>
        </w:rPr>
        <w:t>Tyree Hawkins</w:t>
      </w:r>
      <w:r w:rsidRPr="00FC25F0">
        <w:rPr>
          <w:sz w:val="24"/>
          <w:szCs w:val="24"/>
        </w:rPr>
        <w:t xml:space="preserve"> appeared </w:t>
      </w:r>
      <w:r w:rsidRPr="00FC25F0">
        <w:rPr>
          <w:i/>
          <w:sz w:val="24"/>
          <w:szCs w:val="24"/>
        </w:rPr>
        <w:t xml:space="preserve">pro se </w:t>
      </w:r>
      <w:r w:rsidRPr="00FC25F0">
        <w:rPr>
          <w:sz w:val="24"/>
          <w:szCs w:val="24"/>
        </w:rPr>
        <w:t xml:space="preserve">and testified on behalf of the Complaint.  </w:t>
      </w:r>
      <w:r w:rsidRPr="00100E8E">
        <w:rPr>
          <w:sz w:val="24"/>
          <w:szCs w:val="24"/>
        </w:rPr>
        <w:t xml:space="preserve">Tishekia E. Williams, Esq., represented the Respondent which sponsored </w:t>
      </w:r>
      <w:r w:rsidR="007B0F09">
        <w:rPr>
          <w:sz w:val="24"/>
          <w:szCs w:val="24"/>
        </w:rPr>
        <w:t xml:space="preserve">four (4) </w:t>
      </w:r>
      <w:r w:rsidRPr="00100E8E">
        <w:rPr>
          <w:sz w:val="24"/>
          <w:szCs w:val="24"/>
        </w:rPr>
        <w:t>exhibits and pre</w:t>
      </w:r>
      <w:r w:rsidRPr="00F97F48">
        <w:rPr>
          <w:sz w:val="24"/>
          <w:szCs w:val="24"/>
        </w:rPr>
        <w:t>sented the testimony of</w:t>
      </w:r>
      <w:r w:rsidR="003A1CAF">
        <w:rPr>
          <w:sz w:val="24"/>
          <w:szCs w:val="24"/>
        </w:rPr>
        <w:t xml:space="preserve"> </w:t>
      </w:r>
      <w:r w:rsidR="003A1CAF" w:rsidRPr="003A1CAF">
        <w:rPr>
          <w:sz w:val="24"/>
          <w:szCs w:val="24"/>
        </w:rPr>
        <w:t>Nadine Tillman</w:t>
      </w:r>
      <w:r w:rsidRPr="003A1CAF">
        <w:rPr>
          <w:sz w:val="24"/>
          <w:szCs w:val="24"/>
        </w:rPr>
        <w:t xml:space="preserve">, who is a regulatory assessor for Respondent assigned to review customer complaints.  </w:t>
      </w:r>
      <w:r w:rsidR="007B0F09">
        <w:rPr>
          <w:sz w:val="24"/>
          <w:szCs w:val="24"/>
        </w:rPr>
        <w:t>The record closed at the conclusion of the hearing</w:t>
      </w:r>
      <w:r w:rsidR="00317CD5">
        <w:rPr>
          <w:sz w:val="24"/>
          <w:szCs w:val="24"/>
        </w:rPr>
        <w:t xml:space="preserve"> on May 11</w:t>
      </w:r>
      <w:r w:rsidRPr="002B091E">
        <w:rPr>
          <w:sz w:val="24"/>
          <w:szCs w:val="24"/>
        </w:rPr>
        <w:t>, 2009.</w:t>
      </w:r>
    </w:p>
    <w:p w:rsidR="00926B76" w:rsidRPr="00AE6DB2" w:rsidRDefault="00926B76" w:rsidP="00926B76">
      <w:pPr>
        <w:tabs>
          <w:tab w:val="left" w:pos="2160"/>
        </w:tabs>
        <w:spacing w:line="360" w:lineRule="auto"/>
        <w:rPr>
          <w:sz w:val="24"/>
          <w:szCs w:val="24"/>
        </w:rPr>
      </w:pPr>
    </w:p>
    <w:p w:rsidR="00926B76" w:rsidRDefault="00926B76" w:rsidP="00926B76">
      <w:pPr>
        <w:spacing w:line="360" w:lineRule="auto"/>
        <w:jc w:val="center"/>
        <w:rPr>
          <w:sz w:val="24"/>
          <w:szCs w:val="24"/>
          <w:u w:val="single"/>
        </w:rPr>
      </w:pPr>
      <w:r>
        <w:rPr>
          <w:sz w:val="24"/>
          <w:szCs w:val="24"/>
          <w:u w:val="single"/>
        </w:rPr>
        <w:t>FINDINGS OF FACT</w:t>
      </w:r>
    </w:p>
    <w:p w:rsidR="00926B76" w:rsidRDefault="00926B76" w:rsidP="00926B76">
      <w:pPr>
        <w:spacing w:line="360" w:lineRule="auto"/>
        <w:jc w:val="center"/>
        <w:rPr>
          <w:sz w:val="24"/>
          <w:szCs w:val="24"/>
          <w:u w:val="single"/>
        </w:rPr>
      </w:pPr>
    </w:p>
    <w:p w:rsidR="00926B76" w:rsidRDefault="00926B76" w:rsidP="00926B76">
      <w:pPr>
        <w:spacing w:line="360" w:lineRule="auto"/>
        <w:ind w:firstLine="1440"/>
        <w:rPr>
          <w:sz w:val="24"/>
          <w:szCs w:val="24"/>
        </w:rPr>
      </w:pPr>
      <w:r>
        <w:rPr>
          <w:sz w:val="24"/>
          <w:szCs w:val="24"/>
        </w:rPr>
        <w:t>1.</w:t>
      </w:r>
      <w:r>
        <w:rPr>
          <w:sz w:val="24"/>
          <w:szCs w:val="24"/>
        </w:rPr>
        <w:tab/>
        <w:t xml:space="preserve">Complainant is Tyree Hawkins, whose </w:t>
      </w:r>
      <w:r w:rsidRPr="00B83297">
        <w:rPr>
          <w:sz w:val="24"/>
          <w:szCs w:val="24"/>
        </w:rPr>
        <w:t>mailing address is 7151 Andrews Avenue, Philadelphia, Pennsylvania 19138 (Service Address).</w:t>
      </w:r>
    </w:p>
    <w:p w:rsidR="00926B76" w:rsidRDefault="00926B76" w:rsidP="00926B76">
      <w:pPr>
        <w:spacing w:line="360" w:lineRule="auto"/>
        <w:ind w:firstLine="1440"/>
        <w:rPr>
          <w:sz w:val="24"/>
          <w:szCs w:val="24"/>
        </w:rPr>
      </w:pPr>
    </w:p>
    <w:p w:rsidR="00926B76" w:rsidRDefault="00926B76" w:rsidP="00926B76">
      <w:pPr>
        <w:spacing w:line="360" w:lineRule="auto"/>
        <w:ind w:firstLine="1440"/>
        <w:rPr>
          <w:sz w:val="24"/>
          <w:szCs w:val="24"/>
        </w:rPr>
      </w:pPr>
      <w:r>
        <w:rPr>
          <w:sz w:val="24"/>
          <w:szCs w:val="24"/>
        </w:rPr>
        <w:t>2.</w:t>
      </w:r>
      <w:r>
        <w:rPr>
          <w:sz w:val="24"/>
          <w:szCs w:val="24"/>
        </w:rPr>
        <w:tab/>
        <w:t>Respondent is PECO Energy Company.</w:t>
      </w:r>
    </w:p>
    <w:p w:rsidR="00926B76" w:rsidRDefault="00926B76" w:rsidP="00926B76">
      <w:pPr>
        <w:spacing w:line="360" w:lineRule="auto"/>
        <w:rPr>
          <w:sz w:val="24"/>
          <w:szCs w:val="24"/>
        </w:rPr>
      </w:pPr>
    </w:p>
    <w:p w:rsidR="00070E65" w:rsidRDefault="00926B76" w:rsidP="00070E65">
      <w:pPr>
        <w:pStyle w:val="CommentText"/>
        <w:spacing w:line="360" w:lineRule="auto"/>
        <w:ind w:firstLine="1440"/>
      </w:pPr>
      <w:r>
        <w:rPr>
          <w:sz w:val="24"/>
          <w:szCs w:val="24"/>
        </w:rPr>
        <w:t>3.</w:t>
      </w:r>
      <w:r>
        <w:rPr>
          <w:sz w:val="24"/>
          <w:szCs w:val="24"/>
        </w:rPr>
        <w:tab/>
      </w:r>
      <w:r w:rsidR="00602A12">
        <w:rPr>
          <w:sz w:val="24"/>
          <w:szCs w:val="24"/>
        </w:rPr>
        <w:t>On June 6, 2008, Complaint filed an informal complaint with the Commission’s BCS, BCS</w:t>
      </w:r>
      <w:r w:rsidR="00602A12" w:rsidRPr="00602A12">
        <w:rPr>
          <w:sz w:val="24"/>
          <w:szCs w:val="24"/>
        </w:rPr>
        <w:t xml:space="preserve"> </w:t>
      </w:r>
      <w:r w:rsidR="00602A12">
        <w:rPr>
          <w:sz w:val="24"/>
          <w:szCs w:val="24"/>
        </w:rPr>
        <w:t>Case No. 2400094, requesting a payment arrangement.</w:t>
      </w:r>
      <w:r w:rsidR="00602A12" w:rsidRPr="00FF5BDB">
        <w:rPr>
          <w:sz w:val="24"/>
          <w:szCs w:val="24"/>
        </w:rPr>
        <w:t xml:space="preserve"> </w:t>
      </w:r>
      <w:r w:rsidR="003D5C62">
        <w:rPr>
          <w:sz w:val="24"/>
          <w:szCs w:val="24"/>
        </w:rPr>
        <w:t>On September 22, 2008, BCS issued</w:t>
      </w:r>
      <w:r w:rsidR="003D5C62" w:rsidRPr="00FF5BDB">
        <w:rPr>
          <w:sz w:val="24"/>
          <w:szCs w:val="24"/>
        </w:rPr>
        <w:t xml:space="preserve"> its informal determination </w:t>
      </w:r>
      <w:r w:rsidR="003D5C62">
        <w:rPr>
          <w:sz w:val="24"/>
          <w:szCs w:val="24"/>
        </w:rPr>
        <w:t xml:space="preserve">establishing </w:t>
      </w:r>
      <w:r w:rsidR="00070E65" w:rsidRPr="00FF5BDB">
        <w:rPr>
          <w:sz w:val="24"/>
          <w:szCs w:val="24"/>
        </w:rPr>
        <w:t>a paym</w:t>
      </w:r>
      <w:r w:rsidR="003D5C62">
        <w:rPr>
          <w:sz w:val="24"/>
          <w:szCs w:val="24"/>
        </w:rPr>
        <w:t>ent arrangement for Mr. Hawkins which required</w:t>
      </w:r>
      <w:r w:rsidR="00070E65" w:rsidRPr="00FF5BDB">
        <w:rPr>
          <w:sz w:val="24"/>
          <w:szCs w:val="24"/>
        </w:rPr>
        <w:t xml:space="preserve"> him to pay </w:t>
      </w:r>
      <w:r w:rsidR="00070E65" w:rsidRPr="00176115">
        <w:rPr>
          <w:sz w:val="24"/>
          <w:szCs w:val="24"/>
        </w:rPr>
        <w:t xml:space="preserve">325.00 per month consisting of his regular budget billing of $264.00 per month, plus $61.00 towards the arrearage, beginning with the October 2008 due date.  </w:t>
      </w:r>
      <w:r w:rsidR="00070E65" w:rsidRPr="00176115">
        <w:rPr>
          <w:sz w:val="24"/>
          <w:szCs w:val="24"/>
          <w:u w:val="single"/>
        </w:rPr>
        <w:t>See</w:t>
      </w:r>
      <w:r w:rsidR="00070E65" w:rsidRPr="00176115">
        <w:rPr>
          <w:sz w:val="24"/>
          <w:szCs w:val="24"/>
        </w:rPr>
        <w:t xml:space="preserve"> </w:t>
      </w:r>
      <w:r w:rsidR="00070E65" w:rsidRPr="00176115">
        <w:rPr>
          <w:sz w:val="24"/>
          <w:szCs w:val="24"/>
          <w:u w:val="single"/>
        </w:rPr>
        <w:t>also</w:t>
      </w:r>
      <w:r w:rsidR="00070E65" w:rsidRPr="00176115">
        <w:rPr>
          <w:sz w:val="24"/>
          <w:szCs w:val="24"/>
        </w:rPr>
        <w:t xml:space="preserve"> PECO Exhibits 2 and 3.</w:t>
      </w:r>
    </w:p>
    <w:p w:rsidR="00070E65" w:rsidRDefault="00070E65" w:rsidP="00070E65">
      <w:pPr>
        <w:spacing w:line="360" w:lineRule="auto"/>
        <w:rPr>
          <w:sz w:val="24"/>
          <w:szCs w:val="24"/>
        </w:rPr>
      </w:pPr>
    </w:p>
    <w:p w:rsidR="00070E65" w:rsidRDefault="00070E65" w:rsidP="00070E65">
      <w:pPr>
        <w:spacing w:line="360" w:lineRule="auto"/>
        <w:ind w:firstLine="1440"/>
        <w:rPr>
          <w:sz w:val="24"/>
          <w:szCs w:val="24"/>
        </w:rPr>
      </w:pPr>
      <w:r>
        <w:rPr>
          <w:sz w:val="24"/>
          <w:szCs w:val="24"/>
        </w:rPr>
        <w:t>4.</w:t>
      </w:r>
      <w:r>
        <w:rPr>
          <w:sz w:val="24"/>
          <w:szCs w:val="24"/>
        </w:rPr>
        <w:tab/>
        <w:t xml:space="preserve">On November 17, 2008, Complaint filed a second informal complaint with the Commission’s BCS, BCS Case No. 2473388, requesting a new payment arrangement.  On December 16, 2008, BCS dismissed Mr. Hawkins’ second informal complaint after finding that </w:t>
      </w:r>
      <w:r>
        <w:rPr>
          <w:sz w:val="24"/>
          <w:szCs w:val="24"/>
        </w:rPr>
        <w:lastRenderedPageBreak/>
        <w:t>his gross income had increased since his last Commission issued payment arrangement.</w:t>
      </w:r>
      <w:r w:rsidRPr="00D03544">
        <w:rPr>
          <w:sz w:val="24"/>
          <w:szCs w:val="24"/>
        </w:rPr>
        <w:t xml:space="preserve"> </w:t>
      </w:r>
      <w:r>
        <w:rPr>
          <w:sz w:val="24"/>
          <w:szCs w:val="24"/>
        </w:rPr>
        <w:t>PECO Exhibit 4</w:t>
      </w:r>
      <w:r w:rsidRPr="00B83297">
        <w:rPr>
          <w:sz w:val="24"/>
          <w:szCs w:val="24"/>
        </w:rPr>
        <w:t>.</w:t>
      </w:r>
    </w:p>
    <w:p w:rsidR="00070E65" w:rsidRDefault="00070E65" w:rsidP="0096323D">
      <w:pPr>
        <w:spacing w:line="360" w:lineRule="auto"/>
        <w:rPr>
          <w:sz w:val="24"/>
          <w:szCs w:val="24"/>
        </w:rPr>
      </w:pPr>
    </w:p>
    <w:p w:rsidR="00281838" w:rsidRDefault="00070E65" w:rsidP="00D03544">
      <w:pPr>
        <w:spacing w:line="360" w:lineRule="auto"/>
        <w:ind w:firstLine="1440"/>
        <w:rPr>
          <w:sz w:val="24"/>
          <w:szCs w:val="24"/>
        </w:rPr>
      </w:pPr>
      <w:r>
        <w:rPr>
          <w:sz w:val="24"/>
          <w:szCs w:val="24"/>
        </w:rPr>
        <w:t>5.</w:t>
      </w:r>
      <w:r>
        <w:rPr>
          <w:sz w:val="24"/>
          <w:szCs w:val="24"/>
        </w:rPr>
        <w:tab/>
      </w:r>
      <w:r w:rsidR="00926B76">
        <w:rPr>
          <w:sz w:val="24"/>
          <w:szCs w:val="24"/>
        </w:rPr>
        <w:t xml:space="preserve">On January 5, 2009, Complainant filed a Formal Complaint alleging his inability to </w:t>
      </w:r>
      <w:r w:rsidR="00B83297">
        <w:rPr>
          <w:sz w:val="24"/>
          <w:szCs w:val="24"/>
        </w:rPr>
        <w:t>pay his electric bills and requesting a payment arrangement.</w:t>
      </w:r>
    </w:p>
    <w:p w:rsidR="00281838" w:rsidRDefault="00281838" w:rsidP="00B83297">
      <w:pPr>
        <w:spacing w:line="360" w:lineRule="auto"/>
        <w:ind w:firstLine="1440"/>
        <w:rPr>
          <w:sz w:val="24"/>
          <w:szCs w:val="24"/>
        </w:rPr>
      </w:pPr>
    </w:p>
    <w:p w:rsidR="001073A2" w:rsidRDefault="00070E65" w:rsidP="001073A2">
      <w:pPr>
        <w:spacing w:line="360" w:lineRule="auto"/>
        <w:ind w:firstLine="1440"/>
        <w:rPr>
          <w:sz w:val="24"/>
          <w:szCs w:val="24"/>
        </w:rPr>
      </w:pPr>
      <w:r>
        <w:rPr>
          <w:sz w:val="24"/>
          <w:szCs w:val="24"/>
        </w:rPr>
        <w:t>6</w:t>
      </w:r>
      <w:r w:rsidR="00D03544">
        <w:rPr>
          <w:sz w:val="24"/>
          <w:szCs w:val="24"/>
        </w:rPr>
        <w:t>.</w:t>
      </w:r>
      <w:r w:rsidR="00D03544">
        <w:rPr>
          <w:sz w:val="24"/>
          <w:szCs w:val="24"/>
        </w:rPr>
        <w:tab/>
      </w:r>
      <w:r w:rsidR="00281838">
        <w:rPr>
          <w:sz w:val="24"/>
          <w:szCs w:val="24"/>
        </w:rPr>
        <w:t>Complainant</w:t>
      </w:r>
      <w:r w:rsidR="002D1763">
        <w:rPr>
          <w:sz w:val="24"/>
          <w:szCs w:val="24"/>
        </w:rPr>
        <w:t xml:space="preserve"> has been employed with Flick International, a catering company</w:t>
      </w:r>
      <w:r w:rsidR="00317CD5">
        <w:rPr>
          <w:sz w:val="24"/>
          <w:szCs w:val="24"/>
        </w:rPr>
        <w:t>,</w:t>
      </w:r>
      <w:r w:rsidR="002D1763">
        <w:rPr>
          <w:sz w:val="24"/>
          <w:szCs w:val="24"/>
        </w:rPr>
        <w:t xml:space="preserve"> for the last eight (8) months.</w:t>
      </w:r>
      <w:r w:rsidR="001073A2" w:rsidRPr="001073A2">
        <w:rPr>
          <w:sz w:val="24"/>
          <w:szCs w:val="24"/>
        </w:rPr>
        <w:t xml:space="preserve"> </w:t>
      </w:r>
      <w:r w:rsidR="001073A2">
        <w:rPr>
          <w:sz w:val="24"/>
          <w:szCs w:val="24"/>
        </w:rPr>
        <w:t xml:space="preserve"> Before that, he was a student.</w:t>
      </w:r>
    </w:p>
    <w:p w:rsidR="001073A2" w:rsidRDefault="001073A2" w:rsidP="00D03544">
      <w:pPr>
        <w:spacing w:line="360" w:lineRule="auto"/>
        <w:rPr>
          <w:sz w:val="24"/>
          <w:szCs w:val="24"/>
        </w:rPr>
      </w:pPr>
    </w:p>
    <w:p w:rsidR="001073A2" w:rsidRDefault="00070E65" w:rsidP="001073A2">
      <w:pPr>
        <w:spacing w:line="360" w:lineRule="auto"/>
        <w:ind w:firstLine="1440"/>
        <w:rPr>
          <w:sz w:val="24"/>
          <w:szCs w:val="24"/>
        </w:rPr>
      </w:pPr>
      <w:r>
        <w:rPr>
          <w:sz w:val="24"/>
          <w:szCs w:val="24"/>
        </w:rPr>
        <w:t>7</w:t>
      </w:r>
      <w:r w:rsidR="00D03544">
        <w:rPr>
          <w:sz w:val="24"/>
          <w:szCs w:val="24"/>
        </w:rPr>
        <w:t>.</w:t>
      </w:r>
      <w:r w:rsidR="00D03544">
        <w:rPr>
          <w:sz w:val="24"/>
          <w:szCs w:val="24"/>
        </w:rPr>
        <w:tab/>
      </w:r>
      <w:r w:rsidR="00317CD5">
        <w:rPr>
          <w:sz w:val="24"/>
          <w:szCs w:val="24"/>
        </w:rPr>
        <w:t xml:space="preserve">The number of hours Complainant works </w:t>
      </w:r>
      <w:r w:rsidR="001073A2">
        <w:rPr>
          <w:sz w:val="24"/>
          <w:szCs w:val="24"/>
        </w:rPr>
        <w:t>changes each week depending on clients’ demands.</w:t>
      </w:r>
    </w:p>
    <w:p w:rsidR="00960BF6" w:rsidRDefault="00960BF6" w:rsidP="003A1CAF">
      <w:pPr>
        <w:spacing w:line="360" w:lineRule="auto"/>
        <w:rPr>
          <w:sz w:val="24"/>
          <w:szCs w:val="24"/>
        </w:rPr>
      </w:pPr>
    </w:p>
    <w:p w:rsidR="001073A2" w:rsidRDefault="00960BF6" w:rsidP="001073A2">
      <w:pPr>
        <w:spacing w:line="360" w:lineRule="auto"/>
        <w:ind w:firstLine="1440"/>
        <w:rPr>
          <w:sz w:val="24"/>
          <w:szCs w:val="24"/>
        </w:rPr>
      </w:pPr>
      <w:r>
        <w:rPr>
          <w:sz w:val="24"/>
          <w:szCs w:val="24"/>
        </w:rPr>
        <w:t xml:space="preserve"> </w:t>
      </w:r>
      <w:r w:rsidR="00070E65">
        <w:rPr>
          <w:sz w:val="24"/>
          <w:szCs w:val="24"/>
        </w:rPr>
        <w:t>8</w:t>
      </w:r>
      <w:r w:rsidR="00D03544">
        <w:rPr>
          <w:sz w:val="24"/>
          <w:szCs w:val="24"/>
        </w:rPr>
        <w:t>.</w:t>
      </w:r>
      <w:r w:rsidR="00D03544">
        <w:rPr>
          <w:sz w:val="24"/>
          <w:szCs w:val="24"/>
        </w:rPr>
        <w:tab/>
      </w:r>
      <w:r w:rsidR="00317CD5">
        <w:rPr>
          <w:sz w:val="24"/>
          <w:szCs w:val="24"/>
        </w:rPr>
        <w:t xml:space="preserve">Mr. Hawkins’ </w:t>
      </w:r>
      <w:r w:rsidR="003A1CAF">
        <w:rPr>
          <w:sz w:val="24"/>
          <w:szCs w:val="24"/>
        </w:rPr>
        <w:t>current pay rate is $10.00/hour and his average gross monthly income is around $1,700.00.</w:t>
      </w:r>
    </w:p>
    <w:p w:rsidR="002D1763" w:rsidRPr="00943E46" w:rsidRDefault="002D1763" w:rsidP="002D1763">
      <w:pPr>
        <w:spacing w:line="360" w:lineRule="auto"/>
        <w:rPr>
          <w:sz w:val="24"/>
          <w:szCs w:val="24"/>
        </w:rPr>
      </w:pPr>
    </w:p>
    <w:p w:rsidR="00926B76" w:rsidRDefault="00070E65" w:rsidP="003A1CAF">
      <w:pPr>
        <w:spacing w:line="360" w:lineRule="auto"/>
        <w:ind w:firstLine="1440"/>
        <w:rPr>
          <w:sz w:val="24"/>
          <w:szCs w:val="24"/>
        </w:rPr>
      </w:pPr>
      <w:r>
        <w:rPr>
          <w:sz w:val="24"/>
          <w:szCs w:val="24"/>
        </w:rPr>
        <w:t>9</w:t>
      </w:r>
      <w:r w:rsidR="00D03544">
        <w:rPr>
          <w:sz w:val="24"/>
          <w:szCs w:val="24"/>
        </w:rPr>
        <w:t>.</w:t>
      </w:r>
      <w:r w:rsidR="00D03544">
        <w:rPr>
          <w:sz w:val="24"/>
          <w:szCs w:val="24"/>
        </w:rPr>
        <w:tab/>
      </w:r>
      <w:r w:rsidR="003A1CAF">
        <w:rPr>
          <w:sz w:val="24"/>
          <w:szCs w:val="24"/>
        </w:rPr>
        <w:t>Complainant is the sole occupant of the Service Address.</w:t>
      </w:r>
    </w:p>
    <w:p w:rsidR="003A1CAF" w:rsidRPr="00943E46" w:rsidRDefault="003A1CAF" w:rsidP="003A1CAF">
      <w:pPr>
        <w:spacing w:line="360" w:lineRule="auto"/>
        <w:ind w:firstLine="1440"/>
        <w:rPr>
          <w:sz w:val="24"/>
          <w:szCs w:val="24"/>
        </w:rPr>
      </w:pPr>
    </w:p>
    <w:p w:rsidR="004A2255" w:rsidRPr="00E26055" w:rsidRDefault="00070E65" w:rsidP="004A2255">
      <w:pPr>
        <w:spacing w:line="360" w:lineRule="auto"/>
        <w:ind w:firstLine="1440"/>
        <w:rPr>
          <w:sz w:val="24"/>
          <w:szCs w:val="24"/>
        </w:rPr>
      </w:pPr>
      <w:r>
        <w:rPr>
          <w:sz w:val="24"/>
          <w:szCs w:val="24"/>
        </w:rPr>
        <w:t>10</w:t>
      </w:r>
      <w:r w:rsidR="00926B76" w:rsidRPr="00E26055">
        <w:rPr>
          <w:sz w:val="24"/>
          <w:szCs w:val="24"/>
        </w:rPr>
        <w:t>.</w:t>
      </w:r>
      <w:r w:rsidR="00926B76" w:rsidRPr="00E26055">
        <w:rPr>
          <w:sz w:val="24"/>
          <w:szCs w:val="24"/>
        </w:rPr>
        <w:tab/>
      </w:r>
      <w:r w:rsidR="004A2255" w:rsidRPr="00E26055">
        <w:rPr>
          <w:sz w:val="24"/>
          <w:szCs w:val="24"/>
        </w:rPr>
        <w:t xml:space="preserve">From </w:t>
      </w:r>
      <w:r w:rsidR="00E26055" w:rsidRPr="00E26055">
        <w:rPr>
          <w:sz w:val="24"/>
          <w:szCs w:val="24"/>
        </w:rPr>
        <w:t xml:space="preserve">November 2006 </w:t>
      </w:r>
      <w:r w:rsidR="004A2255" w:rsidRPr="00E26055">
        <w:rPr>
          <w:sz w:val="24"/>
          <w:szCs w:val="24"/>
        </w:rPr>
        <w:t xml:space="preserve">to </w:t>
      </w:r>
      <w:r w:rsidR="00E26055" w:rsidRPr="00E26055">
        <w:rPr>
          <w:sz w:val="24"/>
          <w:szCs w:val="24"/>
        </w:rPr>
        <w:t xml:space="preserve">May of </w:t>
      </w:r>
      <w:r w:rsidR="004A2255" w:rsidRPr="00E26055">
        <w:rPr>
          <w:sz w:val="24"/>
          <w:szCs w:val="24"/>
        </w:rPr>
        <w:t>2009, Complainant made only four (4) payments towards his account with PECO</w:t>
      </w:r>
      <w:r w:rsidR="002D4D40">
        <w:rPr>
          <w:sz w:val="24"/>
          <w:szCs w:val="24"/>
        </w:rPr>
        <w:t>, for a total of $643.52</w:t>
      </w:r>
      <w:r w:rsidR="004A2255" w:rsidRPr="00E26055">
        <w:rPr>
          <w:sz w:val="24"/>
          <w:szCs w:val="24"/>
        </w:rPr>
        <w:t>:</w:t>
      </w:r>
    </w:p>
    <w:p w:rsidR="004A2255" w:rsidRPr="00E26055" w:rsidRDefault="004A2255" w:rsidP="004A2255">
      <w:pPr>
        <w:spacing w:line="360" w:lineRule="auto"/>
        <w:ind w:firstLine="1440"/>
        <w:rPr>
          <w:sz w:val="24"/>
          <w:szCs w:val="24"/>
        </w:rPr>
      </w:pPr>
    </w:p>
    <w:tbl>
      <w:tblPr>
        <w:tblStyle w:val="TableGrid"/>
        <w:tblW w:w="0" w:type="auto"/>
        <w:tblInd w:w="1638" w:type="dxa"/>
        <w:tblLook w:val="04A0"/>
      </w:tblPr>
      <w:tblGrid>
        <w:gridCol w:w="1530"/>
        <w:gridCol w:w="2790"/>
        <w:gridCol w:w="1440"/>
      </w:tblGrid>
      <w:tr w:rsidR="00D03544" w:rsidRPr="00E26055" w:rsidTr="00317CD5">
        <w:tc>
          <w:tcPr>
            <w:tcW w:w="1530" w:type="dxa"/>
          </w:tcPr>
          <w:p w:rsidR="00D03544" w:rsidRPr="00E26055" w:rsidRDefault="00D03544" w:rsidP="00960310">
            <w:pPr>
              <w:spacing w:line="360" w:lineRule="auto"/>
              <w:rPr>
                <w:sz w:val="24"/>
                <w:szCs w:val="24"/>
              </w:rPr>
            </w:pPr>
            <w:r w:rsidRPr="00E26055">
              <w:rPr>
                <w:sz w:val="24"/>
                <w:szCs w:val="24"/>
              </w:rPr>
              <w:t>10/26/2007</w:t>
            </w:r>
          </w:p>
        </w:tc>
        <w:tc>
          <w:tcPr>
            <w:tcW w:w="2790" w:type="dxa"/>
          </w:tcPr>
          <w:p w:rsidR="00D03544" w:rsidRPr="00E26055" w:rsidRDefault="00D03544" w:rsidP="00960310">
            <w:pPr>
              <w:spacing w:line="360" w:lineRule="auto"/>
              <w:rPr>
                <w:sz w:val="24"/>
                <w:szCs w:val="24"/>
              </w:rPr>
            </w:pPr>
            <w:r>
              <w:rPr>
                <w:sz w:val="24"/>
                <w:szCs w:val="24"/>
              </w:rPr>
              <w:t>Customer Payment</w:t>
            </w:r>
          </w:p>
        </w:tc>
        <w:tc>
          <w:tcPr>
            <w:tcW w:w="1440" w:type="dxa"/>
          </w:tcPr>
          <w:p w:rsidR="00D03544" w:rsidRPr="00E26055" w:rsidRDefault="00D03544" w:rsidP="00960310">
            <w:pPr>
              <w:spacing w:line="360" w:lineRule="auto"/>
              <w:rPr>
                <w:sz w:val="24"/>
                <w:szCs w:val="24"/>
              </w:rPr>
            </w:pPr>
            <w:r w:rsidRPr="00E26055">
              <w:rPr>
                <w:sz w:val="24"/>
                <w:szCs w:val="24"/>
              </w:rPr>
              <w:t>$37.52</w:t>
            </w:r>
          </w:p>
        </w:tc>
      </w:tr>
      <w:tr w:rsidR="00D03544" w:rsidTr="00317CD5">
        <w:tc>
          <w:tcPr>
            <w:tcW w:w="1530" w:type="dxa"/>
          </w:tcPr>
          <w:p w:rsidR="00D03544" w:rsidRPr="00E26055" w:rsidRDefault="00D03544" w:rsidP="00960310">
            <w:pPr>
              <w:spacing w:line="360" w:lineRule="auto"/>
              <w:rPr>
                <w:sz w:val="24"/>
                <w:szCs w:val="24"/>
              </w:rPr>
            </w:pPr>
            <w:r w:rsidRPr="00E26055">
              <w:rPr>
                <w:sz w:val="24"/>
                <w:szCs w:val="24"/>
              </w:rPr>
              <w:t>11/28/2007</w:t>
            </w:r>
          </w:p>
        </w:tc>
        <w:tc>
          <w:tcPr>
            <w:tcW w:w="2790" w:type="dxa"/>
          </w:tcPr>
          <w:p w:rsidR="00D03544" w:rsidRPr="00E26055" w:rsidRDefault="00D03544" w:rsidP="00960310">
            <w:pPr>
              <w:spacing w:line="360" w:lineRule="auto"/>
              <w:rPr>
                <w:sz w:val="24"/>
                <w:szCs w:val="24"/>
              </w:rPr>
            </w:pPr>
            <w:r>
              <w:rPr>
                <w:sz w:val="24"/>
                <w:szCs w:val="24"/>
              </w:rPr>
              <w:t>Customer Payment</w:t>
            </w:r>
          </w:p>
        </w:tc>
        <w:tc>
          <w:tcPr>
            <w:tcW w:w="1440" w:type="dxa"/>
          </w:tcPr>
          <w:p w:rsidR="00D03544" w:rsidRDefault="00D03544" w:rsidP="00960310">
            <w:pPr>
              <w:spacing w:line="360" w:lineRule="auto"/>
              <w:rPr>
                <w:sz w:val="24"/>
                <w:szCs w:val="24"/>
              </w:rPr>
            </w:pPr>
            <w:r w:rsidRPr="00E26055">
              <w:rPr>
                <w:sz w:val="24"/>
                <w:szCs w:val="24"/>
              </w:rPr>
              <w:t>$106.00</w:t>
            </w:r>
          </w:p>
        </w:tc>
      </w:tr>
      <w:tr w:rsidR="00D03544" w:rsidTr="00317CD5">
        <w:tc>
          <w:tcPr>
            <w:tcW w:w="1530" w:type="dxa"/>
          </w:tcPr>
          <w:p w:rsidR="00D03544" w:rsidRDefault="00D03544" w:rsidP="00960310">
            <w:pPr>
              <w:spacing w:line="360" w:lineRule="auto"/>
              <w:rPr>
                <w:sz w:val="24"/>
                <w:szCs w:val="24"/>
              </w:rPr>
            </w:pPr>
            <w:r>
              <w:rPr>
                <w:sz w:val="24"/>
                <w:szCs w:val="24"/>
              </w:rPr>
              <w:t>02/21/2008</w:t>
            </w:r>
          </w:p>
        </w:tc>
        <w:tc>
          <w:tcPr>
            <w:tcW w:w="2790" w:type="dxa"/>
          </w:tcPr>
          <w:p w:rsidR="00D03544" w:rsidRDefault="00D03544" w:rsidP="00E26055">
            <w:pPr>
              <w:spacing w:line="360" w:lineRule="auto"/>
              <w:rPr>
                <w:sz w:val="24"/>
                <w:szCs w:val="24"/>
              </w:rPr>
            </w:pPr>
            <w:r>
              <w:rPr>
                <w:sz w:val="24"/>
                <w:szCs w:val="24"/>
              </w:rPr>
              <w:t>LIHEAP Payment</w:t>
            </w:r>
          </w:p>
        </w:tc>
        <w:tc>
          <w:tcPr>
            <w:tcW w:w="1440" w:type="dxa"/>
          </w:tcPr>
          <w:p w:rsidR="00D03544" w:rsidRDefault="00D03544" w:rsidP="00E26055">
            <w:pPr>
              <w:spacing w:line="360" w:lineRule="auto"/>
              <w:rPr>
                <w:sz w:val="24"/>
                <w:szCs w:val="24"/>
              </w:rPr>
            </w:pPr>
            <w:r>
              <w:rPr>
                <w:sz w:val="24"/>
                <w:szCs w:val="24"/>
              </w:rPr>
              <w:t>$200.00</w:t>
            </w:r>
          </w:p>
        </w:tc>
      </w:tr>
      <w:tr w:rsidR="00D03544" w:rsidTr="00317CD5">
        <w:tc>
          <w:tcPr>
            <w:tcW w:w="1530" w:type="dxa"/>
          </w:tcPr>
          <w:p w:rsidR="00D03544" w:rsidRDefault="00D03544" w:rsidP="00960310">
            <w:pPr>
              <w:spacing w:line="360" w:lineRule="auto"/>
              <w:rPr>
                <w:sz w:val="24"/>
                <w:szCs w:val="24"/>
              </w:rPr>
            </w:pPr>
            <w:r>
              <w:rPr>
                <w:sz w:val="24"/>
                <w:szCs w:val="24"/>
              </w:rPr>
              <w:t>12/01/2008</w:t>
            </w:r>
          </w:p>
        </w:tc>
        <w:tc>
          <w:tcPr>
            <w:tcW w:w="2790" w:type="dxa"/>
          </w:tcPr>
          <w:p w:rsidR="00D03544" w:rsidRDefault="00D03544" w:rsidP="00E26055">
            <w:pPr>
              <w:spacing w:line="360" w:lineRule="auto"/>
              <w:rPr>
                <w:sz w:val="24"/>
                <w:szCs w:val="24"/>
              </w:rPr>
            </w:pPr>
            <w:r>
              <w:rPr>
                <w:sz w:val="24"/>
                <w:szCs w:val="24"/>
              </w:rPr>
              <w:t>LIHEAP Payment</w:t>
            </w:r>
          </w:p>
        </w:tc>
        <w:tc>
          <w:tcPr>
            <w:tcW w:w="1440" w:type="dxa"/>
          </w:tcPr>
          <w:p w:rsidR="00D03544" w:rsidRDefault="00D03544" w:rsidP="00E26055">
            <w:pPr>
              <w:spacing w:line="360" w:lineRule="auto"/>
              <w:rPr>
                <w:sz w:val="24"/>
                <w:szCs w:val="24"/>
              </w:rPr>
            </w:pPr>
            <w:r>
              <w:rPr>
                <w:sz w:val="24"/>
                <w:szCs w:val="24"/>
              </w:rPr>
              <w:t>$300.00</w:t>
            </w:r>
          </w:p>
        </w:tc>
      </w:tr>
      <w:tr w:rsidR="00D03544" w:rsidTr="00317CD5">
        <w:tc>
          <w:tcPr>
            <w:tcW w:w="1530" w:type="dxa"/>
          </w:tcPr>
          <w:p w:rsidR="00D03544" w:rsidRPr="0053166E" w:rsidRDefault="00D03544" w:rsidP="00960310">
            <w:pPr>
              <w:spacing w:line="360" w:lineRule="auto"/>
              <w:rPr>
                <w:b/>
                <w:sz w:val="24"/>
                <w:szCs w:val="24"/>
              </w:rPr>
            </w:pPr>
            <w:r w:rsidRPr="0053166E">
              <w:rPr>
                <w:b/>
                <w:sz w:val="24"/>
                <w:szCs w:val="24"/>
              </w:rPr>
              <w:t>Total</w:t>
            </w:r>
          </w:p>
        </w:tc>
        <w:tc>
          <w:tcPr>
            <w:tcW w:w="2790" w:type="dxa"/>
          </w:tcPr>
          <w:p w:rsidR="00D03544" w:rsidRPr="0053166E" w:rsidRDefault="00D03544" w:rsidP="00960310">
            <w:pPr>
              <w:spacing w:line="360" w:lineRule="auto"/>
              <w:rPr>
                <w:b/>
                <w:sz w:val="24"/>
                <w:szCs w:val="24"/>
              </w:rPr>
            </w:pPr>
          </w:p>
        </w:tc>
        <w:tc>
          <w:tcPr>
            <w:tcW w:w="1440" w:type="dxa"/>
          </w:tcPr>
          <w:p w:rsidR="00D03544" w:rsidRPr="0053166E" w:rsidRDefault="00D03544" w:rsidP="00960310">
            <w:pPr>
              <w:spacing w:line="360" w:lineRule="auto"/>
              <w:rPr>
                <w:b/>
                <w:sz w:val="24"/>
                <w:szCs w:val="24"/>
              </w:rPr>
            </w:pPr>
            <w:r w:rsidRPr="0053166E">
              <w:rPr>
                <w:b/>
                <w:sz w:val="24"/>
                <w:szCs w:val="24"/>
              </w:rPr>
              <w:t>$6</w:t>
            </w:r>
            <w:r>
              <w:rPr>
                <w:b/>
                <w:sz w:val="24"/>
                <w:szCs w:val="24"/>
              </w:rPr>
              <w:t>43.52</w:t>
            </w:r>
          </w:p>
        </w:tc>
      </w:tr>
    </w:tbl>
    <w:p w:rsidR="004A2255" w:rsidRDefault="004A2255" w:rsidP="004A2255">
      <w:pPr>
        <w:spacing w:line="360" w:lineRule="auto"/>
        <w:rPr>
          <w:sz w:val="24"/>
          <w:szCs w:val="24"/>
        </w:rPr>
      </w:pPr>
    </w:p>
    <w:p w:rsidR="00926B76" w:rsidRPr="00081582" w:rsidRDefault="004A2255" w:rsidP="00D03544">
      <w:pPr>
        <w:spacing w:line="360" w:lineRule="auto"/>
        <w:rPr>
          <w:sz w:val="24"/>
          <w:szCs w:val="24"/>
        </w:rPr>
      </w:pPr>
      <w:r>
        <w:rPr>
          <w:sz w:val="24"/>
          <w:szCs w:val="24"/>
        </w:rPr>
        <w:t>PECO Exhibit</w:t>
      </w:r>
      <w:r w:rsidR="002D4D40">
        <w:rPr>
          <w:sz w:val="24"/>
          <w:szCs w:val="24"/>
        </w:rPr>
        <w:t xml:space="preserve"> </w:t>
      </w:r>
      <w:r>
        <w:rPr>
          <w:sz w:val="24"/>
          <w:szCs w:val="24"/>
        </w:rPr>
        <w:t>1</w:t>
      </w:r>
      <w:r w:rsidR="002D4D40">
        <w:rPr>
          <w:sz w:val="24"/>
          <w:szCs w:val="24"/>
        </w:rPr>
        <w:t>, Tillman Testimony</w:t>
      </w:r>
      <w:r>
        <w:rPr>
          <w:sz w:val="24"/>
          <w:szCs w:val="24"/>
        </w:rPr>
        <w:t xml:space="preserve">. </w:t>
      </w:r>
    </w:p>
    <w:p w:rsidR="00926B76" w:rsidRPr="00081582" w:rsidRDefault="00926B76" w:rsidP="00926B76">
      <w:pPr>
        <w:spacing w:line="360" w:lineRule="auto"/>
        <w:ind w:firstLine="1440"/>
        <w:rPr>
          <w:sz w:val="24"/>
          <w:szCs w:val="24"/>
        </w:rPr>
      </w:pPr>
    </w:p>
    <w:p w:rsidR="00926B76" w:rsidRPr="00081582" w:rsidRDefault="00070E65" w:rsidP="003E2D88">
      <w:pPr>
        <w:spacing w:line="360" w:lineRule="auto"/>
        <w:ind w:firstLine="1440"/>
        <w:rPr>
          <w:sz w:val="24"/>
          <w:szCs w:val="24"/>
        </w:rPr>
      </w:pPr>
      <w:r>
        <w:rPr>
          <w:sz w:val="24"/>
          <w:szCs w:val="24"/>
        </w:rPr>
        <w:t>11</w:t>
      </w:r>
      <w:r w:rsidR="00926B76">
        <w:rPr>
          <w:sz w:val="24"/>
          <w:szCs w:val="24"/>
        </w:rPr>
        <w:t>.</w:t>
      </w:r>
      <w:r w:rsidR="00926B76">
        <w:rPr>
          <w:sz w:val="24"/>
          <w:szCs w:val="24"/>
        </w:rPr>
        <w:tab/>
      </w:r>
      <w:r w:rsidR="00926B76" w:rsidRPr="007B4D78">
        <w:rPr>
          <w:sz w:val="24"/>
          <w:szCs w:val="24"/>
        </w:rPr>
        <w:t xml:space="preserve">Complainant has entered into and defaulted on </w:t>
      </w:r>
      <w:r w:rsidR="00FC558E">
        <w:rPr>
          <w:sz w:val="24"/>
          <w:szCs w:val="24"/>
        </w:rPr>
        <w:t>a payment arrangement</w:t>
      </w:r>
      <w:r w:rsidR="00AE1B46">
        <w:rPr>
          <w:sz w:val="24"/>
          <w:szCs w:val="24"/>
        </w:rPr>
        <w:t xml:space="preserve"> issued by the Company on November 1, 2007</w:t>
      </w:r>
      <w:r w:rsidR="00FC558E">
        <w:rPr>
          <w:sz w:val="24"/>
          <w:szCs w:val="24"/>
        </w:rPr>
        <w:t xml:space="preserve">.  </w:t>
      </w:r>
      <w:r w:rsidR="00926B76">
        <w:rPr>
          <w:sz w:val="24"/>
          <w:szCs w:val="24"/>
        </w:rPr>
        <w:t>PECO Exhibit 2</w:t>
      </w:r>
      <w:r w:rsidR="00FC558E">
        <w:rPr>
          <w:sz w:val="24"/>
          <w:szCs w:val="24"/>
        </w:rPr>
        <w:t>.</w:t>
      </w:r>
      <w:r w:rsidR="0046735B">
        <w:rPr>
          <w:sz w:val="24"/>
          <w:szCs w:val="24"/>
        </w:rPr>
        <w:t xml:space="preserve"> </w:t>
      </w:r>
    </w:p>
    <w:p w:rsidR="00E84155" w:rsidRPr="00081582" w:rsidRDefault="00E84155" w:rsidP="00926B76">
      <w:pPr>
        <w:spacing w:line="360" w:lineRule="auto"/>
        <w:rPr>
          <w:sz w:val="24"/>
          <w:szCs w:val="24"/>
        </w:rPr>
      </w:pPr>
    </w:p>
    <w:p w:rsidR="00926B76" w:rsidRPr="00AE6DB2" w:rsidRDefault="00926B76" w:rsidP="00EB6038">
      <w:pPr>
        <w:spacing w:line="360" w:lineRule="auto"/>
        <w:ind w:firstLine="1440"/>
        <w:rPr>
          <w:sz w:val="24"/>
          <w:szCs w:val="24"/>
        </w:rPr>
      </w:pPr>
      <w:r>
        <w:rPr>
          <w:sz w:val="24"/>
          <w:szCs w:val="24"/>
        </w:rPr>
        <w:lastRenderedPageBreak/>
        <w:t>1</w:t>
      </w:r>
      <w:r w:rsidR="001E40FD">
        <w:rPr>
          <w:sz w:val="24"/>
          <w:szCs w:val="24"/>
        </w:rPr>
        <w:t>2</w:t>
      </w:r>
      <w:r w:rsidRPr="00081582">
        <w:rPr>
          <w:sz w:val="24"/>
          <w:szCs w:val="24"/>
        </w:rPr>
        <w:t>.</w:t>
      </w:r>
      <w:r w:rsidRPr="00081582">
        <w:rPr>
          <w:sz w:val="24"/>
          <w:szCs w:val="24"/>
        </w:rPr>
        <w:tab/>
        <w:t>The balance at the t</w:t>
      </w:r>
      <w:r w:rsidR="004A2255">
        <w:rPr>
          <w:sz w:val="24"/>
          <w:szCs w:val="24"/>
        </w:rPr>
        <w:t>ime of the hearing was $7,321.28</w:t>
      </w:r>
      <w:r w:rsidRPr="00081582">
        <w:rPr>
          <w:sz w:val="24"/>
          <w:szCs w:val="24"/>
        </w:rPr>
        <w:t>.</w:t>
      </w:r>
      <w:r>
        <w:rPr>
          <w:sz w:val="24"/>
          <w:szCs w:val="24"/>
        </w:rPr>
        <w:t xml:space="preserve">  </w:t>
      </w:r>
      <w:r w:rsidR="001E40FD">
        <w:rPr>
          <w:sz w:val="24"/>
          <w:szCs w:val="24"/>
        </w:rPr>
        <w:t xml:space="preserve">PECO Exhibit 1, Tillman Testimony. </w:t>
      </w:r>
    </w:p>
    <w:p w:rsidR="00EB6038" w:rsidRDefault="00EB6038" w:rsidP="00926B76">
      <w:pPr>
        <w:tabs>
          <w:tab w:val="left" w:pos="2160"/>
        </w:tabs>
        <w:spacing w:line="360" w:lineRule="auto"/>
        <w:jc w:val="center"/>
        <w:rPr>
          <w:sz w:val="24"/>
          <w:szCs w:val="24"/>
          <w:u w:val="single"/>
        </w:rPr>
      </w:pPr>
    </w:p>
    <w:p w:rsidR="00926B76" w:rsidRPr="00AE6DB2" w:rsidRDefault="00926B76" w:rsidP="00926B76">
      <w:pPr>
        <w:tabs>
          <w:tab w:val="left" w:pos="2160"/>
        </w:tabs>
        <w:spacing w:line="360" w:lineRule="auto"/>
        <w:jc w:val="center"/>
        <w:rPr>
          <w:sz w:val="24"/>
          <w:szCs w:val="24"/>
          <w:u w:val="single"/>
        </w:rPr>
      </w:pPr>
      <w:r w:rsidRPr="00AE6DB2">
        <w:rPr>
          <w:sz w:val="24"/>
          <w:szCs w:val="24"/>
          <w:u w:val="single"/>
        </w:rPr>
        <w:t>DISCUSSION</w:t>
      </w:r>
    </w:p>
    <w:p w:rsidR="00926B76" w:rsidRDefault="00926B76" w:rsidP="00926B76">
      <w:pPr>
        <w:spacing w:line="360" w:lineRule="auto"/>
        <w:rPr>
          <w:sz w:val="24"/>
          <w:szCs w:val="24"/>
        </w:rPr>
      </w:pPr>
      <w:r>
        <w:rPr>
          <w:sz w:val="24"/>
          <w:szCs w:val="24"/>
        </w:rPr>
        <w:tab/>
      </w:r>
      <w:r>
        <w:rPr>
          <w:sz w:val="24"/>
          <w:szCs w:val="24"/>
        </w:rPr>
        <w:tab/>
      </w:r>
    </w:p>
    <w:p w:rsidR="00926B76" w:rsidRPr="00BB4F7A" w:rsidRDefault="00926B76" w:rsidP="00926B76">
      <w:pPr>
        <w:spacing w:line="360" w:lineRule="auto"/>
        <w:ind w:firstLine="1440"/>
        <w:rPr>
          <w:sz w:val="24"/>
          <w:szCs w:val="24"/>
        </w:rPr>
      </w:pPr>
      <w:r w:rsidRPr="00AE6DB2">
        <w:rPr>
          <w:sz w:val="24"/>
          <w:szCs w:val="24"/>
        </w:rPr>
        <w:t xml:space="preserve">In </w:t>
      </w:r>
      <w:r>
        <w:rPr>
          <w:sz w:val="24"/>
          <w:szCs w:val="24"/>
        </w:rPr>
        <w:t xml:space="preserve">his </w:t>
      </w:r>
      <w:r w:rsidRPr="00AE6DB2">
        <w:rPr>
          <w:sz w:val="24"/>
          <w:szCs w:val="24"/>
        </w:rPr>
        <w:t xml:space="preserve">Formal Complaint, </w:t>
      </w:r>
      <w:r>
        <w:rPr>
          <w:sz w:val="24"/>
          <w:szCs w:val="24"/>
        </w:rPr>
        <w:t xml:space="preserve">Mr. Hawkins alleges his inability pay his electric bills and requests a payment arrangement.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w:t>
      </w:r>
      <w:smartTag w:uri="urn:schemas-microsoft-com:office:smarttags" w:element="place">
        <w:smartTag w:uri="urn:schemas-microsoft-com:office:smarttags" w:element="State">
          <w:r w:rsidRPr="00BB4F7A">
            <w:rPr>
              <w:sz w:val="24"/>
              <w:szCs w:val="24"/>
            </w:rPr>
            <w:t>Pa.</w:t>
          </w:r>
        </w:smartTag>
      </w:smartTag>
      <w:r w:rsidRPr="00BB4F7A">
        <w:rPr>
          <w:sz w:val="24"/>
          <w:szCs w:val="24"/>
        </w:rPr>
        <w:t xml:space="preserve"> C.S. § 332(a).  </w:t>
      </w:r>
    </w:p>
    <w:p w:rsidR="00926B76" w:rsidRPr="00BB4F7A" w:rsidRDefault="00926B76" w:rsidP="00926B76">
      <w:pPr>
        <w:spacing w:line="360" w:lineRule="auto"/>
        <w:ind w:firstLine="1440"/>
        <w:rPr>
          <w:sz w:val="24"/>
          <w:szCs w:val="24"/>
        </w:rPr>
      </w:pPr>
    </w:p>
    <w:p w:rsidR="00926B76" w:rsidRDefault="00926B76" w:rsidP="00926B76">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 xml:space="preserve">Patterson v. Bell Telephone Co. of </w:t>
      </w:r>
      <w:smartTag w:uri="urn:schemas-microsoft-com:office:smarttags" w:element="State">
        <w:r w:rsidRPr="00BB4F7A">
          <w:rPr>
            <w:spacing w:val="-3"/>
            <w:sz w:val="24"/>
            <w:szCs w:val="24"/>
            <w:u w:val="single"/>
          </w:rPr>
          <w:t>Pa.</w:t>
        </w:r>
      </w:smartTag>
      <w:r w:rsidRPr="00BB4F7A">
        <w:rPr>
          <w:spacing w:val="-3"/>
          <w:sz w:val="24"/>
          <w:szCs w:val="24"/>
        </w:rPr>
        <w:t xml:space="preserve">, 72 </w:t>
      </w:r>
      <w:smartTag w:uri="urn:schemas-microsoft-com:office:smarttags" w:element="State">
        <w:r w:rsidRPr="00BB4F7A">
          <w:rPr>
            <w:spacing w:val="-3"/>
            <w:sz w:val="24"/>
            <w:szCs w:val="24"/>
          </w:rPr>
          <w:t>Pa.</w:t>
        </w:r>
      </w:smartTag>
      <w:r w:rsidRPr="00BB4F7A">
        <w:rPr>
          <w:spacing w:val="-3"/>
          <w:sz w:val="24"/>
          <w:szCs w:val="24"/>
        </w:rPr>
        <w:t xml:space="preserve"> PUC 196 (1990); </w:t>
      </w:r>
      <w:r w:rsidRPr="00BB4F7A">
        <w:rPr>
          <w:spacing w:val="-3"/>
          <w:sz w:val="24"/>
          <w:szCs w:val="24"/>
          <w:u w:val="single"/>
        </w:rPr>
        <w:t>Feinstein v. Philadelphia Suburban Water Co.</w:t>
      </w:r>
      <w:r w:rsidRPr="00BB4F7A">
        <w:rPr>
          <w:spacing w:val="-3"/>
          <w:sz w:val="24"/>
          <w:szCs w:val="24"/>
        </w:rPr>
        <w:t xml:space="preserve">, 50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602 A.2d 863 (</w:t>
      </w:r>
      <w:smartTag w:uri="urn:schemas-microsoft-com:office:smarttags" w:element="State">
        <w:r w:rsidRPr="00BB4F7A">
          <w:rPr>
            <w:spacing w:val="-3"/>
            <w:sz w:val="24"/>
            <w:szCs w:val="24"/>
          </w:rPr>
          <w:t>Pa.</w:t>
        </w:r>
      </w:smartTag>
      <w:r w:rsidRPr="00BB4F7A">
        <w:rPr>
          <w:spacing w:val="-3"/>
          <w:sz w:val="24"/>
          <w:szCs w:val="24"/>
        </w:rPr>
        <w:t xml:space="preserve"> 1992); </w:t>
      </w:r>
      <w:r w:rsidRPr="00BB4F7A">
        <w:rPr>
          <w:spacing w:val="-3"/>
          <w:sz w:val="24"/>
          <w:szCs w:val="24"/>
          <w:u w:val="single"/>
        </w:rPr>
        <w:t>Se-Ling Hosiery v. Margulies</w:t>
      </w:r>
      <w:r w:rsidRPr="00BB4F7A">
        <w:rPr>
          <w:spacing w:val="-3"/>
          <w:sz w:val="24"/>
          <w:szCs w:val="24"/>
        </w:rPr>
        <w:t>, 70 A.2d 854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1950).  Additionally, any finding of fact necessary to support the Commission’s adjudication must be based upon substantial evidence.  </w:t>
      </w:r>
      <w:r w:rsidRPr="00BB4F7A">
        <w:rPr>
          <w:spacing w:val="-3"/>
          <w:sz w:val="24"/>
          <w:szCs w:val="24"/>
          <w:u w:val="single"/>
        </w:rPr>
        <w:t xml:space="preserve">Mill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447 A.2d 1100 (</w:t>
      </w:r>
      <w:smartTag w:uri="urn:schemas-microsoft-com:office:smarttags" w:element="State">
        <w:r w:rsidRPr="00BB4F7A">
          <w:rPr>
            <w:spacing w:val="-3"/>
            <w:sz w:val="24"/>
            <w:szCs w:val="24"/>
          </w:rPr>
          <w:t>Pa.</w:t>
        </w:r>
      </w:smartTag>
      <w:r w:rsidRPr="00BB4F7A">
        <w:rPr>
          <w:spacing w:val="-3"/>
          <w:sz w:val="24"/>
          <w:szCs w:val="24"/>
        </w:rPr>
        <w:t xml:space="preserve"> Cmwlth. 1982); </w:t>
      </w:r>
      <w:r w:rsidRPr="00BB4F7A">
        <w:rPr>
          <w:spacing w:val="-3"/>
          <w:sz w:val="24"/>
          <w:szCs w:val="24"/>
          <w:u w:val="single"/>
        </w:rPr>
        <w:t xml:space="preserve">Edan Transportation Corp.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623 A.2d 6 (</w:t>
      </w:r>
      <w:smartTag w:uri="urn:schemas-microsoft-com:office:smarttags" w:element="State">
        <w:r w:rsidRPr="00BB4F7A">
          <w:rPr>
            <w:spacing w:val="-3"/>
            <w:sz w:val="24"/>
            <w:szCs w:val="24"/>
          </w:rPr>
          <w:t>Pa.</w:t>
        </w:r>
      </w:smartTag>
      <w:r w:rsidRPr="00BB4F7A">
        <w:rPr>
          <w:spacing w:val="-3"/>
          <w:sz w:val="24"/>
          <w:szCs w:val="24"/>
        </w:rPr>
        <w:t xml:space="preserve"> Cmwlth. 1993); 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C.S. § 704.  More is required than a mere trace of evidence or a suspicion of the existence of a fact sought to be established.  </w:t>
      </w:r>
      <w:smartTag w:uri="urn:schemas-microsoft-com:office:smarttags" w:element="City">
        <w:r w:rsidRPr="00BB4F7A">
          <w:rPr>
            <w:spacing w:val="-3"/>
            <w:sz w:val="24"/>
            <w:szCs w:val="24"/>
            <w:u w:val="single"/>
          </w:rPr>
          <w:t>Norfolk</w:t>
        </w:r>
      </w:smartTag>
      <w:r w:rsidRPr="00BB4F7A">
        <w:rPr>
          <w:spacing w:val="-3"/>
          <w:sz w:val="24"/>
          <w:szCs w:val="24"/>
          <w:u w:val="single"/>
        </w:rPr>
        <w:t xml:space="preserve"> and Western Ry.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413 A.2d 1037 (</w:t>
      </w:r>
      <w:smartTag w:uri="urn:schemas-microsoft-com:office:smarttags" w:element="State">
        <w:r w:rsidRPr="00BB4F7A">
          <w:rPr>
            <w:spacing w:val="-3"/>
            <w:sz w:val="24"/>
            <w:szCs w:val="24"/>
          </w:rPr>
          <w:t>Pa.</w:t>
        </w:r>
      </w:smartTag>
      <w:r w:rsidRPr="00BB4F7A">
        <w:rPr>
          <w:spacing w:val="-3"/>
          <w:sz w:val="24"/>
          <w:szCs w:val="24"/>
        </w:rPr>
        <w:t xml:space="preserve"> 1980); </w:t>
      </w:r>
      <w:r w:rsidRPr="00BB4F7A">
        <w:rPr>
          <w:spacing w:val="-3"/>
          <w:sz w:val="24"/>
          <w:szCs w:val="24"/>
          <w:u w:val="single"/>
        </w:rPr>
        <w:t>Erie Resistor Corp. v. Unemployment Compensation Bd. of Review</w:t>
      </w:r>
      <w:r w:rsidRPr="00BB4F7A">
        <w:rPr>
          <w:spacing w:val="-3"/>
          <w:sz w:val="24"/>
          <w:szCs w:val="24"/>
        </w:rPr>
        <w:t>, 166 A.2d 96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926B76" w:rsidRDefault="00926B76" w:rsidP="00926B76">
      <w:pPr>
        <w:spacing w:line="360" w:lineRule="auto"/>
        <w:rPr>
          <w:spacing w:val="-3"/>
          <w:sz w:val="24"/>
          <w:szCs w:val="24"/>
        </w:rPr>
      </w:pPr>
    </w:p>
    <w:p w:rsidR="007E481C" w:rsidRPr="00BB4F7A" w:rsidRDefault="007E481C" w:rsidP="007E481C">
      <w:pPr>
        <w:spacing w:line="360" w:lineRule="auto"/>
        <w:ind w:firstLine="1440"/>
        <w:rPr>
          <w:sz w:val="24"/>
          <w:szCs w:val="24"/>
        </w:rPr>
      </w:pPr>
      <w:r w:rsidRPr="00BB4F7A">
        <w:rPr>
          <w:sz w:val="24"/>
          <w:szCs w:val="24"/>
        </w:rPr>
        <w:t xml:space="preserve">The Responsible Utility Customer Protection Act, 66 </w:t>
      </w:r>
      <w:smartTag w:uri="urn:schemas-microsoft-com:office:smarttags" w:element="place">
        <w:smartTag w:uri="urn:schemas-microsoft-com:office:smarttags" w:element="State">
          <w:r w:rsidRPr="00BB4F7A">
            <w:rPr>
              <w:sz w:val="24"/>
              <w:szCs w:val="24"/>
            </w:rPr>
            <w:t>Pa.</w:t>
          </w:r>
        </w:smartTag>
      </w:smartTag>
      <w:r>
        <w:rPr>
          <w:sz w:val="24"/>
          <w:szCs w:val="24"/>
        </w:rPr>
        <w:t xml:space="preserve"> C.S. §</w:t>
      </w:r>
      <w:r w:rsidRPr="00BB4F7A">
        <w:rPr>
          <w:sz w:val="24"/>
          <w:szCs w:val="24"/>
        </w:rPr>
        <w:t xml:space="preserve"> 1401</w:t>
      </w:r>
      <w:r w:rsidRPr="00F717AF">
        <w:rPr>
          <w:sz w:val="24"/>
          <w:szCs w:val="24"/>
        </w:rPr>
        <w:t>, et seq.</w:t>
      </w:r>
      <w:r w:rsidRPr="00BB4F7A">
        <w:rPr>
          <w:sz w:val="24"/>
          <w:szCs w:val="24"/>
        </w:rPr>
        <w:t xml:space="preserve"> (the Act or Chapter 14) applies to complaints alleging inability to pay and requesting a Commission-issued payment arrangement.  This law provides strict guidelines that the Commission must follow in handling customer complaints.  Section 1403 of the Public Utility Code defines “Payment Agreement” as follows:</w:t>
      </w:r>
    </w:p>
    <w:p w:rsidR="007E481C" w:rsidRPr="00BB4F7A" w:rsidRDefault="007E481C" w:rsidP="007E481C">
      <w:pPr>
        <w:rPr>
          <w:sz w:val="24"/>
          <w:szCs w:val="24"/>
        </w:rPr>
      </w:pPr>
    </w:p>
    <w:p w:rsidR="007E481C" w:rsidRPr="00AE6DB2" w:rsidRDefault="007E481C" w:rsidP="007E481C">
      <w:pPr>
        <w:ind w:left="2160" w:right="1440"/>
        <w:rPr>
          <w:sz w:val="24"/>
          <w:szCs w:val="24"/>
        </w:rPr>
      </w:pPr>
      <w:r w:rsidRPr="00BB4F7A">
        <w:rPr>
          <w:sz w:val="24"/>
          <w:szCs w:val="24"/>
        </w:rPr>
        <w:lastRenderedPageBreak/>
        <w:t>An agreement whereby a customer who admits liability for billed service is permitted to amortize or pay the unpaid balance of the account in one or more paymen</w:t>
      </w:r>
      <w:r w:rsidRPr="00AE6DB2">
        <w:rPr>
          <w:sz w:val="24"/>
          <w:szCs w:val="24"/>
        </w:rPr>
        <w:t>ts.</w:t>
      </w:r>
    </w:p>
    <w:p w:rsidR="007E481C" w:rsidRPr="00AE6DB2" w:rsidRDefault="007E481C" w:rsidP="007E481C">
      <w:pPr>
        <w:spacing w:line="360" w:lineRule="auto"/>
        <w:ind w:left="1440" w:right="1440"/>
        <w:rPr>
          <w:sz w:val="24"/>
          <w:szCs w:val="24"/>
        </w:rPr>
      </w:pPr>
    </w:p>
    <w:p w:rsidR="007E481C" w:rsidRPr="00AE6DB2" w:rsidRDefault="007E481C" w:rsidP="007E481C">
      <w:pPr>
        <w:tabs>
          <w:tab w:val="left" w:pos="8640"/>
        </w:tabs>
        <w:spacing w:line="360" w:lineRule="auto"/>
        <w:rPr>
          <w:sz w:val="24"/>
          <w:szCs w:val="24"/>
        </w:rPr>
      </w:pPr>
      <w:r w:rsidRPr="00AE6DB2">
        <w:rPr>
          <w:sz w:val="24"/>
          <w:szCs w:val="24"/>
        </w:rPr>
        <w:t xml:space="preserve">66 </w:t>
      </w:r>
      <w:smartTag w:uri="urn:schemas-microsoft-com:office:smarttags" w:element="place">
        <w:smartTag w:uri="urn:schemas-microsoft-com:office:smarttags" w:element="State">
          <w:r w:rsidRPr="00AE6DB2">
            <w:rPr>
              <w:sz w:val="24"/>
              <w:szCs w:val="24"/>
            </w:rPr>
            <w:t>Pa.</w:t>
          </w:r>
        </w:smartTag>
      </w:smartTag>
      <w:r w:rsidRPr="00AE6DB2">
        <w:rPr>
          <w:sz w:val="24"/>
          <w:szCs w:val="24"/>
        </w:rPr>
        <w:t xml:space="preserve"> C.S. § 1403 (Definition of “Payment Agreement”).  Section 1405 of the Public Utility Code regarding payment arrangement reads in pertinent part:</w:t>
      </w:r>
    </w:p>
    <w:p w:rsidR="007E481C" w:rsidRPr="00AE6DB2" w:rsidRDefault="007E481C" w:rsidP="007E481C">
      <w:pPr>
        <w:ind w:left="2160" w:right="1440"/>
        <w:rPr>
          <w:sz w:val="24"/>
          <w:szCs w:val="24"/>
        </w:rPr>
      </w:pPr>
      <w:r w:rsidRPr="00AE6DB2">
        <w:rPr>
          <w:sz w:val="24"/>
          <w:szCs w:val="24"/>
        </w:rPr>
        <w:br/>
        <w:t> </w:t>
      </w:r>
      <w:r w:rsidRPr="00AE6DB2">
        <w:rPr>
          <w:sz w:val="24"/>
          <w:szCs w:val="24"/>
        </w:rPr>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AE6DB2">
        <w:rPr>
          <w:sz w:val="24"/>
          <w:szCs w:val="24"/>
        </w:rPr>
        <w:br/>
        <w:t> </w:t>
      </w:r>
      <w:r w:rsidRPr="00AE6DB2">
        <w:rPr>
          <w:sz w:val="24"/>
          <w:szCs w:val="24"/>
        </w:rPr>
        <w:br/>
        <w:t xml:space="preserve">   (1) Five years for customers with a gross monthly household income level not exceeding 150% of the Federal poverty level. </w:t>
      </w:r>
      <w:r w:rsidRPr="00AE6DB2">
        <w:rPr>
          <w:sz w:val="24"/>
          <w:szCs w:val="24"/>
        </w:rPr>
        <w:br/>
        <w:t> </w:t>
      </w:r>
      <w:r w:rsidRPr="00AE6DB2">
        <w:rPr>
          <w:sz w:val="24"/>
          <w:szCs w:val="24"/>
        </w:rPr>
        <w:br/>
        <w:t>   (2) Two years for customers with a gross monthly household income level exceeding 150% and not more than 250% of the Federal poverty level.</w:t>
      </w:r>
      <w:r w:rsidRPr="00AE6DB2">
        <w:rPr>
          <w:sz w:val="24"/>
          <w:szCs w:val="24"/>
        </w:rPr>
        <w:br/>
        <w:t> </w:t>
      </w:r>
      <w:r w:rsidRPr="00AE6DB2">
        <w:rPr>
          <w:sz w:val="24"/>
          <w:szCs w:val="24"/>
        </w:rPr>
        <w:br/>
        <w:t>   (3) One year for customers with a gross monthly household income level exceeding 250% of the Federal poverty level and not more than 300% of</w:t>
      </w:r>
      <w:r w:rsidRPr="00AE6DB2">
        <w:rPr>
          <w:sz w:val="24"/>
          <w:szCs w:val="24"/>
        </w:rPr>
        <w:br/>
        <w:t>the Federal poverty level.</w:t>
      </w:r>
      <w:r w:rsidRPr="00AE6DB2">
        <w:rPr>
          <w:sz w:val="24"/>
          <w:szCs w:val="24"/>
        </w:rPr>
        <w:br/>
        <w:t> </w:t>
      </w:r>
      <w:r w:rsidRPr="00AE6DB2">
        <w:rPr>
          <w:sz w:val="24"/>
          <w:szCs w:val="24"/>
        </w:rPr>
        <w:br/>
        <w:t>   (4) Six months for customers with a gross monthly household income level exceeding 300% of the Federal poverty level.</w:t>
      </w:r>
    </w:p>
    <w:p w:rsidR="007E481C" w:rsidRPr="00AE6DB2" w:rsidRDefault="007E481C" w:rsidP="007E481C">
      <w:pPr>
        <w:ind w:left="2160" w:right="1440"/>
        <w:rPr>
          <w:sz w:val="24"/>
          <w:szCs w:val="24"/>
        </w:rPr>
      </w:pPr>
      <w:r w:rsidRPr="00AE6DB2">
        <w:rPr>
          <w:sz w:val="24"/>
          <w:szCs w:val="24"/>
        </w:rPr>
        <w:t xml:space="preserve"> </w:t>
      </w:r>
      <w:r w:rsidRPr="00AE6DB2">
        <w:rPr>
          <w:sz w:val="24"/>
          <w:szCs w:val="24"/>
        </w:rPr>
        <w:tab/>
      </w:r>
      <w:r w:rsidRPr="00AE6DB2">
        <w:rPr>
          <w:sz w:val="24"/>
          <w:szCs w:val="24"/>
        </w:rPr>
        <w:tab/>
        <w:t>*</w:t>
      </w:r>
      <w:r w:rsidRPr="00AE6DB2">
        <w:rPr>
          <w:sz w:val="24"/>
          <w:szCs w:val="24"/>
        </w:rPr>
        <w:tab/>
        <w:t>*</w:t>
      </w:r>
      <w:r w:rsidRPr="00AE6DB2">
        <w:rPr>
          <w:sz w:val="24"/>
          <w:szCs w:val="24"/>
        </w:rPr>
        <w:tab/>
        <w:t>*</w:t>
      </w:r>
    </w:p>
    <w:p w:rsidR="007E481C" w:rsidRPr="00AE6DB2" w:rsidRDefault="007E481C" w:rsidP="007E481C">
      <w:pPr>
        <w:ind w:left="2160" w:right="1440"/>
        <w:rPr>
          <w:sz w:val="24"/>
          <w:szCs w:val="24"/>
        </w:rPr>
      </w:pPr>
    </w:p>
    <w:p w:rsidR="007E481C" w:rsidRPr="00AE6DB2" w:rsidRDefault="007E481C" w:rsidP="007E481C">
      <w:pPr>
        <w:ind w:left="2160" w:right="1440" w:firstLine="180"/>
        <w:rPr>
          <w:sz w:val="24"/>
          <w:szCs w:val="24"/>
        </w:rPr>
      </w:pPr>
      <w:r w:rsidRPr="00AE6DB2">
        <w:rPr>
          <w:sz w:val="24"/>
          <w:szCs w:val="24"/>
        </w:rPr>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7E481C" w:rsidRPr="00AE6DB2" w:rsidRDefault="007E481C" w:rsidP="007E481C">
      <w:pPr>
        <w:spacing w:line="360" w:lineRule="auto"/>
        <w:ind w:left="1440" w:right="1440"/>
        <w:rPr>
          <w:sz w:val="24"/>
          <w:szCs w:val="24"/>
        </w:rPr>
      </w:pPr>
    </w:p>
    <w:p w:rsidR="007E481C" w:rsidRDefault="007E481C" w:rsidP="007E481C">
      <w:pPr>
        <w:tabs>
          <w:tab w:val="left" w:pos="9360"/>
        </w:tabs>
        <w:spacing w:line="360" w:lineRule="auto"/>
        <w:rPr>
          <w:sz w:val="24"/>
          <w:szCs w:val="24"/>
        </w:rPr>
      </w:pPr>
      <w:r w:rsidRPr="00AE6DB2">
        <w:rPr>
          <w:sz w:val="24"/>
          <w:szCs w:val="24"/>
        </w:rPr>
        <w:t xml:space="preserve">66 </w:t>
      </w:r>
      <w:smartTag w:uri="urn:schemas-microsoft-com:office:smarttags" w:element="place">
        <w:smartTag w:uri="urn:schemas-microsoft-com:office:smarttags" w:element="State">
          <w:r w:rsidRPr="00AE6DB2">
            <w:rPr>
              <w:sz w:val="24"/>
              <w:szCs w:val="24"/>
            </w:rPr>
            <w:t>Pa.</w:t>
          </w:r>
        </w:smartTag>
      </w:smartTag>
      <w:r w:rsidRPr="00AE6DB2">
        <w:rPr>
          <w:sz w:val="24"/>
          <w:szCs w:val="24"/>
        </w:rPr>
        <w:t xml:space="preserve"> C.S. § 1405(b) and (d).  </w:t>
      </w:r>
    </w:p>
    <w:p w:rsidR="007E481C" w:rsidRDefault="007E481C" w:rsidP="007E481C">
      <w:pPr>
        <w:tabs>
          <w:tab w:val="left" w:pos="9360"/>
        </w:tabs>
        <w:spacing w:line="360" w:lineRule="auto"/>
        <w:rPr>
          <w:sz w:val="24"/>
          <w:szCs w:val="24"/>
        </w:rPr>
      </w:pPr>
    </w:p>
    <w:p w:rsidR="007E481C" w:rsidRPr="00F3231B" w:rsidRDefault="007E481C" w:rsidP="007E481C">
      <w:pPr>
        <w:spacing w:line="360" w:lineRule="auto"/>
        <w:ind w:firstLine="1440"/>
        <w:rPr>
          <w:sz w:val="24"/>
          <w:szCs w:val="24"/>
        </w:rPr>
      </w:pPr>
      <w:r w:rsidRPr="00D022AD">
        <w:rPr>
          <w:sz w:val="24"/>
          <w:szCs w:val="24"/>
        </w:rPr>
        <w:lastRenderedPageBreak/>
        <w:t>As stated above, while the Commission has the authority to review a payment arrangement to ensure compliance with Chapter 14 of the Public Utility Code,</w:t>
      </w:r>
      <w:r w:rsidRPr="00F3231B">
        <w:rPr>
          <w:sz w:val="24"/>
          <w:szCs w:val="24"/>
        </w:rPr>
        <w:t xml:space="preserve"> it lacks the authority to establish a second or subsequent payment arrangement, absent a change in a customer’s household income.  A “Change in Income” is defined in Section 1403 of the Public Utility Code as follows:</w:t>
      </w:r>
    </w:p>
    <w:p w:rsidR="007E481C" w:rsidRPr="00F3231B" w:rsidRDefault="007E481C" w:rsidP="007E481C">
      <w:pPr>
        <w:rPr>
          <w:sz w:val="24"/>
          <w:szCs w:val="24"/>
        </w:rPr>
      </w:pPr>
    </w:p>
    <w:p w:rsidR="007E481C" w:rsidRPr="00F3231B" w:rsidRDefault="007E481C" w:rsidP="007E481C">
      <w:pPr>
        <w:ind w:left="1440" w:right="1440"/>
        <w:rPr>
          <w:sz w:val="24"/>
          <w:szCs w:val="24"/>
        </w:rPr>
      </w:pPr>
      <w:r w:rsidRPr="001A2A87">
        <w:rPr>
          <w:b/>
          <w:sz w:val="24"/>
          <w:szCs w:val="24"/>
        </w:rPr>
        <w:t>A decrease</w:t>
      </w:r>
      <w:r w:rsidRPr="00F3231B">
        <w:rPr>
          <w:sz w:val="24"/>
          <w:szCs w:val="24"/>
        </w:rPr>
        <w:t xml:space="preserve"> in household income of 20% or more if the customer’s household income level exceeds 200% of the federal poverty level </w:t>
      </w:r>
      <w:r w:rsidRPr="00FC558E">
        <w:rPr>
          <w:sz w:val="24"/>
          <w:szCs w:val="24"/>
        </w:rPr>
        <w:t>or</w:t>
      </w:r>
      <w:r w:rsidRPr="00FC558E">
        <w:rPr>
          <w:b/>
          <w:sz w:val="24"/>
          <w:szCs w:val="24"/>
        </w:rPr>
        <w:t xml:space="preserve"> a decrease</w:t>
      </w:r>
      <w:r w:rsidRPr="00F3231B">
        <w:rPr>
          <w:sz w:val="24"/>
          <w:szCs w:val="24"/>
        </w:rPr>
        <w:t xml:space="preserve"> in household income of 10% or more if the customer’s household income level is 200% or less of the federal poverty level.</w:t>
      </w:r>
    </w:p>
    <w:p w:rsidR="007E481C" w:rsidRPr="00F3231B" w:rsidRDefault="007E481C" w:rsidP="007E481C">
      <w:pPr>
        <w:spacing w:line="360" w:lineRule="auto"/>
        <w:ind w:left="1440" w:right="1440"/>
        <w:rPr>
          <w:sz w:val="24"/>
          <w:szCs w:val="24"/>
        </w:rPr>
      </w:pPr>
    </w:p>
    <w:p w:rsidR="007E481C" w:rsidRDefault="007E481C" w:rsidP="007E481C">
      <w:pPr>
        <w:spacing w:line="360" w:lineRule="auto"/>
        <w:rPr>
          <w:sz w:val="24"/>
          <w:szCs w:val="24"/>
        </w:rPr>
      </w:pPr>
      <w:r w:rsidRPr="00F3231B">
        <w:rPr>
          <w:sz w:val="24"/>
          <w:szCs w:val="24"/>
        </w:rPr>
        <w:t xml:space="preserve">66 </w:t>
      </w:r>
      <w:smartTag w:uri="urn:schemas-microsoft-com:office:smarttags" w:element="place">
        <w:smartTag w:uri="urn:schemas-microsoft-com:office:smarttags" w:element="State">
          <w:r w:rsidRPr="00F3231B">
            <w:rPr>
              <w:sz w:val="24"/>
              <w:szCs w:val="24"/>
            </w:rPr>
            <w:t>Pa.</w:t>
          </w:r>
        </w:smartTag>
      </w:smartTag>
      <w:r w:rsidRPr="00F3231B">
        <w:rPr>
          <w:sz w:val="24"/>
          <w:szCs w:val="24"/>
        </w:rPr>
        <w:t xml:space="preserve"> C.S. § 1403 (Definition of “Change in Income”)</w:t>
      </w:r>
      <w:r w:rsidR="001A2A87" w:rsidRPr="001A2A87">
        <w:rPr>
          <w:sz w:val="24"/>
          <w:szCs w:val="24"/>
        </w:rPr>
        <w:t xml:space="preserve"> </w:t>
      </w:r>
      <w:r w:rsidR="001A2A87" w:rsidRPr="00F3231B">
        <w:rPr>
          <w:sz w:val="24"/>
          <w:szCs w:val="24"/>
        </w:rPr>
        <w:t>(Emphasis added)</w:t>
      </w:r>
      <w:r w:rsidRPr="00F3231B">
        <w:rPr>
          <w:sz w:val="24"/>
          <w:szCs w:val="24"/>
        </w:rPr>
        <w:t>.</w:t>
      </w:r>
    </w:p>
    <w:p w:rsidR="007E481C" w:rsidRDefault="007E481C" w:rsidP="007E481C">
      <w:pPr>
        <w:tabs>
          <w:tab w:val="left" w:pos="9360"/>
        </w:tabs>
        <w:spacing w:line="360" w:lineRule="auto"/>
        <w:rPr>
          <w:sz w:val="24"/>
          <w:szCs w:val="24"/>
        </w:rPr>
      </w:pPr>
    </w:p>
    <w:p w:rsidR="007E481C" w:rsidRPr="001A2A87" w:rsidRDefault="007E481C" w:rsidP="00CC1DF4">
      <w:pPr>
        <w:spacing w:line="360" w:lineRule="auto"/>
        <w:ind w:firstLine="1440"/>
        <w:rPr>
          <w:sz w:val="24"/>
          <w:szCs w:val="24"/>
        </w:rPr>
      </w:pPr>
      <w:r w:rsidRPr="001A2A87">
        <w:rPr>
          <w:sz w:val="24"/>
          <w:szCs w:val="24"/>
        </w:rPr>
        <w:t>During the initial telephone hearing on</w:t>
      </w:r>
      <w:r w:rsidR="001A2A87" w:rsidRPr="001A2A87">
        <w:rPr>
          <w:sz w:val="24"/>
          <w:szCs w:val="24"/>
        </w:rPr>
        <w:t xml:space="preserve"> May 11</w:t>
      </w:r>
      <w:r w:rsidR="009D6F07">
        <w:rPr>
          <w:sz w:val="24"/>
          <w:szCs w:val="24"/>
        </w:rPr>
        <w:t>, 2009</w:t>
      </w:r>
      <w:r w:rsidRPr="001A2A87">
        <w:rPr>
          <w:sz w:val="24"/>
          <w:szCs w:val="24"/>
        </w:rPr>
        <w:t xml:space="preserve">, Complainant testified that </w:t>
      </w:r>
      <w:r w:rsidR="001A2A87" w:rsidRPr="001A2A87">
        <w:rPr>
          <w:sz w:val="24"/>
          <w:szCs w:val="24"/>
        </w:rPr>
        <w:t>he has been employed for the past eight months with a catering company</w:t>
      </w:r>
      <w:r w:rsidR="00CC1DF4">
        <w:rPr>
          <w:sz w:val="24"/>
          <w:szCs w:val="24"/>
        </w:rPr>
        <w:t>.</w:t>
      </w:r>
      <w:r w:rsidR="001A2A87" w:rsidRPr="001A2A87">
        <w:rPr>
          <w:sz w:val="24"/>
          <w:szCs w:val="24"/>
        </w:rPr>
        <w:t xml:space="preserve"> </w:t>
      </w:r>
      <w:r w:rsidR="00CC1DF4">
        <w:rPr>
          <w:sz w:val="24"/>
          <w:szCs w:val="24"/>
        </w:rPr>
        <w:t xml:space="preserve"> The number of hours he works changes each week depending on clients’ demands, but Mr. Hawkins testified that his average monthly income is around $1,700.00. </w:t>
      </w:r>
      <w:r w:rsidR="005A30DD">
        <w:rPr>
          <w:sz w:val="24"/>
          <w:szCs w:val="24"/>
        </w:rPr>
        <w:t xml:space="preserve"> He also testified that he currently lives by himself and </w:t>
      </w:r>
      <w:r w:rsidR="00CC1DF4">
        <w:rPr>
          <w:sz w:val="24"/>
          <w:szCs w:val="24"/>
        </w:rPr>
        <w:t xml:space="preserve">that he </w:t>
      </w:r>
      <w:r w:rsidR="001A2A87" w:rsidRPr="001A2A87">
        <w:rPr>
          <w:sz w:val="24"/>
          <w:szCs w:val="24"/>
        </w:rPr>
        <w:t>can afford to pay $200-</w:t>
      </w:r>
      <w:r w:rsidR="00FA6A8C">
        <w:rPr>
          <w:sz w:val="24"/>
          <w:szCs w:val="24"/>
        </w:rPr>
        <w:t>$</w:t>
      </w:r>
      <w:r w:rsidR="001A2A87" w:rsidRPr="001A2A87">
        <w:rPr>
          <w:sz w:val="24"/>
          <w:szCs w:val="24"/>
        </w:rPr>
        <w:t>250 a month toward his electric bill with PECO.</w:t>
      </w:r>
      <w:r w:rsidR="00CC1DF4" w:rsidRPr="00CC1DF4">
        <w:rPr>
          <w:sz w:val="24"/>
          <w:szCs w:val="24"/>
        </w:rPr>
        <w:t xml:space="preserve"> </w:t>
      </w:r>
    </w:p>
    <w:p w:rsidR="007E481C" w:rsidRPr="001E6DED" w:rsidRDefault="007E481C" w:rsidP="007E481C">
      <w:pPr>
        <w:spacing w:line="360" w:lineRule="auto"/>
        <w:rPr>
          <w:sz w:val="24"/>
          <w:szCs w:val="24"/>
          <w:highlight w:val="yellow"/>
        </w:rPr>
      </w:pPr>
    </w:p>
    <w:p w:rsidR="007E481C" w:rsidRDefault="007E481C" w:rsidP="007E481C">
      <w:pPr>
        <w:spacing w:line="360" w:lineRule="auto"/>
        <w:ind w:firstLine="1440"/>
        <w:rPr>
          <w:sz w:val="24"/>
          <w:szCs w:val="24"/>
        </w:rPr>
      </w:pPr>
      <w:r w:rsidRPr="00176115">
        <w:rPr>
          <w:sz w:val="24"/>
          <w:szCs w:val="24"/>
        </w:rPr>
        <w:t xml:space="preserve">Respondent’s witness, Nadine Tillman, testified that Mr. </w:t>
      </w:r>
      <w:r w:rsidR="001E6DED" w:rsidRPr="00176115">
        <w:rPr>
          <w:sz w:val="24"/>
          <w:szCs w:val="24"/>
        </w:rPr>
        <w:t>Hawkins</w:t>
      </w:r>
      <w:r w:rsidRPr="00176115">
        <w:rPr>
          <w:sz w:val="24"/>
          <w:szCs w:val="24"/>
        </w:rPr>
        <w:t xml:space="preserve"> has already received one Commission-issued payment arr</w:t>
      </w:r>
      <w:r w:rsidR="001A2A87" w:rsidRPr="00176115">
        <w:rPr>
          <w:sz w:val="24"/>
          <w:szCs w:val="24"/>
        </w:rPr>
        <w:t>angement.  On or about September 22, 2008</w:t>
      </w:r>
      <w:r w:rsidRPr="00176115">
        <w:rPr>
          <w:sz w:val="24"/>
          <w:szCs w:val="24"/>
        </w:rPr>
        <w:t>, the BCS issued its determination at BCS Case No. 2</w:t>
      </w:r>
      <w:r w:rsidR="001A2A87" w:rsidRPr="00176115">
        <w:rPr>
          <w:sz w:val="24"/>
          <w:szCs w:val="24"/>
        </w:rPr>
        <w:t xml:space="preserve">400094 </w:t>
      </w:r>
      <w:r w:rsidRPr="00176115">
        <w:rPr>
          <w:sz w:val="24"/>
          <w:szCs w:val="24"/>
        </w:rPr>
        <w:t>directing the Complainant to pay a special</w:t>
      </w:r>
      <w:r w:rsidR="003C10FA" w:rsidRPr="00176115">
        <w:rPr>
          <w:sz w:val="24"/>
          <w:szCs w:val="24"/>
        </w:rPr>
        <w:t xml:space="preserve"> budget amount of $325</w:t>
      </w:r>
      <w:r w:rsidRPr="00176115">
        <w:rPr>
          <w:sz w:val="24"/>
          <w:szCs w:val="24"/>
        </w:rPr>
        <w:t>.00 per month consisting of hi</w:t>
      </w:r>
      <w:r w:rsidR="003C10FA" w:rsidRPr="00176115">
        <w:rPr>
          <w:sz w:val="24"/>
          <w:szCs w:val="24"/>
        </w:rPr>
        <w:t>s regular budget billing of $264.00 per month, plus $61</w:t>
      </w:r>
      <w:r w:rsidRPr="00176115">
        <w:rPr>
          <w:sz w:val="24"/>
          <w:szCs w:val="24"/>
        </w:rPr>
        <w:t xml:space="preserve">.00 towards the arrearage, beginning with the </w:t>
      </w:r>
      <w:r w:rsidR="001A2A87" w:rsidRPr="00176115">
        <w:rPr>
          <w:sz w:val="24"/>
          <w:szCs w:val="24"/>
        </w:rPr>
        <w:t xml:space="preserve">October 2008 </w:t>
      </w:r>
      <w:r w:rsidRPr="00176115">
        <w:rPr>
          <w:sz w:val="24"/>
          <w:szCs w:val="24"/>
        </w:rPr>
        <w:t xml:space="preserve">due date.  </w:t>
      </w:r>
      <w:r w:rsidRPr="00176115">
        <w:rPr>
          <w:sz w:val="24"/>
          <w:szCs w:val="24"/>
          <w:u w:val="single"/>
        </w:rPr>
        <w:t>See</w:t>
      </w:r>
      <w:r w:rsidRPr="00176115">
        <w:rPr>
          <w:sz w:val="24"/>
          <w:szCs w:val="24"/>
        </w:rPr>
        <w:t xml:space="preserve"> </w:t>
      </w:r>
      <w:r w:rsidRPr="00176115">
        <w:rPr>
          <w:sz w:val="24"/>
          <w:szCs w:val="24"/>
          <w:u w:val="single"/>
        </w:rPr>
        <w:t>also</w:t>
      </w:r>
      <w:r w:rsidRPr="00176115">
        <w:rPr>
          <w:sz w:val="24"/>
          <w:szCs w:val="24"/>
        </w:rPr>
        <w:t xml:space="preserve"> PECO Exhibit</w:t>
      </w:r>
      <w:r w:rsidR="001A2A87" w:rsidRPr="00176115">
        <w:rPr>
          <w:sz w:val="24"/>
          <w:szCs w:val="24"/>
        </w:rPr>
        <w:t>s 2 and 3</w:t>
      </w:r>
      <w:r w:rsidRPr="00176115">
        <w:rPr>
          <w:sz w:val="24"/>
          <w:szCs w:val="24"/>
        </w:rPr>
        <w:t xml:space="preserve">.  </w:t>
      </w:r>
      <w:r w:rsidR="008F4D44">
        <w:rPr>
          <w:sz w:val="24"/>
          <w:szCs w:val="24"/>
        </w:rPr>
        <w:t>At that</w:t>
      </w:r>
      <w:r w:rsidR="00311923" w:rsidRPr="00176115">
        <w:rPr>
          <w:sz w:val="24"/>
          <w:szCs w:val="24"/>
        </w:rPr>
        <w:t xml:space="preserve"> time, Mr. Hawkins reported that his household was comprised of two adults with a gross household income of $1</w:t>
      </w:r>
      <w:r w:rsidR="00176115">
        <w:rPr>
          <w:sz w:val="24"/>
          <w:szCs w:val="24"/>
        </w:rPr>
        <w:t>,</w:t>
      </w:r>
      <w:r w:rsidR="00311923" w:rsidRPr="00176115">
        <w:rPr>
          <w:sz w:val="24"/>
          <w:szCs w:val="24"/>
        </w:rPr>
        <w:t xml:space="preserve">060.00 per month.  </w:t>
      </w:r>
      <w:r w:rsidRPr="00176115">
        <w:rPr>
          <w:sz w:val="24"/>
          <w:szCs w:val="24"/>
        </w:rPr>
        <w:t xml:space="preserve">Based on the income reported by Mr. </w:t>
      </w:r>
      <w:r w:rsidR="001E6DED" w:rsidRPr="00176115">
        <w:rPr>
          <w:sz w:val="24"/>
          <w:szCs w:val="24"/>
        </w:rPr>
        <w:t>Hawkins</w:t>
      </w:r>
      <w:r w:rsidRPr="00176115">
        <w:rPr>
          <w:sz w:val="24"/>
          <w:szCs w:val="24"/>
        </w:rPr>
        <w:t>, the BCS determine</w:t>
      </w:r>
      <w:r w:rsidR="003C10FA" w:rsidRPr="00176115">
        <w:rPr>
          <w:sz w:val="24"/>
          <w:szCs w:val="24"/>
        </w:rPr>
        <w:t>d that Complainant was a level 1</w:t>
      </w:r>
      <w:r w:rsidRPr="00176115">
        <w:rPr>
          <w:sz w:val="24"/>
          <w:szCs w:val="24"/>
        </w:rPr>
        <w:t xml:space="preserve"> income customer and issued a payment </w:t>
      </w:r>
      <w:r w:rsidRPr="005419AC">
        <w:rPr>
          <w:sz w:val="24"/>
          <w:szCs w:val="24"/>
        </w:rPr>
        <w:t xml:space="preserve">arrangement that required Mr. </w:t>
      </w:r>
      <w:r w:rsidR="001E6DED" w:rsidRPr="005419AC">
        <w:rPr>
          <w:sz w:val="24"/>
          <w:szCs w:val="24"/>
        </w:rPr>
        <w:t>Hawkins</w:t>
      </w:r>
      <w:r w:rsidRPr="005419AC">
        <w:rPr>
          <w:sz w:val="24"/>
          <w:szCs w:val="24"/>
        </w:rPr>
        <w:t xml:space="preserve"> to retire his balance in six</w:t>
      </w:r>
      <w:r w:rsidR="00311923" w:rsidRPr="005419AC">
        <w:rPr>
          <w:sz w:val="24"/>
          <w:szCs w:val="24"/>
        </w:rPr>
        <w:t>ty (60)</w:t>
      </w:r>
      <w:r w:rsidRPr="005419AC">
        <w:rPr>
          <w:sz w:val="24"/>
          <w:szCs w:val="24"/>
        </w:rPr>
        <w:t xml:space="preserve"> months, while continuing to pay his monthly budget bill.  </w:t>
      </w:r>
      <w:r w:rsidRPr="005419AC">
        <w:rPr>
          <w:sz w:val="24"/>
          <w:szCs w:val="24"/>
          <w:u w:val="single"/>
        </w:rPr>
        <w:t xml:space="preserve">Id. </w:t>
      </w:r>
      <w:r w:rsidRPr="005419AC">
        <w:rPr>
          <w:sz w:val="24"/>
          <w:szCs w:val="24"/>
        </w:rPr>
        <w:t xml:space="preserve"> </w:t>
      </w:r>
    </w:p>
    <w:p w:rsidR="00941346" w:rsidRDefault="00941346" w:rsidP="007E481C">
      <w:pPr>
        <w:spacing w:line="360" w:lineRule="auto"/>
        <w:ind w:firstLine="1440"/>
        <w:rPr>
          <w:sz w:val="24"/>
          <w:szCs w:val="24"/>
        </w:rPr>
      </w:pPr>
    </w:p>
    <w:p w:rsidR="005E30C7" w:rsidRDefault="00941346" w:rsidP="005E30C7">
      <w:pPr>
        <w:spacing w:line="360" w:lineRule="auto"/>
        <w:ind w:firstLine="1440"/>
        <w:rPr>
          <w:sz w:val="24"/>
          <w:szCs w:val="24"/>
        </w:rPr>
      </w:pPr>
      <w:r>
        <w:rPr>
          <w:sz w:val="24"/>
          <w:szCs w:val="24"/>
        </w:rPr>
        <w:t xml:space="preserve">Complainant did not make the October 2008 payment in accordance with the payment arrangement established by the BCS, BCS Case No. 24000094.  </w:t>
      </w:r>
      <w:r w:rsidR="005E30C7">
        <w:rPr>
          <w:sz w:val="24"/>
          <w:szCs w:val="24"/>
        </w:rPr>
        <w:t xml:space="preserve">Unsatisfied with that </w:t>
      </w:r>
      <w:r w:rsidR="005E30C7">
        <w:rPr>
          <w:sz w:val="24"/>
          <w:szCs w:val="24"/>
        </w:rPr>
        <w:lastRenderedPageBreak/>
        <w:t xml:space="preserve">payment arrangement, </w:t>
      </w:r>
      <w:r w:rsidR="00E120A6">
        <w:rPr>
          <w:sz w:val="24"/>
          <w:szCs w:val="24"/>
        </w:rPr>
        <w:t xml:space="preserve">on November 17, 2008, </w:t>
      </w:r>
      <w:r w:rsidR="005E30C7">
        <w:rPr>
          <w:sz w:val="24"/>
          <w:szCs w:val="24"/>
        </w:rPr>
        <w:t>Mr. Hawkins</w:t>
      </w:r>
      <w:r>
        <w:rPr>
          <w:sz w:val="24"/>
          <w:szCs w:val="24"/>
        </w:rPr>
        <w:t xml:space="preserve"> filed a </w:t>
      </w:r>
      <w:r w:rsidR="00E120A6">
        <w:rPr>
          <w:sz w:val="24"/>
          <w:szCs w:val="24"/>
        </w:rPr>
        <w:t>second informal complaint with BCS requesting a lower payment arrangement</w:t>
      </w:r>
      <w:r w:rsidR="005E30C7">
        <w:rPr>
          <w:sz w:val="24"/>
          <w:szCs w:val="24"/>
        </w:rPr>
        <w:t xml:space="preserve">, BCS Case No. 2473388. </w:t>
      </w:r>
      <w:r w:rsidR="008525EF">
        <w:rPr>
          <w:sz w:val="24"/>
          <w:szCs w:val="24"/>
        </w:rPr>
        <w:t xml:space="preserve"> </w:t>
      </w:r>
      <w:r w:rsidR="005E30C7">
        <w:rPr>
          <w:sz w:val="24"/>
          <w:szCs w:val="24"/>
        </w:rPr>
        <w:t>On December 16, 2008, BCS dismissed Mr. Hawkins’ second informal complaint after finding that his gross income had increased since his last Commission issued payment arrangement.</w:t>
      </w:r>
      <w:r w:rsidR="005E30C7" w:rsidRPr="00D03544">
        <w:rPr>
          <w:sz w:val="24"/>
          <w:szCs w:val="24"/>
        </w:rPr>
        <w:t xml:space="preserve"> </w:t>
      </w:r>
      <w:r w:rsidR="005E30C7">
        <w:rPr>
          <w:sz w:val="24"/>
          <w:szCs w:val="24"/>
        </w:rPr>
        <w:t>PECO Exhibit 4</w:t>
      </w:r>
      <w:r w:rsidR="005E30C7" w:rsidRPr="00B83297">
        <w:rPr>
          <w:sz w:val="24"/>
          <w:szCs w:val="24"/>
        </w:rPr>
        <w:t>.</w:t>
      </w:r>
      <w:r w:rsidR="005E30C7">
        <w:rPr>
          <w:sz w:val="24"/>
          <w:szCs w:val="24"/>
        </w:rPr>
        <w:t xml:space="preserve">  On January 5, 2009, Complainant filed </w:t>
      </w:r>
      <w:r w:rsidR="003C7DF5">
        <w:rPr>
          <w:sz w:val="24"/>
          <w:szCs w:val="24"/>
        </w:rPr>
        <w:t xml:space="preserve">the present Formal </w:t>
      </w:r>
      <w:r w:rsidR="005E30C7">
        <w:rPr>
          <w:sz w:val="24"/>
          <w:szCs w:val="24"/>
        </w:rPr>
        <w:t>Complaint alleging his inability to pay his electric bills and requesting a payment arrangement.</w:t>
      </w:r>
      <w:r w:rsidR="003C7DF5">
        <w:rPr>
          <w:sz w:val="24"/>
          <w:szCs w:val="24"/>
        </w:rPr>
        <w:t xml:space="preserve">  The present Complaint </w:t>
      </w:r>
      <w:r w:rsidR="00781446">
        <w:rPr>
          <w:sz w:val="24"/>
          <w:szCs w:val="24"/>
        </w:rPr>
        <w:t xml:space="preserve">is </w:t>
      </w:r>
      <w:r w:rsidR="003C7DF5">
        <w:rPr>
          <w:sz w:val="24"/>
          <w:szCs w:val="24"/>
        </w:rPr>
        <w:t>an appeal to the informal determination issued by BCS at BCS Case No.</w:t>
      </w:r>
      <w:r w:rsidR="003C7DF5" w:rsidRPr="00602A12">
        <w:rPr>
          <w:sz w:val="24"/>
          <w:szCs w:val="24"/>
        </w:rPr>
        <w:t xml:space="preserve"> </w:t>
      </w:r>
      <w:r w:rsidR="003C7DF5">
        <w:rPr>
          <w:sz w:val="24"/>
          <w:szCs w:val="24"/>
        </w:rPr>
        <w:t>2473388, which in turn</w:t>
      </w:r>
      <w:r w:rsidR="00781446">
        <w:rPr>
          <w:sz w:val="24"/>
          <w:szCs w:val="24"/>
        </w:rPr>
        <w:t xml:space="preserve"> was Mr. Hawkins’ attempt to appeal BCS’ determination in BCS Case No. 24000094, and shall be treated accordingly.</w:t>
      </w:r>
      <w:r w:rsidR="008525EF">
        <w:rPr>
          <w:rStyle w:val="FootnoteReference"/>
          <w:sz w:val="24"/>
          <w:szCs w:val="24"/>
        </w:rPr>
        <w:footnoteReference w:id="3"/>
      </w:r>
    </w:p>
    <w:p w:rsidR="005419AC" w:rsidRPr="005419AC" w:rsidRDefault="005419AC" w:rsidP="005E30C7">
      <w:pPr>
        <w:spacing w:line="360" w:lineRule="auto"/>
        <w:rPr>
          <w:sz w:val="24"/>
          <w:szCs w:val="24"/>
        </w:rPr>
      </w:pPr>
    </w:p>
    <w:p w:rsidR="007E481C" w:rsidRDefault="005419AC" w:rsidP="005419AC">
      <w:pPr>
        <w:pStyle w:val="CommentText"/>
        <w:spacing w:line="360" w:lineRule="auto"/>
        <w:ind w:firstLine="1440"/>
        <w:rPr>
          <w:sz w:val="24"/>
          <w:szCs w:val="24"/>
        </w:rPr>
      </w:pPr>
      <w:r w:rsidRPr="005419AC">
        <w:rPr>
          <w:sz w:val="24"/>
          <w:szCs w:val="24"/>
        </w:rPr>
        <w:t xml:space="preserve">During his direct testimony and his cross-examination, Mr. Hawkins repeatedly stated that his employment conditions with Flock International have not changed; his hours fluctuate from week to week and his average monthly income was the same in September of 2008 as in May of 2009.  While the increase in income, from $1,060.00 per month to a monthly average of $1,700.00 could be </w:t>
      </w:r>
      <w:r>
        <w:rPr>
          <w:sz w:val="24"/>
          <w:szCs w:val="24"/>
        </w:rPr>
        <w:t xml:space="preserve">explained as the difference between a specific month’s </w:t>
      </w:r>
      <w:r w:rsidR="00FA6A8C">
        <w:rPr>
          <w:sz w:val="24"/>
          <w:szCs w:val="24"/>
        </w:rPr>
        <w:t xml:space="preserve">earnings </w:t>
      </w:r>
      <w:r>
        <w:rPr>
          <w:sz w:val="24"/>
          <w:szCs w:val="24"/>
        </w:rPr>
        <w:t xml:space="preserve">against the average monthly income, the fact remains that </w:t>
      </w:r>
      <w:r w:rsidR="0090093D">
        <w:rPr>
          <w:sz w:val="24"/>
          <w:szCs w:val="24"/>
        </w:rPr>
        <w:t xml:space="preserve">Complainant’s employment conditions and rate of pay has remained unchanged since September of 2008 when BCS issued a payment arrangement for Complainant. </w:t>
      </w:r>
      <w:r w:rsidR="00001062">
        <w:rPr>
          <w:sz w:val="24"/>
          <w:szCs w:val="24"/>
        </w:rPr>
        <w:t xml:space="preserve"> Therefore, Complainant’s monthly income</w:t>
      </w:r>
      <w:r w:rsidR="00203FC6">
        <w:rPr>
          <w:rStyle w:val="FootnoteReference"/>
          <w:sz w:val="24"/>
          <w:szCs w:val="24"/>
        </w:rPr>
        <w:footnoteReference w:id="4"/>
      </w:r>
      <w:r w:rsidR="00001062">
        <w:rPr>
          <w:sz w:val="24"/>
          <w:szCs w:val="24"/>
        </w:rPr>
        <w:t xml:space="preserve"> has remained unchanged</w:t>
      </w:r>
      <w:r w:rsidR="00202AC5">
        <w:rPr>
          <w:sz w:val="24"/>
          <w:szCs w:val="24"/>
        </w:rPr>
        <w:t xml:space="preserve"> since the last Commission issued payment arrangement.</w:t>
      </w:r>
      <w:r w:rsidR="00203FC6">
        <w:rPr>
          <w:sz w:val="24"/>
          <w:szCs w:val="24"/>
        </w:rPr>
        <w:t xml:space="preserve"> </w:t>
      </w:r>
      <w:r w:rsidR="0090093D">
        <w:rPr>
          <w:sz w:val="24"/>
          <w:szCs w:val="24"/>
        </w:rPr>
        <w:t xml:space="preserve"> In addition, the number </w:t>
      </w:r>
      <w:r w:rsidR="00190F78" w:rsidRPr="005419AC">
        <w:rPr>
          <w:sz w:val="24"/>
          <w:szCs w:val="24"/>
        </w:rPr>
        <w:t xml:space="preserve">the number of individuals in Mr. Hawkins’ household </w:t>
      </w:r>
      <w:r w:rsidR="00190F78">
        <w:rPr>
          <w:sz w:val="24"/>
          <w:szCs w:val="24"/>
        </w:rPr>
        <w:t xml:space="preserve">has decreased from two to one since September of 2008.  </w:t>
      </w:r>
    </w:p>
    <w:p w:rsidR="00190F78" w:rsidRPr="005419AC" w:rsidRDefault="00190F78" w:rsidP="005419AC">
      <w:pPr>
        <w:pStyle w:val="CommentText"/>
        <w:spacing w:line="360" w:lineRule="auto"/>
        <w:ind w:firstLine="1440"/>
        <w:rPr>
          <w:sz w:val="24"/>
          <w:szCs w:val="24"/>
          <w:highlight w:val="yellow"/>
        </w:rPr>
      </w:pPr>
    </w:p>
    <w:p w:rsidR="007E481C" w:rsidRPr="00107DD0" w:rsidRDefault="00001062" w:rsidP="007E481C">
      <w:pPr>
        <w:spacing w:line="360" w:lineRule="auto"/>
        <w:ind w:firstLine="1440"/>
        <w:rPr>
          <w:sz w:val="24"/>
          <w:szCs w:val="24"/>
        </w:rPr>
      </w:pPr>
      <w:r w:rsidRPr="00107DD0">
        <w:rPr>
          <w:sz w:val="24"/>
          <w:szCs w:val="24"/>
        </w:rPr>
        <w:t xml:space="preserve">For the reasons stated above, </w:t>
      </w:r>
      <w:r>
        <w:rPr>
          <w:sz w:val="24"/>
          <w:szCs w:val="24"/>
        </w:rPr>
        <w:t>I conclude that Complainant</w:t>
      </w:r>
      <w:r w:rsidR="00BF6242">
        <w:rPr>
          <w:sz w:val="24"/>
          <w:szCs w:val="24"/>
        </w:rPr>
        <w:t xml:space="preserve"> has not</w:t>
      </w:r>
      <w:r w:rsidR="007E481C" w:rsidRPr="00107DD0">
        <w:rPr>
          <w:sz w:val="24"/>
          <w:szCs w:val="24"/>
        </w:rPr>
        <w:t xml:space="preserve"> experienced a</w:t>
      </w:r>
      <w:r w:rsidR="00AB250C">
        <w:rPr>
          <w:sz w:val="24"/>
          <w:szCs w:val="24"/>
        </w:rPr>
        <w:t xml:space="preserve"> decrease or a</w:t>
      </w:r>
      <w:r w:rsidR="007E481C" w:rsidRPr="00107DD0">
        <w:rPr>
          <w:sz w:val="24"/>
          <w:szCs w:val="24"/>
        </w:rPr>
        <w:t xml:space="preserve"> “change of income” as that term is defined in Section 1403 of the Public Utility Code. </w:t>
      </w:r>
      <w:r w:rsidR="00203FC6">
        <w:rPr>
          <w:sz w:val="24"/>
          <w:szCs w:val="24"/>
        </w:rPr>
        <w:t xml:space="preserve"> </w:t>
      </w:r>
      <w:r w:rsidR="007E481C" w:rsidRPr="00107DD0">
        <w:rPr>
          <w:sz w:val="24"/>
          <w:szCs w:val="24"/>
        </w:rPr>
        <w:t>Absent a “change in income,” the Commission lacks the authority to establish a second or subsequent payment agreement for Complainant.</w:t>
      </w:r>
    </w:p>
    <w:p w:rsidR="007E481C" w:rsidRPr="00107DD0" w:rsidRDefault="007E481C" w:rsidP="007E481C">
      <w:pPr>
        <w:spacing w:line="360" w:lineRule="auto"/>
        <w:ind w:firstLine="1440"/>
        <w:rPr>
          <w:sz w:val="24"/>
          <w:szCs w:val="24"/>
        </w:rPr>
      </w:pPr>
    </w:p>
    <w:p w:rsidR="007E481C" w:rsidRPr="00107DD0" w:rsidRDefault="007E481C" w:rsidP="007E481C">
      <w:pPr>
        <w:spacing w:line="360" w:lineRule="auto"/>
        <w:ind w:firstLine="1440"/>
        <w:rPr>
          <w:sz w:val="24"/>
          <w:szCs w:val="24"/>
        </w:rPr>
      </w:pPr>
      <w:r>
        <w:rPr>
          <w:sz w:val="24"/>
          <w:szCs w:val="24"/>
        </w:rPr>
        <w:lastRenderedPageBreak/>
        <w:t>Tyree Hawkins</w:t>
      </w:r>
      <w:r w:rsidRPr="00107DD0">
        <w:rPr>
          <w:sz w:val="24"/>
          <w:szCs w:val="24"/>
        </w:rPr>
        <w:t xml:space="preserve"> is required </w:t>
      </w:r>
      <w:r>
        <w:rPr>
          <w:sz w:val="24"/>
          <w:szCs w:val="24"/>
        </w:rPr>
        <w:t xml:space="preserve">to make </w:t>
      </w:r>
      <w:r w:rsidRPr="00107DD0">
        <w:rPr>
          <w:sz w:val="24"/>
          <w:szCs w:val="24"/>
        </w:rPr>
        <w:t>monthly payments as directed by the Bureau of Consumer Services determination issued in</w:t>
      </w:r>
      <w:r w:rsidR="005131B8">
        <w:rPr>
          <w:sz w:val="24"/>
          <w:szCs w:val="24"/>
        </w:rPr>
        <w:t xml:space="preserve"> </w:t>
      </w:r>
      <w:r w:rsidR="001E6DED">
        <w:rPr>
          <w:sz w:val="24"/>
          <w:szCs w:val="24"/>
        </w:rPr>
        <w:t>September 2008, BCS Case No. 2400094</w:t>
      </w:r>
      <w:r w:rsidRPr="00107DD0">
        <w:rPr>
          <w:sz w:val="24"/>
          <w:szCs w:val="24"/>
        </w:rPr>
        <w:t>, beginning with the first billing due date following entry of a final Commission Order in this case.</w:t>
      </w:r>
    </w:p>
    <w:p w:rsidR="007E481C" w:rsidRPr="00107DD0" w:rsidRDefault="007E481C" w:rsidP="007E481C">
      <w:pPr>
        <w:spacing w:line="360" w:lineRule="auto"/>
        <w:ind w:firstLine="1440"/>
        <w:rPr>
          <w:sz w:val="24"/>
          <w:szCs w:val="24"/>
        </w:rPr>
      </w:pPr>
    </w:p>
    <w:p w:rsidR="007E481C" w:rsidRPr="00107DD0" w:rsidRDefault="007E481C" w:rsidP="007E481C">
      <w:pPr>
        <w:spacing w:line="360" w:lineRule="auto"/>
        <w:ind w:firstLine="1440"/>
        <w:rPr>
          <w:sz w:val="24"/>
          <w:szCs w:val="24"/>
        </w:rPr>
      </w:pPr>
      <w:r w:rsidRPr="00107DD0">
        <w:rPr>
          <w:sz w:val="24"/>
          <w:szCs w:val="24"/>
        </w:rPr>
        <w:t xml:space="preserve">If Mr. </w:t>
      </w:r>
      <w:r w:rsidR="001E6DED">
        <w:rPr>
          <w:sz w:val="24"/>
          <w:szCs w:val="24"/>
        </w:rPr>
        <w:t>Hawkins</w:t>
      </w:r>
      <w:r w:rsidRPr="00107DD0">
        <w:rPr>
          <w:sz w:val="24"/>
          <w:szCs w:val="24"/>
        </w:rPr>
        <w:t xml:space="preserve"> fails to keep this payment schedule, PECO Energy Company is authorized to suspend or terminate his electric service in accordance with the Commission’s statute and regulations.</w:t>
      </w:r>
    </w:p>
    <w:p w:rsidR="007E481C" w:rsidRPr="00107DD0" w:rsidRDefault="007E481C" w:rsidP="007E481C">
      <w:pPr>
        <w:spacing w:line="360" w:lineRule="auto"/>
        <w:ind w:firstLine="1440"/>
        <w:rPr>
          <w:sz w:val="24"/>
          <w:szCs w:val="24"/>
        </w:rPr>
      </w:pPr>
    </w:p>
    <w:p w:rsidR="007E481C" w:rsidRPr="00107DD0" w:rsidRDefault="007E481C" w:rsidP="007E481C">
      <w:pPr>
        <w:spacing w:line="360" w:lineRule="auto"/>
        <w:jc w:val="center"/>
        <w:rPr>
          <w:sz w:val="24"/>
          <w:szCs w:val="24"/>
          <w:u w:val="single"/>
        </w:rPr>
      </w:pPr>
      <w:r w:rsidRPr="00107DD0">
        <w:rPr>
          <w:sz w:val="24"/>
          <w:szCs w:val="24"/>
          <w:u w:val="single"/>
        </w:rPr>
        <w:t>CONCLUSIONS OF LAW</w:t>
      </w:r>
    </w:p>
    <w:p w:rsidR="007E481C" w:rsidRPr="00107DD0" w:rsidRDefault="007E481C" w:rsidP="007E481C">
      <w:pPr>
        <w:spacing w:line="360" w:lineRule="auto"/>
        <w:ind w:firstLine="1440"/>
        <w:rPr>
          <w:sz w:val="24"/>
          <w:szCs w:val="24"/>
        </w:rPr>
      </w:pPr>
    </w:p>
    <w:p w:rsidR="007E481C" w:rsidRPr="00107DD0" w:rsidRDefault="007E481C" w:rsidP="007E481C">
      <w:pPr>
        <w:numPr>
          <w:ilvl w:val="0"/>
          <w:numId w:val="1"/>
        </w:numPr>
        <w:tabs>
          <w:tab w:val="clear" w:pos="900"/>
          <w:tab w:val="num" w:pos="2160"/>
        </w:tabs>
        <w:spacing w:line="360" w:lineRule="auto"/>
        <w:ind w:left="0" w:firstLine="1440"/>
        <w:rPr>
          <w:sz w:val="24"/>
          <w:szCs w:val="24"/>
        </w:rPr>
      </w:pPr>
      <w:r w:rsidRPr="00107DD0">
        <w:rPr>
          <w:sz w:val="24"/>
          <w:szCs w:val="24"/>
        </w:rPr>
        <w:t xml:space="preserve">The Commission has jurisdiction over the parties and the subject matter of this proceeding.  66 </w:t>
      </w:r>
      <w:smartTag w:uri="urn:schemas-microsoft-com:office:smarttags" w:element="State">
        <w:smartTag w:uri="urn:schemas-microsoft-com:office:smarttags" w:element="place">
          <w:r w:rsidRPr="00107DD0">
            <w:rPr>
              <w:sz w:val="24"/>
              <w:szCs w:val="24"/>
            </w:rPr>
            <w:t>Pa.</w:t>
          </w:r>
        </w:smartTag>
      </w:smartTag>
      <w:r w:rsidRPr="00107DD0">
        <w:rPr>
          <w:sz w:val="24"/>
          <w:szCs w:val="24"/>
        </w:rPr>
        <w:t xml:space="preserve"> C.S. § 701.</w:t>
      </w:r>
    </w:p>
    <w:p w:rsidR="007E481C" w:rsidRPr="00107DD0" w:rsidRDefault="007E481C" w:rsidP="007E481C">
      <w:pPr>
        <w:tabs>
          <w:tab w:val="num" w:pos="2160"/>
        </w:tabs>
        <w:spacing w:line="360" w:lineRule="auto"/>
        <w:ind w:firstLine="1260"/>
        <w:rPr>
          <w:sz w:val="24"/>
          <w:szCs w:val="24"/>
        </w:rPr>
      </w:pPr>
    </w:p>
    <w:p w:rsidR="007E481C" w:rsidRPr="00107DD0" w:rsidRDefault="007E481C" w:rsidP="007E481C">
      <w:pPr>
        <w:numPr>
          <w:ilvl w:val="0"/>
          <w:numId w:val="1"/>
        </w:numPr>
        <w:tabs>
          <w:tab w:val="clear" w:pos="900"/>
          <w:tab w:val="num" w:pos="2160"/>
        </w:tabs>
        <w:spacing w:line="360" w:lineRule="auto"/>
        <w:ind w:left="0" w:firstLine="1440"/>
        <w:rPr>
          <w:sz w:val="24"/>
          <w:szCs w:val="24"/>
        </w:rPr>
      </w:pPr>
      <w:r w:rsidRPr="00107DD0">
        <w:rPr>
          <w:sz w:val="24"/>
          <w:szCs w:val="24"/>
        </w:rPr>
        <w:t xml:space="preserve">Complainants had the burden of proof and failed to carry that burden. 66 </w:t>
      </w:r>
      <w:smartTag w:uri="urn:schemas-microsoft-com:office:smarttags" w:element="State">
        <w:smartTag w:uri="urn:schemas-microsoft-com:office:smarttags" w:element="place">
          <w:r w:rsidRPr="00107DD0">
            <w:rPr>
              <w:sz w:val="24"/>
              <w:szCs w:val="24"/>
            </w:rPr>
            <w:t>Pa.</w:t>
          </w:r>
        </w:smartTag>
      </w:smartTag>
      <w:r w:rsidRPr="00107DD0">
        <w:rPr>
          <w:sz w:val="24"/>
          <w:szCs w:val="24"/>
        </w:rPr>
        <w:t xml:space="preserve"> C.S. § 332(a).</w:t>
      </w:r>
    </w:p>
    <w:p w:rsidR="007E481C" w:rsidRPr="00107DD0" w:rsidRDefault="007E481C" w:rsidP="007E481C">
      <w:pPr>
        <w:spacing w:line="360" w:lineRule="auto"/>
        <w:rPr>
          <w:sz w:val="24"/>
          <w:szCs w:val="24"/>
        </w:rPr>
      </w:pPr>
    </w:p>
    <w:p w:rsidR="007E481C" w:rsidRPr="00107DD0" w:rsidRDefault="007E481C" w:rsidP="007E481C">
      <w:pPr>
        <w:spacing w:line="360" w:lineRule="auto"/>
        <w:ind w:firstLine="1440"/>
        <w:rPr>
          <w:sz w:val="24"/>
          <w:szCs w:val="24"/>
        </w:rPr>
      </w:pPr>
      <w:r w:rsidRPr="00107DD0">
        <w:rPr>
          <w:sz w:val="24"/>
          <w:szCs w:val="24"/>
        </w:rPr>
        <w:t>3.</w:t>
      </w:r>
      <w:r w:rsidRPr="00107DD0">
        <w:rPr>
          <w:sz w:val="24"/>
          <w:szCs w:val="24"/>
        </w:rPr>
        <w:tab/>
        <w:t xml:space="preserve">The Responsible Utility Customer Protection Act, 66 </w:t>
      </w:r>
      <w:smartTag w:uri="urn:schemas-microsoft-com:office:smarttags" w:element="State">
        <w:smartTag w:uri="urn:schemas-microsoft-com:office:smarttags" w:element="place">
          <w:r w:rsidRPr="00107DD0">
            <w:rPr>
              <w:sz w:val="24"/>
              <w:szCs w:val="24"/>
            </w:rPr>
            <w:t>Pa.</w:t>
          </w:r>
        </w:smartTag>
      </w:smartTag>
      <w:r w:rsidRPr="00107DD0">
        <w:rPr>
          <w:sz w:val="24"/>
          <w:szCs w:val="24"/>
        </w:rPr>
        <w:t xml:space="preserve"> C.S. § 1401, </w:t>
      </w:r>
      <w:r w:rsidRPr="00107DD0">
        <w:rPr>
          <w:i/>
          <w:sz w:val="24"/>
          <w:szCs w:val="24"/>
        </w:rPr>
        <w:t>et seq.</w:t>
      </w:r>
      <w:r w:rsidRPr="00107DD0">
        <w:rPr>
          <w:sz w:val="24"/>
          <w:szCs w:val="24"/>
        </w:rPr>
        <w:t>, applies to this proceeding.</w:t>
      </w:r>
    </w:p>
    <w:p w:rsidR="007E481C" w:rsidRPr="00107DD0" w:rsidRDefault="007E481C" w:rsidP="007E481C">
      <w:pPr>
        <w:spacing w:line="360" w:lineRule="auto"/>
        <w:ind w:firstLine="1440"/>
        <w:rPr>
          <w:sz w:val="24"/>
          <w:szCs w:val="24"/>
        </w:rPr>
      </w:pPr>
    </w:p>
    <w:p w:rsidR="007E481C" w:rsidRPr="00107DD0" w:rsidRDefault="007E481C" w:rsidP="007E481C">
      <w:pPr>
        <w:spacing w:line="360" w:lineRule="auto"/>
        <w:ind w:firstLine="1440"/>
        <w:rPr>
          <w:sz w:val="24"/>
          <w:szCs w:val="24"/>
        </w:rPr>
      </w:pPr>
      <w:r w:rsidRPr="00107DD0">
        <w:rPr>
          <w:sz w:val="24"/>
          <w:szCs w:val="24"/>
        </w:rPr>
        <w:t xml:space="preserve">4. </w:t>
      </w:r>
      <w:r w:rsidRPr="00107DD0">
        <w:rPr>
          <w:sz w:val="24"/>
          <w:szCs w:val="24"/>
        </w:rPr>
        <w:tab/>
        <w:t xml:space="preserve">The Commission has the authority to review a payment arrangement to ensure compliance with the provisions of Chapter 14.  </w:t>
      </w:r>
    </w:p>
    <w:p w:rsidR="007E481C" w:rsidRPr="00107DD0" w:rsidRDefault="007E481C" w:rsidP="007E481C">
      <w:pPr>
        <w:spacing w:line="360" w:lineRule="auto"/>
        <w:ind w:firstLine="1440"/>
        <w:rPr>
          <w:sz w:val="24"/>
          <w:szCs w:val="24"/>
        </w:rPr>
      </w:pPr>
    </w:p>
    <w:p w:rsidR="007E481C" w:rsidRPr="00107DD0" w:rsidRDefault="007E481C" w:rsidP="007E481C">
      <w:pPr>
        <w:spacing w:line="360" w:lineRule="auto"/>
        <w:ind w:firstLine="1440"/>
        <w:rPr>
          <w:sz w:val="24"/>
          <w:szCs w:val="24"/>
        </w:rPr>
      </w:pPr>
      <w:r w:rsidRPr="00107DD0">
        <w:rPr>
          <w:sz w:val="24"/>
          <w:szCs w:val="24"/>
        </w:rPr>
        <w:t>5.</w:t>
      </w:r>
      <w:r w:rsidRPr="00107DD0">
        <w:rPr>
          <w:sz w:val="24"/>
          <w:szCs w:val="24"/>
        </w:rPr>
        <w:tab/>
        <w:t xml:space="preserve"> Absent </w:t>
      </w:r>
      <w:r w:rsidR="009D6F07">
        <w:rPr>
          <w:sz w:val="24"/>
          <w:szCs w:val="24"/>
        </w:rPr>
        <w:t>“</w:t>
      </w:r>
      <w:r w:rsidRPr="00107DD0">
        <w:rPr>
          <w:sz w:val="24"/>
          <w:szCs w:val="24"/>
        </w:rPr>
        <w:t>a change in income</w:t>
      </w:r>
      <w:r w:rsidR="00EB6038">
        <w:rPr>
          <w:sz w:val="24"/>
          <w:szCs w:val="24"/>
        </w:rPr>
        <w:t>,</w:t>
      </w:r>
      <w:r w:rsidR="009D6F07">
        <w:rPr>
          <w:sz w:val="24"/>
          <w:szCs w:val="24"/>
        </w:rPr>
        <w:t>”</w:t>
      </w:r>
      <w:r w:rsidRPr="00107DD0">
        <w:rPr>
          <w:sz w:val="24"/>
          <w:szCs w:val="24"/>
        </w:rPr>
        <w:t xml:space="preserve"> the Commission shall not establish or order a public utility to establish a second or subsequent payment agreement, if a customer has defaulted on a previous payment arrangement.  66 </w:t>
      </w:r>
      <w:smartTag w:uri="urn:schemas-microsoft-com:office:smarttags" w:element="place">
        <w:smartTag w:uri="urn:schemas-microsoft-com:office:smarttags" w:element="State">
          <w:r w:rsidRPr="00107DD0">
            <w:rPr>
              <w:sz w:val="24"/>
              <w:szCs w:val="24"/>
            </w:rPr>
            <w:t>Pa.</w:t>
          </w:r>
        </w:smartTag>
      </w:smartTag>
      <w:r w:rsidRPr="00107DD0">
        <w:rPr>
          <w:sz w:val="24"/>
          <w:szCs w:val="24"/>
        </w:rPr>
        <w:t xml:space="preserve"> C.S. § 1405(d).</w:t>
      </w:r>
    </w:p>
    <w:p w:rsidR="007E481C" w:rsidRDefault="007E481C" w:rsidP="007E481C">
      <w:pPr>
        <w:spacing w:line="360" w:lineRule="auto"/>
        <w:rPr>
          <w:sz w:val="24"/>
          <w:szCs w:val="24"/>
        </w:rPr>
      </w:pPr>
    </w:p>
    <w:p w:rsidR="008525EF" w:rsidRDefault="008525EF" w:rsidP="007E481C">
      <w:pPr>
        <w:spacing w:line="360" w:lineRule="auto"/>
        <w:rPr>
          <w:sz w:val="24"/>
          <w:szCs w:val="24"/>
        </w:rPr>
      </w:pPr>
    </w:p>
    <w:p w:rsidR="008525EF" w:rsidRDefault="008525EF" w:rsidP="007E481C">
      <w:pPr>
        <w:spacing w:line="360" w:lineRule="auto"/>
        <w:rPr>
          <w:sz w:val="24"/>
          <w:szCs w:val="24"/>
        </w:rPr>
      </w:pPr>
    </w:p>
    <w:p w:rsidR="008525EF" w:rsidRDefault="008525EF" w:rsidP="007E481C">
      <w:pPr>
        <w:spacing w:line="360" w:lineRule="auto"/>
        <w:rPr>
          <w:sz w:val="24"/>
          <w:szCs w:val="24"/>
        </w:rPr>
      </w:pPr>
    </w:p>
    <w:p w:rsidR="008525EF" w:rsidRDefault="008525EF" w:rsidP="007E481C">
      <w:pPr>
        <w:spacing w:line="360" w:lineRule="auto"/>
        <w:rPr>
          <w:sz w:val="24"/>
          <w:szCs w:val="24"/>
        </w:rPr>
      </w:pPr>
    </w:p>
    <w:p w:rsidR="008525EF" w:rsidRPr="00107DD0" w:rsidRDefault="008525EF" w:rsidP="007E481C">
      <w:pPr>
        <w:spacing w:line="360" w:lineRule="auto"/>
        <w:rPr>
          <w:sz w:val="24"/>
          <w:szCs w:val="24"/>
        </w:rPr>
      </w:pPr>
    </w:p>
    <w:p w:rsidR="007E481C" w:rsidRPr="00107DD0" w:rsidRDefault="007E481C" w:rsidP="007E481C">
      <w:pPr>
        <w:tabs>
          <w:tab w:val="num" w:pos="2160"/>
        </w:tabs>
        <w:spacing w:line="360" w:lineRule="auto"/>
        <w:jc w:val="center"/>
        <w:rPr>
          <w:sz w:val="24"/>
          <w:szCs w:val="24"/>
          <w:u w:val="single"/>
        </w:rPr>
      </w:pPr>
      <w:r w:rsidRPr="00107DD0">
        <w:rPr>
          <w:sz w:val="24"/>
          <w:szCs w:val="24"/>
          <w:u w:val="single"/>
        </w:rPr>
        <w:lastRenderedPageBreak/>
        <w:t>ORDER</w:t>
      </w:r>
    </w:p>
    <w:p w:rsidR="007E481C" w:rsidRPr="00107DD0" w:rsidRDefault="007E481C" w:rsidP="007E481C">
      <w:pPr>
        <w:tabs>
          <w:tab w:val="num" w:pos="2160"/>
        </w:tabs>
        <w:spacing w:line="360" w:lineRule="auto"/>
        <w:jc w:val="center"/>
        <w:rPr>
          <w:sz w:val="24"/>
          <w:szCs w:val="24"/>
          <w:u w:val="single"/>
        </w:rPr>
      </w:pPr>
    </w:p>
    <w:p w:rsidR="007E481C" w:rsidRPr="00107DD0" w:rsidRDefault="007E481C" w:rsidP="007E481C">
      <w:pPr>
        <w:tabs>
          <w:tab w:val="num" w:pos="2160"/>
        </w:tabs>
        <w:spacing w:line="360" w:lineRule="auto"/>
        <w:jc w:val="center"/>
        <w:rPr>
          <w:sz w:val="24"/>
          <w:szCs w:val="24"/>
          <w:u w:val="single"/>
        </w:rPr>
      </w:pPr>
    </w:p>
    <w:p w:rsidR="007E481C" w:rsidRPr="00107DD0" w:rsidRDefault="007E481C" w:rsidP="007E481C">
      <w:pPr>
        <w:tabs>
          <w:tab w:val="num" w:pos="2160"/>
        </w:tabs>
        <w:spacing w:line="360" w:lineRule="auto"/>
        <w:ind w:firstLine="1440"/>
        <w:rPr>
          <w:sz w:val="24"/>
          <w:szCs w:val="24"/>
        </w:rPr>
      </w:pPr>
      <w:r w:rsidRPr="00107DD0">
        <w:rPr>
          <w:sz w:val="24"/>
          <w:szCs w:val="24"/>
        </w:rPr>
        <w:t xml:space="preserve">THEREFORE, </w:t>
      </w:r>
    </w:p>
    <w:p w:rsidR="007E481C" w:rsidRPr="00107DD0" w:rsidRDefault="007E481C" w:rsidP="007E481C">
      <w:pPr>
        <w:tabs>
          <w:tab w:val="num" w:pos="2160"/>
        </w:tabs>
        <w:spacing w:line="360" w:lineRule="auto"/>
        <w:rPr>
          <w:sz w:val="24"/>
          <w:szCs w:val="24"/>
        </w:rPr>
      </w:pPr>
    </w:p>
    <w:p w:rsidR="007E481C" w:rsidRPr="00107DD0" w:rsidRDefault="007E481C" w:rsidP="007E481C">
      <w:pPr>
        <w:tabs>
          <w:tab w:val="num" w:pos="2160"/>
        </w:tabs>
        <w:spacing w:line="360" w:lineRule="auto"/>
        <w:ind w:firstLine="1440"/>
        <w:rPr>
          <w:sz w:val="24"/>
          <w:szCs w:val="24"/>
        </w:rPr>
      </w:pPr>
      <w:r w:rsidRPr="00107DD0">
        <w:rPr>
          <w:sz w:val="24"/>
          <w:szCs w:val="24"/>
        </w:rPr>
        <w:t>IT IS ORDERED:</w:t>
      </w:r>
    </w:p>
    <w:p w:rsidR="007E481C" w:rsidRPr="00107DD0" w:rsidRDefault="007E481C" w:rsidP="007E481C">
      <w:pPr>
        <w:tabs>
          <w:tab w:val="num" w:pos="2160"/>
        </w:tabs>
        <w:spacing w:line="360" w:lineRule="auto"/>
        <w:rPr>
          <w:b/>
          <w:sz w:val="24"/>
          <w:szCs w:val="24"/>
        </w:rPr>
      </w:pPr>
    </w:p>
    <w:p w:rsidR="007E481C" w:rsidRPr="00107DD0" w:rsidRDefault="007E481C" w:rsidP="007E481C">
      <w:pPr>
        <w:tabs>
          <w:tab w:val="num" w:pos="2160"/>
        </w:tabs>
        <w:spacing w:line="360" w:lineRule="auto"/>
        <w:ind w:firstLine="1440"/>
        <w:rPr>
          <w:sz w:val="24"/>
          <w:szCs w:val="24"/>
        </w:rPr>
      </w:pPr>
      <w:r w:rsidRPr="00107DD0">
        <w:rPr>
          <w:sz w:val="24"/>
          <w:szCs w:val="24"/>
        </w:rPr>
        <w:t>1.</w:t>
      </w:r>
      <w:r w:rsidRPr="00107DD0">
        <w:rPr>
          <w:sz w:val="24"/>
          <w:szCs w:val="24"/>
        </w:rPr>
        <w:tab/>
        <w:t xml:space="preserve">That the Formal Complaint filed by </w:t>
      </w:r>
      <w:r>
        <w:rPr>
          <w:sz w:val="24"/>
          <w:szCs w:val="24"/>
        </w:rPr>
        <w:t xml:space="preserve">Tyree Hawkins </w:t>
      </w:r>
      <w:r w:rsidRPr="00107DD0">
        <w:rPr>
          <w:sz w:val="24"/>
          <w:szCs w:val="24"/>
        </w:rPr>
        <w:t xml:space="preserve">against </w:t>
      </w:r>
      <w:r>
        <w:rPr>
          <w:sz w:val="24"/>
          <w:szCs w:val="24"/>
        </w:rPr>
        <w:t xml:space="preserve">PECO Energy </w:t>
      </w:r>
      <w:r w:rsidRPr="00107DD0">
        <w:rPr>
          <w:sz w:val="24"/>
          <w:szCs w:val="24"/>
        </w:rPr>
        <w:t>Company at Docket No</w:t>
      </w:r>
      <w:r w:rsidRPr="007E481C">
        <w:rPr>
          <w:sz w:val="24"/>
          <w:szCs w:val="24"/>
        </w:rPr>
        <w:t>. C-2009-2083067 is</w:t>
      </w:r>
      <w:r w:rsidRPr="00107DD0">
        <w:rPr>
          <w:sz w:val="24"/>
          <w:szCs w:val="24"/>
        </w:rPr>
        <w:t xml:space="preserve"> denied.</w:t>
      </w:r>
    </w:p>
    <w:p w:rsidR="007E481C" w:rsidRPr="00107DD0" w:rsidRDefault="007E481C" w:rsidP="007E481C">
      <w:pPr>
        <w:spacing w:line="360" w:lineRule="auto"/>
        <w:rPr>
          <w:sz w:val="24"/>
          <w:szCs w:val="24"/>
        </w:rPr>
      </w:pPr>
    </w:p>
    <w:p w:rsidR="007E481C" w:rsidRPr="00107DD0" w:rsidRDefault="007E481C" w:rsidP="007E481C">
      <w:pPr>
        <w:spacing w:line="360" w:lineRule="auto"/>
        <w:ind w:firstLine="1440"/>
        <w:rPr>
          <w:sz w:val="24"/>
          <w:szCs w:val="24"/>
        </w:rPr>
      </w:pPr>
      <w:r w:rsidRPr="00107DD0">
        <w:rPr>
          <w:sz w:val="24"/>
          <w:szCs w:val="24"/>
        </w:rPr>
        <w:t>2.</w:t>
      </w:r>
      <w:r w:rsidRPr="00107DD0">
        <w:rPr>
          <w:sz w:val="24"/>
          <w:szCs w:val="24"/>
        </w:rPr>
        <w:tab/>
        <w:t xml:space="preserve">That </w:t>
      </w:r>
      <w:r>
        <w:rPr>
          <w:sz w:val="24"/>
          <w:szCs w:val="24"/>
        </w:rPr>
        <w:t xml:space="preserve">Tyree Hawkins </w:t>
      </w:r>
      <w:r w:rsidRPr="00107DD0">
        <w:rPr>
          <w:sz w:val="24"/>
          <w:szCs w:val="24"/>
        </w:rPr>
        <w:t xml:space="preserve">shall make monthly payments as directed by the Bureau of Consumer Services determination issued </w:t>
      </w:r>
      <w:r>
        <w:rPr>
          <w:sz w:val="24"/>
          <w:szCs w:val="24"/>
        </w:rPr>
        <w:t>September 2008 at BCS Case No. 2400094</w:t>
      </w:r>
      <w:r w:rsidRPr="00107DD0">
        <w:rPr>
          <w:sz w:val="24"/>
          <w:szCs w:val="24"/>
        </w:rPr>
        <w:t xml:space="preserve"> beginning with the first billing due date following entry of a final Commission Order in this case.</w:t>
      </w:r>
    </w:p>
    <w:p w:rsidR="007E481C" w:rsidRPr="00107DD0" w:rsidRDefault="007E481C" w:rsidP="007E481C">
      <w:pPr>
        <w:spacing w:line="360" w:lineRule="auto"/>
        <w:rPr>
          <w:sz w:val="24"/>
          <w:szCs w:val="24"/>
        </w:rPr>
      </w:pPr>
    </w:p>
    <w:p w:rsidR="00EB6038" w:rsidRDefault="007E481C" w:rsidP="008525EF">
      <w:pPr>
        <w:spacing w:line="360" w:lineRule="auto"/>
        <w:ind w:firstLine="1440"/>
        <w:rPr>
          <w:sz w:val="24"/>
          <w:szCs w:val="24"/>
        </w:rPr>
      </w:pPr>
      <w:r>
        <w:rPr>
          <w:sz w:val="24"/>
          <w:szCs w:val="24"/>
        </w:rPr>
        <w:t>3</w:t>
      </w:r>
      <w:r w:rsidRPr="001B19F4">
        <w:rPr>
          <w:sz w:val="24"/>
          <w:szCs w:val="24"/>
        </w:rPr>
        <w:t>.</w:t>
      </w:r>
      <w:r w:rsidRPr="001B19F4">
        <w:rPr>
          <w:sz w:val="24"/>
          <w:szCs w:val="24"/>
        </w:rPr>
        <w:tab/>
        <w:t xml:space="preserve">That, if </w:t>
      </w:r>
      <w:r>
        <w:rPr>
          <w:sz w:val="24"/>
          <w:szCs w:val="24"/>
        </w:rPr>
        <w:t xml:space="preserve">Tyree Hawkins </w:t>
      </w:r>
      <w:r w:rsidRPr="001B19F4">
        <w:rPr>
          <w:sz w:val="24"/>
          <w:szCs w:val="24"/>
        </w:rPr>
        <w:t xml:space="preserve">does not keep the payment schedule stated in this order, PECO Energy Company is authorized to suspend or terminate </w:t>
      </w:r>
      <w:r>
        <w:rPr>
          <w:sz w:val="24"/>
          <w:szCs w:val="24"/>
        </w:rPr>
        <w:t>his electric</w:t>
      </w:r>
      <w:r w:rsidRPr="001B19F4">
        <w:rPr>
          <w:sz w:val="24"/>
          <w:szCs w:val="24"/>
        </w:rPr>
        <w:t xml:space="preserve"> service in accordance with the Commission’s statute and regulations.</w:t>
      </w:r>
    </w:p>
    <w:p w:rsidR="00EB6038" w:rsidRDefault="00EB6038" w:rsidP="007E481C">
      <w:pPr>
        <w:spacing w:line="360" w:lineRule="auto"/>
        <w:ind w:firstLine="1440"/>
        <w:rPr>
          <w:sz w:val="24"/>
          <w:szCs w:val="24"/>
        </w:rPr>
      </w:pPr>
    </w:p>
    <w:p w:rsidR="007E481C" w:rsidRPr="001B19F4" w:rsidRDefault="007E481C" w:rsidP="007E481C">
      <w:pPr>
        <w:spacing w:line="360" w:lineRule="auto"/>
        <w:ind w:firstLine="1440"/>
        <w:rPr>
          <w:sz w:val="24"/>
          <w:szCs w:val="24"/>
        </w:rPr>
      </w:pPr>
      <w:r>
        <w:rPr>
          <w:sz w:val="24"/>
          <w:szCs w:val="24"/>
        </w:rPr>
        <w:t>4.</w:t>
      </w:r>
      <w:r>
        <w:rPr>
          <w:sz w:val="24"/>
          <w:szCs w:val="24"/>
        </w:rPr>
        <w:tab/>
      </w:r>
      <w:r w:rsidRPr="00551792">
        <w:rPr>
          <w:sz w:val="24"/>
          <w:szCs w:val="24"/>
        </w:rPr>
        <w:t xml:space="preserve">That the record at </w:t>
      </w:r>
      <w:r w:rsidRPr="007E481C">
        <w:rPr>
          <w:sz w:val="24"/>
          <w:szCs w:val="24"/>
        </w:rPr>
        <w:t>Docket No. C-2009-2083067 is</w:t>
      </w:r>
      <w:r w:rsidRPr="00551792">
        <w:rPr>
          <w:sz w:val="24"/>
          <w:szCs w:val="24"/>
        </w:rPr>
        <w:t xml:space="preserve"> marked closed</w:t>
      </w:r>
      <w:r w:rsidRPr="001B19F4">
        <w:rPr>
          <w:sz w:val="24"/>
          <w:szCs w:val="24"/>
        </w:rPr>
        <w:t>.</w:t>
      </w:r>
    </w:p>
    <w:p w:rsidR="00926B76" w:rsidRPr="001B19F4" w:rsidRDefault="00926B76" w:rsidP="00926B76">
      <w:pPr>
        <w:spacing w:line="360" w:lineRule="auto"/>
        <w:ind w:firstLine="1440"/>
        <w:rPr>
          <w:sz w:val="24"/>
          <w:szCs w:val="24"/>
        </w:rPr>
      </w:pPr>
    </w:p>
    <w:p w:rsidR="00926B76" w:rsidRPr="00107DD0" w:rsidRDefault="00926B76" w:rsidP="00926B76">
      <w:pPr>
        <w:spacing w:line="360" w:lineRule="auto"/>
        <w:rPr>
          <w:sz w:val="24"/>
          <w:szCs w:val="24"/>
        </w:rPr>
      </w:pPr>
    </w:p>
    <w:p w:rsidR="00926B76" w:rsidRPr="00107DD0" w:rsidRDefault="00926B76" w:rsidP="00926B76">
      <w:pPr>
        <w:spacing w:line="360" w:lineRule="auto"/>
        <w:rPr>
          <w:sz w:val="24"/>
          <w:szCs w:val="24"/>
        </w:rPr>
      </w:pPr>
    </w:p>
    <w:p w:rsidR="00926B76" w:rsidRPr="00107DD0" w:rsidRDefault="00926B76" w:rsidP="00926B76">
      <w:pPr>
        <w:rPr>
          <w:sz w:val="24"/>
          <w:szCs w:val="24"/>
        </w:rPr>
      </w:pPr>
      <w:r w:rsidRPr="00107DD0">
        <w:rPr>
          <w:sz w:val="24"/>
          <w:szCs w:val="24"/>
        </w:rPr>
        <w:t>Dated:</w:t>
      </w:r>
      <w:r w:rsidRPr="00107DD0">
        <w:rPr>
          <w:sz w:val="24"/>
          <w:szCs w:val="24"/>
        </w:rPr>
        <w:tab/>
      </w:r>
      <w:r>
        <w:rPr>
          <w:sz w:val="24"/>
          <w:szCs w:val="24"/>
        </w:rPr>
        <w:tab/>
      </w:r>
      <w:r w:rsidR="008F4D44">
        <w:rPr>
          <w:sz w:val="24"/>
          <w:szCs w:val="24"/>
          <w:u w:val="single"/>
        </w:rPr>
        <w:t>March 15</w:t>
      </w:r>
      <w:r>
        <w:rPr>
          <w:sz w:val="24"/>
          <w:szCs w:val="24"/>
          <w:u w:val="single"/>
        </w:rPr>
        <w:t>, 2010</w:t>
      </w:r>
      <w:r w:rsidRPr="00107DD0">
        <w:rPr>
          <w:sz w:val="24"/>
          <w:szCs w:val="24"/>
        </w:rPr>
        <w:tab/>
      </w:r>
      <w:r w:rsidRPr="00107DD0">
        <w:rPr>
          <w:sz w:val="24"/>
          <w:szCs w:val="24"/>
        </w:rPr>
        <w:tab/>
      </w:r>
      <w:r w:rsidRPr="00107DD0">
        <w:rPr>
          <w:sz w:val="24"/>
          <w:szCs w:val="24"/>
        </w:rPr>
        <w:tab/>
        <w:t>_____________________________</w:t>
      </w:r>
    </w:p>
    <w:p w:rsidR="00926B76" w:rsidRPr="00107DD0" w:rsidRDefault="00926B76" w:rsidP="00926B76">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Eranda Vero</w:t>
      </w:r>
      <w:r w:rsidRPr="00107DD0">
        <w:rPr>
          <w:sz w:val="24"/>
          <w:szCs w:val="24"/>
        </w:rPr>
        <w:tab/>
      </w:r>
    </w:p>
    <w:p w:rsidR="00926B76" w:rsidRPr="00107DD0" w:rsidRDefault="00926B76" w:rsidP="00926B76">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Special Agent</w:t>
      </w:r>
    </w:p>
    <w:p w:rsidR="00926B76" w:rsidRDefault="00926B76" w:rsidP="00926B76"/>
    <w:p w:rsidR="00926B76" w:rsidRDefault="00926B76" w:rsidP="00926B76"/>
    <w:p w:rsidR="00F90038" w:rsidRDefault="00F90038"/>
    <w:sectPr w:rsidR="00F90038" w:rsidSect="00C8592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E4F" w:rsidRDefault="009D3E4F" w:rsidP="00926B76">
      <w:r>
        <w:separator/>
      </w:r>
    </w:p>
  </w:endnote>
  <w:endnote w:type="continuationSeparator" w:id="0">
    <w:p w:rsidR="009D3E4F" w:rsidRDefault="009D3E4F" w:rsidP="00926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4" w:rsidRDefault="001C278E" w:rsidP="00C85924">
    <w:pPr>
      <w:pStyle w:val="Footer"/>
      <w:framePr w:wrap="around" w:vAnchor="text" w:hAnchor="margin" w:xAlign="center" w:y="1"/>
      <w:rPr>
        <w:rStyle w:val="PageNumber"/>
      </w:rPr>
    </w:pPr>
    <w:r>
      <w:rPr>
        <w:rStyle w:val="PageNumber"/>
      </w:rPr>
      <w:fldChar w:fldCharType="begin"/>
    </w:r>
    <w:r w:rsidR="00145E4D">
      <w:rPr>
        <w:rStyle w:val="PageNumber"/>
      </w:rPr>
      <w:instrText xml:space="preserve">PAGE  </w:instrText>
    </w:r>
    <w:r>
      <w:rPr>
        <w:rStyle w:val="PageNumber"/>
      </w:rPr>
      <w:fldChar w:fldCharType="end"/>
    </w:r>
  </w:p>
  <w:p w:rsidR="00BB33B4" w:rsidRDefault="009D3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4" w:rsidRPr="00D521F9" w:rsidRDefault="001C278E" w:rsidP="00C85924">
    <w:pPr>
      <w:pStyle w:val="Footer"/>
      <w:framePr w:wrap="around" w:vAnchor="text" w:hAnchor="margin" w:xAlign="center" w:y="1"/>
      <w:rPr>
        <w:rStyle w:val="PageNumber"/>
        <w:sz w:val="20"/>
        <w:szCs w:val="20"/>
      </w:rPr>
    </w:pPr>
    <w:r w:rsidRPr="00D521F9">
      <w:rPr>
        <w:rStyle w:val="PageNumber"/>
        <w:sz w:val="20"/>
        <w:szCs w:val="20"/>
      </w:rPr>
      <w:fldChar w:fldCharType="begin"/>
    </w:r>
    <w:r w:rsidR="00145E4D" w:rsidRPr="00D521F9">
      <w:rPr>
        <w:rStyle w:val="PageNumber"/>
        <w:sz w:val="20"/>
        <w:szCs w:val="20"/>
      </w:rPr>
      <w:instrText xml:space="preserve">PAGE  </w:instrText>
    </w:r>
    <w:r w:rsidRPr="00D521F9">
      <w:rPr>
        <w:rStyle w:val="PageNumber"/>
        <w:sz w:val="20"/>
        <w:szCs w:val="20"/>
      </w:rPr>
      <w:fldChar w:fldCharType="separate"/>
    </w:r>
    <w:r w:rsidR="00C16BEF">
      <w:rPr>
        <w:rStyle w:val="PageNumber"/>
        <w:noProof/>
        <w:sz w:val="20"/>
        <w:szCs w:val="20"/>
      </w:rPr>
      <w:t>9</w:t>
    </w:r>
    <w:r w:rsidRPr="00D521F9">
      <w:rPr>
        <w:rStyle w:val="PageNumber"/>
        <w:sz w:val="20"/>
        <w:szCs w:val="20"/>
      </w:rPr>
      <w:fldChar w:fldCharType="end"/>
    </w:r>
  </w:p>
  <w:p w:rsidR="00BB33B4" w:rsidRPr="00D521F9" w:rsidRDefault="009D3E4F">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E4F" w:rsidRDefault="009D3E4F" w:rsidP="00926B76">
      <w:r>
        <w:separator/>
      </w:r>
    </w:p>
  </w:footnote>
  <w:footnote w:type="continuationSeparator" w:id="0">
    <w:p w:rsidR="009D3E4F" w:rsidRDefault="009D3E4F" w:rsidP="00926B76">
      <w:r>
        <w:continuationSeparator/>
      </w:r>
    </w:p>
  </w:footnote>
  <w:footnote w:id="1">
    <w:p w:rsidR="003B611D" w:rsidRDefault="003B611D">
      <w:pPr>
        <w:pStyle w:val="FootnoteText"/>
      </w:pPr>
      <w:r>
        <w:rPr>
          <w:rStyle w:val="FootnoteReference"/>
        </w:rPr>
        <w:footnoteRef/>
      </w:r>
      <w:r>
        <w:t xml:space="preserve"> </w:t>
      </w:r>
      <w:r w:rsidR="00806CC5">
        <w:t>In his Formal Complaint Form, Mr. Hawkins indicated that a court had issued a “Protection from Abuse” order for his personal safety or welfare.  See Complaint ¶ 6.  During the hearing</w:t>
      </w:r>
      <w:r w:rsidR="00EB6038">
        <w:t>, Complainant explained that he had inadvertently checked the wrong bo</w:t>
      </w:r>
      <w:r w:rsidR="00697EBE">
        <w:t xml:space="preserve">x, and that no </w:t>
      </w:r>
      <w:r w:rsidR="00EB6038">
        <w:t>“Protection from Abuse” order had been issued on his behalf.</w:t>
      </w:r>
    </w:p>
  </w:footnote>
  <w:footnote w:id="2">
    <w:p w:rsidR="00926B76" w:rsidRDefault="00926B76" w:rsidP="00926B76">
      <w:pPr>
        <w:pStyle w:val="FootnoteText"/>
      </w:pPr>
      <w:r>
        <w:rPr>
          <w:rStyle w:val="FootnoteReference"/>
        </w:rPr>
        <w:footnoteRef/>
      </w:r>
      <w:r>
        <w:t xml:space="preserve"> The hearing was recorded on tape, no court reporter being present.</w:t>
      </w:r>
    </w:p>
  </w:footnote>
  <w:footnote w:id="3">
    <w:p w:rsidR="008525EF" w:rsidRDefault="008525EF">
      <w:pPr>
        <w:pStyle w:val="FootnoteText"/>
      </w:pPr>
      <w:r>
        <w:rPr>
          <w:rStyle w:val="FootnoteReference"/>
        </w:rPr>
        <w:footnoteRef/>
      </w:r>
      <w:r>
        <w:t xml:space="preserve"> </w:t>
      </w:r>
      <w:r w:rsidR="000765EA">
        <w:t>I believe that d</w:t>
      </w:r>
      <w:r>
        <w:t xml:space="preserve">oing otherwise will result in unfair prejudice against a pro se Complainant for filing the </w:t>
      </w:r>
      <w:r w:rsidR="000765EA">
        <w:t>wrong type of complaint to appeal a BCS decision.</w:t>
      </w:r>
    </w:p>
  </w:footnote>
  <w:footnote w:id="4">
    <w:p w:rsidR="00203FC6" w:rsidRPr="00203FC6" w:rsidRDefault="00203FC6">
      <w:pPr>
        <w:pStyle w:val="FootnoteText"/>
      </w:pPr>
      <w:r w:rsidRPr="00203FC6">
        <w:rPr>
          <w:rStyle w:val="FootnoteReference"/>
        </w:rPr>
        <w:footnoteRef/>
      </w:r>
      <w:r w:rsidRPr="00203FC6">
        <w:t xml:space="preserve"> In view of the nature of Complainant’s employment and his relatively short period of employment with Flick International, I find that the monthly average is a more reliable indicator of Mr. Hawkins’ income than his specific month to month</w:t>
      </w:r>
      <w:r>
        <w:t xml:space="preserve"> earnings</w:t>
      </w:r>
      <w:r w:rsidRPr="00203FC6">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26B76"/>
    <w:rsid w:val="00001062"/>
    <w:rsid w:val="0000470F"/>
    <w:rsid w:val="000051DD"/>
    <w:rsid w:val="000068D5"/>
    <w:rsid w:val="000115F2"/>
    <w:rsid w:val="00014304"/>
    <w:rsid w:val="00016B73"/>
    <w:rsid w:val="00021EA0"/>
    <w:rsid w:val="00022505"/>
    <w:rsid w:val="00025668"/>
    <w:rsid w:val="0002592A"/>
    <w:rsid w:val="00026710"/>
    <w:rsid w:val="00027A04"/>
    <w:rsid w:val="0003399E"/>
    <w:rsid w:val="000376F9"/>
    <w:rsid w:val="0005066D"/>
    <w:rsid w:val="0005071B"/>
    <w:rsid w:val="00050E0C"/>
    <w:rsid w:val="00057C51"/>
    <w:rsid w:val="000609B6"/>
    <w:rsid w:val="00061364"/>
    <w:rsid w:val="0006608A"/>
    <w:rsid w:val="000700AB"/>
    <w:rsid w:val="00070E65"/>
    <w:rsid w:val="00075E7E"/>
    <w:rsid w:val="000765EA"/>
    <w:rsid w:val="00077BC2"/>
    <w:rsid w:val="0009147B"/>
    <w:rsid w:val="00092F06"/>
    <w:rsid w:val="000943BE"/>
    <w:rsid w:val="000974B4"/>
    <w:rsid w:val="000977CD"/>
    <w:rsid w:val="000A18DD"/>
    <w:rsid w:val="000A4939"/>
    <w:rsid w:val="000B3AB8"/>
    <w:rsid w:val="000B6C5B"/>
    <w:rsid w:val="000B77FB"/>
    <w:rsid w:val="000C0C90"/>
    <w:rsid w:val="000C13F0"/>
    <w:rsid w:val="000C3DF7"/>
    <w:rsid w:val="000C67B7"/>
    <w:rsid w:val="000C723E"/>
    <w:rsid w:val="000C7890"/>
    <w:rsid w:val="000D06AC"/>
    <w:rsid w:val="000D4D9A"/>
    <w:rsid w:val="000D4F59"/>
    <w:rsid w:val="000D4FF3"/>
    <w:rsid w:val="000E0684"/>
    <w:rsid w:val="000E45E1"/>
    <w:rsid w:val="000E4E90"/>
    <w:rsid w:val="000F2893"/>
    <w:rsid w:val="000F31BB"/>
    <w:rsid w:val="000F3452"/>
    <w:rsid w:val="00100125"/>
    <w:rsid w:val="001030D4"/>
    <w:rsid w:val="0010634F"/>
    <w:rsid w:val="00106C5A"/>
    <w:rsid w:val="001073A2"/>
    <w:rsid w:val="00115EE3"/>
    <w:rsid w:val="00117645"/>
    <w:rsid w:val="00117D59"/>
    <w:rsid w:val="00122110"/>
    <w:rsid w:val="001268C6"/>
    <w:rsid w:val="00132793"/>
    <w:rsid w:val="001332E9"/>
    <w:rsid w:val="00137568"/>
    <w:rsid w:val="00143C40"/>
    <w:rsid w:val="00145E4D"/>
    <w:rsid w:val="00151955"/>
    <w:rsid w:val="00152189"/>
    <w:rsid w:val="00157015"/>
    <w:rsid w:val="00157BD9"/>
    <w:rsid w:val="00161335"/>
    <w:rsid w:val="001655E0"/>
    <w:rsid w:val="00170604"/>
    <w:rsid w:val="00170B11"/>
    <w:rsid w:val="001732D6"/>
    <w:rsid w:val="001757DC"/>
    <w:rsid w:val="00176115"/>
    <w:rsid w:val="00177B7D"/>
    <w:rsid w:val="00180659"/>
    <w:rsid w:val="00180890"/>
    <w:rsid w:val="001875C7"/>
    <w:rsid w:val="00187979"/>
    <w:rsid w:val="00190F78"/>
    <w:rsid w:val="00194558"/>
    <w:rsid w:val="0019705E"/>
    <w:rsid w:val="0019717E"/>
    <w:rsid w:val="001A0B60"/>
    <w:rsid w:val="001A205B"/>
    <w:rsid w:val="001A2A87"/>
    <w:rsid w:val="001A5FBA"/>
    <w:rsid w:val="001A79DB"/>
    <w:rsid w:val="001B3717"/>
    <w:rsid w:val="001B7D8F"/>
    <w:rsid w:val="001C0B64"/>
    <w:rsid w:val="001C0D4B"/>
    <w:rsid w:val="001C278E"/>
    <w:rsid w:val="001C4EE7"/>
    <w:rsid w:val="001D08BE"/>
    <w:rsid w:val="001D1BF2"/>
    <w:rsid w:val="001D25F2"/>
    <w:rsid w:val="001D2D4B"/>
    <w:rsid w:val="001D384A"/>
    <w:rsid w:val="001D41D0"/>
    <w:rsid w:val="001D6EBF"/>
    <w:rsid w:val="001E2102"/>
    <w:rsid w:val="001E40FD"/>
    <w:rsid w:val="001E5F8C"/>
    <w:rsid w:val="001E60B4"/>
    <w:rsid w:val="001E6DED"/>
    <w:rsid w:val="001F51F6"/>
    <w:rsid w:val="001F5ABE"/>
    <w:rsid w:val="001F69E2"/>
    <w:rsid w:val="001F7C20"/>
    <w:rsid w:val="001F7CE1"/>
    <w:rsid w:val="002014FB"/>
    <w:rsid w:val="0020238F"/>
    <w:rsid w:val="00202AC5"/>
    <w:rsid w:val="00203FC6"/>
    <w:rsid w:val="0021079B"/>
    <w:rsid w:val="00211C77"/>
    <w:rsid w:val="002120D7"/>
    <w:rsid w:val="00214627"/>
    <w:rsid w:val="00215177"/>
    <w:rsid w:val="0021750D"/>
    <w:rsid w:val="00217F6F"/>
    <w:rsid w:val="002219F4"/>
    <w:rsid w:val="0022290A"/>
    <w:rsid w:val="00224795"/>
    <w:rsid w:val="002273B5"/>
    <w:rsid w:val="002305E2"/>
    <w:rsid w:val="00233590"/>
    <w:rsid w:val="00244FA8"/>
    <w:rsid w:val="00254E65"/>
    <w:rsid w:val="002575D1"/>
    <w:rsid w:val="00257C84"/>
    <w:rsid w:val="002601AE"/>
    <w:rsid w:val="00261086"/>
    <w:rsid w:val="00261A96"/>
    <w:rsid w:val="00266BC3"/>
    <w:rsid w:val="0026717A"/>
    <w:rsid w:val="00270C80"/>
    <w:rsid w:val="00272399"/>
    <w:rsid w:val="00280D4C"/>
    <w:rsid w:val="00281519"/>
    <w:rsid w:val="00281838"/>
    <w:rsid w:val="00282D4F"/>
    <w:rsid w:val="00284E81"/>
    <w:rsid w:val="002A3298"/>
    <w:rsid w:val="002A53D2"/>
    <w:rsid w:val="002B0F8B"/>
    <w:rsid w:val="002B2928"/>
    <w:rsid w:val="002B5699"/>
    <w:rsid w:val="002C0E42"/>
    <w:rsid w:val="002C1188"/>
    <w:rsid w:val="002C18A6"/>
    <w:rsid w:val="002C2238"/>
    <w:rsid w:val="002C422B"/>
    <w:rsid w:val="002D007C"/>
    <w:rsid w:val="002D1358"/>
    <w:rsid w:val="002D1763"/>
    <w:rsid w:val="002D3A5E"/>
    <w:rsid w:val="002D4D40"/>
    <w:rsid w:val="002E1741"/>
    <w:rsid w:val="002E6905"/>
    <w:rsid w:val="00300ADA"/>
    <w:rsid w:val="003038CC"/>
    <w:rsid w:val="00306F18"/>
    <w:rsid w:val="003100FF"/>
    <w:rsid w:val="00311923"/>
    <w:rsid w:val="00316451"/>
    <w:rsid w:val="00317CD5"/>
    <w:rsid w:val="00321BB7"/>
    <w:rsid w:val="00330E4F"/>
    <w:rsid w:val="003379C3"/>
    <w:rsid w:val="00342A67"/>
    <w:rsid w:val="00350C1F"/>
    <w:rsid w:val="00360EC5"/>
    <w:rsid w:val="0036395F"/>
    <w:rsid w:val="003642FA"/>
    <w:rsid w:val="00365F06"/>
    <w:rsid w:val="00366E3E"/>
    <w:rsid w:val="003702D0"/>
    <w:rsid w:val="00371F3B"/>
    <w:rsid w:val="003720B7"/>
    <w:rsid w:val="0038042C"/>
    <w:rsid w:val="00381136"/>
    <w:rsid w:val="00382B1F"/>
    <w:rsid w:val="00383391"/>
    <w:rsid w:val="0039037B"/>
    <w:rsid w:val="0039181D"/>
    <w:rsid w:val="00393584"/>
    <w:rsid w:val="00397596"/>
    <w:rsid w:val="003A0E25"/>
    <w:rsid w:val="003A1936"/>
    <w:rsid w:val="003A1CAF"/>
    <w:rsid w:val="003A5CF2"/>
    <w:rsid w:val="003A6558"/>
    <w:rsid w:val="003B2831"/>
    <w:rsid w:val="003B611D"/>
    <w:rsid w:val="003B7CD5"/>
    <w:rsid w:val="003C10FA"/>
    <w:rsid w:val="003C7DF5"/>
    <w:rsid w:val="003D2703"/>
    <w:rsid w:val="003D29AA"/>
    <w:rsid w:val="003D4361"/>
    <w:rsid w:val="003D45D8"/>
    <w:rsid w:val="003D5C62"/>
    <w:rsid w:val="003E2D88"/>
    <w:rsid w:val="003E587F"/>
    <w:rsid w:val="003E728F"/>
    <w:rsid w:val="003E744E"/>
    <w:rsid w:val="003F17CD"/>
    <w:rsid w:val="003F6B18"/>
    <w:rsid w:val="003F6ED1"/>
    <w:rsid w:val="00400067"/>
    <w:rsid w:val="004032D2"/>
    <w:rsid w:val="00405FDB"/>
    <w:rsid w:val="00407E07"/>
    <w:rsid w:val="00412CE2"/>
    <w:rsid w:val="00414098"/>
    <w:rsid w:val="00423119"/>
    <w:rsid w:val="00425A4A"/>
    <w:rsid w:val="004279C9"/>
    <w:rsid w:val="004337C3"/>
    <w:rsid w:val="0043400C"/>
    <w:rsid w:val="004364A8"/>
    <w:rsid w:val="00437530"/>
    <w:rsid w:val="004430B2"/>
    <w:rsid w:val="00453473"/>
    <w:rsid w:val="00457AB5"/>
    <w:rsid w:val="0046735B"/>
    <w:rsid w:val="004714BC"/>
    <w:rsid w:val="00473AF4"/>
    <w:rsid w:val="00476978"/>
    <w:rsid w:val="00480BE5"/>
    <w:rsid w:val="00480CA9"/>
    <w:rsid w:val="00485D8E"/>
    <w:rsid w:val="00487F3B"/>
    <w:rsid w:val="0049487C"/>
    <w:rsid w:val="00495B6F"/>
    <w:rsid w:val="004A0A46"/>
    <w:rsid w:val="004A2255"/>
    <w:rsid w:val="004A3846"/>
    <w:rsid w:val="004A3FAA"/>
    <w:rsid w:val="004A5D8A"/>
    <w:rsid w:val="004A6296"/>
    <w:rsid w:val="004A6DFB"/>
    <w:rsid w:val="004B203D"/>
    <w:rsid w:val="004C1F88"/>
    <w:rsid w:val="004C27D1"/>
    <w:rsid w:val="004C58BF"/>
    <w:rsid w:val="004D04F3"/>
    <w:rsid w:val="004D722E"/>
    <w:rsid w:val="004E05A5"/>
    <w:rsid w:val="004E1A77"/>
    <w:rsid w:val="004E5676"/>
    <w:rsid w:val="004E5C0C"/>
    <w:rsid w:val="004E5DE6"/>
    <w:rsid w:val="004E71E1"/>
    <w:rsid w:val="004F0DA6"/>
    <w:rsid w:val="004F6103"/>
    <w:rsid w:val="005027A7"/>
    <w:rsid w:val="00502E0A"/>
    <w:rsid w:val="00503610"/>
    <w:rsid w:val="00511247"/>
    <w:rsid w:val="00511A8D"/>
    <w:rsid w:val="005131B8"/>
    <w:rsid w:val="005218EC"/>
    <w:rsid w:val="0052238D"/>
    <w:rsid w:val="0052406C"/>
    <w:rsid w:val="00526E4B"/>
    <w:rsid w:val="00527F8C"/>
    <w:rsid w:val="00531BE9"/>
    <w:rsid w:val="00534487"/>
    <w:rsid w:val="0053562C"/>
    <w:rsid w:val="005419AC"/>
    <w:rsid w:val="00542DB1"/>
    <w:rsid w:val="005504F4"/>
    <w:rsid w:val="00550792"/>
    <w:rsid w:val="00551212"/>
    <w:rsid w:val="005559B7"/>
    <w:rsid w:val="00555D0E"/>
    <w:rsid w:val="00557EF4"/>
    <w:rsid w:val="00560968"/>
    <w:rsid w:val="005609C7"/>
    <w:rsid w:val="005617F1"/>
    <w:rsid w:val="00562172"/>
    <w:rsid w:val="00574F21"/>
    <w:rsid w:val="00575775"/>
    <w:rsid w:val="005806B1"/>
    <w:rsid w:val="00583280"/>
    <w:rsid w:val="00592F9A"/>
    <w:rsid w:val="005956BA"/>
    <w:rsid w:val="00597EC2"/>
    <w:rsid w:val="005A1BB4"/>
    <w:rsid w:val="005A2592"/>
    <w:rsid w:val="005A30DD"/>
    <w:rsid w:val="005A3661"/>
    <w:rsid w:val="005A7951"/>
    <w:rsid w:val="005B14C1"/>
    <w:rsid w:val="005B25FD"/>
    <w:rsid w:val="005B362C"/>
    <w:rsid w:val="005B5432"/>
    <w:rsid w:val="005B58EC"/>
    <w:rsid w:val="005B62CD"/>
    <w:rsid w:val="005B6BC3"/>
    <w:rsid w:val="005B7E31"/>
    <w:rsid w:val="005D2899"/>
    <w:rsid w:val="005D4834"/>
    <w:rsid w:val="005E2C25"/>
    <w:rsid w:val="005E30C7"/>
    <w:rsid w:val="005E44B5"/>
    <w:rsid w:val="005E50A6"/>
    <w:rsid w:val="005E625F"/>
    <w:rsid w:val="005F0758"/>
    <w:rsid w:val="005F1C0D"/>
    <w:rsid w:val="005F3C15"/>
    <w:rsid w:val="005F51F2"/>
    <w:rsid w:val="005F68F2"/>
    <w:rsid w:val="005F7FC5"/>
    <w:rsid w:val="0060127D"/>
    <w:rsid w:val="00601EF7"/>
    <w:rsid w:val="00602A12"/>
    <w:rsid w:val="00605A4A"/>
    <w:rsid w:val="006168F4"/>
    <w:rsid w:val="006201B3"/>
    <w:rsid w:val="00620DB6"/>
    <w:rsid w:val="0062137E"/>
    <w:rsid w:val="00621416"/>
    <w:rsid w:val="00621777"/>
    <w:rsid w:val="00621A13"/>
    <w:rsid w:val="00622947"/>
    <w:rsid w:val="00626B0C"/>
    <w:rsid w:val="00632D59"/>
    <w:rsid w:val="00637C00"/>
    <w:rsid w:val="00640B4C"/>
    <w:rsid w:val="006429DC"/>
    <w:rsid w:val="006456EA"/>
    <w:rsid w:val="00647152"/>
    <w:rsid w:val="00651DFD"/>
    <w:rsid w:val="00653729"/>
    <w:rsid w:val="006614A9"/>
    <w:rsid w:val="00664C73"/>
    <w:rsid w:val="006770BC"/>
    <w:rsid w:val="00683549"/>
    <w:rsid w:val="0069106E"/>
    <w:rsid w:val="00696066"/>
    <w:rsid w:val="00696DAB"/>
    <w:rsid w:val="00697B9A"/>
    <w:rsid w:val="00697EBE"/>
    <w:rsid w:val="006A305D"/>
    <w:rsid w:val="006A41CF"/>
    <w:rsid w:val="006A605E"/>
    <w:rsid w:val="006A60C2"/>
    <w:rsid w:val="006A6E97"/>
    <w:rsid w:val="006A7C78"/>
    <w:rsid w:val="006B3FE8"/>
    <w:rsid w:val="006B57B3"/>
    <w:rsid w:val="006B5C09"/>
    <w:rsid w:val="006B6844"/>
    <w:rsid w:val="006C1226"/>
    <w:rsid w:val="006C251B"/>
    <w:rsid w:val="006C3EE5"/>
    <w:rsid w:val="006C5463"/>
    <w:rsid w:val="006C5E0E"/>
    <w:rsid w:val="006E34E6"/>
    <w:rsid w:val="006E5A07"/>
    <w:rsid w:val="006F4DC9"/>
    <w:rsid w:val="00700748"/>
    <w:rsid w:val="00706A95"/>
    <w:rsid w:val="00710400"/>
    <w:rsid w:val="00714DBB"/>
    <w:rsid w:val="007160EF"/>
    <w:rsid w:val="00722256"/>
    <w:rsid w:val="007228DD"/>
    <w:rsid w:val="0072339B"/>
    <w:rsid w:val="00723AC1"/>
    <w:rsid w:val="00726E67"/>
    <w:rsid w:val="00733AE0"/>
    <w:rsid w:val="00734C69"/>
    <w:rsid w:val="00734D04"/>
    <w:rsid w:val="0073583A"/>
    <w:rsid w:val="007362DE"/>
    <w:rsid w:val="00737203"/>
    <w:rsid w:val="00737DB1"/>
    <w:rsid w:val="00740FBA"/>
    <w:rsid w:val="00752DB8"/>
    <w:rsid w:val="00755762"/>
    <w:rsid w:val="00760497"/>
    <w:rsid w:val="00760EA0"/>
    <w:rsid w:val="00762D04"/>
    <w:rsid w:val="00763FBC"/>
    <w:rsid w:val="00765B5E"/>
    <w:rsid w:val="00766B9B"/>
    <w:rsid w:val="0077736D"/>
    <w:rsid w:val="00780161"/>
    <w:rsid w:val="00781446"/>
    <w:rsid w:val="00783B18"/>
    <w:rsid w:val="00786970"/>
    <w:rsid w:val="00786FDC"/>
    <w:rsid w:val="00787BD6"/>
    <w:rsid w:val="00793A87"/>
    <w:rsid w:val="007948AB"/>
    <w:rsid w:val="00794B2B"/>
    <w:rsid w:val="007978A5"/>
    <w:rsid w:val="007A06EA"/>
    <w:rsid w:val="007A3677"/>
    <w:rsid w:val="007A45D7"/>
    <w:rsid w:val="007A79CD"/>
    <w:rsid w:val="007B0F09"/>
    <w:rsid w:val="007B283E"/>
    <w:rsid w:val="007B48FD"/>
    <w:rsid w:val="007C08BD"/>
    <w:rsid w:val="007C1BCB"/>
    <w:rsid w:val="007C55A9"/>
    <w:rsid w:val="007C64A2"/>
    <w:rsid w:val="007D47F8"/>
    <w:rsid w:val="007D504E"/>
    <w:rsid w:val="007D7343"/>
    <w:rsid w:val="007D791A"/>
    <w:rsid w:val="007D7E0C"/>
    <w:rsid w:val="007E465A"/>
    <w:rsid w:val="007E481C"/>
    <w:rsid w:val="007E554B"/>
    <w:rsid w:val="007F7136"/>
    <w:rsid w:val="00801944"/>
    <w:rsid w:val="00806CC5"/>
    <w:rsid w:val="0080754A"/>
    <w:rsid w:val="00810E2F"/>
    <w:rsid w:val="00813C93"/>
    <w:rsid w:val="00816DDF"/>
    <w:rsid w:val="00817CFC"/>
    <w:rsid w:val="0082035A"/>
    <w:rsid w:val="0082047B"/>
    <w:rsid w:val="008249E3"/>
    <w:rsid w:val="0082685E"/>
    <w:rsid w:val="00834011"/>
    <w:rsid w:val="00834281"/>
    <w:rsid w:val="00835111"/>
    <w:rsid w:val="00836647"/>
    <w:rsid w:val="008373D6"/>
    <w:rsid w:val="00837DBF"/>
    <w:rsid w:val="00837F97"/>
    <w:rsid w:val="00842001"/>
    <w:rsid w:val="00843041"/>
    <w:rsid w:val="008445FD"/>
    <w:rsid w:val="00846878"/>
    <w:rsid w:val="00850057"/>
    <w:rsid w:val="00850E8C"/>
    <w:rsid w:val="008525EF"/>
    <w:rsid w:val="00854777"/>
    <w:rsid w:val="008559C5"/>
    <w:rsid w:val="00856045"/>
    <w:rsid w:val="008741E1"/>
    <w:rsid w:val="00877858"/>
    <w:rsid w:val="00884284"/>
    <w:rsid w:val="00886423"/>
    <w:rsid w:val="008931F8"/>
    <w:rsid w:val="008A23E4"/>
    <w:rsid w:val="008A25E6"/>
    <w:rsid w:val="008A2C31"/>
    <w:rsid w:val="008A5DD7"/>
    <w:rsid w:val="008A5F7A"/>
    <w:rsid w:val="008A712B"/>
    <w:rsid w:val="008B18B0"/>
    <w:rsid w:val="008C0BCA"/>
    <w:rsid w:val="008C13AD"/>
    <w:rsid w:val="008C1E23"/>
    <w:rsid w:val="008C2565"/>
    <w:rsid w:val="008C405A"/>
    <w:rsid w:val="008E1DB1"/>
    <w:rsid w:val="008E259F"/>
    <w:rsid w:val="008E5F76"/>
    <w:rsid w:val="008E6500"/>
    <w:rsid w:val="008F3974"/>
    <w:rsid w:val="008F4046"/>
    <w:rsid w:val="008F4D44"/>
    <w:rsid w:val="008F6B64"/>
    <w:rsid w:val="008F7192"/>
    <w:rsid w:val="0090093D"/>
    <w:rsid w:val="00900B99"/>
    <w:rsid w:val="009030CB"/>
    <w:rsid w:val="00907EB3"/>
    <w:rsid w:val="00912234"/>
    <w:rsid w:val="009155CE"/>
    <w:rsid w:val="0091610B"/>
    <w:rsid w:val="0091705E"/>
    <w:rsid w:val="0092050D"/>
    <w:rsid w:val="00920AC9"/>
    <w:rsid w:val="009210E1"/>
    <w:rsid w:val="00923CF8"/>
    <w:rsid w:val="00925925"/>
    <w:rsid w:val="00926B76"/>
    <w:rsid w:val="009272F9"/>
    <w:rsid w:val="009278E9"/>
    <w:rsid w:val="009409DE"/>
    <w:rsid w:val="0094124A"/>
    <w:rsid w:val="00941346"/>
    <w:rsid w:val="00954642"/>
    <w:rsid w:val="00957424"/>
    <w:rsid w:val="009602CD"/>
    <w:rsid w:val="00960BF6"/>
    <w:rsid w:val="00960C2D"/>
    <w:rsid w:val="00960ECC"/>
    <w:rsid w:val="0096323D"/>
    <w:rsid w:val="0096518B"/>
    <w:rsid w:val="0097524B"/>
    <w:rsid w:val="009757CC"/>
    <w:rsid w:val="00987057"/>
    <w:rsid w:val="0098783A"/>
    <w:rsid w:val="009913F0"/>
    <w:rsid w:val="0099255A"/>
    <w:rsid w:val="0099335F"/>
    <w:rsid w:val="009950C8"/>
    <w:rsid w:val="00996CEA"/>
    <w:rsid w:val="009A0683"/>
    <w:rsid w:val="009A7102"/>
    <w:rsid w:val="009A733F"/>
    <w:rsid w:val="009B79D2"/>
    <w:rsid w:val="009C1478"/>
    <w:rsid w:val="009C37CB"/>
    <w:rsid w:val="009C5618"/>
    <w:rsid w:val="009C62BF"/>
    <w:rsid w:val="009D2A06"/>
    <w:rsid w:val="009D3E4F"/>
    <w:rsid w:val="009D5B2D"/>
    <w:rsid w:val="009D6F07"/>
    <w:rsid w:val="009D715F"/>
    <w:rsid w:val="009E44FC"/>
    <w:rsid w:val="009E4B8E"/>
    <w:rsid w:val="009F48D1"/>
    <w:rsid w:val="00A04425"/>
    <w:rsid w:val="00A061F3"/>
    <w:rsid w:val="00A07A19"/>
    <w:rsid w:val="00A10E6A"/>
    <w:rsid w:val="00A10EA2"/>
    <w:rsid w:val="00A1253A"/>
    <w:rsid w:val="00A13950"/>
    <w:rsid w:val="00A159FC"/>
    <w:rsid w:val="00A20FB9"/>
    <w:rsid w:val="00A245F1"/>
    <w:rsid w:val="00A27C72"/>
    <w:rsid w:val="00A317B1"/>
    <w:rsid w:val="00A31F96"/>
    <w:rsid w:val="00A33E09"/>
    <w:rsid w:val="00A343CD"/>
    <w:rsid w:val="00A352C6"/>
    <w:rsid w:val="00A619D6"/>
    <w:rsid w:val="00A61FFC"/>
    <w:rsid w:val="00A62EF2"/>
    <w:rsid w:val="00A631B4"/>
    <w:rsid w:val="00A6548B"/>
    <w:rsid w:val="00A66306"/>
    <w:rsid w:val="00A7170B"/>
    <w:rsid w:val="00A746BE"/>
    <w:rsid w:val="00A75B1E"/>
    <w:rsid w:val="00A81658"/>
    <w:rsid w:val="00A86E2C"/>
    <w:rsid w:val="00A8715C"/>
    <w:rsid w:val="00A91CF0"/>
    <w:rsid w:val="00A940B1"/>
    <w:rsid w:val="00AA01A8"/>
    <w:rsid w:val="00AA0A06"/>
    <w:rsid w:val="00AA68B7"/>
    <w:rsid w:val="00AB250C"/>
    <w:rsid w:val="00AB2A6B"/>
    <w:rsid w:val="00AB439B"/>
    <w:rsid w:val="00AB56F7"/>
    <w:rsid w:val="00AC129C"/>
    <w:rsid w:val="00AC2E98"/>
    <w:rsid w:val="00AC5794"/>
    <w:rsid w:val="00AC68EC"/>
    <w:rsid w:val="00AD2A01"/>
    <w:rsid w:val="00AE1B46"/>
    <w:rsid w:val="00AE2F32"/>
    <w:rsid w:val="00AE66AF"/>
    <w:rsid w:val="00AF1946"/>
    <w:rsid w:val="00B0314E"/>
    <w:rsid w:val="00B03470"/>
    <w:rsid w:val="00B0470B"/>
    <w:rsid w:val="00B1198A"/>
    <w:rsid w:val="00B13C8A"/>
    <w:rsid w:val="00B1540B"/>
    <w:rsid w:val="00B16DF7"/>
    <w:rsid w:val="00B22D2F"/>
    <w:rsid w:val="00B25715"/>
    <w:rsid w:val="00B30DAF"/>
    <w:rsid w:val="00B3412A"/>
    <w:rsid w:val="00B415D3"/>
    <w:rsid w:val="00B52436"/>
    <w:rsid w:val="00B5448D"/>
    <w:rsid w:val="00B61B72"/>
    <w:rsid w:val="00B71B9B"/>
    <w:rsid w:val="00B722E9"/>
    <w:rsid w:val="00B723F9"/>
    <w:rsid w:val="00B74F55"/>
    <w:rsid w:val="00B80C6C"/>
    <w:rsid w:val="00B81484"/>
    <w:rsid w:val="00B8287E"/>
    <w:rsid w:val="00B82E03"/>
    <w:rsid w:val="00B83297"/>
    <w:rsid w:val="00B85474"/>
    <w:rsid w:val="00B90A67"/>
    <w:rsid w:val="00B91A99"/>
    <w:rsid w:val="00B92155"/>
    <w:rsid w:val="00B92B63"/>
    <w:rsid w:val="00BA240A"/>
    <w:rsid w:val="00BA29F7"/>
    <w:rsid w:val="00BA5F89"/>
    <w:rsid w:val="00BA6BF2"/>
    <w:rsid w:val="00BA7ECF"/>
    <w:rsid w:val="00BB0352"/>
    <w:rsid w:val="00BB35AF"/>
    <w:rsid w:val="00BB3757"/>
    <w:rsid w:val="00BB4862"/>
    <w:rsid w:val="00BB5C86"/>
    <w:rsid w:val="00BB6F8B"/>
    <w:rsid w:val="00BC09B3"/>
    <w:rsid w:val="00BC19D4"/>
    <w:rsid w:val="00BC1A08"/>
    <w:rsid w:val="00BC2D0F"/>
    <w:rsid w:val="00BC414E"/>
    <w:rsid w:val="00BC58B1"/>
    <w:rsid w:val="00BD0278"/>
    <w:rsid w:val="00BD5B38"/>
    <w:rsid w:val="00BE05B2"/>
    <w:rsid w:val="00BE396C"/>
    <w:rsid w:val="00BE6418"/>
    <w:rsid w:val="00BE64DA"/>
    <w:rsid w:val="00BE6501"/>
    <w:rsid w:val="00BE78BC"/>
    <w:rsid w:val="00BF1D44"/>
    <w:rsid w:val="00BF288B"/>
    <w:rsid w:val="00BF3A63"/>
    <w:rsid w:val="00BF45AB"/>
    <w:rsid w:val="00BF4BD4"/>
    <w:rsid w:val="00BF6242"/>
    <w:rsid w:val="00C01CC1"/>
    <w:rsid w:val="00C02DE0"/>
    <w:rsid w:val="00C0420B"/>
    <w:rsid w:val="00C0490B"/>
    <w:rsid w:val="00C07697"/>
    <w:rsid w:val="00C07BD5"/>
    <w:rsid w:val="00C16313"/>
    <w:rsid w:val="00C16BEF"/>
    <w:rsid w:val="00C20432"/>
    <w:rsid w:val="00C21188"/>
    <w:rsid w:val="00C212B6"/>
    <w:rsid w:val="00C21F21"/>
    <w:rsid w:val="00C24BFD"/>
    <w:rsid w:val="00C31C79"/>
    <w:rsid w:val="00C34E2D"/>
    <w:rsid w:val="00C3524B"/>
    <w:rsid w:val="00C3644D"/>
    <w:rsid w:val="00C36859"/>
    <w:rsid w:val="00C36FB6"/>
    <w:rsid w:val="00C421EE"/>
    <w:rsid w:val="00C44520"/>
    <w:rsid w:val="00C4622D"/>
    <w:rsid w:val="00C47D97"/>
    <w:rsid w:val="00C5442F"/>
    <w:rsid w:val="00C54CE7"/>
    <w:rsid w:val="00C54D2B"/>
    <w:rsid w:val="00C62407"/>
    <w:rsid w:val="00C644B5"/>
    <w:rsid w:val="00C65C1A"/>
    <w:rsid w:val="00C6642E"/>
    <w:rsid w:val="00C71246"/>
    <w:rsid w:val="00C735C0"/>
    <w:rsid w:val="00C743BB"/>
    <w:rsid w:val="00C75139"/>
    <w:rsid w:val="00C75EE5"/>
    <w:rsid w:val="00C777CE"/>
    <w:rsid w:val="00C77F29"/>
    <w:rsid w:val="00C81233"/>
    <w:rsid w:val="00C83F97"/>
    <w:rsid w:val="00C858B8"/>
    <w:rsid w:val="00CA049C"/>
    <w:rsid w:val="00CA11BA"/>
    <w:rsid w:val="00CA773A"/>
    <w:rsid w:val="00CA77E6"/>
    <w:rsid w:val="00CB05DF"/>
    <w:rsid w:val="00CB1287"/>
    <w:rsid w:val="00CB3151"/>
    <w:rsid w:val="00CB330F"/>
    <w:rsid w:val="00CB7DA9"/>
    <w:rsid w:val="00CC124D"/>
    <w:rsid w:val="00CC1DF4"/>
    <w:rsid w:val="00CD345F"/>
    <w:rsid w:val="00CD63D9"/>
    <w:rsid w:val="00CD6D8A"/>
    <w:rsid w:val="00CE0045"/>
    <w:rsid w:val="00CE3AF1"/>
    <w:rsid w:val="00CE4F2E"/>
    <w:rsid w:val="00CE52B0"/>
    <w:rsid w:val="00CF50BB"/>
    <w:rsid w:val="00D029CB"/>
    <w:rsid w:val="00D03544"/>
    <w:rsid w:val="00D06F30"/>
    <w:rsid w:val="00D16C19"/>
    <w:rsid w:val="00D17F66"/>
    <w:rsid w:val="00D21049"/>
    <w:rsid w:val="00D21102"/>
    <w:rsid w:val="00D2112F"/>
    <w:rsid w:val="00D2459D"/>
    <w:rsid w:val="00D2486F"/>
    <w:rsid w:val="00D24CB1"/>
    <w:rsid w:val="00D257C2"/>
    <w:rsid w:val="00D26BFA"/>
    <w:rsid w:val="00D27042"/>
    <w:rsid w:val="00D3041B"/>
    <w:rsid w:val="00D3080B"/>
    <w:rsid w:val="00D3160E"/>
    <w:rsid w:val="00D318A9"/>
    <w:rsid w:val="00D31AF7"/>
    <w:rsid w:val="00D34ED3"/>
    <w:rsid w:val="00D35D7A"/>
    <w:rsid w:val="00D35D91"/>
    <w:rsid w:val="00D37DE0"/>
    <w:rsid w:val="00D403E8"/>
    <w:rsid w:val="00D4127F"/>
    <w:rsid w:val="00D42211"/>
    <w:rsid w:val="00D42522"/>
    <w:rsid w:val="00D471A1"/>
    <w:rsid w:val="00D5056E"/>
    <w:rsid w:val="00D52459"/>
    <w:rsid w:val="00D5306E"/>
    <w:rsid w:val="00D55162"/>
    <w:rsid w:val="00D556C0"/>
    <w:rsid w:val="00D55731"/>
    <w:rsid w:val="00D63D87"/>
    <w:rsid w:val="00D65954"/>
    <w:rsid w:val="00D65A8D"/>
    <w:rsid w:val="00D65BA1"/>
    <w:rsid w:val="00D6782D"/>
    <w:rsid w:val="00D734A6"/>
    <w:rsid w:val="00D73573"/>
    <w:rsid w:val="00D73930"/>
    <w:rsid w:val="00D74BC2"/>
    <w:rsid w:val="00D80B82"/>
    <w:rsid w:val="00D817C0"/>
    <w:rsid w:val="00D856F3"/>
    <w:rsid w:val="00D912E2"/>
    <w:rsid w:val="00D972CF"/>
    <w:rsid w:val="00DA2F8F"/>
    <w:rsid w:val="00DB226E"/>
    <w:rsid w:val="00DB2E73"/>
    <w:rsid w:val="00DB2F85"/>
    <w:rsid w:val="00DB3399"/>
    <w:rsid w:val="00DB3CFC"/>
    <w:rsid w:val="00DB73A7"/>
    <w:rsid w:val="00DC2B0D"/>
    <w:rsid w:val="00DC3144"/>
    <w:rsid w:val="00DC4DDD"/>
    <w:rsid w:val="00DD1A58"/>
    <w:rsid w:val="00DD3197"/>
    <w:rsid w:val="00DD760D"/>
    <w:rsid w:val="00DD7ABD"/>
    <w:rsid w:val="00DE4EC8"/>
    <w:rsid w:val="00DF13AB"/>
    <w:rsid w:val="00DF275F"/>
    <w:rsid w:val="00DF5C12"/>
    <w:rsid w:val="00DF7748"/>
    <w:rsid w:val="00DF7776"/>
    <w:rsid w:val="00E00CFE"/>
    <w:rsid w:val="00E020B0"/>
    <w:rsid w:val="00E038DF"/>
    <w:rsid w:val="00E05C66"/>
    <w:rsid w:val="00E10DC4"/>
    <w:rsid w:val="00E120A6"/>
    <w:rsid w:val="00E12A47"/>
    <w:rsid w:val="00E1589F"/>
    <w:rsid w:val="00E16D6A"/>
    <w:rsid w:val="00E23D46"/>
    <w:rsid w:val="00E2511F"/>
    <w:rsid w:val="00E26055"/>
    <w:rsid w:val="00E265F6"/>
    <w:rsid w:val="00E26ED2"/>
    <w:rsid w:val="00E33BAD"/>
    <w:rsid w:val="00E344AB"/>
    <w:rsid w:val="00E3603A"/>
    <w:rsid w:val="00E36953"/>
    <w:rsid w:val="00E43D81"/>
    <w:rsid w:val="00E43E09"/>
    <w:rsid w:val="00E47478"/>
    <w:rsid w:val="00E50732"/>
    <w:rsid w:val="00E5275A"/>
    <w:rsid w:val="00E52AE5"/>
    <w:rsid w:val="00E53B0C"/>
    <w:rsid w:val="00E629AD"/>
    <w:rsid w:val="00E652BD"/>
    <w:rsid w:val="00E702E6"/>
    <w:rsid w:val="00E703CE"/>
    <w:rsid w:val="00E70EE6"/>
    <w:rsid w:val="00E80409"/>
    <w:rsid w:val="00E84155"/>
    <w:rsid w:val="00E85025"/>
    <w:rsid w:val="00E921DD"/>
    <w:rsid w:val="00E93DFF"/>
    <w:rsid w:val="00E94092"/>
    <w:rsid w:val="00E94DB8"/>
    <w:rsid w:val="00E95E51"/>
    <w:rsid w:val="00E96901"/>
    <w:rsid w:val="00EA1FCF"/>
    <w:rsid w:val="00EA2B5B"/>
    <w:rsid w:val="00EA3FB0"/>
    <w:rsid w:val="00EA63AA"/>
    <w:rsid w:val="00EB0895"/>
    <w:rsid w:val="00EB1D42"/>
    <w:rsid w:val="00EB6038"/>
    <w:rsid w:val="00EC644B"/>
    <w:rsid w:val="00ED09B9"/>
    <w:rsid w:val="00ED399F"/>
    <w:rsid w:val="00ED41D4"/>
    <w:rsid w:val="00ED4BB5"/>
    <w:rsid w:val="00EE274A"/>
    <w:rsid w:val="00EE7D9E"/>
    <w:rsid w:val="00EF0EEC"/>
    <w:rsid w:val="00EF161E"/>
    <w:rsid w:val="00EF2237"/>
    <w:rsid w:val="00EF2633"/>
    <w:rsid w:val="00EF3B97"/>
    <w:rsid w:val="00EF4722"/>
    <w:rsid w:val="00EF4AAB"/>
    <w:rsid w:val="00EF6B65"/>
    <w:rsid w:val="00EF7CB6"/>
    <w:rsid w:val="00F00078"/>
    <w:rsid w:val="00F0424E"/>
    <w:rsid w:val="00F07605"/>
    <w:rsid w:val="00F07F12"/>
    <w:rsid w:val="00F1003F"/>
    <w:rsid w:val="00F147C3"/>
    <w:rsid w:val="00F21946"/>
    <w:rsid w:val="00F26681"/>
    <w:rsid w:val="00F271C6"/>
    <w:rsid w:val="00F27BC9"/>
    <w:rsid w:val="00F323F6"/>
    <w:rsid w:val="00F34F3D"/>
    <w:rsid w:val="00F411B0"/>
    <w:rsid w:val="00F4258F"/>
    <w:rsid w:val="00F505A5"/>
    <w:rsid w:val="00F51D4B"/>
    <w:rsid w:val="00F5223B"/>
    <w:rsid w:val="00F557BD"/>
    <w:rsid w:val="00F56A55"/>
    <w:rsid w:val="00F5787E"/>
    <w:rsid w:val="00F6015C"/>
    <w:rsid w:val="00F6102F"/>
    <w:rsid w:val="00F61F8E"/>
    <w:rsid w:val="00F63740"/>
    <w:rsid w:val="00F660E9"/>
    <w:rsid w:val="00F70137"/>
    <w:rsid w:val="00F7264D"/>
    <w:rsid w:val="00F76612"/>
    <w:rsid w:val="00F82A87"/>
    <w:rsid w:val="00F83EC2"/>
    <w:rsid w:val="00F8448A"/>
    <w:rsid w:val="00F851F9"/>
    <w:rsid w:val="00F90038"/>
    <w:rsid w:val="00F90747"/>
    <w:rsid w:val="00F92D85"/>
    <w:rsid w:val="00F94C91"/>
    <w:rsid w:val="00FA168A"/>
    <w:rsid w:val="00FA3C6B"/>
    <w:rsid w:val="00FA4F5B"/>
    <w:rsid w:val="00FA6A8C"/>
    <w:rsid w:val="00FA7AF2"/>
    <w:rsid w:val="00FB0F5C"/>
    <w:rsid w:val="00FB1861"/>
    <w:rsid w:val="00FB4EB4"/>
    <w:rsid w:val="00FB691E"/>
    <w:rsid w:val="00FC440E"/>
    <w:rsid w:val="00FC558E"/>
    <w:rsid w:val="00FC6B34"/>
    <w:rsid w:val="00FC6C94"/>
    <w:rsid w:val="00FC6DAF"/>
    <w:rsid w:val="00FD25F2"/>
    <w:rsid w:val="00FD2B3F"/>
    <w:rsid w:val="00FD4CF6"/>
    <w:rsid w:val="00FE07CB"/>
    <w:rsid w:val="00FE0C87"/>
    <w:rsid w:val="00FE0EB1"/>
    <w:rsid w:val="00FE1260"/>
    <w:rsid w:val="00FE4615"/>
    <w:rsid w:val="00FE48D7"/>
    <w:rsid w:val="00FF5BDB"/>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76"/>
    <w:pPr>
      <w:spacing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26B76"/>
    <w:rPr>
      <w:sz w:val="20"/>
      <w:szCs w:val="20"/>
    </w:rPr>
  </w:style>
  <w:style w:type="character" w:customStyle="1" w:styleId="FootnoteTextChar">
    <w:name w:val="Footnote Text Char"/>
    <w:basedOn w:val="DefaultParagraphFont"/>
    <w:link w:val="FootnoteText"/>
    <w:semiHidden/>
    <w:rsid w:val="00926B76"/>
    <w:rPr>
      <w:rFonts w:ascii="Times New Roman" w:eastAsia="Calibri" w:hAnsi="Times New Roman" w:cs="Times New Roman"/>
      <w:sz w:val="20"/>
      <w:szCs w:val="20"/>
    </w:rPr>
  </w:style>
  <w:style w:type="character" w:styleId="FootnoteReference">
    <w:name w:val="footnote reference"/>
    <w:basedOn w:val="DefaultParagraphFont"/>
    <w:semiHidden/>
    <w:rsid w:val="00926B76"/>
    <w:rPr>
      <w:rFonts w:cs="Times New Roman"/>
      <w:vertAlign w:val="superscript"/>
    </w:rPr>
  </w:style>
  <w:style w:type="paragraph" w:styleId="Footer">
    <w:name w:val="footer"/>
    <w:basedOn w:val="Normal"/>
    <w:link w:val="FooterChar"/>
    <w:rsid w:val="00926B76"/>
    <w:pPr>
      <w:tabs>
        <w:tab w:val="center" w:pos="4320"/>
        <w:tab w:val="right" w:pos="8640"/>
      </w:tabs>
    </w:pPr>
  </w:style>
  <w:style w:type="character" w:customStyle="1" w:styleId="FooterChar">
    <w:name w:val="Footer Char"/>
    <w:basedOn w:val="DefaultParagraphFont"/>
    <w:link w:val="Footer"/>
    <w:rsid w:val="00926B76"/>
    <w:rPr>
      <w:rFonts w:ascii="Times New Roman" w:eastAsia="Calibri" w:hAnsi="Times New Roman" w:cs="Times New Roman"/>
      <w:sz w:val="26"/>
      <w:szCs w:val="26"/>
    </w:rPr>
  </w:style>
  <w:style w:type="character" w:styleId="PageNumber">
    <w:name w:val="page number"/>
    <w:basedOn w:val="DefaultParagraphFont"/>
    <w:rsid w:val="00926B76"/>
    <w:rPr>
      <w:rFonts w:cs="Times New Roman"/>
    </w:rPr>
  </w:style>
  <w:style w:type="paragraph" w:customStyle="1" w:styleId="TxBrt1">
    <w:name w:val="TxBr_t1"/>
    <w:basedOn w:val="Normal"/>
    <w:rsid w:val="00926B76"/>
    <w:pPr>
      <w:widowControl w:val="0"/>
      <w:autoSpaceDE w:val="0"/>
      <w:autoSpaceDN w:val="0"/>
      <w:adjustRightInd w:val="0"/>
      <w:spacing w:line="240" w:lineRule="atLeast"/>
    </w:pPr>
    <w:rPr>
      <w:sz w:val="24"/>
      <w:szCs w:val="24"/>
    </w:rPr>
  </w:style>
  <w:style w:type="paragraph" w:customStyle="1" w:styleId="TxBrc2">
    <w:name w:val="TxBr_c2"/>
    <w:basedOn w:val="Normal"/>
    <w:rsid w:val="00926B76"/>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926B76"/>
    <w:pPr>
      <w:widowControl w:val="0"/>
      <w:tabs>
        <w:tab w:val="left" w:pos="204"/>
      </w:tabs>
      <w:autoSpaceDE w:val="0"/>
      <w:autoSpaceDN w:val="0"/>
      <w:adjustRightInd w:val="0"/>
      <w:spacing w:line="419" w:lineRule="atLeast"/>
    </w:pPr>
    <w:rPr>
      <w:sz w:val="24"/>
      <w:szCs w:val="24"/>
    </w:rPr>
  </w:style>
  <w:style w:type="table" w:styleId="TableGrid">
    <w:name w:val="Table Grid"/>
    <w:basedOn w:val="TableNormal"/>
    <w:uiPriority w:val="59"/>
    <w:rsid w:val="00926B7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26B76"/>
    <w:rPr>
      <w:color w:val="0000FF" w:themeColor="hyperlink"/>
      <w:u w:val="single"/>
    </w:rPr>
  </w:style>
  <w:style w:type="paragraph" w:styleId="CommentText">
    <w:name w:val="annotation text"/>
    <w:basedOn w:val="Normal"/>
    <w:link w:val="CommentTextChar"/>
    <w:semiHidden/>
    <w:rsid w:val="007E481C"/>
    <w:rPr>
      <w:sz w:val="20"/>
      <w:szCs w:val="20"/>
    </w:rPr>
  </w:style>
  <w:style w:type="character" w:customStyle="1" w:styleId="CommentTextChar">
    <w:name w:val="Comment Text Char"/>
    <w:basedOn w:val="DefaultParagraphFont"/>
    <w:link w:val="CommentText"/>
    <w:semiHidden/>
    <w:rsid w:val="007E481C"/>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1A2A87"/>
    <w:rPr>
      <w:sz w:val="16"/>
      <w:szCs w:val="16"/>
    </w:rPr>
  </w:style>
  <w:style w:type="paragraph" w:styleId="CommentSubject">
    <w:name w:val="annotation subject"/>
    <w:basedOn w:val="CommentText"/>
    <w:next w:val="CommentText"/>
    <w:link w:val="CommentSubjectChar"/>
    <w:uiPriority w:val="99"/>
    <w:semiHidden/>
    <w:unhideWhenUsed/>
    <w:rsid w:val="001A2A87"/>
    <w:rPr>
      <w:b/>
      <w:bCs/>
    </w:rPr>
  </w:style>
  <w:style w:type="character" w:customStyle="1" w:styleId="CommentSubjectChar">
    <w:name w:val="Comment Subject Char"/>
    <w:basedOn w:val="CommentTextChar"/>
    <w:link w:val="CommentSubject"/>
    <w:uiPriority w:val="99"/>
    <w:semiHidden/>
    <w:rsid w:val="001A2A87"/>
    <w:rPr>
      <w:b/>
      <w:bCs/>
    </w:rPr>
  </w:style>
  <w:style w:type="paragraph" w:styleId="BalloonText">
    <w:name w:val="Balloon Text"/>
    <w:basedOn w:val="Normal"/>
    <w:link w:val="BalloonTextChar"/>
    <w:uiPriority w:val="99"/>
    <w:semiHidden/>
    <w:unhideWhenUsed/>
    <w:rsid w:val="001A2A87"/>
    <w:rPr>
      <w:rFonts w:ascii="Tahoma" w:hAnsi="Tahoma" w:cs="Tahoma"/>
      <w:sz w:val="16"/>
      <w:szCs w:val="16"/>
    </w:rPr>
  </w:style>
  <w:style w:type="character" w:customStyle="1" w:styleId="BalloonTextChar">
    <w:name w:val="Balloon Text Char"/>
    <w:basedOn w:val="DefaultParagraphFont"/>
    <w:link w:val="BalloonText"/>
    <w:uiPriority w:val="99"/>
    <w:semiHidden/>
    <w:rsid w:val="001A2A8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05CFD-57C3-4FB7-8FF9-51279D46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2010-03-18T15:26:00Z</cp:lastPrinted>
  <dcterms:created xsi:type="dcterms:W3CDTF">2010-03-22T18:48:00Z</dcterms:created>
  <dcterms:modified xsi:type="dcterms:W3CDTF">2010-03-22T18:48:00Z</dcterms:modified>
</cp:coreProperties>
</file>